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BF3B2F2">
      <w:pPr>
        <w:pStyle w:val="7"/>
        <w:spacing w:before="4"/>
        <w:rPr>
          <w:color w:val="auto"/>
          <w:sz w:val="28"/>
          <w:szCs w:val="28"/>
          <w:highlight w:val="none"/>
        </w:rPr>
      </w:pPr>
    </w:p>
    <w:p w14:paraId="033107F8">
      <w:pPr>
        <w:bidi w:val="0"/>
        <w:jc w:val="center"/>
        <w:rPr>
          <w:b/>
          <w:bCs/>
          <w:color w:val="auto"/>
          <w:sz w:val="48"/>
          <w:szCs w:val="48"/>
          <w:highlight w:val="none"/>
        </w:rPr>
      </w:pPr>
      <w:r>
        <w:rPr>
          <w:rFonts w:hint="eastAsia"/>
          <w:b/>
          <w:bCs/>
          <w:color w:val="auto"/>
          <w:sz w:val="48"/>
          <w:szCs w:val="48"/>
          <w:highlight w:val="none"/>
        </w:rPr>
        <w:t>周口市公共资源交易中心政府采购中心</w:t>
      </w:r>
    </w:p>
    <w:p w14:paraId="054174A5">
      <w:pPr>
        <w:bidi w:val="0"/>
        <w:rPr>
          <w:color w:val="auto"/>
          <w:highlight w:val="none"/>
        </w:rPr>
      </w:pPr>
    </w:p>
    <w:p w14:paraId="57B36F3D">
      <w:pPr>
        <w:rPr>
          <w:color w:val="auto"/>
          <w:spacing w:val="-1"/>
          <w:w w:val="95"/>
          <w:sz w:val="28"/>
          <w:szCs w:val="28"/>
          <w:highlight w:val="none"/>
        </w:rPr>
      </w:pPr>
    </w:p>
    <w:p w14:paraId="4D711750">
      <w:pPr>
        <w:pStyle w:val="32"/>
        <w:ind w:left="0" w:leftChars="0" w:firstLine="0" w:firstLineChars="0"/>
        <w:rPr>
          <w:color w:val="auto"/>
          <w:spacing w:val="-1"/>
          <w:w w:val="95"/>
          <w:sz w:val="28"/>
          <w:szCs w:val="28"/>
          <w:highlight w:val="none"/>
        </w:rPr>
      </w:pPr>
    </w:p>
    <w:p w14:paraId="02875F5A">
      <w:pPr>
        <w:pStyle w:val="32"/>
        <w:ind w:left="0" w:leftChars="0" w:firstLine="0" w:firstLineChars="0"/>
        <w:rPr>
          <w:color w:val="auto"/>
          <w:spacing w:val="-1"/>
          <w:w w:val="95"/>
          <w:sz w:val="28"/>
          <w:szCs w:val="28"/>
          <w:highlight w:val="none"/>
        </w:rPr>
      </w:pPr>
    </w:p>
    <w:p w14:paraId="12C63D53">
      <w:pPr>
        <w:pStyle w:val="32"/>
        <w:ind w:left="0" w:leftChars="0" w:firstLine="0" w:firstLineChars="0"/>
        <w:rPr>
          <w:color w:val="auto"/>
          <w:spacing w:val="-1"/>
          <w:w w:val="95"/>
          <w:sz w:val="28"/>
          <w:szCs w:val="28"/>
          <w:highlight w:val="none"/>
        </w:rPr>
      </w:pPr>
    </w:p>
    <w:p w14:paraId="0996CDB0">
      <w:pPr>
        <w:rPr>
          <w:color w:val="auto"/>
          <w:spacing w:val="-1"/>
          <w:w w:val="95"/>
          <w:sz w:val="28"/>
          <w:szCs w:val="28"/>
          <w:highlight w:val="none"/>
        </w:rPr>
      </w:pPr>
    </w:p>
    <w:p w14:paraId="43C7CB38">
      <w:pPr>
        <w:pStyle w:val="32"/>
        <w:ind w:left="0" w:leftChars="0" w:firstLine="0" w:firstLineChars="0"/>
        <w:rPr>
          <w:color w:val="auto"/>
          <w:spacing w:val="-1"/>
          <w:w w:val="95"/>
          <w:sz w:val="28"/>
          <w:szCs w:val="28"/>
          <w:highlight w:val="none"/>
        </w:rPr>
      </w:pPr>
    </w:p>
    <w:p w14:paraId="697DD427">
      <w:pPr>
        <w:pStyle w:val="32"/>
        <w:ind w:left="0" w:leftChars="0" w:firstLine="0" w:firstLineChars="0"/>
        <w:rPr>
          <w:color w:val="auto"/>
          <w:spacing w:val="-1"/>
          <w:w w:val="95"/>
          <w:sz w:val="28"/>
          <w:szCs w:val="28"/>
          <w:highlight w:val="none"/>
        </w:rPr>
      </w:pPr>
    </w:p>
    <w:p w14:paraId="2D4166C6">
      <w:pPr>
        <w:pStyle w:val="32"/>
        <w:ind w:left="0" w:leftChars="0" w:firstLine="0" w:firstLineChars="0"/>
        <w:rPr>
          <w:color w:val="auto"/>
          <w:spacing w:val="-1"/>
          <w:w w:val="95"/>
          <w:sz w:val="28"/>
          <w:szCs w:val="28"/>
          <w:highlight w:val="none"/>
        </w:rPr>
      </w:pPr>
    </w:p>
    <w:p w14:paraId="2520FD73">
      <w:pPr>
        <w:pStyle w:val="32"/>
        <w:ind w:left="0" w:leftChars="0" w:firstLine="0" w:firstLineChars="0"/>
        <w:rPr>
          <w:color w:val="auto"/>
          <w:spacing w:val="-1"/>
          <w:w w:val="95"/>
          <w:sz w:val="28"/>
          <w:szCs w:val="28"/>
          <w:highlight w:val="none"/>
        </w:rPr>
      </w:pPr>
    </w:p>
    <w:p w14:paraId="4443D9F0">
      <w:pPr>
        <w:bidi w:val="0"/>
        <w:rPr>
          <w:color w:val="auto"/>
          <w:highlight w:val="none"/>
        </w:rPr>
      </w:pPr>
    </w:p>
    <w:p w14:paraId="0AEB8F1A">
      <w:pPr>
        <w:keepNext w:val="0"/>
        <w:keepLines w:val="0"/>
        <w:pageBreakBefore w:val="0"/>
        <w:widowControl w:val="0"/>
        <w:kinsoku/>
        <w:wordWrap/>
        <w:overflowPunct/>
        <w:topLinePunct w:val="0"/>
        <w:autoSpaceDE w:val="0"/>
        <w:autoSpaceDN w:val="0"/>
        <w:bidi w:val="0"/>
        <w:adjustRightInd/>
        <w:snapToGrid/>
        <w:spacing w:line="488" w:lineRule="auto"/>
        <w:ind w:left="590" w:right="986"/>
        <w:jc w:val="center"/>
        <w:textAlignment w:val="auto"/>
        <w:outlineLvl w:val="9"/>
        <w:rPr>
          <w:b/>
          <w:bCs/>
          <w:color w:val="auto"/>
          <w:sz w:val="60"/>
          <w:szCs w:val="60"/>
          <w:highlight w:val="none"/>
        </w:rPr>
      </w:pPr>
      <w:r>
        <w:rPr>
          <w:rFonts w:hint="eastAsia"/>
          <w:b/>
          <w:bCs/>
          <w:color w:val="auto"/>
          <w:sz w:val="60"/>
          <w:szCs w:val="60"/>
          <w:highlight w:val="none"/>
        </w:rPr>
        <w:t>竞争性谈判文件</w:t>
      </w:r>
    </w:p>
    <w:p w14:paraId="775F7487">
      <w:pPr>
        <w:pStyle w:val="7"/>
        <w:rPr>
          <w:b/>
          <w:color w:val="auto"/>
          <w:sz w:val="44"/>
          <w:highlight w:val="none"/>
          <w:lang w:val="en-US"/>
        </w:rPr>
      </w:pPr>
    </w:p>
    <w:p w14:paraId="6BADF10E">
      <w:pPr>
        <w:rPr>
          <w:b/>
          <w:color w:val="auto"/>
          <w:sz w:val="44"/>
          <w:highlight w:val="none"/>
        </w:rPr>
      </w:pPr>
    </w:p>
    <w:p w14:paraId="4A8D644C">
      <w:pPr>
        <w:pStyle w:val="32"/>
        <w:ind w:left="0" w:leftChars="0" w:firstLine="0" w:firstLineChars="0"/>
        <w:rPr>
          <w:rFonts w:hint="eastAsia"/>
          <w:b/>
          <w:color w:val="auto"/>
          <w:sz w:val="44"/>
          <w:highlight w:val="none"/>
          <w:lang w:eastAsia="zh-CN"/>
        </w:rPr>
      </w:pPr>
    </w:p>
    <w:p w14:paraId="04A67C4E">
      <w:pPr>
        <w:pStyle w:val="32"/>
        <w:ind w:left="0" w:leftChars="0" w:firstLine="0" w:firstLineChars="0"/>
        <w:rPr>
          <w:rFonts w:hint="eastAsia"/>
          <w:b/>
          <w:color w:val="auto"/>
          <w:sz w:val="44"/>
          <w:highlight w:val="none"/>
          <w:lang w:eastAsia="zh-CN"/>
        </w:rPr>
      </w:pPr>
    </w:p>
    <w:p w14:paraId="3C84D361">
      <w:pPr>
        <w:pStyle w:val="32"/>
        <w:ind w:left="0" w:leftChars="0" w:firstLine="0" w:firstLineChars="0"/>
        <w:rPr>
          <w:rFonts w:hint="eastAsia"/>
          <w:b/>
          <w:color w:val="auto"/>
          <w:sz w:val="44"/>
          <w:highlight w:val="none"/>
          <w:lang w:eastAsia="zh-CN"/>
        </w:rPr>
      </w:pPr>
    </w:p>
    <w:p w14:paraId="76F22F7A">
      <w:pPr>
        <w:keepNext w:val="0"/>
        <w:keepLines w:val="0"/>
        <w:pageBreakBefore w:val="0"/>
        <w:widowControl w:val="0"/>
        <w:kinsoku/>
        <w:wordWrap/>
        <w:overflowPunct/>
        <w:topLinePunct w:val="0"/>
        <w:autoSpaceDE w:val="0"/>
        <w:autoSpaceDN w:val="0"/>
        <w:bidi w:val="0"/>
        <w:adjustRightInd/>
        <w:snapToGrid/>
        <w:spacing w:before="1" w:line="600" w:lineRule="exact"/>
        <w:ind w:left="0" w:right="986" w:hanging="1606" w:hangingChars="500"/>
        <w:textAlignment w:val="auto"/>
        <w:rPr>
          <w:rFonts w:hint="eastAsia"/>
          <w:b/>
          <w:bCs/>
          <w:color w:val="auto"/>
          <w:sz w:val="32"/>
          <w:highlight w:val="none"/>
        </w:rPr>
      </w:pPr>
      <w:r>
        <w:rPr>
          <w:rFonts w:hint="eastAsia"/>
          <w:b/>
          <w:bCs/>
          <w:color w:val="auto"/>
          <w:sz w:val="32"/>
          <w:highlight w:val="none"/>
        </w:rPr>
        <w:t>项目名称：周口市第六幼儿园自动喷水系统、火灾自动报警系统、应急照明和疏散指示系统、智慧消防管理系统采购项目</w:t>
      </w:r>
    </w:p>
    <w:p w14:paraId="25E1ECB0">
      <w:pPr>
        <w:keepNext w:val="0"/>
        <w:keepLines w:val="0"/>
        <w:pageBreakBefore w:val="0"/>
        <w:widowControl w:val="0"/>
        <w:kinsoku/>
        <w:wordWrap/>
        <w:overflowPunct/>
        <w:topLinePunct w:val="0"/>
        <w:autoSpaceDE w:val="0"/>
        <w:autoSpaceDN w:val="0"/>
        <w:bidi w:val="0"/>
        <w:adjustRightInd/>
        <w:snapToGrid/>
        <w:spacing w:before="1" w:line="600" w:lineRule="exact"/>
        <w:ind w:left="0" w:right="986" w:hanging="1606" w:hangingChars="500"/>
        <w:textAlignment w:val="auto"/>
        <w:rPr>
          <w:rFonts w:hint="eastAsia"/>
          <w:b/>
          <w:bCs/>
          <w:color w:val="auto"/>
          <w:sz w:val="32"/>
          <w:highlight w:val="none"/>
        </w:rPr>
      </w:pPr>
      <w:r>
        <w:rPr>
          <w:rFonts w:hint="eastAsia"/>
          <w:b/>
          <w:bCs/>
          <w:color w:val="auto"/>
          <w:sz w:val="32"/>
          <w:highlight w:val="none"/>
        </w:rPr>
        <w:t>采购编号：</w:t>
      </w:r>
      <w:r>
        <w:rPr>
          <w:rFonts w:hint="eastAsia"/>
          <w:b/>
          <w:bCs/>
          <w:color w:val="auto"/>
          <w:sz w:val="32"/>
          <w:highlight w:val="none"/>
          <w:lang w:val="en-US" w:eastAsia="zh-CN"/>
        </w:rPr>
        <w:t>川财竞谈-2025-14</w:t>
      </w:r>
    </w:p>
    <w:p w14:paraId="6DBAA04C">
      <w:pPr>
        <w:keepNext w:val="0"/>
        <w:keepLines w:val="0"/>
        <w:pageBreakBefore w:val="0"/>
        <w:widowControl w:val="0"/>
        <w:kinsoku/>
        <w:wordWrap/>
        <w:overflowPunct/>
        <w:topLinePunct w:val="0"/>
        <w:autoSpaceDE w:val="0"/>
        <w:autoSpaceDN w:val="0"/>
        <w:bidi w:val="0"/>
        <w:adjustRightInd/>
        <w:snapToGrid/>
        <w:spacing w:before="1" w:line="600" w:lineRule="exact"/>
        <w:ind w:left="0" w:right="986" w:hanging="1606" w:hangingChars="500"/>
        <w:jc w:val="center"/>
        <w:textAlignment w:val="auto"/>
        <w:rPr>
          <w:rFonts w:hint="eastAsia"/>
          <w:b/>
          <w:bCs/>
          <w:color w:val="auto"/>
          <w:sz w:val="32"/>
          <w:highlight w:val="none"/>
        </w:rPr>
      </w:pPr>
      <w:r>
        <w:rPr>
          <w:rFonts w:hint="eastAsia"/>
          <w:b/>
          <w:bCs/>
          <w:color w:val="auto"/>
          <w:sz w:val="32"/>
          <w:highlight w:val="none"/>
          <w:lang w:val="en-US" w:eastAsia="zh-CN"/>
        </w:rPr>
        <w:t>2025</w:t>
      </w:r>
      <w:r>
        <w:rPr>
          <w:rFonts w:hint="eastAsia"/>
          <w:b/>
          <w:bCs/>
          <w:color w:val="auto"/>
          <w:sz w:val="32"/>
          <w:highlight w:val="none"/>
        </w:rPr>
        <w:t>年</w:t>
      </w:r>
      <w:r>
        <w:rPr>
          <w:rFonts w:hint="eastAsia"/>
          <w:b/>
          <w:bCs/>
          <w:color w:val="auto"/>
          <w:sz w:val="32"/>
          <w:highlight w:val="none"/>
          <w:lang w:val="en-US" w:eastAsia="zh-CN"/>
        </w:rPr>
        <w:t>09</w:t>
      </w:r>
      <w:r>
        <w:rPr>
          <w:rFonts w:hint="eastAsia"/>
          <w:b/>
          <w:bCs/>
          <w:color w:val="auto"/>
          <w:sz w:val="32"/>
          <w:highlight w:val="none"/>
        </w:rPr>
        <w:t>月</w:t>
      </w:r>
      <w:r>
        <w:rPr>
          <w:rFonts w:hint="eastAsia"/>
          <w:b/>
          <w:bCs/>
          <w:color w:val="auto"/>
          <w:sz w:val="32"/>
          <w:highlight w:val="none"/>
          <w:lang w:val="en-US" w:eastAsia="zh-CN"/>
        </w:rPr>
        <w:t>05</w:t>
      </w:r>
      <w:r>
        <w:rPr>
          <w:rFonts w:hint="eastAsia"/>
          <w:b/>
          <w:bCs/>
          <w:color w:val="auto"/>
          <w:sz w:val="32"/>
          <w:highlight w:val="none"/>
        </w:rPr>
        <w:t>日</w:t>
      </w:r>
    </w:p>
    <w:p w14:paraId="3CBA3E22">
      <w:pPr>
        <w:rPr>
          <w:rFonts w:hint="eastAsia"/>
          <w:b/>
          <w:bCs/>
          <w:color w:val="auto"/>
          <w:sz w:val="32"/>
          <w:highlight w:val="none"/>
        </w:rPr>
      </w:pPr>
      <w:r>
        <w:rPr>
          <w:rFonts w:hint="eastAsia"/>
          <w:b/>
          <w:bCs/>
          <w:color w:val="auto"/>
          <w:sz w:val="32"/>
          <w:highlight w:val="none"/>
        </w:rPr>
        <w:br w:type="page"/>
      </w:r>
    </w:p>
    <w:sdt>
      <w:sdtPr>
        <w:rPr>
          <w:rFonts w:ascii="宋体" w:hAnsi="宋体" w:eastAsia="宋体" w:cs="宋体"/>
          <w:color w:val="auto"/>
          <w:sz w:val="24"/>
          <w:szCs w:val="24"/>
          <w:highlight w:val="none"/>
          <w:lang w:val="zh-CN" w:eastAsia="zh-CN" w:bidi="zh-CN"/>
        </w:rPr>
        <w:id w:val="147467791"/>
        <w15:color w:val="DBDBDB"/>
        <w:docPartObj>
          <w:docPartGallery w:val="Table of Contents"/>
          <w:docPartUnique/>
        </w:docPartObj>
      </w:sdtPr>
      <w:sdtEndPr>
        <w:rPr>
          <w:rFonts w:hint="eastAsia" w:ascii="宋体" w:hAnsi="宋体" w:eastAsia="宋体" w:cs="宋体"/>
          <w:color w:val="auto"/>
          <w:sz w:val="24"/>
          <w:szCs w:val="24"/>
          <w:highlight w:val="none"/>
          <w:lang w:val="zh-CN" w:eastAsia="zh-CN" w:bidi="zh-CN"/>
        </w:rPr>
      </w:sdtEndPr>
      <w:sdtContent>
        <w:p w14:paraId="3F8250C4">
          <w:pPr>
            <w:keepNext w:val="0"/>
            <w:keepLines w:val="0"/>
            <w:pageBreakBefore w:val="0"/>
            <w:widowControl w:val="0"/>
            <w:kinsoku/>
            <w:wordWrap/>
            <w:overflowPunct/>
            <w:topLinePunct w:val="0"/>
            <w:autoSpaceDE w:val="0"/>
            <w:autoSpaceDN w:val="0"/>
            <w:bidi w:val="0"/>
            <w:adjustRightInd/>
            <w:snapToGrid/>
            <w:spacing w:before="0" w:beforeLines="0" w:after="0" w:afterLines="0" w:line="440" w:lineRule="exact"/>
            <w:ind w:left="0" w:leftChars="0" w:right="0" w:rightChars="0" w:firstLine="0" w:firstLineChars="0"/>
            <w:jc w:val="center"/>
            <w:textAlignment w:val="auto"/>
            <w:rPr>
              <w:b/>
              <w:bCs/>
              <w:color w:val="auto"/>
              <w:sz w:val="24"/>
              <w:szCs w:val="24"/>
              <w:highlight w:val="none"/>
            </w:rPr>
          </w:pPr>
          <w:r>
            <w:rPr>
              <w:rFonts w:ascii="宋体" w:hAnsi="宋体" w:eastAsia="宋体"/>
              <w:b/>
              <w:bCs/>
              <w:color w:val="auto"/>
              <w:sz w:val="24"/>
              <w:szCs w:val="24"/>
              <w:highlight w:val="none"/>
            </w:rPr>
            <w:t>目录</w:t>
          </w:r>
        </w:p>
        <w:p w14:paraId="595DEE1A">
          <w:pPr>
            <w:pStyle w:val="14"/>
            <w:keepNext w:val="0"/>
            <w:keepLines w:val="0"/>
            <w:pageBreakBefore w:val="0"/>
            <w:widowControl w:val="0"/>
            <w:tabs>
              <w:tab w:val="right" w:leader="dot" w:pos="8306"/>
            </w:tabs>
            <w:kinsoku/>
            <w:wordWrap/>
            <w:overflowPunct/>
            <w:topLinePunct w:val="0"/>
            <w:autoSpaceDE w:val="0"/>
            <w:autoSpaceDN w:val="0"/>
            <w:bidi w:val="0"/>
            <w:adjustRightInd/>
            <w:snapToGrid/>
            <w:spacing w:line="440" w:lineRule="exact"/>
            <w:textAlignment w:val="auto"/>
            <w:rPr>
              <w:b w:val="0"/>
              <w:bCs w:val="0"/>
              <w:color w:val="auto"/>
              <w:sz w:val="24"/>
              <w:szCs w:val="24"/>
              <w:highlight w:val="none"/>
            </w:rPr>
          </w:pPr>
          <w:r>
            <w:rPr>
              <w:rFonts w:hint="eastAsia" w:ascii="宋体" w:hAnsi="宋体" w:eastAsia="宋体" w:cs="宋体"/>
              <w:b w:val="0"/>
              <w:bCs w:val="0"/>
              <w:color w:val="auto"/>
              <w:sz w:val="24"/>
              <w:szCs w:val="24"/>
              <w:highlight w:val="none"/>
              <w:lang w:val="zh-CN" w:eastAsia="zh-CN" w:bidi="zh-CN"/>
            </w:rPr>
            <w:fldChar w:fldCharType="begin"/>
          </w:r>
          <w:r>
            <w:rPr>
              <w:rFonts w:hint="eastAsia" w:ascii="宋体" w:hAnsi="宋体" w:eastAsia="宋体" w:cs="宋体"/>
              <w:b w:val="0"/>
              <w:bCs w:val="0"/>
              <w:color w:val="auto"/>
              <w:sz w:val="24"/>
              <w:szCs w:val="24"/>
              <w:highlight w:val="none"/>
              <w:lang w:val="zh-CN" w:eastAsia="zh-CN" w:bidi="zh-CN"/>
            </w:rPr>
            <w:instrText xml:space="preserve">TOC \o "1-3" \h \u </w:instrText>
          </w:r>
          <w:r>
            <w:rPr>
              <w:rFonts w:hint="eastAsia" w:ascii="宋体" w:hAnsi="宋体" w:eastAsia="宋体" w:cs="宋体"/>
              <w:b w:val="0"/>
              <w:bCs w:val="0"/>
              <w:color w:val="auto"/>
              <w:sz w:val="24"/>
              <w:szCs w:val="24"/>
              <w:highlight w:val="none"/>
              <w:lang w:val="zh-CN" w:eastAsia="zh-CN" w:bidi="zh-CN"/>
            </w:rPr>
            <w:fldChar w:fldCharType="separate"/>
          </w:r>
          <w:r>
            <w:rPr>
              <w:rFonts w:hint="eastAsia" w:ascii="宋体" w:hAnsi="宋体" w:eastAsia="宋体" w:cs="宋体"/>
              <w:b w:val="0"/>
              <w:bCs w:val="0"/>
              <w:color w:val="auto"/>
              <w:sz w:val="24"/>
              <w:szCs w:val="24"/>
              <w:highlight w:val="none"/>
              <w:lang w:val="zh-CN" w:eastAsia="zh-CN" w:bidi="zh-CN"/>
            </w:rPr>
            <w:fldChar w:fldCharType="begin"/>
          </w:r>
          <w:r>
            <w:rPr>
              <w:rFonts w:hint="eastAsia" w:ascii="宋体" w:hAnsi="宋体" w:eastAsia="宋体" w:cs="宋体"/>
              <w:b w:val="0"/>
              <w:bCs w:val="0"/>
              <w:color w:val="auto"/>
              <w:sz w:val="24"/>
              <w:szCs w:val="24"/>
              <w:highlight w:val="none"/>
              <w:lang w:val="zh-CN" w:eastAsia="zh-CN" w:bidi="zh-CN"/>
            </w:rPr>
            <w:instrText xml:space="preserve"> HYPERLINK \l _Toc30494 </w:instrText>
          </w:r>
          <w:r>
            <w:rPr>
              <w:rFonts w:hint="eastAsia" w:ascii="宋体" w:hAnsi="宋体" w:eastAsia="宋体" w:cs="宋体"/>
              <w:b w:val="0"/>
              <w:bCs w:val="0"/>
              <w:color w:val="auto"/>
              <w:sz w:val="24"/>
              <w:szCs w:val="24"/>
              <w:highlight w:val="none"/>
              <w:lang w:val="zh-CN" w:eastAsia="zh-CN" w:bidi="zh-CN"/>
            </w:rPr>
            <w:fldChar w:fldCharType="separate"/>
          </w:r>
          <w:r>
            <w:rPr>
              <w:rFonts w:hint="eastAsia"/>
              <w:b w:val="0"/>
              <w:bCs w:val="0"/>
              <w:color w:val="auto"/>
              <w:sz w:val="24"/>
              <w:szCs w:val="24"/>
              <w:highlight w:val="none"/>
              <w:lang w:val="en-US" w:eastAsia="zh-CN"/>
            </w:rPr>
            <w:t xml:space="preserve">第一部分 </w:t>
          </w:r>
          <w:r>
            <w:rPr>
              <w:rFonts w:hint="eastAsia"/>
              <w:b w:val="0"/>
              <w:bCs w:val="0"/>
              <w:color w:val="auto"/>
              <w:sz w:val="24"/>
              <w:szCs w:val="24"/>
              <w:highlight w:val="none"/>
            </w:rPr>
            <w:t>谈判采购邀请函</w:t>
          </w:r>
          <w:r>
            <w:rPr>
              <w:b w:val="0"/>
              <w:bCs w:val="0"/>
              <w:color w:val="auto"/>
              <w:sz w:val="24"/>
              <w:szCs w:val="24"/>
              <w:highlight w:val="none"/>
            </w:rPr>
            <w:tab/>
          </w:r>
          <w:r>
            <w:rPr>
              <w:b w:val="0"/>
              <w:bCs w:val="0"/>
              <w:color w:val="auto"/>
              <w:sz w:val="24"/>
              <w:szCs w:val="24"/>
              <w:highlight w:val="none"/>
            </w:rPr>
            <w:fldChar w:fldCharType="begin"/>
          </w:r>
          <w:r>
            <w:rPr>
              <w:b w:val="0"/>
              <w:bCs w:val="0"/>
              <w:color w:val="auto"/>
              <w:sz w:val="24"/>
              <w:szCs w:val="24"/>
              <w:highlight w:val="none"/>
            </w:rPr>
            <w:instrText xml:space="preserve"> PAGEREF _Toc30494 \h </w:instrText>
          </w:r>
          <w:r>
            <w:rPr>
              <w:b w:val="0"/>
              <w:bCs w:val="0"/>
              <w:color w:val="auto"/>
              <w:sz w:val="24"/>
              <w:szCs w:val="24"/>
              <w:highlight w:val="none"/>
            </w:rPr>
            <w:fldChar w:fldCharType="separate"/>
          </w:r>
          <w:r>
            <w:rPr>
              <w:b w:val="0"/>
              <w:bCs w:val="0"/>
              <w:color w:val="auto"/>
              <w:sz w:val="24"/>
              <w:szCs w:val="24"/>
              <w:highlight w:val="none"/>
            </w:rPr>
            <w:t>3</w:t>
          </w:r>
          <w:r>
            <w:rPr>
              <w:b w:val="0"/>
              <w:bCs w:val="0"/>
              <w:color w:val="auto"/>
              <w:sz w:val="24"/>
              <w:szCs w:val="24"/>
              <w:highlight w:val="none"/>
            </w:rPr>
            <w:fldChar w:fldCharType="end"/>
          </w:r>
          <w:r>
            <w:rPr>
              <w:rFonts w:hint="eastAsia" w:ascii="宋体" w:hAnsi="宋体" w:eastAsia="宋体" w:cs="宋体"/>
              <w:b w:val="0"/>
              <w:bCs w:val="0"/>
              <w:color w:val="auto"/>
              <w:sz w:val="24"/>
              <w:szCs w:val="24"/>
              <w:highlight w:val="none"/>
              <w:lang w:val="zh-CN" w:eastAsia="zh-CN" w:bidi="zh-CN"/>
            </w:rPr>
            <w:fldChar w:fldCharType="end"/>
          </w:r>
        </w:p>
        <w:p w14:paraId="49F33AD2">
          <w:pPr>
            <w:pStyle w:val="14"/>
            <w:keepNext w:val="0"/>
            <w:keepLines w:val="0"/>
            <w:pageBreakBefore w:val="0"/>
            <w:widowControl w:val="0"/>
            <w:tabs>
              <w:tab w:val="right" w:leader="dot" w:pos="8306"/>
            </w:tabs>
            <w:kinsoku/>
            <w:wordWrap/>
            <w:overflowPunct/>
            <w:topLinePunct w:val="0"/>
            <w:autoSpaceDE w:val="0"/>
            <w:autoSpaceDN w:val="0"/>
            <w:bidi w:val="0"/>
            <w:adjustRightInd/>
            <w:snapToGrid/>
            <w:spacing w:line="440" w:lineRule="exact"/>
            <w:textAlignment w:val="auto"/>
            <w:rPr>
              <w:b w:val="0"/>
              <w:bCs w:val="0"/>
              <w:color w:val="auto"/>
              <w:sz w:val="24"/>
              <w:szCs w:val="24"/>
              <w:highlight w:val="none"/>
            </w:rPr>
          </w:pPr>
          <w:r>
            <w:rPr>
              <w:rFonts w:hint="eastAsia" w:ascii="宋体" w:hAnsi="宋体" w:eastAsia="宋体" w:cs="宋体"/>
              <w:b w:val="0"/>
              <w:bCs w:val="0"/>
              <w:color w:val="auto"/>
              <w:sz w:val="24"/>
              <w:szCs w:val="24"/>
              <w:highlight w:val="none"/>
              <w:lang w:val="zh-CN" w:eastAsia="zh-CN" w:bidi="zh-CN"/>
            </w:rPr>
            <w:fldChar w:fldCharType="begin"/>
          </w:r>
          <w:r>
            <w:rPr>
              <w:rFonts w:hint="eastAsia" w:ascii="宋体" w:hAnsi="宋体" w:eastAsia="宋体" w:cs="宋体"/>
              <w:b w:val="0"/>
              <w:bCs w:val="0"/>
              <w:color w:val="auto"/>
              <w:sz w:val="24"/>
              <w:szCs w:val="24"/>
              <w:highlight w:val="none"/>
              <w:lang w:val="zh-CN" w:eastAsia="zh-CN" w:bidi="zh-CN"/>
            </w:rPr>
            <w:instrText xml:space="preserve"> HYPERLINK \l _Toc11608 </w:instrText>
          </w:r>
          <w:r>
            <w:rPr>
              <w:rFonts w:hint="eastAsia" w:ascii="宋体" w:hAnsi="宋体" w:eastAsia="宋体" w:cs="宋体"/>
              <w:b w:val="0"/>
              <w:bCs w:val="0"/>
              <w:color w:val="auto"/>
              <w:sz w:val="24"/>
              <w:szCs w:val="24"/>
              <w:highlight w:val="none"/>
              <w:lang w:val="zh-CN" w:eastAsia="zh-CN" w:bidi="zh-CN"/>
            </w:rPr>
            <w:fldChar w:fldCharType="separate"/>
          </w:r>
          <w:r>
            <w:rPr>
              <w:rFonts w:hint="eastAsia"/>
              <w:b w:val="0"/>
              <w:bCs w:val="0"/>
              <w:color w:val="auto"/>
              <w:sz w:val="24"/>
              <w:szCs w:val="24"/>
              <w:highlight w:val="none"/>
            </w:rPr>
            <w:t>第二部分</w:t>
          </w:r>
          <w:r>
            <w:rPr>
              <w:rFonts w:hint="eastAsia"/>
              <w:b w:val="0"/>
              <w:bCs w:val="0"/>
              <w:color w:val="auto"/>
              <w:sz w:val="24"/>
              <w:szCs w:val="24"/>
              <w:highlight w:val="none"/>
              <w:lang w:val="en-US" w:eastAsia="zh-CN"/>
            </w:rPr>
            <w:t xml:space="preserve"> </w:t>
          </w:r>
          <w:r>
            <w:rPr>
              <w:rFonts w:hint="eastAsia"/>
              <w:b w:val="0"/>
              <w:bCs w:val="0"/>
              <w:color w:val="auto"/>
              <w:sz w:val="24"/>
              <w:szCs w:val="24"/>
              <w:highlight w:val="none"/>
            </w:rPr>
            <w:t>项目内容及施工要求</w:t>
          </w:r>
          <w:r>
            <w:rPr>
              <w:b w:val="0"/>
              <w:bCs w:val="0"/>
              <w:color w:val="auto"/>
              <w:sz w:val="24"/>
              <w:szCs w:val="24"/>
              <w:highlight w:val="none"/>
            </w:rPr>
            <w:tab/>
          </w:r>
          <w:r>
            <w:rPr>
              <w:b w:val="0"/>
              <w:bCs w:val="0"/>
              <w:color w:val="auto"/>
              <w:sz w:val="24"/>
              <w:szCs w:val="24"/>
              <w:highlight w:val="none"/>
            </w:rPr>
            <w:fldChar w:fldCharType="begin"/>
          </w:r>
          <w:r>
            <w:rPr>
              <w:b w:val="0"/>
              <w:bCs w:val="0"/>
              <w:color w:val="auto"/>
              <w:sz w:val="24"/>
              <w:szCs w:val="24"/>
              <w:highlight w:val="none"/>
            </w:rPr>
            <w:instrText xml:space="preserve"> PAGEREF _Toc11608 \h </w:instrText>
          </w:r>
          <w:r>
            <w:rPr>
              <w:b w:val="0"/>
              <w:bCs w:val="0"/>
              <w:color w:val="auto"/>
              <w:sz w:val="24"/>
              <w:szCs w:val="24"/>
              <w:highlight w:val="none"/>
            </w:rPr>
            <w:fldChar w:fldCharType="separate"/>
          </w:r>
          <w:r>
            <w:rPr>
              <w:b w:val="0"/>
              <w:bCs w:val="0"/>
              <w:color w:val="auto"/>
              <w:sz w:val="24"/>
              <w:szCs w:val="24"/>
              <w:highlight w:val="none"/>
            </w:rPr>
            <w:t>6</w:t>
          </w:r>
          <w:r>
            <w:rPr>
              <w:b w:val="0"/>
              <w:bCs w:val="0"/>
              <w:color w:val="auto"/>
              <w:sz w:val="24"/>
              <w:szCs w:val="24"/>
              <w:highlight w:val="none"/>
            </w:rPr>
            <w:fldChar w:fldCharType="end"/>
          </w:r>
          <w:r>
            <w:rPr>
              <w:rFonts w:hint="eastAsia" w:ascii="宋体" w:hAnsi="宋体" w:eastAsia="宋体" w:cs="宋体"/>
              <w:b w:val="0"/>
              <w:bCs w:val="0"/>
              <w:color w:val="auto"/>
              <w:sz w:val="24"/>
              <w:szCs w:val="24"/>
              <w:highlight w:val="none"/>
              <w:lang w:val="zh-CN" w:eastAsia="zh-CN" w:bidi="zh-CN"/>
            </w:rPr>
            <w:fldChar w:fldCharType="end"/>
          </w:r>
        </w:p>
        <w:p w14:paraId="09118C64">
          <w:pPr>
            <w:pStyle w:val="14"/>
            <w:keepNext w:val="0"/>
            <w:keepLines w:val="0"/>
            <w:pageBreakBefore w:val="0"/>
            <w:widowControl w:val="0"/>
            <w:tabs>
              <w:tab w:val="right" w:leader="dot" w:pos="8306"/>
            </w:tabs>
            <w:kinsoku/>
            <w:wordWrap/>
            <w:overflowPunct/>
            <w:topLinePunct w:val="0"/>
            <w:autoSpaceDE w:val="0"/>
            <w:autoSpaceDN w:val="0"/>
            <w:bidi w:val="0"/>
            <w:adjustRightInd/>
            <w:snapToGrid/>
            <w:spacing w:line="440" w:lineRule="exact"/>
            <w:textAlignment w:val="auto"/>
            <w:rPr>
              <w:b w:val="0"/>
              <w:bCs w:val="0"/>
              <w:color w:val="auto"/>
              <w:sz w:val="24"/>
              <w:szCs w:val="24"/>
              <w:highlight w:val="none"/>
            </w:rPr>
          </w:pPr>
          <w:r>
            <w:rPr>
              <w:rFonts w:hint="eastAsia" w:ascii="宋体" w:hAnsi="宋体" w:eastAsia="宋体" w:cs="宋体"/>
              <w:b w:val="0"/>
              <w:bCs w:val="0"/>
              <w:color w:val="auto"/>
              <w:sz w:val="24"/>
              <w:szCs w:val="24"/>
              <w:highlight w:val="none"/>
              <w:lang w:val="zh-CN" w:eastAsia="zh-CN" w:bidi="zh-CN"/>
            </w:rPr>
            <w:fldChar w:fldCharType="begin"/>
          </w:r>
          <w:r>
            <w:rPr>
              <w:rFonts w:hint="eastAsia" w:ascii="宋体" w:hAnsi="宋体" w:eastAsia="宋体" w:cs="宋体"/>
              <w:b w:val="0"/>
              <w:bCs w:val="0"/>
              <w:color w:val="auto"/>
              <w:sz w:val="24"/>
              <w:szCs w:val="24"/>
              <w:highlight w:val="none"/>
              <w:lang w:val="zh-CN" w:eastAsia="zh-CN" w:bidi="zh-CN"/>
            </w:rPr>
            <w:instrText xml:space="preserve"> HYPERLINK \l _Toc25268 </w:instrText>
          </w:r>
          <w:r>
            <w:rPr>
              <w:rFonts w:hint="eastAsia" w:ascii="宋体" w:hAnsi="宋体" w:eastAsia="宋体" w:cs="宋体"/>
              <w:b w:val="0"/>
              <w:bCs w:val="0"/>
              <w:color w:val="auto"/>
              <w:sz w:val="24"/>
              <w:szCs w:val="24"/>
              <w:highlight w:val="none"/>
              <w:lang w:val="zh-CN" w:eastAsia="zh-CN" w:bidi="zh-CN"/>
            </w:rPr>
            <w:fldChar w:fldCharType="separate"/>
          </w:r>
          <w:r>
            <w:rPr>
              <w:rFonts w:hint="eastAsia"/>
              <w:b w:val="0"/>
              <w:bCs w:val="0"/>
              <w:color w:val="auto"/>
              <w:sz w:val="24"/>
              <w:szCs w:val="24"/>
              <w:highlight w:val="none"/>
            </w:rPr>
            <w:t>第三部分</w:t>
          </w:r>
          <w:r>
            <w:rPr>
              <w:rFonts w:hint="eastAsia"/>
              <w:b w:val="0"/>
              <w:bCs w:val="0"/>
              <w:color w:val="auto"/>
              <w:sz w:val="24"/>
              <w:szCs w:val="24"/>
              <w:highlight w:val="none"/>
              <w:lang w:val="en-US" w:eastAsia="zh-CN"/>
            </w:rPr>
            <w:t xml:space="preserve"> </w:t>
          </w:r>
          <w:r>
            <w:rPr>
              <w:rFonts w:hint="eastAsia"/>
              <w:b w:val="0"/>
              <w:bCs w:val="0"/>
              <w:color w:val="auto"/>
              <w:sz w:val="24"/>
              <w:szCs w:val="24"/>
              <w:highlight w:val="none"/>
            </w:rPr>
            <w:t>谈判项目要求</w:t>
          </w:r>
          <w:r>
            <w:rPr>
              <w:b w:val="0"/>
              <w:bCs w:val="0"/>
              <w:color w:val="auto"/>
              <w:sz w:val="24"/>
              <w:szCs w:val="24"/>
              <w:highlight w:val="none"/>
            </w:rPr>
            <w:tab/>
          </w:r>
          <w:r>
            <w:rPr>
              <w:b w:val="0"/>
              <w:bCs w:val="0"/>
              <w:color w:val="auto"/>
              <w:sz w:val="24"/>
              <w:szCs w:val="24"/>
              <w:highlight w:val="none"/>
            </w:rPr>
            <w:fldChar w:fldCharType="begin"/>
          </w:r>
          <w:r>
            <w:rPr>
              <w:b w:val="0"/>
              <w:bCs w:val="0"/>
              <w:color w:val="auto"/>
              <w:sz w:val="24"/>
              <w:szCs w:val="24"/>
              <w:highlight w:val="none"/>
            </w:rPr>
            <w:instrText xml:space="preserve"> PAGEREF _Toc25268 \h </w:instrText>
          </w:r>
          <w:r>
            <w:rPr>
              <w:b w:val="0"/>
              <w:bCs w:val="0"/>
              <w:color w:val="auto"/>
              <w:sz w:val="24"/>
              <w:szCs w:val="24"/>
              <w:highlight w:val="none"/>
            </w:rPr>
            <w:fldChar w:fldCharType="separate"/>
          </w:r>
          <w:r>
            <w:rPr>
              <w:b w:val="0"/>
              <w:bCs w:val="0"/>
              <w:color w:val="auto"/>
              <w:sz w:val="24"/>
              <w:szCs w:val="24"/>
              <w:highlight w:val="none"/>
            </w:rPr>
            <w:t>13</w:t>
          </w:r>
          <w:r>
            <w:rPr>
              <w:b w:val="0"/>
              <w:bCs w:val="0"/>
              <w:color w:val="auto"/>
              <w:sz w:val="24"/>
              <w:szCs w:val="24"/>
              <w:highlight w:val="none"/>
            </w:rPr>
            <w:fldChar w:fldCharType="end"/>
          </w:r>
          <w:r>
            <w:rPr>
              <w:rFonts w:hint="eastAsia" w:ascii="宋体" w:hAnsi="宋体" w:eastAsia="宋体" w:cs="宋体"/>
              <w:b w:val="0"/>
              <w:bCs w:val="0"/>
              <w:color w:val="auto"/>
              <w:sz w:val="24"/>
              <w:szCs w:val="24"/>
              <w:highlight w:val="none"/>
              <w:lang w:val="zh-CN" w:eastAsia="zh-CN" w:bidi="zh-CN"/>
            </w:rPr>
            <w:fldChar w:fldCharType="end"/>
          </w:r>
        </w:p>
        <w:p w14:paraId="6E762206">
          <w:pPr>
            <w:pStyle w:val="14"/>
            <w:keepNext w:val="0"/>
            <w:keepLines w:val="0"/>
            <w:pageBreakBefore w:val="0"/>
            <w:widowControl w:val="0"/>
            <w:tabs>
              <w:tab w:val="right" w:leader="dot" w:pos="8306"/>
            </w:tabs>
            <w:kinsoku/>
            <w:wordWrap/>
            <w:overflowPunct/>
            <w:topLinePunct w:val="0"/>
            <w:autoSpaceDE w:val="0"/>
            <w:autoSpaceDN w:val="0"/>
            <w:bidi w:val="0"/>
            <w:adjustRightInd/>
            <w:snapToGrid/>
            <w:spacing w:line="440" w:lineRule="exact"/>
            <w:textAlignment w:val="auto"/>
            <w:rPr>
              <w:b w:val="0"/>
              <w:bCs w:val="0"/>
              <w:color w:val="auto"/>
              <w:sz w:val="24"/>
              <w:szCs w:val="24"/>
              <w:highlight w:val="none"/>
            </w:rPr>
          </w:pPr>
          <w:r>
            <w:rPr>
              <w:rFonts w:hint="eastAsia" w:ascii="宋体" w:hAnsi="宋体" w:eastAsia="宋体" w:cs="宋体"/>
              <w:b w:val="0"/>
              <w:bCs w:val="0"/>
              <w:color w:val="auto"/>
              <w:sz w:val="24"/>
              <w:szCs w:val="24"/>
              <w:highlight w:val="none"/>
              <w:lang w:val="zh-CN" w:eastAsia="zh-CN" w:bidi="zh-CN"/>
            </w:rPr>
            <w:fldChar w:fldCharType="begin"/>
          </w:r>
          <w:r>
            <w:rPr>
              <w:rFonts w:hint="eastAsia" w:ascii="宋体" w:hAnsi="宋体" w:eastAsia="宋体" w:cs="宋体"/>
              <w:b w:val="0"/>
              <w:bCs w:val="0"/>
              <w:color w:val="auto"/>
              <w:sz w:val="24"/>
              <w:szCs w:val="24"/>
              <w:highlight w:val="none"/>
              <w:lang w:val="zh-CN" w:eastAsia="zh-CN" w:bidi="zh-CN"/>
            </w:rPr>
            <w:instrText xml:space="preserve"> HYPERLINK \l _Toc21875 </w:instrText>
          </w:r>
          <w:r>
            <w:rPr>
              <w:rFonts w:hint="eastAsia" w:ascii="宋体" w:hAnsi="宋体" w:eastAsia="宋体" w:cs="宋体"/>
              <w:b w:val="0"/>
              <w:bCs w:val="0"/>
              <w:color w:val="auto"/>
              <w:sz w:val="24"/>
              <w:szCs w:val="24"/>
              <w:highlight w:val="none"/>
              <w:lang w:val="zh-CN" w:eastAsia="zh-CN" w:bidi="zh-CN"/>
            </w:rPr>
            <w:fldChar w:fldCharType="separate"/>
          </w:r>
          <w:r>
            <w:rPr>
              <w:rFonts w:hint="eastAsia"/>
              <w:b w:val="0"/>
              <w:bCs w:val="0"/>
              <w:color w:val="auto"/>
              <w:sz w:val="24"/>
              <w:szCs w:val="24"/>
              <w:highlight w:val="none"/>
              <w:lang w:val="en-US" w:eastAsia="zh-CN"/>
            </w:rPr>
            <w:t xml:space="preserve">第四部分 </w:t>
          </w:r>
          <w:r>
            <w:rPr>
              <w:rFonts w:hint="eastAsia"/>
              <w:b w:val="0"/>
              <w:bCs w:val="0"/>
              <w:color w:val="auto"/>
              <w:sz w:val="24"/>
              <w:szCs w:val="24"/>
              <w:highlight w:val="none"/>
            </w:rPr>
            <w:t>谈判供应商须知</w:t>
          </w:r>
          <w:r>
            <w:rPr>
              <w:b w:val="0"/>
              <w:bCs w:val="0"/>
              <w:color w:val="auto"/>
              <w:sz w:val="24"/>
              <w:szCs w:val="24"/>
              <w:highlight w:val="none"/>
            </w:rPr>
            <w:tab/>
          </w:r>
          <w:r>
            <w:rPr>
              <w:b w:val="0"/>
              <w:bCs w:val="0"/>
              <w:color w:val="auto"/>
              <w:sz w:val="24"/>
              <w:szCs w:val="24"/>
              <w:highlight w:val="none"/>
            </w:rPr>
            <w:fldChar w:fldCharType="begin"/>
          </w:r>
          <w:r>
            <w:rPr>
              <w:b w:val="0"/>
              <w:bCs w:val="0"/>
              <w:color w:val="auto"/>
              <w:sz w:val="24"/>
              <w:szCs w:val="24"/>
              <w:highlight w:val="none"/>
            </w:rPr>
            <w:instrText xml:space="preserve"> PAGEREF _Toc21875 \h </w:instrText>
          </w:r>
          <w:r>
            <w:rPr>
              <w:b w:val="0"/>
              <w:bCs w:val="0"/>
              <w:color w:val="auto"/>
              <w:sz w:val="24"/>
              <w:szCs w:val="24"/>
              <w:highlight w:val="none"/>
            </w:rPr>
            <w:fldChar w:fldCharType="separate"/>
          </w:r>
          <w:r>
            <w:rPr>
              <w:b w:val="0"/>
              <w:bCs w:val="0"/>
              <w:color w:val="auto"/>
              <w:sz w:val="24"/>
              <w:szCs w:val="24"/>
              <w:highlight w:val="none"/>
            </w:rPr>
            <w:t>14</w:t>
          </w:r>
          <w:r>
            <w:rPr>
              <w:b w:val="0"/>
              <w:bCs w:val="0"/>
              <w:color w:val="auto"/>
              <w:sz w:val="24"/>
              <w:szCs w:val="24"/>
              <w:highlight w:val="none"/>
            </w:rPr>
            <w:fldChar w:fldCharType="end"/>
          </w:r>
          <w:r>
            <w:rPr>
              <w:rFonts w:hint="eastAsia" w:ascii="宋体" w:hAnsi="宋体" w:eastAsia="宋体" w:cs="宋体"/>
              <w:b w:val="0"/>
              <w:bCs w:val="0"/>
              <w:color w:val="auto"/>
              <w:sz w:val="24"/>
              <w:szCs w:val="24"/>
              <w:highlight w:val="none"/>
              <w:lang w:val="zh-CN" w:eastAsia="zh-CN" w:bidi="zh-CN"/>
            </w:rPr>
            <w:fldChar w:fldCharType="end"/>
          </w:r>
        </w:p>
        <w:p w14:paraId="269F7459">
          <w:pPr>
            <w:pStyle w:val="16"/>
            <w:keepNext w:val="0"/>
            <w:keepLines w:val="0"/>
            <w:pageBreakBefore w:val="0"/>
            <w:widowControl w:val="0"/>
            <w:tabs>
              <w:tab w:val="right" w:leader="dot" w:pos="8306"/>
            </w:tabs>
            <w:kinsoku/>
            <w:wordWrap/>
            <w:overflowPunct/>
            <w:topLinePunct w:val="0"/>
            <w:autoSpaceDE w:val="0"/>
            <w:autoSpaceDN w:val="0"/>
            <w:bidi w:val="0"/>
            <w:adjustRightInd/>
            <w:snapToGrid/>
            <w:spacing w:line="440" w:lineRule="exact"/>
            <w:ind w:left="0" w:leftChars="0" w:firstLine="240" w:firstLineChars="100"/>
            <w:textAlignment w:val="auto"/>
            <w:rPr>
              <w:b w:val="0"/>
              <w:bCs w:val="0"/>
              <w:color w:val="auto"/>
              <w:sz w:val="24"/>
              <w:szCs w:val="24"/>
              <w:highlight w:val="none"/>
            </w:rPr>
          </w:pPr>
          <w:r>
            <w:rPr>
              <w:rFonts w:hint="eastAsia" w:ascii="宋体" w:hAnsi="宋体" w:eastAsia="宋体" w:cs="宋体"/>
              <w:b w:val="0"/>
              <w:bCs w:val="0"/>
              <w:color w:val="auto"/>
              <w:sz w:val="24"/>
              <w:szCs w:val="24"/>
              <w:highlight w:val="none"/>
              <w:lang w:val="zh-CN" w:eastAsia="zh-CN" w:bidi="zh-CN"/>
            </w:rPr>
            <w:fldChar w:fldCharType="begin"/>
          </w:r>
          <w:r>
            <w:rPr>
              <w:rFonts w:hint="eastAsia" w:ascii="宋体" w:hAnsi="宋体" w:eastAsia="宋体" w:cs="宋体"/>
              <w:b w:val="0"/>
              <w:bCs w:val="0"/>
              <w:color w:val="auto"/>
              <w:sz w:val="24"/>
              <w:szCs w:val="24"/>
              <w:highlight w:val="none"/>
              <w:lang w:val="zh-CN" w:eastAsia="zh-CN" w:bidi="zh-CN"/>
            </w:rPr>
            <w:instrText xml:space="preserve"> HYPERLINK \l _Toc2075 </w:instrText>
          </w:r>
          <w:r>
            <w:rPr>
              <w:rFonts w:hint="eastAsia" w:ascii="宋体" w:hAnsi="宋体" w:eastAsia="宋体" w:cs="宋体"/>
              <w:b w:val="0"/>
              <w:bCs w:val="0"/>
              <w:color w:val="auto"/>
              <w:sz w:val="24"/>
              <w:szCs w:val="24"/>
              <w:highlight w:val="none"/>
              <w:lang w:val="zh-CN" w:eastAsia="zh-CN" w:bidi="zh-CN"/>
            </w:rPr>
            <w:fldChar w:fldCharType="separate"/>
          </w:r>
          <w:r>
            <w:rPr>
              <w:rFonts w:hint="eastAsia"/>
              <w:b w:val="0"/>
              <w:bCs w:val="0"/>
              <w:color w:val="auto"/>
              <w:sz w:val="24"/>
              <w:szCs w:val="24"/>
              <w:highlight w:val="none"/>
            </w:rPr>
            <w:t>第五部分</w:t>
          </w:r>
          <w:r>
            <w:rPr>
              <w:rFonts w:hint="eastAsia"/>
              <w:b w:val="0"/>
              <w:bCs w:val="0"/>
              <w:color w:val="auto"/>
              <w:sz w:val="24"/>
              <w:szCs w:val="24"/>
              <w:highlight w:val="none"/>
              <w:lang w:val="en-US" w:eastAsia="zh-CN"/>
            </w:rPr>
            <w:t xml:space="preserve"> </w:t>
          </w:r>
          <w:r>
            <w:rPr>
              <w:rFonts w:hint="eastAsia"/>
              <w:b w:val="0"/>
              <w:bCs w:val="0"/>
              <w:color w:val="auto"/>
              <w:sz w:val="24"/>
              <w:szCs w:val="24"/>
              <w:highlight w:val="none"/>
            </w:rPr>
            <w:t>谈判文件格式</w:t>
          </w:r>
          <w:r>
            <w:rPr>
              <w:b w:val="0"/>
              <w:bCs w:val="0"/>
              <w:color w:val="auto"/>
              <w:sz w:val="24"/>
              <w:szCs w:val="24"/>
              <w:highlight w:val="none"/>
            </w:rPr>
            <w:tab/>
          </w:r>
          <w:r>
            <w:rPr>
              <w:b w:val="0"/>
              <w:bCs w:val="0"/>
              <w:color w:val="auto"/>
              <w:sz w:val="24"/>
              <w:szCs w:val="24"/>
              <w:highlight w:val="none"/>
            </w:rPr>
            <w:fldChar w:fldCharType="begin"/>
          </w:r>
          <w:r>
            <w:rPr>
              <w:b w:val="0"/>
              <w:bCs w:val="0"/>
              <w:color w:val="auto"/>
              <w:sz w:val="24"/>
              <w:szCs w:val="24"/>
              <w:highlight w:val="none"/>
            </w:rPr>
            <w:instrText xml:space="preserve"> PAGEREF _Toc2075 \h </w:instrText>
          </w:r>
          <w:r>
            <w:rPr>
              <w:b w:val="0"/>
              <w:bCs w:val="0"/>
              <w:color w:val="auto"/>
              <w:sz w:val="24"/>
              <w:szCs w:val="24"/>
              <w:highlight w:val="none"/>
            </w:rPr>
            <w:fldChar w:fldCharType="separate"/>
          </w:r>
          <w:r>
            <w:rPr>
              <w:b w:val="0"/>
              <w:bCs w:val="0"/>
              <w:color w:val="auto"/>
              <w:sz w:val="24"/>
              <w:szCs w:val="24"/>
              <w:highlight w:val="none"/>
            </w:rPr>
            <w:t>24</w:t>
          </w:r>
          <w:r>
            <w:rPr>
              <w:b w:val="0"/>
              <w:bCs w:val="0"/>
              <w:color w:val="auto"/>
              <w:sz w:val="24"/>
              <w:szCs w:val="24"/>
              <w:highlight w:val="none"/>
            </w:rPr>
            <w:fldChar w:fldCharType="end"/>
          </w:r>
          <w:r>
            <w:rPr>
              <w:rFonts w:hint="eastAsia" w:ascii="宋体" w:hAnsi="宋体" w:eastAsia="宋体" w:cs="宋体"/>
              <w:b w:val="0"/>
              <w:bCs w:val="0"/>
              <w:color w:val="auto"/>
              <w:sz w:val="24"/>
              <w:szCs w:val="24"/>
              <w:highlight w:val="none"/>
              <w:lang w:val="zh-CN" w:eastAsia="zh-CN" w:bidi="zh-CN"/>
            </w:rPr>
            <w:fldChar w:fldCharType="end"/>
          </w:r>
        </w:p>
        <w:p w14:paraId="29D0C64D">
          <w:pPr>
            <w:pStyle w:val="32"/>
            <w:keepNext w:val="0"/>
            <w:keepLines w:val="0"/>
            <w:pageBreakBefore w:val="0"/>
            <w:widowControl w:val="0"/>
            <w:kinsoku/>
            <w:wordWrap/>
            <w:overflowPunct/>
            <w:topLinePunct w:val="0"/>
            <w:autoSpaceDE w:val="0"/>
            <w:autoSpaceDN w:val="0"/>
            <w:bidi w:val="0"/>
            <w:adjustRightInd/>
            <w:snapToGrid/>
            <w:spacing w:line="440" w:lineRule="exact"/>
            <w:ind w:left="0" w:leftChars="0" w:firstLine="0" w:firstLineChars="0"/>
            <w:textAlignment w:val="auto"/>
            <w:rPr>
              <w:color w:val="auto"/>
              <w:highlight w:val="none"/>
            </w:rPr>
          </w:pPr>
          <w:r>
            <w:rPr>
              <w:rFonts w:hint="eastAsia" w:ascii="宋体" w:hAnsi="宋体" w:eastAsia="宋体" w:cs="宋体"/>
              <w:b w:val="0"/>
              <w:bCs w:val="0"/>
              <w:color w:val="auto"/>
              <w:sz w:val="24"/>
              <w:szCs w:val="24"/>
              <w:highlight w:val="none"/>
              <w:lang w:val="zh-CN" w:eastAsia="zh-CN" w:bidi="zh-CN"/>
            </w:rPr>
            <w:fldChar w:fldCharType="end"/>
          </w:r>
          <w:bookmarkStart w:id="0" w:name="_bookmark0"/>
          <w:bookmarkEnd w:id="0"/>
          <w:bookmarkStart w:id="1" w:name="第一部分__谈判采购邀请函"/>
          <w:bookmarkEnd w:id="1"/>
        </w:p>
      </w:sdtContent>
    </w:sdt>
    <w:p w14:paraId="7F5470A4">
      <w:pPr>
        <w:rPr>
          <w:color w:val="auto"/>
          <w:highlight w:val="none"/>
        </w:rPr>
      </w:pPr>
      <w:r>
        <w:rPr>
          <w:rFonts w:hint="eastAsia"/>
          <w:color w:val="auto"/>
          <w:highlight w:val="none"/>
        </w:rPr>
        <w:br w:type="page"/>
      </w:r>
    </w:p>
    <w:p w14:paraId="715311A1">
      <w:pPr>
        <w:pStyle w:val="2"/>
        <w:numPr>
          <w:ilvl w:val="0"/>
          <w:numId w:val="0"/>
        </w:numPr>
        <w:tabs>
          <w:tab w:val="left" w:pos="1607"/>
        </w:tabs>
        <w:spacing w:before="100"/>
        <w:ind w:right="394" w:rightChars="0"/>
        <w:jc w:val="center"/>
        <w:outlineLvl w:val="0"/>
        <w:rPr>
          <w:color w:val="auto"/>
          <w:sz w:val="32"/>
          <w:szCs w:val="32"/>
          <w:highlight w:val="none"/>
        </w:rPr>
      </w:pPr>
      <w:bookmarkStart w:id="2" w:name="_Toc30494"/>
      <w:bookmarkStart w:id="3" w:name="_Toc2239"/>
      <w:r>
        <w:rPr>
          <w:rFonts w:hint="eastAsia"/>
          <w:color w:val="auto"/>
          <w:sz w:val="32"/>
          <w:szCs w:val="32"/>
          <w:highlight w:val="none"/>
          <w:lang w:val="en-US" w:eastAsia="zh-CN"/>
        </w:rPr>
        <w:t xml:space="preserve">第一部分 </w:t>
      </w:r>
      <w:r>
        <w:rPr>
          <w:rFonts w:hint="eastAsia"/>
          <w:color w:val="auto"/>
          <w:sz w:val="32"/>
          <w:szCs w:val="32"/>
          <w:highlight w:val="none"/>
        </w:rPr>
        <w:t>谈判采购邀请函</w:t>
      </w:r>
      <w:bookmarkEnd w:id="2"/>
      <w:bookmarkEnd w:id="3"/>
    </w:p>
    <w:p w14:paraId="0D9514C4">
      <w:pPr>
        <w:pStyle w:val="17"/>
        <w:snapToGrid w:val="0"/>
        <w:spacing w:before="0" w:beforeAutospacing="0" w:after="0" w:afterAutospacing="0" w:line="360" w:lineRule="auto"/>
        <w:jc w:val="both"/>
        <w:rPr>
          <w:rFonts w:hint="eastAsia" w:cs="宋体"/>
          <w:color w:val="auto"/>
          <w:highlight w:val="none"/>
          <w:lang w:val="en-US" w:eastAsia="zh-CN"/>
        </w:rPr>
      </w:pPr>
      <w:bookmarkStart w:id="4" w:name="OLE_LINK2"/>
      <w:bookmarkStart w:id="5" w:name="OLE_LINK1"/>
      <w:r>
        <w:rPr>
          <w:rFonts w:hint="eastAsia" w:cs="宋体"/>
          <w:color w:val="auto"/>
          <w:highlight w:val="none"/>
          <w:lang w:val="en-US" w:eastAsia="zh-CN"/>
        </w:rPr>
        <w:t>项目概况</w:t>
      </w:r>
    </w:p>
    <w:p w14:paraId="617DDC8E">
      <w:pPr>
        <w:pStyle w:val="17"/>
        <w:snapToGrid w:val="0"/>
        <w:spacing w:before="0" w:beforeAutospacing="0" w:after="0" w:afterAutospacing="0" w:line="360" w:lineRule="auto"/>
        <w:ind w:firstLine="480" w:firstLineChars="200"/>
        <w:jc w:val="both"/>
        <w:rPr>
          <w:rFonts w:hint="eastAsia" w:cs="宋体"/>
          <w:color w:val="auto"/>
          <w:highlight w:val="none"/>
          <w:lang w:val="en-US" w:eastAsia="zh-CN"/>
        </w:rPr>
      </w:pPr>
      <w:r>
        <w:rPr>
          <w:rFonts w:hint="eastAsia" w:cs="宋体"/>
          <w:color w:val="auto"/>
          <w:highlight w:val="none"/>
          <w:lang w:val="en-US" w:eastAsia="zh-CN"/>
        </w:rPr>
        <w:t>周口市第六幼儿园自动喷水系统、火灾自动报警系统、应急照明和疏散指示系统、智慧消防管理系统采购项目招标项目的潜在投标人应在周口市公共资源交易中心网（http://jyzx.zhoukou.gov.cn）获取招标文件，并于2025年  9月11日10时00分（北京时间）前递交响应文件。</w:t>
      </w:r>
    </w:p>
    <w:p w14:paraId="5EB156FD">
      <w:pPr>
        <w:pStyle w:val="17"/>
        <w:snapToGrid w:val="0"/>
        <w:spacing w:before="0" w:beforeAutospacing="0" w:after="0" w:afterAutospacing="0" w:line="360" w:lineRule="auto"/>
        <w:jc w:val="both"/>
        <w:rPr>
          <w:rFonts w:hint="eastAsia" w:cs="宋体"/>
          <w:color w:val="auto"/>
          <w:highlight w:val="none"/>
          <w:lang w:val="en-US" w:eastAsia="zh-CN"/>
        </w:rPr>
      </w:pPr>
      <w:r>
        <w:rPr>
          <w:rFonts w:hint="eastAsia" w:cs="宋体"/>
          <w:color w:val="auto"/>
          <w:highlight w:val="none"/>
          <w:lang w:val="en-US" w:eastAsia="zh-CN"/>
        </w:rPr>
        <w:t>一、项目基本情况</w:t>
      </w:r>
    </w:p>
    <w:p w14:paraId="725891CA">
      <w:pPr>
        <w:pStyle w:val="17"/>
        <w:snapToGrid w:val="0"/>
        <w:spacing w:before="0" w:beforeAutospacing="0" w:after="0" w:afterAutospacing="0" w:line="360" w:lineRule="auto"/>
        <w:ind w:firstLine="480" w:firstLineChars="200"/>
        <w:jc w:val="both"/>
        <w:rPr>
          <w:rFonts w:hint="eastAsia" w:cs="宋体"/>
          <w:color w:val="auto"/>
          <w:highlight w:val="none"/>
          <w:lang w:val="en-US" w:eastAsia="zh-CN"/>
        </w:rPr>
      </w:pPr>
      <w:r>
        <w:rPr>
          <w:rFonts w:hint="eastAsia" w:cs="宋体"/>
          <w:color w:val="auto"/>
          <w:highlight w:val="none"/>
          <w:lang w:val="en-US" w:eastAsia="zh-CN"/>
        </w:rPr>
        <w:t>1、项目编号：川财竞谈-2025-14</w:t>
      </w:r>
    </w:p>
    <w:p w14:paraId="1D75F4C8">
      <w:pPr>
        <w:pStyle w:val="17"/>
        <w:snapToGrid w:val="0"/>
        <w:spacing w:before="0" w:beforeAutospacing="0" w:after="0" w:afterAutospacing="0" w:line="360" w:lineRule="auto"/>
        <w:ind w:firstLine="480" w:firstLineChars="200"/>
        <w:jc w:val="both"/>
        <w:rPr>
          <w:rFonts w:hint="eastAsia" w:cs="宋体"/>
          <w:color w:val="auto"/>
          <w:highlight w:val="none"/>
          <w:lang w:val="en-US" w:eastAsia="zh-CN"/>
        </w:rPr>
      </w:pPr>
      <w:r>
        <w:rPr>
          <w:rFonts w:hint="eastAsia" w:cs="宋体"/>
          <w:color w:val="auto"/>
          <w:highlight w:val="none"/>
          <w:lang w:val="en-US" w:eastAsia="zh-CN"/>
        </w:rPr>
        <w:t>2、项目名称：周口市第六幼儿园自动喷水系统、火灾自动报警系统、应急照明和疏散指示系统、智慧消防管理系统采购项目</w:t>
      </w:r>
    </w:p>
    <w:p w14:paraId="4363602E">
      <w:pPr>
        <w:pStyle w:val="17"/>
        <w:snapToGrid w:val="0"/>
        <w:spacing w:before="0" w:beforeAutospacing="0" w:after="0" w:afterAutospacing="0" w:line="360" w:lineRule="auto"/>
        <w:ind w:firstLine="480"/>
        <w:jc w:val="both"/>
        <w:rPr>
          <w:rFonts w:hint="eastAsia" w:cs="宋体"/>
          <w:color w:val="auto"/>
          <w:highlight w:val="none"/>
          <w:lang w:val="en-US" w:eastAsia="zh-CN"/>
        </w:rPr>
      </w:pPr>
      <w:r>
        <w:rPr>
          <w:rFonts w:hint="eastAsia" w:cs="宋体"/>
          <w:color w:val="auto"/>
          <w:highlight w:val="none"/>
          <w:lang w:val="en-US" w:eastAsia="zh-CN"/>
        </w:rPr>
        <w:t>3、采购方式：竞争性谈判</w:t>
      </w:r>
    </w:p>
    <w:p w14:paraId="5DB9E120">
      <w:pPr>
        <w:pStyle w:val="17"/>
        <w:snapToGrid w:val="0"/>
        <w:spacing w:before="0" w:beforeAutospacing="0" w:after="0" w:afterAutospacing="0" w:line="360" w:lineRule="auto"/>
        <w:ind w:firstLine="480"/>
        <w:jc w:val="both"/>
        <w:rPr>
          <w:rFonts w:hint="eastAsia" w:cs="宋体"/>
          <w:color w:val="auto"/>
          <w:highlight w:val="none"/>
          <w:lang w:val="en-US" w:eastAsia="zh-CN"/>
        </w:rPr>
      </w:pPr>
      <w:r>
        <w:rPr>
          <w:rFonts w:hint="eastAsia" w:cs="宋体"/>
          <w:color w:val="auto"/>
          <w:highlight w:val="none"/>
          <w:lang w:val="en-US" w:eastAsia="zh-CN"/>
        </w:rPr>
        <w:t>4、预算金额：2351774.59元</w:t>
      </w:r>
    </w:p>
    <w:p w14:paraId="105EAA69">
      <w:pPr>
        <w:pStyle w:val="17"/>
        <w:snapToGrid w:val="0"/>
        <w:spacing w:before="0" w:beforeAutospacing="0" w:after="0" w:afterAutospacing="0" w:line="360" w:lineRule="auto"/>
        <w:ind w:firstLine="480"/>
        <w:jc w:val="both"/>
        <w:rPr>
          <w:rFonts w:hint="eastAsia" w:cs="宋体"/>
          <w:color w:val="auto"/>
          <w:highlight w:val="none"/>
          <w:lang w:val="en-US" w:eastAsia="zh-CN"/>
        </w:rPr>
      </w:pPr>
      <w:r>
        <w:rPr>
          <w:rFonts w:hint="eastAsia" w:cs="宋体"/>
          <w:color w:val="auto"/>
          <w:highlight w:val="none"/>
          <w:lang w:val="en-US" w:eastAsia="zh-CN"/>
        </w:rPr>
        <w:t>最高限价：2351774.59元</w:t>
      </w:r>
    </w:p>
    <w:tbl>
      <w:tblPr>
        <w:tblStyle w:val="19"/>
        <w:tblW w:w="887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93"/>
        <w:gridCol w:w="528"/>
        <w:gridCol w:w="2288"/>
        <w:gridCol w:w="1416"/>
        <w:gridCol w:w="1416"/>
        <w:gridCol w:w="1314"/>
        <w:gridCol w:w="1416"/>
      </w:tblGrid>
      <w:tr w14:paraId="1D5E4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 w:type="dxa"/>
            <w:vAlign w:val="center"/>
          </w:tcPr>
          <w:p w14:paraId="0C7450D5">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Theme="minorEastAsia" w:hAnsiTheme="minorEastAsia" w:eastAsiaTheme="minorEastAsia" w:cstheme="minorEastAsia"/>
                <w:b w:val="0"/>
                <w:i w:val="0"/>
                <w:iCs w:val="0"/>
                <w:color w:val="auto"/>
                <w:sz w:val="24"/>
                <w:szCs w:val="24"/>
                <w:highlight w:val="none"/>
                <w:vertAlign w:val="baseline"/>
                <w:lang w:val="en-US" w:eastAsia="zh-CN"/>
              </w:rPr>
            </w:pPr>
            <w:bookmarkStart w:id="6" w:name="_Toc28359098"/>
            <w:bookmarkStart w:id="7" w:name="_Toc35393639"/>
            <w:bookmarkStart w:id="8" w:name="_Toc28359021"/>
            <w:bookmarkStart w:id="9" w:name="_Toc35393808"/>
            <w:r>
              <w:rPr>
                <w:rFonts w:hint="eastAsia" w:asciiTheme="minorEastAsia" w:hAnsiTheme="minorEastAsia" w:eastAsiaTheme="minorEastAsia" w:cstheme="minorEastAsia"/>
                <w:b w:val="0"/>
                <w:i w:val="0"/>
                <w:iCs w:val="0"/>
                <w:color w:val="auto"/>
                <w:sz w:val="24"/>
                <w:szCs w:val="24"/>
                <w:highlight w:val="none"/>
                <w:vertAlign w:val="baseline"/>
                <w:lang w:val="en-US" w:eastAsia="zh-CN"/>
              </w:rPr>
              <w:t>序号</w:t>
            </w:r>
          </w:p>
        </w:tc>
        <w:tc>
          <w:tcPr>
            <w:tcW w:w="538" w:type="dxa"/>
            <w:vAlign w:val="center"/>
          </w:tcPr>
          <w:p w14:paraId="7B9D1727">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Theme="minorEastAsia" w:hAnsiTheme="minorEastAsia" w:eastAsiaTheme="minorEastAsia" w:cstheme="minorEastAsia"/>
                <w:b w:val="0"/>
                <w:i w:val="0"/>
                <w:iCs w:val="0"/>
                <w:color w:val="auto"/>
                <w:sz w:val="24"/>
                <w:szCs w:val="24"/>
                <w:highlight w:val="none"/>
                <w:vertAlign w:val="baseline"/>
                <w:lang w:val="en-US" w:eastAsia="zh-CN"/>
              </w:rPr>
            </w:pPr>
            <w:r>
              <w:rPr>
                <w:rFonts w:hint="eastAsia" w:asciiTheme="minorEastAsia" w:hAnsiTheme="minorEastAsia" w:eastAsiaTheme="minorEastAsia" w:cstheme="minorEastAsia"/>
                <w:b w:val="0"/>
                <w:i w:val="0"/>
                <w:iCs w:val="0"/>
                <w:color w:val="auto"/>
                <w:sz w:val="24"/>
                <w:szCs w:val="24"/>
                <w:highlight w:val="none"/>
                <w:vertAlign w:val="baseline"/>
                <w:lang w:val="en-US" w:eastAsia="zh-CN"/>
              </w:rPr>
              <w:t>包号</w:t>
            </w:r>
          </w:p>
        </w:tc>
        <w:tc>
          <w:tcPr>
            <w:tcW w:w="2505" w:type="dxa"/>
            <w:vAlign w:val="center"/>
          </w:tcPr>
          <w:p w14:paraId="6EDFC10D">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default" w:asciiTheme="minorEastAsia" w:hAnsiTheme="minorEastAsia" w:eastAsiaTheme="minorEastAsia" w:cstheme="minorEastAsia"/>
                <w:b w:val="0"/>
                <w:i w:val="0"/>
                <w:iCs w:val="0"/>
                <w:color w:val="auto"/>
                <w:sz w:val="24"/>
                <w:szCs w:val="24"/>
                <w:highlight w:val="none"/>
                <w:vertAlign w:val="baseline"/>
                <w:lang w:val="en-US" w:eastAsia="zh-CN"/>
              </w:rPr>
            </w:pPr>
            <w:r>
              <w:rPr>
                <w:rFonts w:hint="eastAsia" w:asciiTheme="minorEastAsia" w:hAnsiTheme="minorEastAsia" w:eastAsiaTheme="minorEastAsia" w:cstheme="minorEastAsia"/>
                <w:b w:val="0"/>
                <w:i w:val="0"/>
                <w:iCs w:val="0"/>
                <w:color w:val="auto"/>
                <w:sz w:val="24"/>
                <w:szCs w:val="24"/>
                <w:highlight w:val="none"/>
                <w:vertAlign w:val="baseline"/>
                <w:lang w:val="en-US" w:eastAsia="zh-CN"/>
              </w:rPr>
              <w:t>包名称</w:t>
            </w:r>
          </w:p>
        </w:tc>
        <w:tc>
          <w:tcPr>
            <w:tcW w:w="1327" w:type="dxa"/>
            <w:vAlign w:val="center"/>
          </w:tcPr>
          <w:p w14:paraId="35E15E38">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default" w:asciiTheme="minorEastAsia" w:hAnsiTheme="minorEastAsia" w:eastAsiaTheme="minorEastAsia" w:cstheme="minorEastAsia"/>
                <w:b w:val="0"/>
                <w:i w:val="0"/>
                <w:iCs w:val="0"/>
                <w:color w:val="auto"/>
                <w:sz w:val="24"/>
                <w:szCs w:val="24"/>
                <w:highlight w:val="none"/>
                <w:vertAlign w:val="baseline"/>
                <w:lang w:val="en-US" w:eastAsia="zh-CN"/>
              </w:rPr>
            </w:pPr>
            <w:r>
              <w:rPr>
                <w:rFonts w:hint="eastAsia" w:asciiTheme="minorEastAsia" w:hAnsiTheme="minorEastAsia" w:eastAsiaTheme="minorEastAsia" w:cstheme="minorEastAsia"/>
                <w:b w:val="0"/>
                <w:i w:val="0"/>
                <w:iCs w:val="0"/>
                <w:color w:val="auto"/>
                <w:sz w:val="24"/>
                <w:szCs w:val="24"/>
                <w:highlight w:val="none"/>
                <w:vertAlign w:val="baseline"/>
                <w:lang w:val="en-US" w:eastAsia="zh-CN"/>
              </w:rPr>
              <w:t>包预算（元）</w:t>
            </w:r>
          </w:p>
        </w:tc>
        <w:tc>
          <w:tcPr>
            <w:tcW w:w="1218" w:type="dxa"/>
            <w:vAlign w:val="center"/>
          </w:tcPr>
          <w:p w14:paraId="31988FA2">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Theme="minorEastAsia" w:hAnsiTheme="minorEastAsia" w:eastAsiaTheme="minorEastAsia" w:cstheme="minorEastAsia"/>
                <w:b w:val="0"/>
                <w:i w:val="0"/>
                <w:iCs w:val="0"/>
                <w:color w:val="auto"/>
                <w:sz w:val="24"/>
                <w:szCs w:val="24"/>
                <w:highlight w:val="none"/>
                <w:vertAlign w:val="baseline"/>
              </w:rPr>
            </w:pPr>
            <w:r>
              <w:rPr>
                <w:rFonts w:ascii="Segoe UI" w:hAnsi="Segoe UI" w:eastAsia="Segoe UI" w:cs="Segoe UI"/>
                <w:color w:val="auto"/>
                <w:sz w:val="24"/>
                <w:szCs w:val="24"/>
                <w:highlight w:val="none"/>
              </w:rPr>
              <w:t>包最高限价（元）</w:t>
            </w:r>
          </w:p>
        </w:tc>
        <w:tc>
          <w:tcPr>
            <w:tcW w:w="1431" w:type="dxa"/>
            <w:vAlign w:val="center"/>
          </w:tcPr>
          <w:p w14:paraId="01C9E3FD">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Theme="minorEastAsia" w:hAnsiTheme="minorEastAsia" w:eastAsiaTheme="minorEastAsia" w:cstheme="minorEastAsia"/>
                <w:b w:val="0"/>
                <w:i w:val="0"/>
                <w:iCs w:val="0"/>
                <w:color w:val="auto"/>
                <w:sz w:val="24"/>
                <w:szCs w:val="24"/>
                <w:highlight w:val="none"/>
                <w:vertAlign w:val="baseline"/>
              </w:rPr>
            </w:pPr>
            <w:r>
              <w:rPr>
                <w:rFonts w:ascii="Segoe UI" w:hAnsi="Segoe UI" w:eastAsia="Segoe UI" w:cs="Segoe UI"/>
                <w:color w:val="auto"/>
                <w:sz w:val="24"/>
                <w:szCs w:val="24"/>
                <w:highlight w:val="none"/>
              </w:rPr>
              <w:t>是否专门面向中小企业</w:t>
            </w:r>
          </w:p>
        </w:tc>
        <w:tc>
          <w:tcPr>
            <w:tcW w:w="1354" w:type="dxa"/>
            <w:vAlign w:val="center"/>
          </w:tcPr>
          <w:p w14:paraId="25456ACF">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Theme="minorEastAsia" w:hAnsiTheme="minorEastAsia" w:eastAsiaTheme="minorEastAsia" w:cstheme="minorEastAsia"/>
                <w:b w:val="0"/>
                <w:i w:val="0"/>
                <w:iCs w:val="0"/>
                <w:color w:val="auto"/>
                <w:sz w:val="24"/>
                <w:szCs w:val="24"/>
                <w:highlight w:val="none"/>
                <w:vertAlign w:val="baseline"/>
              </w:rPr>
            </w:pPr>
            <w:r>
              <w:rPr>
                <w:rFonts w:ascii="Segoe UI" w:hAnsi="Segoe UI" w:eastAsia="Segoe UI" w:cs="Segoe UI"/>
                <w:color w:val="auto"/>
                <w:sz w:val="24"/>
                <w:szCs w:val="24"/>
                <w:highlight w:val="none"/>
              </w:rPr>
              <w:t>采购预留金额（元）</w:t>
            </w:r>
          </w:p>
        </w:tc>
      </w:tr>
      <w:tr w14:paraId="67C128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8" w:type="dxa"/>
            <w:vAlign w:val="center"/>
          </w:tcPr>
          <w:p w14:paraId="18F60F73">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Theme="minorEastAsia" w:hAnsiTheme="minorEastAsia" w:eastAsiaTheme="minorEastAsia" w:cstheme="minorEastAsia"/>
                <w:b w:val="0"/>
                <w:i w:val="0"/>
                <w:iCs w:val="0"/>
                <w:color w:val="auto"/>
                <w:sz w:val="24"/>
                <w:szCs w:val="24"/>
                <w:highlight w:val="none"/>
                <w:vertAlign w:val="baseline"/>
                <w:lang w:val="en-US" w:eastAsia="zh-CN"/>
              </w:rPr>
            </w:pPr>
            <w:r>
              <w:rPr>
                <w:rFonts w:hint="eastAsia" w:asciiTheme="minorEastAsia" w:hAnsiTheme="minorEastAsia" w:eastAsiaTheme="minorEastAsia" w:cstheme="minorEastAsia"/>
                <w:b w:val="0"/>
                <w:i w:val="0"/>
                <w:iCs w:val="0"/>
                <w:color w:val="auto"/>
                <w:sz w:val="24"/>
                <w:szCs w:val="24"/>
                <w:highlight w:val="none"/>
                <w:vertAlign w:val="baseline"/>
                <w:lang w:val="en-US" w:eastAsia="zh-CN"/>
              </w:rPr>
              <w:t>1</w:t>
            </w:r>
          </w:p>
        </w:tc>
        <w:tc>
          <w:tcPr>
            <w:tcW w:w="538" w:type="dxa"/>
            <w:vAlign w:val="center"/>
          </w:tcPr>
          <w:p w14:paraId="0C0D2B65">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Theme="minorEastAsia" w:hAnsiTheme="minorEastAsia" w:eastAsiaTheme="minorEastAsia" w:cstheme="minorEastAsia"/>
                <w:b w:val="0"/>
                <w:i w:val="0"/>
                <w:iCs w:val="0"/>
                <w:color w:val="auto"/>
                <w:sz w:val="24"/>
                <w:szCs w:val="24"/>
                <w:highlight w:val="none"/>
                <w:vertAlign w:val="baseline"/>
                <w:lang w:val="en-US" w:eastAsia="zh-CN"/>
              </w:rPr>
            </w:pPr>
            <w:r>
              <w:rPr>
                <w:rFonts w:hint="eastAsia" w:asciiTheme="minorEastAsia" w:hAnsiTheme="minorEastAsia" w:eastAsiaTheme="minorEastAsia" w:cstheme="minorEastAsia"/>
                <w:b w:val="0"/>
                <w:i w:val="0"/>
                <w:iCs w:val="0"/>
                <w:color w:val="auto"/>
                <w:sz w:val="24"/>
                <w:szCs w:val="24"/>
                <w:highlight w:val="none"/>
                <w:vertAlign w:val="baseline"/>
                <w:lang w:val="en-US" w:eastAsia="zh-CN"/>
              </w:rPr>
              <w:t>1</w:t>
            </w:r>
          </w:p>
        </w:tc>
        <w:tc>
          <w:tcPr>
            <w:tcW w:w="2505" w:type="dxa"/>
            <w:vAlign w:val="center"/>
          </w:tcPr>
          <w:p w14:paraId="6223B27E">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Theme="minorEastAsia" w:hAnsiTheme="minorEastAsia" w:eastAsiaTheme="minorEastAsia" w:cstheme="minorEastAsia"/>
                <w:b w:val="0"/>
                <w:i w:val="0"/>
                <w:iCs w:val="0"/>
                <w:color w:val="auto"/>
                <w:sz w:val="24"/>
                <w:szCs w:val="24"/>
                <w:highlight w:val="none"/>
                <w:vertAlign w:val="baseline"/>
              </w:rPr>
            </w:pPr>
            <w:r>
              <w:rPr>
                <w:rFonts w:hint="eastAsia" w:asciiTheme="minorEastAsia" w:hAnsiTheme="minorEastAsia" w:eastAsiaTheme="minorEastAsia" w:cstheme="minorEastAsia"/>
                <w:b w:val="0"/>
                <w:i w:val="0"/>
                <w:iCs w:val="0"/>
                <w:color w:val="auto"/>
                <w:sz w:val="24"/>
                <w:szCs w:val="24"/>
                <w:highlight w:val="none"/>
                <w:vertAlign w:val="baseline"/>
                <w:lang w:val="en-US" w:eastAsia="zh-CN"/>
              </w:rPr>
              <w:t>周口市第六幼儿园自动喷水系统、火灾自动报警系统、应急照明和疏散指示系统、智慧消防管理系统采购项目</w:t>
            </w:r>
          </w:p>
        </w:tc>
        <w:tc>
          <w:tcPr>
            <w:tcW w:w="1327" w:type="dxa"/>
            <w:vAlign w:val="center"/>
          </w:tcPr>
          <w:p w14:paraId="71D10725">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Theme="minorEastAsia" w:hAnsiTheme="minorEastAsia" w:eastAsiaTheme="minorEastAsia" w:cstheme="minorEastAsia"/>
                <w:b w:val="0"/>
                <w:i w:val="0"/>
                <w:iCs w:val="0"/>
                <w:color w:val="auto"/>
                <w:sz w:val="24"/>
                <w:szCs w:val="24"/>
                <w:highlight w:val="none"/>
                <w:vertAlign w:val="baseline"/>
              </w:rPr>
            </w:pPr>
            <w:r>
              <w:rPr>
                <w:rFonts w:hint="eastAsia" w:cs="宋体"/>
                <w:color w:val="auto"/>
                <w:sz w:val="24"/>
                <w:szCs w:val="24"/>
                <w:highlight w:val="none"/>
                <w:lang w:val="en-US" w:eastAsia="zh-CN"/>
              </w:rPr>
              <w:t>2351774.59</w:t>
            </w:r>
          </w:p>
        </w:tc>
        <w:tc>
          <w:tcPr>
            <w:tcW w:w="1218" w:type="dxa"/>
            <w:vAlign w:val="center"/>
          </w:tcPr>
          <w:p w14:paraId="1D150B68">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Theme="minorEastAsia" w:hAnsiTheme="minorEastAsia" w:eastAsiaTheme="minorEastAsia" w:cstheme="minorEastAsia"/>
                <w:b w:val="0"/>
                <w:i w:val="0"/>
                <w:iCs w:val="0"/>
                <w:color w:val="auto"/>
                <w:sz w:val="24"/>
                <w:szCs w:val="24"/>
                <w:highlight w:val="none"/>
                <w:vertAlign w:val="baseline"/>
              </w:rPr>
            </w:pPr>
            <w:r>
              <w:rPr>
                <w:rFonts w:hint="eastAsia" w:cs="宋体"/>
                <w:color w:val="auto"/>
                <w:sz w:val="24"/>
                <w:szCs w:val="24"/>
                <w:highlight w:val="none"/>
                <w:lang w:val="en-US" w:eastAsia="zh-CN"/>
              </w:rPr>
              <w:t>2351774.59</w:t>
            </w:r>
          </w:p>
        </w:tc>
        <w:tc>
          <w:tcPr>
            <w:tcW w:w="1431" w:type="dxa"/>
            <w:vAlign w:val="center"/>
          </w:tcPr>
          <w:p w14:paraId="0C0AF615">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Theme="minorEastAsia" w:hAnsiTheme="minorEastAsia" w:eastAsiaTheme="minorEastAsia" w:cstheme="minorEastAsia"/>
                <w:b w:val="0"/>
                <w:i w:val="0"/>
                <w:iCs w:val="0"/>
                <w:color w:val="auto"/>
                <w:sz w:val="24"/>
                <w:szCs w:val="24"/>
                <w:highlight w:val="none"/>
                <w:vertAlign w:val="baseline"/>
                <w:lang w:val="en-US" w:eastAsia="zh-CN"/>
              </w:rPr>
            </w:pPr>
            <w:r>
              <w:rPr>
                <w:rFonts w:hint="eastAsia" w:asciiTheme="minorEastAsia" w:hAnsiTheme="minorEastAsia" w:eastAsiaTheme="minorEastAsia" w:cstheme="minorEastAsia"/>
                <w:b w:val="0"/>
                <w:i w:val="0"/>
                <w:iCs w:val="0"/>
                <w:color w:val="auto"/>
                <w:sz w:val="24"/>
                <w:szCs w:val="24"/>
                <w:highlight w:val="none"/>
                <w:vertAlign w:val="baseline"/>
                <w:lang w:val="en-US" w:eastAsia="zh-CN"/>
              </w:rPr>
              <w:t>是</w:t>
            </w:r>
          </w:p>
        </w:tc>
        <w:tc>
          <w:tcPr>
            <w:tcW w:w="1354" w:type="dxa"/>
            <w:vAlign w:val="center"/>
          </w:tcPr>
          <w:p w14:paraId="4C215855">
            <w:pPr>
              <w:keepNext w:val="0"/>
              <w:keepLines w:val="0"/>
              <w:pageBreakBefore w:val="0"/>
              <w:widowControl w:val="0"/>
              <w:kinsoku/>
              <w:wordWrap/>
              <w:overflowPunct/>
              <w:topLinePunct w:val="0"/>
              <w:autoSpaceDE w:val="0"/>
              <w:autoSpaceDN w:val="0"/>
              <w:bidi w:val="0"/>
              <w:adjustRightInd/>
              <w:snapToGrid/>
              <w:spacing w:line="400" w:lineRule="exact"/>
              <w:jc w:val="center"/>
              <w:textAlignment w:val="auto"/>
              <w:rPr>
                <w:rFonts w:hint="eastAsia" w:asciiTheme="minorEastAsia" w:hAnsiTheme="minorEastAsia" w:eastAsiaTheme="minorEastAsia" w:cstheme="minorEastAsia"/>
                <w:b w:val="0"/>
                <w:i w:val="0"/>
                <w:iCs w:val="0"/>
                <w:color w:val="auto"/>
                <w:sz w:val="24"/>
                <w:szCs w:val="24"/>
                <w:highlight w:val="none"/>
                <w:vertAlign w:val="baseline"/>
              </w:rPr>
            </w:pPr>
            <w:r>
              <w:rPr>
                <w:rFonts w:hint="eastAsia" w:cs="宋体"/>
                <w:color w:val="auto"/>
                <w:sz w:val="24"/>
                <w:szCs w:val="24"/>
                <w:highlight w:val="none"/>
                <w:lang w:val="en-US" w:eastAsia="zh-CN"/>
              </w:rPr>
              <w:t>2351774.59</w:t>
            </w:r>
          </w:p>
        </w:tc>
      </w:tr>
    </w:tbl>
    <w:p w14:paraId="203DCB74">
      <w:pPr>
        <w:keepNext w:val="0"/>
        <w:keepLines w:val="0"/>
        <w:pageBreakBefore w:val="0"/>
        <w:widowControl w:val="0"/>
        <w:kinsoku/>
        <w:wordWrap/>
        <w:overflowPunct/>
        <w:topLinePunct w:val="0"/>
        <w:autoSpaceDE w:val="0"/>
        <w:autoSpaceDN w:val="0"/>
        <w:bidi w:val="0"/>
        <w:adjustRightInd/>
        <w:snapToGrid/>
        <w:spacing w:line="360" w:lineRule="auto"/>
        <w:ind w:firstLine="240" w:firstLineChars="100"/>
        <w:textAlignment w:val="auto"/>
        <w:rPr>
          <w:rFonts w:hint="eastAsia" w:asciiTheme="minorEastAsia" w:hAnsiTheme="minorEastAsia" w:eastAsiaTheme="minorEastAsia" w:cstheme="minorEastAsia"/>
          <w:b w:val="0"/>
          <w:i w:val="0"/>
          <w:iCs w:val="0"/>
          <w:color w:val="auto"/>
          <w:sz w:val="24"/>
          <w:szCs w:val="24"/>
          <w:highlight w:val="none"/>
        </w:rPr>
      </w:pPr>
      <w:r>
        <w:rPr>
          <w:rFonts w:hint="eastAsia" w:asciiTheme="minorEastAsia" w:hAnsiTheme="minorEastAsia" w:eastAsiaTheme="minorEastAsia" w:cstheme="minorEastAsia"/>
          <w:b w:val="0"/>
          <w:i w:val="0"/>
          <w:iCs w:val="0"/>
          <w:color w:val="auto"/>
          <w:sz w:val="24"/>
          <w:szCs w:val="24"/>
          <w:highlight w:val="none"/>
        </w:rPr>
        <w:t xml:space="preserve">5、采购需求（包括但不限于标的的名称、数量、简要技术需求或服务要求等）详见采购文件 </w:t>
      </w:r>
    </w:p>
    <w:p w14:paraId="0CAAE753">
      <w:pPr>
        <w:keepNext w:val="0"/>
        <w:keepLines w:val="0"/>
        <w:pageBreakBefore w:val="0"/>
        <w:widowControl w:val="0"/>
        <w:kinsoku/>
        <w:wordWrap/>
        <w:overflowPunct/>
        <w:topLinePunct w:val="0"/>
        <w:autoSpaceDE w:val="0"/>
        <w:autoSpaceDN w:val="0"/>
        <w:bidi w:val="0"/>
        <w:adjustRightInd/>
        <w:snapToGrid/>
        <w:spacing w:line="360" w:lineRule="auto"/>
        <w:ind w:firstLine="240" w:firstLineChars="100"/>
        <w:textAlignment w:val="auto"/>
        <w:rPr>
          <w:rFonts w:hint="eastAsia" w:asciiTheme="minorEastAsia" w:hAnsiTheme="minorEastAsia" w:eastAsiaTheme="minorEastAsia" w:cstheme="minorEastAsia"/>
          <w:b w:val="0"/>
          <w:i w:val="0"/>
          <w:iCs w:val="0"/>
          <w:color w:val="auto"/>
          <w:sz w:val="24"/>
          <w:szCs w:val="24"/>
          <w:highlight w:val="none"/>
        </w:rPr>
      </w:pPr>
      <w:r>
        <w:rPr>
          <w:rFonts w:hint="eastAsia" w:asciiTheme="minorEastAsia" w:hAnsiTheme="minorEastAsia" w:eastAsiaTheme="minorEastAsia" w:cstheme="minorEastAsia"/>
          <w:b w:val="0"/>
          <w:i w:val="0"/>
          <w:iCs w:val="0"/>
          <w:color w:val="auto"/>
          <w:sz w:val="24"/>
          <w:szCs w:val="24"/>
          <w:highlight w:val="none"/>
        </w:rPr>
        <w:t>6、合同履行期限：30日历天</w:t>
      </w:r>
    </w:p>
    <w:p w14:paraId="79D72CCB">
      <w:pPr>
        <w:keepNext w:val="0"/>
        <w:keepLines w:val="0"/>
        <w:pageBreakBefore w:val="0"/>
        <w:widowControl w:val="0"/>
        <w:kinsoku/>
        <w:wordWrap/>
        <w:overflowPunct/>
        <w:topLinePunct w:val="0"/>
        <w:autoSpaceDE w:val="0"/>
        <w:autoSpaceDN w:val="0"/>
        <w:bidi w:val="0"/>
        <w:adjustRightInd/>
        <w:snapToGrid/>
        <w:spacing w:line="360" w:lineRule="auto"/>
        <w:ind w:firstLine="240" w:firstLineChars="100"/>
        <w:textAlignment w:val="auto"/>
        <w:rPr>
          <w:rFonts w:hint="eastAsia" w:asciiTheme="minorEastAsia" w:hAnsiTheme="minorEastAsia" w:eastAsiaTheme="minorEastAsia" w:cstheme="minorEastAsia"/>
          <w:b w:val="0"/>
          <w:i w:val="0"/>
          <w:iCs w:val="0"/>
          <w:color w:val="auto"/>
          <w:sz w:val="24"/>
          <w:szCs w:val="24"/>
          <w:highlight w:val="none"/>
        </w:rPr>
      </w:pPr>
      <w:r>
        <w:rPr>
          <w:rFonts w:hint="eastAsia" w:asciiTheme="minorEastAsia" w:hAnsiTheme="minorEastAsia" w:eastAsiaTheme="minorEastAsia" w:cstheme="minorEastAsia"/>
          <w:b w:val="0"/>
          <w:i w:val="0"/>
          <w:iCs w:val="0"/>
          <w:color w:val="auto"/>
          <w:sz w:val="24"/>
          <w:szCs w:val="24"/>
          <w:highlight w:val="none"/>
        </w:rPr>
        <w:t>7、本项目是否接受联合体投标：否</w:t>
      </w:r>
    </w:p>
    <w:p w14:paraId="062F58A3">
      <w:pPr>
        <w:keepNext w:val="0"/>
        <w:keepLines w:val="0"/>
        <w:pageBreakBefore w:val="0"/>
        <w:widowControl w:val="0"/>
        <w:kinsoku/>
        <w:wordWrap/>
        <w:overflowPunct/>
        <w:topLinePunct w:val="0"/>
        <w:autoSpaceDE w:val="0"/>
        <w:autoSpaceDN w:val="0"/>
        <w:bidi w:val="0"/>
        <w:adjustRightInd/>
        <w:snapToGrid/>
        <w:spacing w:line="360" w:lineRule="auto"/>
        <w:ind w:firstLine="240" w:firstLineChars="100"/>
        <w:textAlignment w:val="auto"/>
        <w:rPr>
          <w:rFonts w:hint="eastAsia" w:asciiTheme="minorEastAsia" w:hAnsiTheme="minorEastAsia" w:eastAsiaTheme="minorEastAsia" w:cstheme="minorEastAsia"/>
          <w:b w:val="0"/>
          <w:i w:val="0"/>
          <w:iCs w:val="0"/>
          <w:color w:val="auto"/>
          <w:sz w:val="24"/>
          <w:szCs w:val="24"/>
          <w:highlight w:val="none"/>
        </w:rPr>
      </w:pPr>
      <w:r>
        <w:rPr>
          <w:rFonts w:hint="eastAsia" w:asciiTheme="minorEastAsia" w:hAnsiTheme="minorEastAsia" w:eastAsiaTheme="minorEastAsia" w:cstheme="minorEastAsia"/>
          <w:b w:val="0"/>
          <w:i w:val="0"/>
          <w:iCs w:val="0"/>
          <w:color w:val="auto"/>
          <w:sz w:val="24"/>
          <w:szCs w:val="24"/>
          <w:highlight w:val="none"/>
        </w:rPr>
        <w:t>8、是否接受进口产品：否</w:t>
      </w:r>
    </w:p>
    <w:p w14:paraId="6075EFC8">
      <w:pPr>
        <w:keepNext w:val="0"/>
        <w:keepLines w:val="0"/>
        <w:pageBreakBefore w:val="0"/>
        <w:widowControl w:val="0"/>
        <w:kinsoku/>
        <w:wordWrap/>
        <w:overflowPunct/>
        <w:topLinePunct w:val="0"/>
        <w:autoSpaceDE w:val="0"/>
        <w:autoSpaceDN w:val="0"/>
        <w:bidi w:val="0"/>
        <w:adjustRightInd/>
        <w:snapToGrid/>
        <w:spacing w:line="360" w:lineRule="auto"/>
        <w:ind w:firstLine="240" w:firstLineChars="100"/>
        <w:textAlignment w:val="auto"/>
        <w:rPr>
          <w:rFonts w:hint="eastAsia" w:asciiTheme="minorEastAsia" w:hAnsiTheme="minorEastAsia" w:eastAsiaTheme="minorEastAsia" w:cstheme="minorEastAsia"/>
          <w:b w:val="0"/>
          <w:i w:val="0"/>
          <w:iCs w:val="0"/>
          <w:color w:val="auto"/>
          <w:sz w:val="24"/>
          <w:szCs w:val="24"/>
          <w:highlight w:val="none"/>
        </w:rPr>
      </w:pPr>
      <w:r>
        <w:rPr>
          <w:rFonts w:hint="eastAsia" w:asciiTheme="minorEastAsia" w:hAnsiTheme="minorEastAsia" w:eastAsiaTheme="minorEastAsia" w:cstheme="minorEastAsia"/>
          <w:b w:val="0"/>
          <w:i w:val="0"/>
          <w:iCs w:val="0"/>
          <w:color w:val="auto"/>
          <w:sz w:val="24"/>
          <w:szCs w:val="24"/>
          <w:highlight w:val="none"/>
        </w:rPr>
        <w:t>9、是否专门面向中小企业：是</w:t>
      </w:r>
    </w:p>
    <w:p w14:paraId="3DED43D0">
      <w:pPr>
        <w:keepNext w:val="0"/>
        <w:keepLines w:val="0"/>
        <w:pageBreakBefore w:val="0"/>
        <w:widowControl w:val="0"/>
        <w:kinsoku/>
        <w:wordWrap/>
        <w:overflowPunct/>
        <w:topLinePunct w:val="0"/>
        <w:autoSpaceDE w:val="0"/>
        <w:autoSpaceDN w:val="0"/>
        <w:bidi w:val="0"/>
        <w:adjustRightInd/>
        <w:snapToGrid/>
        <w:spacing w:line="360" w:lineRule="auto"/>
        <w:textAlignment w:val="auto"/>
        <w:rPr>
          <w:rFonts w:hint="eastAsia" w:asciiTheme="minorEastAsia" w:hAnsiTheme="minorEastAsia" w:eastAsiaTheme="minorEastAsia" w:cstheme="minorEastAsia"/>
          <w:b w:val="0"/>
          <w:i w:val="0"/>
          <w:iCs w:val="0"/>
          <w:color w:val="auto"/>
          <w:sz w:val="24"/>
          <w:szCs w:val="24"/>
          <w:highlight w:val="none"/>
        </w:rPr>
      </w:pPr>
      <w:r>
        <w:rPr>
          <w:rFonts w:hint="eastAsia" w:asciiTheme="minorEastAsia" w:hAnsiTheme="minorEastAsia" w:eastAsiaTheme="minorEastAsia" w:cstheme="minorEastAsia"/>
          <w:b w:val="0"/>
          <w:i w:val="0"/>
          <w:iCs w:val="0"/>
          <w:color w:val="auto"/>
          <w:sz w:val="24"/>
          <w:szCs w:val="24"/>
          <w:highlight w:val="none"/>
        </w:rPr>
        <w:t>二、申请人资格要求：</w:t>
      </w:r>
    </w:p>
    <w:p w14:paraId="2085DFB4">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b w:val="0"/>
          <w:i w:val="0"/>
          <w:iCs w:val="0"/>
          <w:color w:val="auto"/>
          <w:sz w:val="24"/>
          <w:szCs w:val="24"/>
          <w:highlight w:val="none"/>
        </w:rPr>
      </w:pPr>
      <w:r>
        <w:rPr>
          <w:rFonts w:hint="eastAsia" w:asciiTheme="minorEastAsia" w:hAnsiTheme="minorEastAsia" w:eastAsiaTheme="minorEastAsia" w:cstheme="minorEastAsia"/>
          <w:b w:val="0"/>
          <w:i w:val="0"/>
          <w:iCs w:val="0"/>
          <w:color w:val="auto"/>
          <w:sz w:val="24"/>
          <w:szCs w:val="24"/>
          <w:highlight w:val="none"/>
        </w:rPr>
        <w:t>1、满足《中华人民共和国政府采购法》第二十二条规定；</w:t>
      </w:r>
    </w:p>
    <w:p w14:paraId="06854ED0">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b w:val="0"/>
          <w:i w:val="0"/>
          <w:iCs w:val="0"/>
          <w:color w:val="auto"/>
          <w:sz w:val="24"/>
          <w:szCs w:val="24"/>
          <w:highlight w:val="none"/>
        </w:rPr>
      </w:pPr>
      <w:r>
        <w:rPr>
          <w:rFonts w:hint="eastAsia" w:asciiTheme="minorEastAsia" w:hAnsiTheme="minorEastAsia" w:eastAsiaTheme="minorEastAsia" w:cstheme="minorEastAsia"/>
          <w:b w:val="0"/>
          <w:i w:val="0"/>
          <w:iCs w:val="0"/>
          <w:color w:val="auto"/>
          <w:sz w:val="24"/>
          <w:szCs w:val="24"/>
          <w:highlight w:val="none"/>
        </w:rPr>
        <w:t>2、落实政府采购政策满足的资格要求：</w:t>
      </w:r>
    </w:p>
    <w:p w14:paraId="78C3DDC0">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b w:val="0"/>
          <w:i w:val="0"/>
          <w:iCs w:val="0"/>
          <w:color w:val="auto"/>
          <w:sz w:val="24"/>
          <w:szCs w:val="24"/>
          <w:highlight w:val="none"/>
        </w:rPr>
      </w:pPr>
      <w:r>
        <w:rPr>
          <w:rFonts w:hint="eastAsia" w:asciiTheme="minorEastAsia" w:hAnsiTheme="minorEastAsia" w:eastAsiaTheme="minorEastAsia" w:cstheme="minorEastAsia"/>
          <w:b w:val="0"/>
          <w:i w:val="0"/>
          <w:iCs w:val="0"/>
          <w:color w:val="auto"/>
          <w:sz w:val="24"/>
          <w:szCs w:val="24"/>
          <w:highlight w:val="none"/>
        </w:rPr>
        <w:t xml:space="preserve">促进中小企业和监狱企业发展扶持政策、政府强制采购节能产品强制采购、节能产品及环境标志产品优先采购、促进残疾人就业政府采购政策。 </w:t>
      </w:r>
    </w:p>
    <w:p w14:paraId="69497BDD">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b w:val="0"/>
          <w:i w:val="0"/>
          <w:iCs w:val="0"/>
          <w:color w:val="auto"/>
          <w:sz w:val="24"/>
          <w:szCs w:val="24"/>
          <w:highlight w:val="none"/>
        </w:rPr>
      </w:pPr>
      <w:r>
        <w:rPr>
          <w:rFonts w:hint="eastAsia" w:asciiTheme="minorEastAsia" w:hAnsiTheme="minorEastAsia" w:eastAsiaTheme="minorEastAsia" w:cstheme="minorEastAsia"/>
          <w:b w:val="0"/>
          <w:i w:val="0"/>
          <w:iCs w:val="0"/>
          <w:color w:val="auto"/>
          <w:sz w:val="24"/>
          <w:szCs w:val="24"/>
          <w:highlight w:val="none"/>
        </w:rPr>
        <w:t xml:space="preserve">3、本项目的特定资格要求 </w:t>
      </w:r>
    </w:p>
    <w:p w14:paraId="51E77EBC">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b w:val="0"/>
          <w:i w:val="0"/>
          <w:iCs w:val="0"/>
          <w:color w:val="auto"/>
          <w:sz w:val="24"/>
          <w:szCs w:val="24"/>
          <w:highlight w:val="none"/>
        </w:rPr>
      </w:pPr>
      <w:r>
        <w:rPr>
          <w:rFonts w:hint="eastAsia" w:asciiTheme="minorEastAsia" w:hAnsiTheme="minorEastAsia" w:eastAsiaTheme="minorEastAsia" w:cstheme="minorEastAsia"/>
          <w:b w:val="0"/>
          <w:i w:val="0"/>
          <w:iCs w:val="0"/>
          <w:color w:val="auto"/>
          <w:sz w:val="24"/>
          <w:szCs w:val="24"/>
          <w:highlight w:val="none"/>
        </w:rPr>
        <w:t>（1）根据《关于在政府采购活动中查询及使用信用记录有关问题的通知》(财库[2016]125号)和豫财购【2016】15号的规定，对列入“信用中国”网站（www.creditchina.gov.cn）的“失信被执行人”、“重大税收违法失信主体”、“政府采购严重违法失信行为记录名单”和“中国政府采购”网站(www.ccgp.gov.cn)的“政府采购严重违法失信行为记录名单”的供应商，将拒绝其参加政府采购活动；在标书中附加盖公章的供应商及法定代表人网页查询扫描件，查询日期为公告发布之日起至投标截止之日止。</w:t>
      </w:r>
    </w:p>
    <w:p w14:paraId="531AD210">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 w:val="0"/>
          <w:i w:val="0"/>
          <w:iCs w:val="0"/>
          <w:color w:val="auto"/>
          <w:sz w:val="24"/>
          <w:szCs w:val="24"/>
          <w:highlight w:val="none"/>
          <w:lang w:val="en-US" w:eastAsia="zh-CN"/>
        </w:rPr>
      </w:pPr>
      <w:r>
        <w:rPr>
          <w:rFonts w:hint="eastAsia" w:asciiTheme="minorEastAsia" w:hAnsiTheme="minorEastAsia" w:eastAsiaTheme="minorEastAsia" w:cstheme="minorEastAsia"/>
          <w:b w:val="0"/>
          <w:i w:val="0"/>
          <w:iCs w:val="0"/>
          <w:color w:val="auto"/>
          <w:sz w:val="24"/>
          <w:szCs w:val="24"/>
          <w:highlight w:val="none"/>
        </w:rPr>
        <w:t>（2）</w:t>
      </w:r>
      <w:r>
        <w:rPr>
          <w:rFonts w:hint="eastAsia" w:asciiTheme="minorEastAsia" w:hAnsiTheme="minorEastAsia" w:eastAsiaTheme="minorEastAsia" w:cstheme="minorEastAsia"/>
          <w:b w:val="0"/>
          <w:i w:val="0"/>
          <w:iCs w:val="0"/>
          <w:color w:val="auto"/>
          <w:sz w:val="24"/>
          <w:szCs w:val="24"/>
          <w:highlight w:val="none"/>
          <w:lang w:val="en-US" w:eastAsia="zh-CN"/>
        </w:rPr>
        <w:t>投标人具备有效的营业执照，须具备消防设施工程专业承包贰级以上资质，具备有效的安全生产许可证，并在人员、设备、资金等方面具有相应的施工能力，拟派项目经理须具备建筑工程专业贰级及以上注册建造师资格，具备有效的安全生产考核合格证书，未担任其他在建工程项目的项目经理。</w:t>
      </w:r>
    </w:p>
    <w:p w14:paraId="5C990FF2">
      <w:pPr>
        <w:keepNext w:val="0"/>
        <w:keepLines w:val="0"/>
        <w:pageBreakBefore w:val="0"/>
        <w:widowControl w:val="0"/>
        <w:kinsoku/>
        <w:wordWrap/>
        <w:overflowPunct/>
        <w:topLinePunct w:val="0"/>
        <w:autoSpaceDE w:val="0"/>
        <w:autoSpaceDN w:val="0"/>
        <w:bidi w:val="0"/>
        <w:adjustRightInd/>
        <w:snapToGrid/>
        <w:spacing w:line="360" w:lineRule="auto"/>
        <w:textAlignment w:val="auto"/>
        <w:rPr>
          <w:rFonts w:hint="eastAsia" w:asciiTheme="minorEastAsia" w:hAnsiTheme="minorEastAsia" w:eastAsiaTheme="minorEastAsia" w:cstheme="minorEastAsia"/>
          <w:b w:val="0"/>
          <w:i w:val="0"/>
          <w:iCs w:val="0"/>
          <w:color w:val="auto"/>
          <w:sz w:val="24"/>
          <w:szCs w:val="24"/>
          <w:highlight w:val="none"/>
        </w:rPr>
      </w:pPr>
      <w:r>
        <w:rPr>
          <w:rFonts w:hint="eastAsia" w:asciiTheme="minorEastAsia" w:hAnsiTheme="minorEastAsia" w:eastAsiaTheme="minorEastAsia" w:cstheme="minorEastAsia"/>
          <w:b w:val="0"/>
          <w:i w:val="0"/>
          <w:iCs w:val="0"/>
          <w:color w:val="auto"/>
          <w:sz w:val="24"/>
          <w:szCs w:val="24"/>
          <w:highlight w:val="none"/>
        </w:rPr>
        <w:t xml:space="preserve">三、获取采购文件 </w:t>
      </w:r>
    </w:p>
    <w:p w14:paraId="0F6B52E7">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 w:val="0"/>
          <w:i w:val="0"/>
          <w:iCs w:val="0"/>
          <w:color w:val="auto"/>
          <w:sz w:val="24"/>
          <w:szCs w:val="24"/>
          <w:highlight w:val="none"/>
        </w:rPr>
      </w:pPr>
      <w:r>
        <w:rPr>
          <w:rFonts w:hint="eastAsia" w:asciiTheme="minorEastAsia" w:hAnsiTheme="minorEastAsia" w:eastAsiaTheme="minorEastAsia" w:cstheme="minorEastAsia"/>
          <w:b w:val="0"/>
          <w:i w:val="0"/>
          <w:iCs w:val="0"/>
          <w:color w:val="auto"/>
          <w:sz w:val="24"/>
          <w:szCs w:val="24"/>
          <w:highlight w:val="none"/>
        </w:rPr>
        <w:t>1.时间：2025年</w:t>
      </w:r>
      <w:r>
        <w:rPr>
          <w:rFonts w:hint="eastAsia" w:asciiTheme="minorEastAsia" w:hAnsiTheme="minorEastAsia" w:eastAsiaTheme="minorEastAsia" w:cstheme="minorEastAsia"/>
          <w:b w:val="0"/>
          <w:i w:val="0"/>
          <w:iCs w:val="0"/>
          <w:color w:val="auto"/>
          <w:sz w:val="24"/>
          <w:szCs w:val="24"/>
          <w:highlight w:val="none"/>
          <w:lang w:val="en-US" w:eastAsia="zh-CN"/>
        </w:rPr>
        <w:t>9</w:t>
      </w:r>
      <w:r>
        <w:rPr>
          <w:rFonts w:hint="eastAsia" w:asciiTheme="minorEastAsia" w:hAnsiTheme="minorEastAsia" w:eastAsiaTheme="minorEastAsia" w:cstheme="minorEastAsia"/>
          <w:b w:val="0"/>
          <w:i w:val="0"/>
          <w:iCs w:val="0"/>
          <w:color w:val="auto"/>
          <w:sz w:val="24"/>
          <w:szCs w:val="24"/>
          <w:highlight w:val="none"/>
        </w:rPr>
        <w:t>月</w:t>
      </w:r>
      <w:r>
        <w:rPr>
          <w:rFonts w:hint="eastAsia" w:asciiTheme="minorEastAsia" w:hAnsiTheme="minorEastAsia" w:eastAsiaTheme="minorEastAsia" w:cstheme="minorEastAsia"/>
          <w:b w:val="0"/>
          <w:i w:val="0"/>
          <w:iCs w:val="0"/>
          <w:color w:val="auto"/>
          <w:sz w:val="24"/>
          <w:szCs w:val="24"/>
          <w:highlight w:val="none"/>
          <w:lang w:val="en-US" w:eastAsia="zh-CN"/>
        </w:rPr>
        <w:t>5</w:t>
      </w:r>
      <w:r>
        <w:rPr>
          <w:rFonts w:hint="eastAsia" w:asciiTheme="minorEastAsia" w:hAnsiTheme="minorEastAsia" w:eastAsiaTheme="minorEastAsia" w:cstheme="minorEastAsia"/>
          <w:b w:val="0"/>
          <w:i w:val="0"/>
          <w:iCs w:val="0"/>
          <w:color w:val="auto"/>
          <w:sz w:val="24"/>
          <w:szCs w:val="24"/>
          <w:highlight w:val="none"/>
        </w:rPr>
        <w:t>日至2025年</w:t>
      </w:r>
      <w:r>
        <w:rPr>
          <w:rFonts w:hint="eastAsia" w:asciiTheme="minorEastAsia" w:hAnsiTheme="minorEastAsia" w:eastAsiaTheme="minorEastAsia" w:cstheme="minorEastAsia"/>
          <w:b w:val="0"/>
          <w:i w:val="0"/>
          <w:iCs w:val="0"/>
          <w:color w:val="auto"/>
          <w:sz w:val="24"/>
          <w:szCs w:val="24"/>
          <w:highlight w:val="none"/>
          <w:lang w:val="en-US" w:eastAsia="zh-CN"/>
        </w:rPr>
        <w:t>9</w:t>
      </w:r>
      <w:r>
        <w:rPr>
          <w:rFonts w:hint="eastAsia" w:asciiTheme="minorEastAsia" w:hAnsiTheme="minorEastAsia" w:eastAsiaTheme="minorEastAsia" w:cstheme="minorEastAsia"/>
          <w:b w:val="0"/>
          <w:i w:val="0"/>
          <w:iCs w:val="0"/>
          <w:color w:val="auto"/>
          <w:sz w:val="24"/>
          <w:szCs w:val="24"/>
          <w:highlight w:val="none"/>
        </w:rPr>
        <w:t>月</w:t>
      </w:r>
      <w:r>
        <w:rPr>
          <w:rFonts w:hint="eastAsia" w:asciiTheme="minorEastAsia" w:hAnsiTheme="minorEastAsia" w:eastAsiaTheme="minorEastAsia" w:cstheme="minorEastAsia"/>
          <w:b w:val="0"/>
          <w:i w:val="0"/>
          <w:iCs w:val="0"/>
          <w:color w:val="auto"/>
          <w:sz w:val="24"/>
          <w:szCs w:val="24"/>
          <w:highlight w:val="none"/>
          <w:lang w:val="en-US" w:eastAsia="zh-CN"/>
        </w:rPr>
        <w:t>10</w:t>
      </w:r>
      <w:r>
        <w:rPr>
          <w:rFonts w:hint="eastAsia" w:asciiTheme="minorEastAsia" w:hAnsiTheme="minorEastAsia" w:eastAsiaTheme="minorEastAsia" w:cstheme="minorEastAsia"/>
          <w:b w:val="0"/>
          <w:i w:val="0"/>
          <w:iCs w:val="0"/>
          <w:color w:val="auto"/>
          <w:sz w:val="24"/>
          <w:szCs w:val="24"/>
          <w:highlight w:val="none"/>
        </w:rPr>
        <w:t>日，每天上午00:00至12:00，下午12:00至23:59（北京时间，法定节假日除外。）</w:t>
      </w:r>
    </w:p>
    <w:p w14:paraId="7502B02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 w:val="0"/>
          <w:i w:val="0"/>
          <w:iCs w:val="0"/>
          <w:color w:val="auto"/>
          <w:sz w:val="24"/>
          <w:szCs w:val="24"/>
          <w:highlight w:val="none"/>
        </w:rPr>
      </w:pPr>
      <w:r>
        <w:rPr>
          <w:rFonts w:hint="eastAsia" w:asciiTheme="minorEastAsia" w:hAnsiTheme="minorEastAsia" w:eastAsiaTheme="minorEastAsia" w:cstheme="minorEastAsia"/>
          <w:b w:val="0"/>
          <w:i w:val="0"/>
          <w:iCs w:val="0"/>
          <w:color w:val="auto"/>
          <w:sz w:val="24"/>
          <w:szCs w:val="24"/>
          <w:highlight w:val="none"/>
        </w:rPr>
        <w:t xml:space="preserve">2.地点：周口市公共资源交易中心网（http://jyzx.zhoukou.gov.cn） </w:t>
      </w:r>
    </w:p>
    <w:p w14:paraId="0F5D1D84">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 w:val="0"/>
          <w:i w:val="0"/>
          <w:iCs w:val="0"/>
          <w:color w:val="auto"/>
          <w:sz w:val="24"/>
          <w:szCs w:val="24"/>
          <w:highlight w:val="none"/>
        </w:rPr>
      </w:pPr>
      <w:r>
        <w:rPr>
          <w:rFonts w:hint="eastAsia" w:asciiTheme="minorEastAsia" w:hAnsiTheme="minorEastAsia" w:eastAsiaTheme="minorEastAsia" w:cstheme="minorEastAsia"/>
          <w:b w:val="0"/>
          <w:i w:val="0"/>
          <w:iCs w:val="0"/>
          <w:color w:val="auto"/>
          <w:sz w:val="24"/>
          <w:szCs w:val="24"/>
          <w:highlight w:val="none"/>
        </w:rPr>
        <w:t>3.方式：供应商请在网站自主注册后下载采购文件（zkzf格式）及资料，需办理CA数字证书后方可提交响应文件，具体办理事宜请查阅周口市公共资源交易中心网站。</w:t>
      </w:r>
    </w:p>
    <w:p w14:paraId="0A79B458">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 w:val="0"/>
          <w:i w:val="0"/>
          <w:iCs w:val="0"/>
          <w:color w:val="auto"/>
          <w:sz w:val="24"/>
          <w:szCs w:val="24"/>
          <w:highlight w:val="none"/>
        </w:rPr>
      </w:pPr>
      <w:r>
        <w:rPr>
          <w:rFonts w:hint="eastAsia" w:asciiTheme="minorEastAsia" w:hAnsiTheme="minorEastAsia" w:eastAsiaTheme="minorEastAsia" w:cstheme="minorEastAsia"/>
          <w:b w:val="0"/>
          <w:i w:val="0"/>
          <w:iCs w:val="0"/>
          <w:color w:val="auto"/>
          <w:sz w:val="24"/>
          <w:szCs w:val="24"/>
          <w:highlight w:val="none"/>
        </w:rPr>
        <w:t>4.售价：0元</w:t>
      </w:r>
    </w:p>
    <w:p w14:paraId="6A029E74">
      <w:pPr>
        <w:keepNext w:val="0"/>
        <w:keepLines w:val="0"/>
        <w:pageBreakBefore w:val="0"/>
        <w:widowControl w:val="0"/>
        <w:kinsoku/>
        <w:wordWrap/>
        <w:overflowPunct/>
        <w:topLinePunct w:val="0"/>
        <w:autoSpaceDE w:val="0"/>
        <w:autoSpaceDN w:val="0"/>
        <w:bidi w:val="0"/>
        <w:adjustRightInd/>
        <w:snapToGrid/>
        <w:spacing w:line="360" w:lineRule="auto"/>
        <w:textAlignment w:val="auto"/>
        <w:rPr>
          <w:rFonts w:hint="eastAsia" w:asciiTheme="minorEastAsia" w:hAnsiTheme="minorEastAsia" w:eastAsiaTheme="minorEastAsia" w:cstheme="minorEastAsia"/>
          <w:b w:val="0"/>
          <w:i w:val="0"/>
          <w:iCs w:val="0"/>
          <w:color w:val="auto"/>
          <w:sz w:val="24"/>
          <w:szCs w:val="24"/>
          <w:highlight w:val="none"/>
        </w:rPr>
      </w:pPr>
      <w:r>
        <w:rPr>
          <w:rFonts w:hint="eastAsia" w:asciiTheme="minorEastAsia" w:hAnsiTheme="minorEastAsia" w:eastAsiaTheme="minorEastAsia" w:cstheme="minorEastAsia"/>
          <w:b w:val="0"/>
          <w:i w:val="0"/>
          <w:iCs w:val="0"/>
          <w:color w:val="auto"/>
          <w:sz w:val="24"/>
          <w:szCs w:val="24"/>
          <w:highlight w:val="none"/>
        </w:rPr>
        <w:t>四、响应文件提交</w:t>
      </w:r>
    </w:p>
    <w:p w14:paraId="11F5286A">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 w:val="0"/>
          <w:i w:val="0"/>
          <w:iCs w:val="0"/>
          <w:color w:val="auto"/>
          <w:sz w:val="24"/>
          <w:szCs w:val="24"/>
          <w:highlight w:val="none"/>
          <w:lang w:eastAsia="zh-CN"/>
        </w:rPr>
      </w:pPr>
      <w:r>
        <w:rPr>
          <w:rFonts w:hint="eastAsia" w:asciiTheme="minorEastAsia" w:hAnsiTheme="minorEastAsia" w:eastAsiaTheme="minorEastAsia" w:cstheme="minorEastAsia"/>
          <w:b w:val="0"/>
          <w:i w:val="0"/>
          <w:iCs w:val="0"/>
          <w:color w:val="auto"/>
          <w:sz w:val="24"/>
          <w:szCs w:val="24"/>
          <w:highlight w:val="none"/>
        </w:rPr>
        <w:t>1.截止时间：2025年</w:t>
      </w:r>
      <w:r>
        <w:rPr>
          <w:rFonts w:hint="eastAsia" w:asciiTheme="minorEastAsia" w:hAnsiTheme="minorEastAsia" w:eastAsiaTheme="minorEastAsia" w:cstheme="minorEastAsia"/>
          <w:b w:val="0"/>
          <w:i w:val="0"/>
          <w:iCs w:val="0"/>
          <w:color w:val="auto"/>
          <w:sz w:val="24"/>
          <w:szCs w:val="24"/>
          <w:highlight w:val="none"/>
          <w:lang w:val="en-US" w:eastAsia="zh-CN"/>
        </w:rPr>
        <w:t>9</w:t>
      </w:r>
      <w:r>
        <w:rPr>
          <w:rFonts w:hint="eastAsia" w:asciiTheme="minorEastAsia" w:hAnsiTheme="minorEastAsia" w:eastAsiaTheme="minorEastAsia" w:cstheme="minorEastAsia"/>
          <w:b w:val="0"/>
          <w:i w:val="0"/>
          <w:iCs w:val="0"/>
          <w:color w:val="auto"/>
          <w:sz w:val="24"/>
          <w:szCs w:val="24"/>
          <w:highlight w:val="none"/>
        </w:rPr>
        <w:t>月</w:t>
      </w:r>
      <w:r>
        <w:rPr>
          <w:rFonts w:hint="eastAsia" w:asciiTheme="minorEastAsia" w:hAnsiTheme="minorEastAsia" w:eastAsiaTheme="minorEastAsia" w:cstheme="minorEastAsia"/>
          <w:b w:val="0"/>
          <w:i w:val="0"/>
          <w:iCs w:val="0"/>
          <w:color w:val="auto"/>
          <w:sz w:val="24"/>
          <w:szCs w:val="24"/>
          <w:highlight w:val="none"/>
          <w:lang w:val="en-US" w:eastAsia="zh-CN"/>
        </w:rPr>
        <w:t>11</w:t>
      </w:r>
      <w:r>
        <w:rPr>
          <w:rFonts w:hint="eastAsia" w:asciiTheme="minorEastAsia" w:hAnsiTheme="minorEastAsia" w:eastAsiaTheme="minorEastAsia" w:cstheme="minorEastAsia"/>
          <w:b w:val="0"/>
          <w:i w:val="0"/>
          <w:iCs w:val="0"/>
          <w:color w:val="auto"/>
          <w:sz w:val="24"/>
          <w:szCs w:val="24"/>
          <w:highlight w:val="none"/>
        </w:rPr>
        <w:t>日10时00分（北京时间）</w:t>
      </w:r>
    </w:p>
    <w:p w14:paraId="1DDB4701">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 w:val="0"/>
          <w:i w:val="0"/>
          <w:iCs w:val="0"/>
          <w:color w:val="auto"/>
          <w:sz w:val="24"/>
          <w:szCs w:val="24"/>
          <w:highlight w:val="none"/>
        </w:rPr>
      </w:pPr>
      <w:r>
        <w:rPr>
          <w:rFonts w:hint="eastAsia" w:asciiTheme="minorEastAsia" w:hAnsiTheme="minorEastAsia" w:eastAsiaTheme="minorEastAsia" w:cstheme="minorEastAsia"/>
          <w:b w:val="0"/>
          <w:i w:val="0"/>
          <w:iCs w:val="0"/>
          <w:color w:val="auto"/>
          <w:sz w:val="24"/>
          <w:szCs w:val="24"/>
          <w:highlight w:val="none"/>
        </w:rPr>
        <w:t>2.地点：加密电子响应文件须在投标截止时间前通过“周口市公共资源交易中心网（网址http://jyzx.zhoukou.gov.cn）”。</w:t>
      </w:r>
    </w:p>
    <w:p w14:paraId="113F9B36">
      <w:pPr>
        <w:keepNext w:val="0"/>
        <w:keepLines w:val="0"/>
        <w:pageBreakBefore w:val="0"/>
        <w:widowControl w:val="0"/>
        <w:kinsoku/>
        <w:wordWrap/>
        <w:overflowPunct/>
        <w:topLinePunct w:val="0"/>
        <w:autoSpaceDE w:val="0"/>
        <w:autoSpaceDN w:val="0"/>
        <w:bidi w:val="0"/>
        <w:adjustRightInd/>
        <w:snapToGrid/>
        <w:spacing w:line="360" w:lineRule="auto"/>
        <w:textAlignment w:val="auto"/>
        <w:rPr>
          <w:rFonts w:hint="eastAsia" w:asciiTheme="minorEastAsia" w:hAnsiTheme="minorEastAsia" w:eastAsiaTheme="minorEastAsia" w:cstheme="minorEastAsia"/>
          <w:b w:val="0"/>
          <w:i w:val="0"/>
          <w:iCs w:val="0"/>
          <w:color w:val="auto"/>
          <w:sz w:val="24"/>
          <w:szCs w:val="24"/>
          <w:highlight w:val="none"/>
        </w:rPr>
      </w:pPr>
      <w:r>
        <w:rPr>
          <w:rFonts w:hint="eastAsia" w:asciiTheme="minorEastAsia" w:hAnsiTheme="minorEastAsia" w:eastAsiaTheme="minorEastAsia" w:cstheme="minorEastAsia"/>
          <w:b w:val="0"/>
          <w:i w:val="0"/>
          <w:iCs w:val="0"/>
          <w:color w:val="auto"/>
          <w:sz w:val="24"/>
          <w:szCs w:val="24"/>
          <w:highlight w:val="none"/>
        </w:rPr>
        <w:t>五、响应文件开启</w:t>
      </w:r>
    </w:p>
    <w:p w14:paraId="5C2B8EFF">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 w:val="0"/>
          <w:i w:val="0"/>
          <w:iCs w:val="0"/>
          <w:color w:val="auto"/>
          <w:sz w:val="24"/>
          <w:szCs w:val="24"/>
          <w:highlight w:val="none"/>
        </w:rPr>
      </w:pPr>
      <w:r>
        <w:rPr>
          <w:rFonts w:hint="eastAsia" w:asciiTheme="minorEastAsia" w:hAnsiTheme="minorEastAsia" w:eastAsiaTheme="minorEastAsia" w:cstheme="minorEastAsia"/>
          <w:b w:val="0"/>
          <w:i w:val="0"/>
          <w:iCs w:val="0"/>
          <w:color w:val="auto"/>
          <w:sz w:val="24"/>
          <w:szCs w:val="24"/>
          <w:highlight w:val="none"/>
        </w:rPr>
        <w:t>1.时间：2025年</w:t>
      </w:r>
      <w:r>
        <w:rPr>
          <w:rFonts w:hint="eastAsia" w:asciiTheme="minorEastAsia" w:hAnsiTheme="minorEastAsia" w:eastAsiaTheme="minorEastAsia" w:cstheme="minorEastAsia"/>
          <w:b w:val="0"/>
          <w:i w:val="0"/>
          <w:iCs w:val="0"/>
          <w:color w:val="auto"/>
          <w:sz w:val="24"/>
          <w:szCs w:val="24"/>
          <w:highlight w:val="none"/>
          <w:lang w:val="en-US" w:eastAsia="zh-CN"/>
        </w:rPr>
        <w:t>9</w:t>
      </w:r>
      <w:r>
        <w:rPr>
          <w:rFonts w:hint="eastAsia" w:asciiTheme="minorEastAsia" w:hAnsiTheme="minorEastAsia" w:eastAsiaTheme="minorEastAsia" w:cstheme="minorEastAsia"/>
          <w:b w:val="0"/>
          <w:i w:val="0"/>
          <w:iCs w:val="0"/>
          <w:color w:val="auto"/>
          <w:sz w:val="24"/>
          <w:szCs w:val="24"/>
          <w:highlight w:val="none"/>
        </w:rPr>
        <w:t>月</w:t>
      </w:r>
      <w:r>
        <w:rPr>
          <w:rFonts w:hint="eastAsia" w:asciiTheme="minorEastAsia" w:hAnsiTheme="minorEastAsia" w:eastAsiaTheme="minorEastAsia" w:cstheme="minorEastAsia"/>
          <w:b w:val="0"/>
          <w:i w:val="0"/>
          <w:iCs w:val="0"/>
          <w:color w:val="auto"/>
          <w:sz w:val="24"/>
          <w:szCs w:val="24"/>
          <w:highlight w:val="none"/>
          <w:lang w:val="en-US" w:eastAsia="zh-CN"/>
        </w:rPr>
        <w:t>11</w:t>
      </w:r>
      <w:r>
        <w:rPr>
          <w:rFonts w:hint="eastAsia" w:asciiTheme="minorEastAsia" w:hAnsiTheme="minorEastAsia" w:eastAsiaTheme="minorEastAsia" w:cstheme="minorEastAsia"/>
          <w:b w:val="0"/>
          <w:i w:val="0"/>
          <w:iCs w:val="0"/>
          <w:color w:val="auto"/>
          <w:sz w:val="24"/>
          <w:szCs w:val="24"/>
          <w:highlight w:val="none"/>
        </w:rPr>
        <w:t>日</w:t>
      </w:r>
      <w:r>
        <w:rPr>
          <w:rFonts w:hint="eastAsia" w:asciiTheme="minorEastAsia" w:hAnsiTheme="minorEastAsia" w:eastAsiaTheme="minorEastAsia" w:cstheme="minorEastAsia"/>
          <w:b w:val="0"/>
          <w:i w:val="0"/>
          <w:iCs w:val="0"/>
          <w:color w:val="auto"/>
          <w:sz w:val="24"/>
          <w:szCs w:val="24"/>
          <w:highlight w:val="none"/>
          <w:lang w:val="en-US" w:eastAsia="zh-CN"/>
        </w:rPr>
        <w:t>10</w:t>
      </w:r>
      <w:r>
        <w:rPr>
          <w:rFonts w:hint="eastAsia" w:asciiTheme="minorEastAsia" w:hAnsiTheme="minorEastAsia" w:eastAsiaTheme="minorEastAsia" w:cstheme="minorEastAsia"/>
          <w:b w:val="0"/>
          <w:i w:val="0"/>
          <w:iCs w:val="0"/>
          <w:color w:val="auto"/>
          <w:sz w:val="24"/>
          <w:szCs w:val="24"/>
          <w:highlight w:val="none"/>
        </w:rPr>
        <w:t>时</w:t>
      </w:r>
      <w:r>
        <w:rPr>
          <w:rFonts w:hint="eastAsia" w:asciiTheme="minorEastAsia" w:hAnsiTheme="minorEastAsia" w:eastAsiaTheme="minorEastAsia" w:cstheme="minorEastAsia"/>
          <w:b w:val="0"/>
          <w:i w:val="0"/>
          <w:iCs w:val="0"/>
          <w:color w:val="auto"/>
          <w:sz w:val="24"/>
          <w:szCs w:val="24"/>
          <w:highlight w:val="none"/>
          <w:lang w:val="en-US" w:eastAsia="zh-CN"/>
        </w:rPr>
        <w:t>00</w:t>
      </w:r>
      <w:r>
        <w:rPr>
          <w:rFonts w:hint="eastAsia" w:asciiTheme="minorEastAsia" w:hAnsiTheme="minorEastAsia" w:eastAsiaTheme="minorEastAsia" w:cstheme="minorEastAsia"/>
          <w:b w:val="0"/>
          <w:i w:val="0"/>
          <w:iCs w:val="0"/>
          <w:color w:val="auto"/>
          <w:sz w:val="24"/>
          <w:szCs w:val="24"/>
          <w:highlight w:val="none"/>
        </w:rPr>
        <w:t>分（北京时间）</w:t>
      </w:r>
    </w:p>
    <w:p w14:paraId="08388BF9">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 w:val="0"/>
          <w:i w:val="0"/>
          <w:iCs w:val="0"/>
          <w:color w:val="auto"/>
          <w:sz w:val="24"/>
          <w:szCs w:val="24"/>
          <w:highlight w:val="none"/>
        </w:rPr>
      </w:pPr>
      <w:r>
        <w:rPr>
          <w:rFonts w:hint="eastAsia" w:asciiTheme="minorEastAsia" w:hAnsiTheme="minorEastAsia" w:eastAsiaTheme="minorEastAsia" w:cstheme="minorEastAsia"/>
          <w:b w:val="0"/>
          <w:i w:val="0"/>
          <w:iCs w:val="0"/>
          <w:color w:val="auto"/>
          <w:sz w:val="24"/>
          <w:szCs w:val="24"/>
          <w:highlight w:val="none"/>
        </w:rPr>
        <w:t>2.地点：周口市公共资源交易中心开标室</w:t>
      </w:r>
    </w:p>
    <w:p w14:paraId="2E8C0035">
      <w:pPr>
        <w:keepNext w:val="0"/>
        <w:keepLines w:val="0"/>
        <w:pageBreakBefore w:val="0"/>
        <w:widowControl w:val="0"/>
        <w:kinsoku/>
        <w:wordWrap/>
        <w:overflowPunct/>
        <w:topLinePunct w:val="0"/>
        <w:autoSpaceDE w:val="0"/>
        <w:autoSpaceDN w:val="0"/>
        <w:bidi w:val="0"/>
        <w:adjustRightInd/>
        <w:snapToGrid/>
        <w:spacing w:line="360" w:lineRule="auto"/>
        <w:textAlignment w:val="auto"/>
        <w:rPr>
          <w:rFonts w:hint="eastAsia" w:asciiTheme="minorEastAsia" w:hAnsiTheme="minorEastAsia" w:eastAsiaTheme="minorEastAsia" w:cstheme="minorEastAsia"/>
          <w:b w:val="0"/>
          <w:i w:val="0"/>
          <w:iCs w:val="0"/>
          <w:color w:val="auto"/>
          <w:sz w:val="24"/>
          <w:szCs w:val="24"/>
          <w:highlight w:val="none"/>
        </w:rPr>
      </w:pPr>
      <w:r>
        <w:rPr>
          <w:rFonts w:hint="eastAsia" w:asciiTheme="minorEastAsia" w:hAnsiTheme="minorEastAsia" w:eastAsiaTheme="minorEastAsia" w:cstheme="minorEastAsia"/>
          <w:b w:val="0"/>
          <w:i w:val="0"/>
          <w:iCs w:val="0"/>
          <w:color w:val="auto"/>
          <w:sz w:val="24"/>
          <w:szCs w:val="24"/>
          <w:highlight w:val="none"/>
        </w:rPr>
        <w:t>六、发布公告的媒介及招标公告期限</w:t>
      </w:r>
    </w:p>
    <w:p w14:paraId="46E153B5">
      <w:pPr>
        <w:keepNext w:val="0"/>
        <w:keepLines w:val="0"/>
        <w:pageBreakBefore w:val="0"/>
        <w:widowControl w:val="0"/>
        <w:kinsoku/>
        <w:wordWrap/>
        <w:overflowPunct/>
        <w:topLinePunct w:val="0"/>
        <w:autoSpaceDE w:val="0"/>
        <w:autoSpaceDN w:val="0"/>
        <w:bidi w:val="0"/>
        <w:adjustRightInd/>
        <w:snapToGrid/>
        <w:spacing w:line="360" w:lineRule="auto"/>
        <w:ind w:firstLine="480" w:firstLineChars="200"/>
        <w:textAlignment w:val="auto"/>
        <w:rPr>
          <w:rFonts w:hint="eastAsia" w:asciiTheme="minorEastAsia" w:hAnsiTheme="minorEastAsia" w:eastAsiaTheme="minorEastAsia" w:cstheme="minorEastAsia"/>
          <w:b w:val="0"/>
          <w:i w:val="0"/>
          <w:iCs w:val="0"/>
          <w:color w:val="auto"/>
          <w:sz w:val="24"/>
          <w:szCs w:val="24"/>
          <w:highlight w:val="none"/>
        </w:rPr>
      </w:pPr>
      <w:r>
        <w:rPr>
          <w:rFonts w:hint="eastAsia" w:asciiTheme="minorEastAsia" w:hAnsiTheme="minorEastAsia" w:eastAsiaTheme="minorEastAsia" w:cstheme="minorEastAsia"/>
          <w:b w:val="0"/>
          <w:i w:val="0"/>
          <w:iCs w:val="0"/>
          <w:color w:val="auto"/>
          <w:sz w:val="24"/>
          <w:szCs w:val="24"/>
          <w:highlight w:val="none"/>
        </w:rPr>
        <w:t>本次招标公告在《河南省政府采购网》《周口市公共资源交易中心网》上发布，招标公告期限为三个工作日。</w:t>
      </w:r>
    </w:p>
    <w:p w14:paraId="416B01CF">
      <w:pPr>
        <w:keepNext w:val="0"/>
        <w:keepLines w:val="0"/>
        <w:pageBreakBefore w:val="0"/>
        <w:widowControl w:val="0"/>
        <w:kinsoku/>
        <w:wordWrap/>
        <w:overflowPunct/>
        <w:topLinePunct w:val="0"/>
        <w:autoSpaceDE w:val="0"/>
        <w:autoSpaceDN w:val="0"/>
        <w:bidi w:val="0"/>
        <w:adjustRightInd/>
        <w:snapToGrid/>
        <w:spacing w:line="360" w:lineRule="auto"/>
        <w:textAlignment w:val="auto"/>
        <w:rPr>
          <w:rFonts w:hint="eastAsia" w:asciiTheme="minorEastAsia" w:hAnsiTheme="minorEastAsia" w:eastAsiaTheme="minorEastAsia" w:cstheme="minorEastAsia"/>
          <w:b w:val="0"/>
          <w:i w:val="0"/>
          <w:iCs w:val="0"/>
          <w:color w:val="auto"/>
          <w:sz w:val="24"/>
          <w:szCs w:val="24"/>
          <w:highlight w:val="none"/>
        </w:rPr>
      </w:pPr>
      <w:r>
        <w:rPr>
          <w:rFonts w:hint="eastAsia" w:asciiTheme="minorEastAsia" w:hAnsiTheme="minorEastAsia" w:eastAsiaTheme="minorEastAsia" w:cstheme="minorEastAsia"/>
          <w:b w:val="0"/>
          <w:i w:val="0"/>
          <w:iCs w:val="0"/>
          <w:color w:val="auto"/>
          <w:sz w:val="24"/>
          <w:szCs w:val="24"/>
          <w:highlight w:val="none"/>
        </w:rPr>
        <w:t xml:space="preserve">七、其他补充事宜 无 </w:t>
      </w:r>
    </w:p>
    <w:p w14:paraId="14079BD0">
      <w:pPr>
        <w:keepNext w:val="0"/>
        <w:keepLines w:val="0"/>
        <w:pageBreakBefore w:val="0"/>
        <w:widowControl w:val="0"/>
        <w:kinsoku/>
        <w:wordWrap/>
        <w:overflowPunct/>
        <w:topLinePunct w:val="0"/>
        <w:autoSpaceDE w:val="0"/>
        <w:autoSpaceDN w:val="0"/>
        <w:bidi w:val="0"/>
        <w:adjustRightInd/>
        <w:snapToGrid/>
        <w:spacing w:line="360" w:lineRule="auto"/>
        <w:textAlignment w:val="auto"/>
        <w:rPr>
          <w:rFonts w:hint="eastAsia" w:asciiTheme="minorEastAsia" w:hAnsiTheme="minorEastAsia" w:eastAsiaTheme="minorEastAsia" w:cstheme="minorEastAsia"/>
          <w:b w:val="0"/>
          <w:i w:val="0"/>
          <w:iCs w:val="0"/>
          <w:color w:val="auto"/>
          <w:sz w:val="24"/>
          <w:szCs w:val="24"/>
          <w:highlight w:val="none"/>
        </w:rPr>
      </w:pPr>
      <w:r>
        <w:rPr>
          <w:rFonts w:hint="eastAsia" w:asciiTheme="minorEastAsia" w:hAnsiTheme="minorEastAsia" w:eastAsiaTheme="minorEastAsia" w:cstheme="minorEastAsia"/>
          <w:b w:val="0"/>
          <w:i w:val="0"/>
          <w:iCs w:val="0"/>
          <w:color w:val="auto"/>
          <w:sz w:val="24"/>
          <w:szCs w:val="24"/>
          <w:highlight w:val="none"/>
        </w:rPr>
        <w:t xml:space="preserve">八、凡对本次招标提出询问，请按照以下方式联系 </w:t>
      </w:r>
    </w:p>
    <w:p w14:paraId="1BB703F5">
      <w:pPr>
        <w:keepNext w:val="0"/>
        <w:keepLines w:val="0"/>
        <w:pageBreakBefore w:val="0"/>
        <w:widowControl w:val="0"/>
        <w:kinsoku/>
        <w:wordWrap/>
        <w:overflowPunct/>
        <w:topLinePunct w:val="0"/>
        <w:autoSpaceDE w:val="0"/>
        <w:autoSpaceDN w:val="0"/>
        <w:bidi w:val="0"/>
        <w:adjustRightInd/>
        <w:snapToGrid/>
        <w:spacing w:line="360" w:lineRule="auto"/>
        <w:ind w:firstLine="240" w:firstLineChars="100"/>
        <w:textAlignment w:val="auto"/>
        <w:rPr>
          <w:rFonts w:hint="eastAsia" w:asciiTheme="minorEastAsia" w:hAnsiTheme="minorEastAsia" w:eastAsiaTheme="minorEastAsia" w:cstheme="minorEastAsia"/>
          <w:b w:val="0"/>
          <w:i w:val="0"/>
          <w:iCs w:val="0"/>
          <w:color w:val="auto"/>
          <w:sz w:val="24"/>
          <w:szCs w:val="24"/>
          <w:highlight w:val="none"/>
        </w:rPr>
      </w:pPr>
      <w:r>
        <w:rPr>
          <w:rFonts w:hint="eastAsia" w:asciiTheme="minorEastAsia" w:hAnsiTheme="minorEastAsia" w:eastAsiaTheme="minorEastAsia" w:cstheme="minorEastAsia"/>
          <w:b w:val="0"/>
          <w:i w:val="0"/>
          <w:iCs w:val="0"/>
          <w:color w:val="auto"/>
          <w:sz w:val="24"/>
          <w:szCs w:val="24"/>
          <w:highlight w:val="none"/>
        </w:rPr>
        <w:t>1.采购人信息</w:t>
      </w:r>
    </w:p>
    <w:p w14:paraId="21F3728E">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b w:val="0"/>
          <w:i w:val="0"/>
          <w:iCs w:val="0"/>
          <w:color w:val="auto"/>
          <w:sz w:val="24"/>
          <w:szCs w:val="24"/>
          <w:highlight w:val="none"/>
        </w:rPr>
      </w:pPr>
      <w:r>
        <w:rPr>
          <w:rFonts w:hint="eastAsia" w:asciiTheme="minorEastAsia" w:hAnsiTheme="minorEastAsia" w:eastAsiaTheme="minorEastAsia" w:cstheme="minorEastAsia"/>
          <w:b w:val="0"/>
          <w:i w:val="0"/>
          <w:iCs w:val="0"/>
          <w:color w:val="auto"/>
          <w:sz w:val="24"/>
          <w:szCs w:val="24"/>
          <w:highlight w:val="none"/>
        </w:rPr>
        <w:t>名称：周口市第六幼儿园</w:t>
      </w:r>
    </w:p>
    <w:p w14:paraId="5F000572">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b w:val="0"/>
          <w:i w:val="0"/>
          <w:iCs w:val="0"/>
          <w:color w:val="auto"/>
          <w:sz w:val="24"/>
          <w:szCs w:val="24"/>
          <w:highlight w:val="none"/>
        </w:rPr>
      </w:pPr>
      <w:r>
        <w:rPr>
          <w:rFonts w:hint="eastAsia" w:asciiTheme="minorEastAsia" w:hAnsiTheme="minorEastAsia" w:eastAsiaTheme="minorEastAsia" w:cstheme="minorEastAsia"/>
          <w:b w:val="0"/>
          <w:i w:val="0"/>
          <w:iCs w:val="0"/>
          <w:color w:val="auto"/>
          <w:sz w:val="24"/>
          <w:szCs w:val="24"/>
          <w:highlight w:val="none"/>
        </w:rPr>
        <w:t>地址：周口市川汇区中原路</w:t>
      </w:r>
    </w:p>
    <w:p w14:paraId="3130A406">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b w:val="0"/>
          <w:i w:val="0"/>
          <w:iCs w:val="0"/>
          <w:color w:val="auto"/>
          <w:sz w:val="24"/>
          <w:szCs w:val="24"/>
          <w:highlight w:val="none"/>
        </w:rPr>
      </w:pPr>
      <w:r>
        <w:rPr>
          <w:rFonts w:hint="eastAsia" w:asciiTheme="minorEastAsia" w:hAnsiTheme="minorEastAsia" w:eastAsiaTheme="minorEastAsia" w:cstheme="minorEastAsia"/>
          <w:b w:val="0"/>
          <w:i w:val="0"/>
          <w:iCs w:val="0"/>
          <w:color w:val="auto"/>
          <w:sz w:val="24"/>
          <w:szCs w:val="24"/>
          <w:highlight w:val="none"/>
        </w:rPr>
        <w:t>联系人：</w:t>
      </w:r>
      <w:r>
        <w:rPr>
          <w:rFonts w:hint="eastAsia" w:asciiTheme="minorEastAsia" w:hAnsiTheme="minorEastAsia" w:eastAsiaTheme="minorEastAsia" w:cstheme="minorEastAsia"/>
          <w:b w:val="0"/>
          <w:i w:val="0"/>
          <w:iCs w:val="0"/>
          <w:color w:val="auto"/>
          <w:sz w:val="24"/>
          <w:szCs w:val="24"/>
          <w:highlight w:val="none"/>
          <w:lang w:val="en-US" w:eastAsia="zh-CN"/>
        </w:rPr>
        <w:t>孙亚辉</w:t>
      </w:r>
    </w:p>
    <w:p w14:paraId="3CC55F02">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b w:val="0"/>
          <w:i w:val="0"/>
          <w:iCs w:val="0"/>
          <w:color w:val="auto"/>
          <w:sz w:val="24"/>
          <w:szCs w:val="24"/>
          <w:highlight w:val="none"/>
        </w:rPr>
      </w:pPr>
      <w:r>
        <w:rPr>
          <w:rFonts w:hint="eastAsia" w:asciiTheme="minorEastAsia" w:hAnsiTheme="minorEastAsia" w:eastAsiaTheme="minorEastAsia" w:cstheme="minorEastAsia"/>
          <w:b w:val="0"/>
          <w:i w:val="0"/>
          <w:iCs w:val="0"/>
          <w:color w:val="auto"/>
          <w:sz w:val="24"/>
          <w:szCs w:val="24"/>
          <w:highlight w:val="none"/>
        </w:rPr>
        <w:t>联系方式：</w:t>
      </w:r>
      <w:r>
        <w:rPr>
          <w:rFonts w:hint="eastAsia" w:asciiTheme="minorEastAsia" w:hAnsiTheme="minorEastAsia" w:eastAsiaTheme="minorEastAsia" w:cstheme="minorEastAsia"/>
          <w:b w:val="0"/>
          <w:i w:val="0"/>
          <w:iCs w:val="0"/>
          <w:color w:val="auto"/>
          <w:sz w:val="24"/>
          <w:szCs w:val="24"/>
          <w:highlight w:val="none"/>
          <w:lang w:val="en-US" w:eastAsia="zh-CN"/>
        </w:rPr>
        <w:t>17839400078</w:t>
      </w:r>
    </w:p>
    <w:p w14:paraId="29F6AFC1">
      <w:pPr>
        <w:keepNext w:val="0"/>
        <w:keepLines w:val="0"/>
        <w:pageBreakBefore w:val="0"/>
        <w:widowControl w:val="0"/>
        <w:kinsoku/>
        <w:wordWrap/>
        <w:overflowPunct/>
        <w:topLinePunct w:val="0"/>
        <w:autoSpaceDE w:val="0"/>
        <w:autoSpaceDN w:val="0"/>
        <w:bidi w:val="0"/>
        <w:adjustRightInd/>
        <w:snapToGrid/>
        <w:spacing w:line="360" w:lineRule="auto"/>
        <w:ind w:firstLine="240" w:firstLineChars="100"/>
        <w:textAlignment w:val="auto"/>
        <w:rPr>
          <w:rFonts w:hint="eastAsia" w:asciiTheme="minorEastAsia" w:hAnsiTheme="minorEastAsia" w:eastAsiaTheme="minorEastAsia" w:cstheme="minorEastAsia"/>
          <w:b w:val="0"/>
          <w:i w:val="0"/>
          <w:iCs w:val="0"/>
          <w:color w:val="auto"/>
          <w:sz w:val="24"/>
          <w:szCs w:val="24"/>
          <w:highlight w:val="none"/>
        </w:rPr>
      </w:pPr>
      <w:r>
        <w:rPr>
          <w:rFonts w:hint="eastAsia" w:asciiTheme="minorEastAsia" w:hAnsiTheme="minorEastAsia" w:eastAsiaTheme="minorEastAsia" w:cstheme="minorEastAsia"/>
          <w:b w:val="0"/>
          <w:i w:val="0"/>
          <w:iCs w:val="0"/>
          <w:color w:val="auto"/>
          <w:sz w:val="24"/>
          <w:szCs w:val="24"/>
          <w:highlight w:val="none"/>
        </w:rPr>
        <w:t>2.采购代理机构信息（如有）</w:t>
      </w:r>
    </w:p>
    <w:p w14:paraId="5775397C">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b w:val="0"/>
          <w:i w:val="0"/>
          <w:iCs w:val="0"/>
          <w:color w:val="auto"/>
          <w:sz w:val="24"/>
          <w:szCs w:val="24"/>
          <w:highlight w:val="none"/>
        </w:rPr>
      </w:pPr>
      <w:r>
        <w:rPr>
          <w:rFonts w:hint="eastAsia" w:asciiTheme="minorEastAsia" w:hAnsiTheme="minorEastAsia" w:eastAsiaTheme="minorEastAsia" w:cstheme="minorEastAsia"/>
          <w:b w:val="0"/>
          <w:i w:val="0"/>
          <w:iCs w:val="0"/>
          <w:color w:val="auto"/>
          <w:sz w:val="24"/>
          <w:szCs w:val="24"/>
          <w:highlight w:val="none"/>
        </w:rPr>
        <w:t>名称：周口市公共资源交易中心(周口市政府采购中心)</w:t>
      </w:r>
    </w:p>
    <w:p w14:paraId="1A9A2F29">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b w:val="0"/>
          <w:i w:val="0"/>
          <w:iCs w:val="0"/>
          <w:color w:val="auto"/>
          <w:sz w:val="24"/>
          <w:szCs w:val="24"/>
          <w:highlight w:val="none"/>
        </w:rPr>
      </w:pPr>
      <w:r>
        <w:rPr>
          <w:rFonts w:hint="eastAsia" w:asciiTheme="minorEastAsia" w:hAnsiTheme="minorEastAsia" w:eastAsiaTheme="minorEastAsia" w:cstheme="minorEastAsia"/>
          <w:b w:val="0"/>
          <w:i w:val="0"/>
          <w:iCs w:val="0"/>
          <w:color w:val="auto"/>
          <w:sz w:val="24"/>
          <w:szCs w:val="24"/>
          <w:highlight w:val="none"/>
        </w:rPr>
        <w:t>地址：周口市光明路与政通路交叉口向北100米路东</w:t>
      </w:r>
    </w:p>
    <w:p w14:paraId="55B74F7F">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eastAsia" w:asciiTheme="minorEastAsia" w:hAnsiTheme="minorEastAsia" w:eastAsiaTheme="minorEastAsia" w:cstheme="minorEastAsia"/>
          <w:b w:val="0"/>
          <w:i w:val="0"/>
          <w:iCs w:val="0"/>
          <w:color w:val="auto"/>
          <w:sz w:val="24"/>
          <w:szCs w:val="24"/>
          <w:highlight w:val="none"/>
          <w:lang w:val="en-US" w:eastAsia="zh-CN"/>
        </w:rPr>
      </w:pPr>
      <w:r>
        <w:rPr>
          <w:rFonts w:hint="eastAsia" w:asciiTheme="minorEastAsia" w:hAnsiTheme="minorEastAsia" w:eastAsiaTheme="minorEastAsia" w:cstheme="minorEastAsia"/>
          <w:b w:val="0"/>
          <w:i w:val="0"/>
          <w:iCs w:val="0"/>
          <w:color w:val="auto"/>
          <w:sz w:val="24"/>
          <w:szCs w:val="24"/>
          <w:highlight w:val="none"/>
        </w:rPr>
        <w:t>联系人：</w:t>
      </w:r>
      <w:r>
        <w:rPr>
          <w:rFonts w:hint="eastAsia" w:asciiTheme="minorEastAsia" w:hAnsiTheme="minorEastAsia" w:eastAsiaTheme="minorEastAsia" w:cstheme="minorEastAsia"/>
          <w:b w:val="0"/>
          <w:i w:val="0"/>
          <w:iCs w:val="0"/>
          <w:color w:val="auto"/>
          <w:sz w:val="24"/>
          <w:szCs w:val="24"/>
          <w:highlight w:val="none"/>
          <w:lang w:val="en-US" w:eastAsia="zh-CN"/>
        </w:rPr>
        <w:t>王硕</w:t>
      </w:r>
    </w:p>
    <w:p w14:paraId="12ECB804">
      <w:pPr>
        <w:keepNext w:val="0"/>
        <w:keepLines w:val="0"/>
        <w:pageBreakBefore w:val="0"/>
        <w:widowControl w:val="0"/>
        <w:kinsoku/>
        <w:wordWrap/>
        <w:overflowPunct/>
        <w:topLinePunct w:val="0"/>
        <w:autoSpaceDE w:val="0"/>
        <w:autoSpaceDN w:val="0"/>
        <w:bidi w:val="0"/>
        <w:adjustRightInd/>
        <w:snapToGrid/>
        <w:spacing w:line="360" w:lineRule="auto"/>
        <w:ind w:firstLine="720" w:firstLineChars="300"/>
        <w:textAlignment w:val="auto"/>
        <w:rPr>
          <w:rFonts w:hint="default" w:asciiTheme="minorEastAsia" w:hAnsiTheme="minorEastAsia" w:eastAsiaTheme="minorEastAsia" w:cstheme="minorEastAsia"/>
          <w:b w:val="0"/>
          <w:i w:val="0"/>
          <w:iCs w:val="0"/>
          <w:color w:val="auto"/>
          <w:sz w:val="24"/>
          <w:szCs w:val="24"/>
          <w:highlight w:val="none"/>
          <w:lang w:val="en-US" w:eastAsia="zh-CN"/>
        </w:rPr>
      </w:pPr>
      <w:r>
        <w:rPr>
          <w:rFonts w:hint="eastAsia" w:asciiTheme="minorEastAsia" w:hAnsiTheme="minorEastAsia" w:eastAsiaTheme="minorEastAsia" w:cstheme="minorEastAsia"/>
          <w:b w:val="0"/>
          <w:i w:val="0"/>
          <w:iCs w:val="0"/>
          <w:color w:val="auto"/>
          <w:sz w:val="24"/>
          <w:szCs w:val="24"/>
          <w:highlight w:val="none"/>
        </w:rPr>
        <w:t>联系方式：</w:t>
      </w:r>
      <w:r>
        <w:rPr>
          <w:rFonts w:hint="eastAsia" w:asciiTheme="minorEastAsia" w:hAnsiTheme="minorEastAsia" w:eastAsiaTheme="minorEastAsia" w:cstheme="minorEastAsia"/>
          <w:b w:val="0"/>
          <w:i w:val="0"/>
          <w:iCs w:val="0"/>
          <w:color w:val="auto"/>
          <w:sz w:val="24"/>
          <w:szCs w:val="24"/>
          <w:highlight w:val="none"/>
          <w:lang w:val="en-US" w:eastAsia="zh-CN"/>
        </w:rPr>
        <w:t>0394-8106517、13525741688</w:t>
      </w:r>
    </w:p>
    <w:p w14:paraId="137AB121">
      <w:pPr>
        <w:keepNext w:val="0"/>
        <w:keepLines w:val="0"/>
        <w:pageBreakBefore w:val="0"/>
        <w:widowControl w:val="0"/>
        <w:kinsoku/>
        <w:wordWrap/>
        <w:overflowPunct/>
        <w:topLinePunct w:val="0"/>
        <w:autoSpaceDE w:val="0"/>
        <w:autoSpaceDN w:val="0"/>
        <w:bidi w:val="0"/>
        <w:adjustRightInd/>
        <w:snapToGrid/>
        <w:spacing w:line="360" w:lineRule="auto"/>
        <w:ind w:firstLine="240" w:firstLineChars="100"/>
        <w:textAlignment w:val="auto"/>
        <w:rPr>
          <w:rFonts w:hint="eastAsia" w:ascii="宋体" w:hAnsi="宋体" w:eastAsia="宋体" w:cs="宋体"/>
          <w:i w:val="0"/>
          <w:iCs w:val="0"/>
          <w:color w:val="auto"/>
          <w:sz w:val="24"/>
          <w:szCs w:val="24"/>
          <w:highlight w:val="none"/>
          <w:lang w:val="en-US" w:eastAsia="zh-CN"/>
        </w:rPr>
      </w:pPr>
      <w:r>
        <w:rPr>
          <w:rFonts w:hint="eastAsia" w:asciiTheme="minorEastAsia" w:hAnsiTheme="minorEastAsia" w:eastAsiaTheme="minorEastAsia" w:cstheme="minorEastAsia"/>
          <w:b w:val="0"/>
          <w:i w:val="0"/>
          <w:iCs w:val="0"/>
          <w:color w:val="auto"/>
          <w:sz w:val="24"/>
          <w:szCs w:val="24"/>
          <w:highlight w:val="none"/>
        </w:rPr>
        <w:t>3.</w:t>
      </w:r>
      <w:bookmarkEnd w:id="6"/>
      <w:bookmarkEnd w:id="7"/>
      <w:bookmarkEnd w:id="8"/>
      <w:bookmarkEnd w:id="9"/>
      <w:r>
        <w:rPr>
          <w:rFonts w:hint="eastAsia" w:ascii="宋体" w:hAnsi="宋体" w:eastAsia="宋体" w:cs="宋体"/>
          <w:i w:val="0"/>
          <w:iCs w:val="0"/>
          <w:color w:val="auto"/>
          <w:sz w:val="24"/>
          <w:szCs w:val="24"/>
          <w:highlight w:val="none"/>
          <w:lang w:val="en-US" w:eastAsia="zh-CN"/>
        </w:rPr>
        <w:t>监督单位：</w:t>
      </w:r>
      <w:r>
        <w:rPr>
          <w:rFonts w:hint="eastAsia"/>
          <w:color w:val="auto"/>
          <w:kern w:val="2"/>
          <w:sz w:val="24"/>
          <w:szCs w:val="24"/>
          <w:highlight w:val="none"/>
          <w:lang w:val="en-US" w:bidi="ar-SA"/>
        </w:rPr>
        <w:t>周口市川汇区财政局</w:t>
      </w:r>
    </w:p>
    <w:p w14:paraId="46D8F395">
      <w:pPr>
        <w:pStyle w:val="32"/>
        <w:ind w:firstLine="480" w:firstLineChars="200"/>
        <w:rPr>
          <w:rFonts w:hint="default"/>
          <w:color w:val="auto"/>
          <w:highlight w:val="none"/>
          <w:lang w:val="en-US" w:eastAsia="zh-CN"/>
        </w:rPr>
      </w:pPr>
      <w:r>
        <w:rPr>
          <w:rFonts w:hint="eastAsia" w:ascii="宋体" w:hAnsi="宋体" w:eastAsia="宋体" w:cs="宋体"/>
          <w:i w:val="0"/>
          <w:iCs w:val="0"/>
          <w:color w:val="auto"/>
          <w:sz w:val="24"/>
          <w:szCs w:val="24"/>
          <w:highlight w:val="none"/>
        </w:rPr>
        <w:t>联系方式：</w:t>
      </w:r>
      <w:r>
        <w:rPr>
          <w:rFonts w:hint="eastAsia" w:ascii="宋体" w:hAnsi="宋体" w:eastAsia="宋体" w:cs="宋体"/>
          <w:i w:val="0"/>
          <w:iCs w:val="0"/>
          <w:color w:val="auto"/>
          <w:sz w:val="24"/>
          <w:szCs w:val="24"/>
          <w:highlight w:val="none"/>
          <w:lang w:val="en-US"/>
        </w:rPr>
        <w:t>0394-8231120</w:t>
      </w:r>
    </w:p>
    <w:p w14:paraId="051D7D70">
      <w:pPr>
        <w:pStyle w:val="7"/>
        <w:adjustRightInd w:val="0"/>
        <w:snapToGrid w:val="0"/>
        <w:spacing w:line="360" w:lineRule="auto"/>
        <w:ind w:firstLine="3360" w:firstLineChars="1400"/>
        <w:rPr>
          <w:rFonts w:hint="eastAsia" w:asciiTheme="minorEastAsia" w:hAnsiTheme="minorEastAsia" w:eastAsiaTheme="minorEastAsia" w:cstheme="minorEastAsia"/>
          <w:color w:val="auto"/>
          <w:sz w:val="24"/>
          <w:szCs w:val="24"/>
          <w:highlight w:val="none"/>
        </w:rPr>
      </w:pPr>
    </w:p>
    <w:p w14:paraId="26F92641">
      <w:pPr>
        <w:pStyle w:val="7"/>
        <w:adjustRightInd w:val="0"/>
        <w:snapToGrid w:val="0"/>
        <w:spacing w:line="360" w:lineRule="auto"/>
        <w:ind w:firstLine="3360" w:firstLineChars="1400"/>
        <w:rPr>
          <w:rFonts w:hint="eastAsia" w:asciiTheme="minorEastAsia" w:hAnsiTheme="minorEastAsia" w:eastAsiaTheme="minorEastAsia" w:cstheme="minorEastAsia"/>
          <w:color w:val="auto"/>
          <w:sz w:val="24"/>
          <w:szCs w:val="24"/>
          <w:highlight w:val="none"/>
        </w:rPr>
      </w:pPr>
    </w:p>
    <w:p w14:paraId="79A1FBE9">
      <w:pPr>
        <w:pStyle w:val="7"/>
        <w:adjustRightInd w:val="0"/>
        <w:snapToGrid w:val="0"/>
        <w:spacing w:line="360" w:lineRule="auto"/>
        <w:ind w:firstLine="3360" w:firstLineChars="1400"/>
        <w:rPr>
          <w:rFonts w:hint="eastAsia" w:asciiTheme="minorEastAsia" w:hAnsiTheme="minorEastAsia" w:eastAsiaTheme="minorEastAsia" w:cstheme="minorEastAsia"/>
          <w:color w:val="auto"/>
          <w:sz w:val="24"/>
          <w:szCs w:val="24"/>
          <w:highlight w:val="none"/>
        </w:rPr>
      </w:pPr>
    </w:p>
    <w:p w14:paraId="73D8195C">
      <w:pPr>
        <w:pStyle w:val="7"/>
        <w:adjustRightInd w:val="0"/>
        <w:snapToGrid w:val="0"/>
        <w:spacing w:line="360" w:lineRule="auto"/>
        <w:ind w:firstLine="3360" w:firstLineChars="1400"/>
        <w:rPr>
          <w:rFonts w:hint="eastAsia" w:asciiTheme="minorEastAsia" w:hAnsiTheme="minorEastAsia" w:eastAsiaTheme="minorEastAsia" w:cstheme="minorEastAsia"/>
          <w:color w:val="auto"/>
          <w:sz w:val="24"/>
          <w:szCs w:val="24"/>
          <w:highlight w:val="none"/>
        </w:rPr>
      </w:pPr>
    </w:p>
    <w:p w14:paraId="35053659">
      <w:pPr>
        <w:pStyle w:val="7"/>
        <w:adjustRightInd w:val="0"/>
        <w:snapToGrid w:val="0"/>
        <w:spacing w:line="360" w:lineRule="auto"/>
        <w:ind w:firstLine="3840" w:firstLineChars="1600"/>
        <w:rPr>
          <w:rFonts w:hint="eastAsia" w:asciiTheme="minorEastAsia" w:hAnsiTheme="minorEastAsia" w:eastAsiaTheme="minorEastAsia" w:cstheme="minorEastAsia"/>
          <w:color w:val="auto"/>
          <w:sz w:val="24"/>
          <w:szCs w:val="24"/>
          <w:highlight w:val="none"/>
        </w:rPr>
      </w:pPr>
    </w:p>
    <w:p w14:paraId="7C7BCD6C">
      <w:pPr>
        <w:pStyle w:val="7"/>
        <w:adjustRightInd w:val="0"/>
        <w:snapToGrid w:val="0"/>
        <w:spacing w:line="360" w:lineRule="auto"/>
        <w:ind w:firstLine="3840" w:firstLineChars="1600"/>
        <w:rPr>
          <w:rFonts w:hint="eastAsia" w:asciiTheme="minorEastAsia" w:hAnsiTheme="minorEastAsia" w:eastAsiaTheme="minorEastAsia" w:cstheme="minorEastAsia"/>
          <w:color w:val="auto"/>
          <w:sz w:val="24"/>
          <w:szCs w:val="24"/>
          <w:highlight w:val="none"/>
        </w:rPr>
      </w:pPr>
    </w:p>
    <w:p w14:paraId="0E97AD82">
      <w:pPr>
        <w:pStyle w:val="7"/>
        <w:adjustRightInd w:val="0"/>
        <w:snapToGrid w:val="0"/>
        <w:spacing w:line="360" w:lineRule="auto"/>
        <w:ind w:firstLine="3840" w:firstLineChars="1600"/>
        <w:rPr>
          <w:rFonts w:hint="eastAsia" w:asciiTheme="minorEastAsia" w:hAnsiTheme="minorEastAsia" w:eastAsiaTheme="minorEastAsia" w:cstheme="minorEastAsia"/>
          <w:color w:val="auto"/>
          <w:sz w:val="24"/>
          <w:szCs w:val="24"/>
          <w:highlight w:val="none"/>
        </w:rPr>
      </w:pPr>
    </w:p>
    <w:p w14:paraId="2FE00225">
      <w:pPr>
        <w:pStyle w:val="7"/>
        <w:adjustRightInd w:val="0"/>
        <w:snapToGrid w:val="0"/>
        <w:spacing w:line="360" w:lineRule="auto"/>
        <w:ind w:firstLine="3840" w:firstLineChars="1600"/>
        <w:rPr>
          <w:rFonts w:hint="eastAsia" w:asciiTheme="minorEastAsia" w:hAnsiTheme="minorEastAsia" w:eastAsiaTheme="minorEastAsia" w:cstheme="minorEastAsia"/>
          <w:color w:val="auto"/>
          <w:sz w:val="24"/>
          <w:szCs w:val="24"/>
          <w:highlight w:val="none"/>
        </w:rPr>
      </w:pPr>
    </w:p>
    <w:p w14:paraId="3C6947C3">
      <w:pPr>
        <w:pStyle w:val="7"/>
        <w:adjustRightInd w:val="0"/>
        <w:snapToGrid w:val="0"/>
        <w:spacing w:line="360" w:lineRule="auto"/>
        <w:ind w:firstLine="3840" w:firstLineChars="160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t>周口市公共资源交易中心政府采购中心</w:t>
      </w:r>
    </w:p>
    <w:p w14:paraId="6697EBD2">
      <w:pPr>
        <w:pStyle w:val="7"/>
        <w:adjustRightInd w:val="0"/>
        <w:snapToGrid w:val="0"/>
        <w:spacing w:line="360" w:lineRule="auto"/>
        <w:ind w:firstLine="3960" w:firstLineChars="1650"/>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shd w:val="clear" w:color="auto" w:fill="FFFFFF"/>
          <w:lang w:val="en-US" w:eastAsia="zh-CN"/>
        </w:rPr>
        <w:t xml:space="preserve">         2025</w:t>
      </w:r>
      <w:r>
        <w:rPr>
          <w:rFonts w:hint="eastAsia" w:asciiTheme="minorEastAsia" w:hAnsiTheme="minorEastAsia" w:eastAsiaTheme="minorEastAsia" w:cstheme="minorEastAsia"/>
          <w:color w:val="auto"/>
          <w:sz w:val="24"/>
          <w:szCs w:val="24"/>
          <w:highlight w:val="none"/>
        </w:rPr>
        <w:t>年</w:t>
      </w:r>
      <w:r>
        <w:rPr>
          <w:rFonts w:hint="eastAsia" w:asciiTheme="minorEastAsia" w:hAnsiTheme="minorEastAsia" w:eastAsiaTheme="minorEastAsia" w:cstheme="minorEastAsia"/>
          <w:color w:val="auto"/>
          <w:sz w:val="24"/>
          <w:szCs w:val="24"/>
          <w:highlight w:val="none"/>
          <w:shd w:val="clear" w:color="auto" w:fill="FFFFFF"/>
          <w:lang w:val="en-US" w:eastAsia="zh-CN"/>
        </w:rPr>
        <w:t>9</w:t>
      </w:r>
      <w:r>
        <w:rPr>
          <w:rFonts w:hint="eastAsia" w:asciiTheme="minorEastAsia" w:hAnsiTheme="minorEastAsia" w:eastAsiaTheme="minorEastAsia" w:cstheme="minorEastAsia"/>
          <w:color w:val="auto"/>
          <w:sz w:val="24"/>
          <w:szCs w:val="24"/>
          <w:highlight w:val="none"/>
        </w:rPr>
        <w:t>月</w:t>
      </w:r>
      <w:r>
        <w:rPr>
          <w:rFonts w:hint="eastAsia" w:asciiTheme="minorEastAsia" w:hAnsiTheme="minorEastAsia" w:eastAsiaTheme="minorEastAsia" w:cstheme="minorEastAsia"/>
          <w:color w:val="auto"/>
          <w:sz w:val="24"/>
          <w:szCs w:val="24"/>
          <w:highlight w:val="none"/>
          <w:shd w:val="clear" w:color="auto" w:fill="FFFFFF"/>
          <w:lang w:val="en-US" w:eastAsia="zh-CN"/>
        </w:rPr>
        <w:t>5</w:t>
      </w:r>
      <w:r>
        <w:rPr>
          <w:rFonts w:hint="eastAsia" w:asciiTheme="minorEastAsia" w:hAnsiTheme="minorEastAsia" w:eastAsiaTheme="minorEastAsia" w:cstheme="minorEastAsia"/>
          <w:color w:val="auto"/>
          <w:sz w:val="24"/>
          <w:szCs w:val="24"/>
          <w:highlight w:val="none"/>
        </w:rPr>
        <w:t>日</w:t>
      </w:r>
    </w:p>
    <w:p w14:paraId="688E4C6D">
      <w:pPr>
        <w:rPr>
          <w:rFonts w:hint="eastAsia" w:asciiTheme="minorEastAsia" w:hAnsiTheme="minorEastAsia" w:eastAsiaTheme="minorEastAsia" w:cstheme="minorEastAsia"/>
          <w:color w:val="auto"/>
          <w:sz w:val="24"/>
          <w:szCs w:val="24"/>
          <w:highlight w:val="none"/>
        </w:rPr>
      </w:pPr>
      <w:r>
        <w:rPr>
          <w:rFonts w:hint="eastAsia" w:asciiTheme="minorEastAsia" w:hAnsiTheme="minorEastAsia" w:eastAsiaTheme="minorEastAsia" w:cstheme="minorEastAsia"/>
          <w:color w:val="auto"/>
          <w:sz w:val="24"/>
          <w:szCs w:val="24"/>
          <w:highlight w:val="none"/>
        </w:rPr>
        <w:br w:type="page"/>
      </w:r>
    </w:p>
    <w:bookmarkEnd w:id="4"/>
    <w:bookmarkEnd w:id="5"/>
    <w:p w14:paraId="0C7FF657">
      <w:pPr>
        <w:pStyle w:val="2"/>
        <w:tabs>
          <w:tab w:val="left" w:pos="1607"/>
        </w:tabs>
        <w:spacing w:before="100"/>
        <w:outlineLvl w:val="0"/>
        <w:rPr>
          <w:color w:val="auto"/>
          <w:sz w:val="32"/>
          <w:szCs w:val="32"/>
          <w:highlight w:val="none"/>
        </w:rPr>
      </w:pPr>
      <w:bookmarkStart w:id="10" w:name="_Toc11608"/>
      <w:bookmarkStart w:id="11" w:name="_Toc30686"/>
      <w:r>
        <w:rPr>
          <w:rFonts w:hint="eastAsia"/>
          <w:color w:val="auto"/>
          <w:sz w:val="32"/>
          <w:szCs w:val="32"/>
          <w:highlight w:val="none"/>
        </w:rPr>
        <w:t>第二部分</w:t>
      </w:r>
      <w:r>
        <w:rPr>
          <w:rFonts w:hint="eastAsia"/>
          <w:color w:val="auto"/>
          <w:sz w:val="32"/>
          <w:szCs w:val="32"/>
          <w:highlight w:val="none"/>
          <w:lang w:val="en-US" w:eastAsia="zh-CN"/>
        </w:rPr>
        <w:t xml:space="preserve"> </w:t>
      </w:r>
      <w:r>
        <w:rPr>
          <w:rFonts w:hint="eastAsia"/>
          <w:color w:val="auto"/>
          <w:sz w:val="32"/>
          <w:szCs w:val="32"/>
          <w:highlight w:val="none"/>
        </w:rPr>
        <w:t>项目内容及施工要求</w:t>
      </w:r>
      <w:bookmarkEnd w:id="10"/>
      <w:bookmarkEnd w:id="11"/>
    </w:p>
    <w:p w14:paraId="3A4ED0E0">
      <w:pPr>
        <w:pStyle w:val="7"/>
        <w:adjustRightInd w:val="0"/>
        <w:snapToGrid w:val="0"/>
        <w:spacing w:line="360" w:lineRule="auto"/>
        <w:rPr>
          <w:color w:val="auto"/>
          <w:highlight w:val="none"/>
        </w:rPr>
      </w:pPr>
      <w:r>
        <w:rPr>
          <w:rFonts w:hint="eastAsia"/>
          <w:color w:val="auto"/>
          <w:highlight w:val="none"/>
        </w:rPr>
        <w:t>一、项目内容</w:t>
      </w:r>
    </w:p>
    <w:p w14:paraId="4E9C4B3D">
      <w:pPr>
        <w:pStyle w:val="7"/>
        <w:adjustRightInd w:val="0"/>
        <w:snapToGrid w:val="0"/>
        <w:spacing w:line="360" w:lineRule="auto"/>
        <w:ind w:firstLine="479"/>
        <w:rPr>
          <w:color w:val="auto"/>
          <w:spacing w:val="-13"/>
          <w:highlight w:val="none"/>
        </w:rPr>
      </w:pPr>
      <w:r>
        <w:rPr>
          <w:rFonts w:hint="eastAsia"/>
          <w:color w:val="auto"/>
          <w:spacing w:val="-13"/>
          <w:highlight w:val="none"/>
        </w:rPr>
        <w:t>根据</w:t>
      </w:r>
      <w:r>
        <w:rPr>
          <w:rFonts w:hint="eastAsia"/>
          <w:color w:val="auto"/>
          <w:spacing w:val="-13"/>
          <w:highlight w:val="none"/>
          <w:lang w:val="en-US" w:eastAsia="zh-CN"/>
        </w:rPr>
        <w:t>周口市第六幼儿园自动喷水系统、火灾自动报警系统、应急照明和疏散指示系统、智慧消防管理系统采购项目</w:t>
      </w:r>
      <w:r>
        <w:rPr>
          <w:rFonts w:hint="eastAsia"/>
          <w:color w:val="auto"/>
          <w:spacing w:val="-13"/>
          <w:highlight w:val="none"/>
        </w:rPr>
        <w:t>采购需求，本次谈判内容如下：工程量清单及有关附表包括的全部内容。</w:t>
      </w:r>
    </w:p>
    <w:p w14:paraId="2D3A6173">
      <w:pPr>
        <w:pStyle w:val="7"/>
        <w:adjustRightInd w:val="0"/>
        <w:snapToGrid w:val="0"/>
        <w:spacing w:line="360" w:lineRule="auto"/>
        <w:rPr>
          <w:color w:val="auto"/>
          <w:spacing w:val="-13"/>
          <w:highlight w:val="none"/>
        </w:rPr>
      </w:pPr>
      <w:bookmarkStart w:id="12" w:name="_bookmark2"/>
      <w:bookmarkEnd w:id="12"/>
      <w:r>
        <w:rPr>
          <w:rFonts w:hint="eastAsia"/>
          <w:color w:val="auto"/>
          <w:spacing w:val="-13"/>
          <w:highlight w:val="none"/>
        </w:rPr>
        <w:t>二、施工要求</w:t>
      </w:r>
    </w:p>
    <w:p w14:paraId="49EC52A0">
      <w:pPr>
        <w:pStyle w:val="7"/>
        <w:adjustRightInd w:val="0"/>
        <w:snapToGrid w:val="0"/>
        <w:spacing w:line="360" w:lineRule="auto"/>
        <w:ind w:firstLine="428" w:firstLineChars="200"/>
        <w:rPr>
          <w:color w:val="auto"/>
          <w:spacing w:val="-13"/>
          <w:highlight w:val="none"/>
        </w:rPr>
      </w:pPr>
      <w:r>
        <w:rPr>
          <w:rFonts w:hint="eastAsia"/>
          <w:color w:val="auto"/>
          <w:spacing w:val="-13"/>
          <w:highlight w:val="none"/>
        </w:rPr>
        <w:t>1、承包方式：包工包料。所需材料符合国家相关标准；整体要求结实、美观、耐用，质量优良。</w:t>
      </w:r>
    </w:p>
    <w:p w14:paraId="6F8895D9">
      <w:pPr>
        <w:pStyle w:val="7"/>
        <w:adjustRightInd w:val="0"/>
        <w:snapToGrid w:val="0"/>
        <w:spacing w:line="360" w:lineRule="auto"/>
        <w:ind w:firstLine="428" w:firstLineChars="200"/>
        <w:rPr>
          <w:color w:val="auto"/>
          <w:spacing w:val="-13"/>
          <w:highlight w:val="none"/>
        </w:rPr>
      </w:pPr>
      <w:r>
        <w:rPr>
          <w:rFonts w:hint="eastAsia"/>
          <w:color w:val="auto"/>
          <w:spacing w:val="-13"/>
          <w:highlight w:val="none"/>
        </w:rPr>
        <w:t>2、质量标准：合格。</w:t>
      </w:r>
    </w:p>
    <w:p w14:paraId="10F8F724">
      <w:pPr>
        <w:pStyle w:val="7"/>
        <w:adjustRightInd w:val="0"/>
        <w:snapToGrid w:val="0"/>
        <w:spacing w:line="360" w:lineRule="auto"/>
        <w:ind w:firstLine="428" w:firstLineChars="200"/>
        <w:rPr>
          <w:color w:val="auto"/>
          <w:spacing w:val="-13"/>
          <w:highlight w:val="none"/>
        </w:rPr>
      </w:pPr>
      <w:r>
        <w:rPr>
          <w:rFonts w:hint="eastAsia"/>
          <w:color w:val="auto"/>
          <w:spacing w:val="-13"/>
          <w:highlight w:val="none"/>
        </w:rPr>
        <w:t>3、工期：</w:t>
      </w:r>
      <w:r>
        <w:rPr>
          <w:rFonts w:hint="eastAsia"/>
          <w:color w:val="auto"/>
          <w:spacing w:val="-13"/>
          <w:highlight w:val="none"/>
          <w:lang w:val="en-US" w:eastAsia="zh-CN"/>
        </w:rPr>
        <w:t>30</w:t>
      </w:r>
      <w:r>
        <w:rPr>
          <w:rFonts w:hint="eastAsia"/>
          <w:color w:val="auto"/>
          <w:spacing w:val="-13"/>
          <w:highlight w:val="none"/>
        </w:rPr>
        <w:t>日历天。</w:t>
      </w:r>
    </w:p>
    <w:p w14:paraId="05E500AE">
      <w:pPr>
        <w:pStyle w:val="7"/>
        <w:adjustRightInd w:val="0"/>
        <w:snapToGrid w:val="0"/>
        <w:spacing w:line="360" w:lineRule="auto"/>
        <w:ind w:firstLine="428" w:firstLineChars="200"/>
        <w:rPr>
          <w:color w:val="auto"/>
          <w:spacing w:val="-13"/>
          <w:highlight w:val="none"/>
        </w:rPr>
      </w:pPr>
      <w:r>
        <w:rPr>
          <w:rFonts w:hint="eastAsia"/>
          <w:color w:val="auto"/>
          <w:spacing w:val="-13"/>
          <w:highlight w:val="none"/>
        </w:rPr>
        <w:t>4、保修期：按相关行业标准或双方签订合同时约定。</w:t>
      </w:r>
    </w:p>
    <w:p w14:paraId="7999C6B3">
      <w:pPr>
        <w:pStyle w:val="7"/>
        <w:adjustRightInd w:val="0"/>
        <w:snapToGrid w:val="0"/>
        <w:spacing w:line="360" w:lineRule="auto"/>
        <w:ind w:firstLine="428" w:firstLineChars="200"/>
        <w:rPr>
          <w:color w:val="auto"/>
          <w:spacing w:val="-13"/>
          <w:highlight w:val="none"/>
        </w:rPr>
      </w:pPr>
      <w:r>
        <w:rPr>
          <w:rFonts w:hint="eastAsia"/>
          <w:color w:val="auto"/>
          <w:spacing w:val="-13"/>
          <w:highlight w:val="none"/>
        </w:rPr>
        <w:t>5、提供</w:t>
      </w:r>
      <w:r>
        <w:rPr>
          <w:rFonts w:hint="eastAsia"/>
          <w:color w:val="auto"/>
          <w:spacing w:val="-13"/>
          <w:highlight w:val="none"/>
          <w:lang w:val="en-US" w:eastAsia="zh-CN"/>
        </w:rPr>
        <w:t>12</w:t>
      </w:r>
      <w:r>
        <w:rPr>
          <w:rFonts w:hint="eastAsia"/>
          <w:color w:val="auto"/>
          <w:spacing w:val="-13"/>
          <w:highlight w:val="none"/>
        </w:rPr>
        <w:t>小时工程服务，接到服务请求后，</w:t>
      </w:r>
      <w:r>
        <w:rPr>
          <w:rFonts w:hint="eastAsia"/>
          <w:color w:val="auto"/>
          <w:spacing w:val="-13"/>
          <w:highlight w:val="none"/>
          <w:lang w:val="en-US" w:eastAsia="zh-CN"/>
        </w:rPr>
        <w:t>2</w:t>
      </w:r>
      <w:r>
        <w:rPr>
          <w:rFonts w:hint="eastAsia"/>
          <w:color w:val="auto"/>
          <w:spacing w:val="-13"/>
          <w:highlight w:val="none"/>
        </w:rPr>
        <w:t>小时响应，</w:t>
      </w:r>
      <w:r>
        <w:rPr>
          <w:rFonts w:hint="eastAsia"/>
          <w:color w:val="auto"/>
          <w:spacing w:val="-13"/>
          <w:highlight w:val="none"/>
          <w:lang w:val="en-US" w:eastAsia="zh-CN"/>
        </w:rPr>
        <w:t>6</w:t>
      </w:r>
      <w:r>
        <w:rPr>
          <w:rFonts w:hint="eastAsia"/>
          <w:color w:val="auto"/>
          <w:spacing w:val="-13"/>
          <w:highlight w:val="none"/>
        </w:rPr>
        <w:t>小时内上门并视情况解决问题。</w:t>
      </w:r>
    </w:p>
    <w:p w14:paraId="6D3BBFA5">
      <w:pPr>
        <w:pStyle w:val="7"/>
        <w:adjustRightInd w:val="0"/>
        <w:snapToGrid w:val="0"/>
        <w:spacing w:line="360" w:lineRule="auto"/>
        <w:ind w:firstLine="428" w:firstLineChars="200"/>
        <w:rPr>
          <w:color w:val="auto"/>
          <w:spacing w:val="-13"/>
          <w:highlight w:val="none"/>
        </w:rPr>
      </w:pPr>
      <w:r>
        <w:rPr>
          <w:rFonts w:hint="eastAsia"/>
          <w:color w:val="auto"/>
          <w:spacing w:val="-13"/>
          <w:highlight w:val="none"/>
        </w:rPr>
        <w:t>6、施工的具体要求见施工图纸及工程效果图。</w:t>
      </w:r>
    </w:p>
    <w:p w14:paraId="7012E5D6">
      <w:pPr>
        <w:pStyle w:val="7"/>
        <w:adjustRightInd w:val="0"/>
        <w:snapToGrid w:val="0"/>
        <w:spacing w:line="360" w:lineRule="auto"/>
        <w:ind w:firstLine="428" w:firstLineChars="200"/>
        <w:rPr>
          <w:color w:val="auto"/>
          <w:spacing w:val="-13"/>
          <w:highlight w:val="none"/>
        </w:rPr>
      </w:pPr>
      <w:r>
        <w:rPr>
          <w:rFonts w:hint="eastAsia"/>
          <w:color w:val="auto"/>
          <w:spacing w:val="-13"/>
          <w:highlight w:val="none"/>
        </w:rPr>
        <w:t>7、投标人工程预算以现场勘察、施工图纸、工程量清单、所需材料及工期等要求综合考虑。</w:t>
      </w:r>
    </w:p>
    <w:p w14:paraId="2D823DAF">
      <w:pPr>
        <w:pStyle w:val="7"/>
        <w:adjustRightInd w:val="0"/>
        <w:snapToGrid w:val="0"/>
        <w:spacing w:line="360" w:lineRule="auto"/>
        <w:ind w:firstLine="428" w:firstLineChars="200"/>
        <w:rPr>
          <w:color w:val="auto"/>
          <w:spacing w:val="-13"/>
          <w:highlight w:val="none"/>
        </w:rPr>
      </w:pPr>
      <w:r>
        <w:rPr>
          <w:rFonts w:hint="eastAsia"/>
          <w:color w:val="auto"/>
          <w:spacing w:val="-13"/>
          <w:highlight w:val="none"/>
        </w:rPr>
        <w:t>8、严格落实安全措施，周密组织，文明施工。</w:t>
      </w:r>
    </w:p>
    <w:p w14:paraId="0B057643">
      <w:pPr>
        <w:pStyle w:val="7"/>
        <w:adjustRightInd w:val="0"/>
        <w:snapToGrid w:val="0"/>
        <w:spacing w:line="360" w:lineRule="auto"/>
        <w:ind w:firstLine="428" w:firstLineChars="200"/>
        <w:rPr>
          <w:rFonts w:hint="eastAsia"/>
          <w:color w:val="auto"/>
          <w:spacing w:val="-13"/>
          <w:highlight w:val="none"/>
          <w:lang w:val="en-US" w:eastAsia="zh-CN"/>
        </w:rPr>
      </w:pPr>
      <w:r>
        <w:rPr>
          <w:rFonts w:hint="eastAsia"/>
          <w:color w:val="auto"/>
          <w:spacing w:val="-13"/>
          <w:highlight w:val="none"/>
        </w:rPr>
        <w:t>9、是否需要现场勘查</w:t>
      </w:r>
      <w:r>
        <w:rPr>
          <w:rFonts w:hint="eastAsia"/>
          <w:color w:val="auto"/>
          <w:spacing w:val="-13"/>
          <w:highlight w:val="none"/>
          <w:lang w:eastAsia="zh-CN"/>
        </w:rPr>
        <w:t>：</w:t>
      </w:r>
      <w:r>
        <w:rPr>
          <w:rFonts w:hint="eastAsia"/>
          <w:color w:val="auto"/>
          <w:spacing w:val="-13"/>
          <w:highlight w:val="none"/>
          <w:lang w:val="en-US" w:eastAsia="zh-CN"/>
        </w:rPr>
        <w:t>否，自行勘察</w:t>
      </w:r>
    </w:p>
    <w:p w14:paraId="3B1F123D">
      <w:pPr>
        <w:pStyle w:val="8"/>
        <w:ind w:firstLine="428" w:firstLineChars="200"/>
        <w:rPr>
          <w:rFonts w:hint="default"/>
          <w:lang w:val="en-US" w:eastAsia="zh-CN"/>
        </w:rPr>
      </w:pPr>
      <w:r>
        <w:rPr>
          <w:rFonts w:hint="eastAsia"/>
          <w:color w:val="auto"/>
          <w:spacing w:val="-13"/>
          <w:highlight w:val="none"/>
          <w:lang w:val="en-US" w:eastAsia="zh-CN"/>
        </w:rPr>
        <w:t>10、所属行业：建筑业</w:t>
      </w:r>
    </w:p>
    <w:p w14:paraId="5E4C20DB">
      <w:pPr>
        <w:pStyle w:val="7"/>
        <w:adjustRightInd w:val="0"/>
        <w:snapToGrid w:val="0"/>
        <w:spacing w:line="360" w:lineRule="auto"/>
        <w:rPr>
          <w:color w:val="auto"/>
          <w:spacing w:val="-13"/>
          <w:highlight w:val="none"/>
        </w:rPr>
      </w:pPr>
      <w:bookmarkStart w:id="13" w:name="第三部分__谈判项目要求"/>
      <w:bookmarkEnd w:id="13"/>
      <w:bookmarkStart w:id="14" w:name="_bookmark3"/>
      <w:bookmarkEnd w:id="14"/>
      <w:r>
        <w:rPr>
          <w:color w:val="auto"/>
          <w:spacing w:val="-13"/>
          <w:highlight w:val="none"/>
        </w:rPr>
        <w:t>三</w:t>
      </w:r>
      <w:r>
        <w:rPr>
          <w:rFonts w:hint="eastAsia"/>
          <w:color w:val="auto"/>
          <w:spacing w:val="-13"/>
          <w:highlight w:val="none"/>
        </w:rPr>
        <w:t>、</w:t>
      </w:r>
      <w:r>
        <w:rPr>
          <w:color w:val="auto"/>
          <w:spacing w:val="-13"/>
          <w:highlight w:val="none"/>
        </w:rPr>
        <w:t>工程量清单</w:t>
      </w:r>
    </w:p>
    <w:p w14:paraId="3F38A037">
      <w:pPr>
        <w:jc w:val="center"/>
        <w:rPr>
          <w:rFonts w:hint="eastAsia"/>
          <w:color w:val="auto"/>
          <w:spacing w:val="-13"/>
          <w:highlight w:val="none"/>
          <w:lang w:eastAsia="zh-CN"/>
        </w:rPr>
      </w:pPr>
    </w:p>
    <w:p w14:paraId="069606F4">
      <w:pPr>
        <w:jc w:val="center"/>
        <w:rPr>
          <w:rFonts w:hint="eastAsia"/>
          <w:color w:val="auto"/>
          <w:spacing w:val="-13"/>
          <w:highlight w:val="none"/>
          <w:lang w:eastAsia="zh-CN"/>
        </w:rPr>
      </w:pPr>
    </w:p>
    <w:p w14:paraId="7BD3E108">
      <w:pPr>
        <w:jc w:val="center"/>
        <w:rPr>
          <w:rFonts w:hint="eastAsia"/>
          <w:color w:val="auto"/>
          <w:spacing w:val="-13"/>
          <w:highlight w:val="none"/>
          <w:lang w:eastAsia="zh-CN"/>
        </w:rPr>
      </w:pPr>
    </w:p>
    <w:p w14:paraId="0CEEADC0">
      <w:pPr>
        <w:jc w:val="center"/>
        <w:rPr>
          <w:rFonts w:hint="eastAsia"/>
          <w:color w:val="auto"/>
          <w:spacing w:val="-13"/>
          <w:highlight w:val="none"/>
          <w:lang w:eastAsia="zh-CN"/>
        </w:rPr>
      </w:pPr>
      <w:bookmarkStart w:id="45" w:name="_GoBack"/>
      <w:bookmarkEnd w:id="45"/>
      <w:r>
        <w:rPr>
          <w:rFonts w:hint="eastAsia"/>
          <w:color w:val="auto"/>
          <w:spacing w:val="-13"/>
          <w:highlight w:val="none"/>
          <w:lang w:eastAsia="zh-CN"/>
        </w:rPr>
        <w:t>（</w:t>
      </w:r>
      <w:r>
        <w:rPr>
          <w:rFonts w:hint="eastAsia"/>
          <w:color w:val="auto"/>
          <w:spacing w:val="-13"/>
          <w:highlight w:val="none"/>
          <w:lang w:val="en-US" w:eastAsia="zh-CN"/>
        </w:rPr>
        <w:t>详见附件</w:t>
      </w:r>
      <w:r>
        <w:rPr>
          <w:rFonts w:hint="eastAsia"/>
          <w:color w:val="auto"/>
          <w:spacing w:val="-13"/>
          <w:highlight w:val="none"/>
          <w:lang w:eastAsia="zh-CN"/>
        </w:rPr>
        <w:t>）</w:t>
      </w:r>
    </w:p>
    <w:p w14:paraId="66A7611E">
      <w:pPr>
        <w:rPr>
          <w:rFonts w:hint="eastAsia"/>
          <w:color w:val="auto"/>
          <w:spacing w:val="-13"/>
          <w:highlight w:val="none"/>
          <w:lang w:eastAsia="zh-CN"/>
        </w:rPr>
      </w:pPr>
      <w:r>
        <w:rPr>
          <w:rFonts w:hint="eastAsia"/>
          <w:color w:val="auto"/>
          <w:spacing w:val="-13"/>
          <w:highlight w:val="none"/>
          <w:lang w:eastAsia="zh-CN"/>
        </w:rPr>
        <w:br w:type="page"/>
      </w:r>
    </w:p>
    <w:tbl>
      <w:tblPr>
        <w:tblStyle w:val="18"/>
        <w:tblW w:w="834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18"/>
        <w:gridCol w:w="1096"/>
        <w:gridCol w:w="903"/>
        <w:gridCol w:w="714"/>
        <w:gridCol w:w="4909"/>
      </w:tblGrid>
      <w:tr w14:paraId="3B883D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98" w:hRule="atLeast"/>
        </w:trPr>
        <w:tc>
          <w:tcPr>
            <w:tcW w:w="8340" w:type="dxa"/>
            <w:gridSpan w:val="5"/>
            <w:tcBorders>
              <w:top w:val="single" w:color="000000" w:sz="4" w:space="0"/>
              <w:left w:val="single" w:color="000000" w:sz="4" w:space="0"/>
              <w:bottom w:val="single" w:color="000000" w:sz="4" w:space="0"/>
              <w:right w:val="single" w:color="000000" w:sz="4" w:space="0"/>
            </w:tcBorders>
            <w:shd w:val="clear" w:color="auto" w:fill="auto"/>
            <w:noWrap/>
            <w:vAlign w:val="center"/>
          </w:tcPr>
          <w:p w14:paraId="624A1C16">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auto"/>
                <w:sz w:val="24"/>
                <w:szCs w:val="24"/>
                <w:highlight w:val="none"/>
                <w:u w:val="none"/>
                <w:lang w:val="en-US"/>
              </w:rPr>
            </w:pPr>
            <w:r>
              <w:rPr>
                <w:rFonts w:hint="eastAsia" w:ascii="宋体" w:hAnsi="宋体" w:eastAsia="宋体" w:cs="宋体"/>
                <w:b/>
                <w:bCs/>
                <w:i w:val="0"/>
                <w:iCs w:val="0"/>
                <w:color w:val="auto"/>
                <w:kern w:val="0"/>
                <w:sz w:val="24"/>
                <w:szCs w:val="24"/>
                <w:highlight w:val="none"/>
                <w:u w:val="none"/>
                <w:lang w:val="en-US" w:eastAsia="zh-CN" w:bidi="ar"/>
              </w:rPr>
              <w:t>智慧消防管理系统技术需求</w:t>
            </w:r>
          </w:p>
        </w:tc>
      </w:tr>
      <w:tr w14:paraId="535204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90" w:hRule="atLeast"/>
        </w:trPr>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1F93A7">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序号</w:t>
            </w:r>
          </w:p>
        </w:tc>
        <w:tc>
          <w:tcPr>
            <w:tcW w:w="1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753D0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kern w:val="0"/>
                <w:sz w:val="24"/>
                <w:szCs w:val="24"/>
                <w:highlight w:val="none"/>
                <w:u w:val="none"/>
                <w:lang w:val="en-US" w:eastAsia="zh-CN" w:bidi="ar"/>
              </w:rPr>
            </w:pPr>
            <w:r>
              <w:rPr>
                <w:rFonts w:hint="eastAsia" w:ascii="宋体" w:hAnsi="宋体" w:eastAsia="宋体" w:cs="宋体"/>
                <w:i w:val="0"/>
                <w:iCs w:val="0"/>
                <w:color w:val="auto"/>
                <w:kern w:val="0"/>
                <w:sz w:val="24"/>
                <w:szCs w:val="24"/>
                <w:highlight w:val="none"/>
                <w:u w:val="none"/>
                <w:lang w:val="en-US" w:eastAsia="zh-CN" w:bidi="ar"/>
              </w:rPr>
              <w:t>设备名称</w:t>
            </w:r>
          </w:p>
        </w:tc>
        <w:tc>
          <w:tcPr>
            <w:tcW w:w="90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6B1D60">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单位</w:t>
            </w:r>
          </w:p>
        </w:tc>
        <w:tc>
          <w:tcPr>
            <w:tcW w:w="71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9EEEB1">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数量</w:t>
            </w:r>
          </w:p>
        </w:tc>
        <w:tc>
          <w:tcPr>
            <w:tcW w:w="49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17A784">
            <w:pPr>
              <w:keepNext w:val="0"/>
              <w:keepLines w:val="0"/>
              <w:pageBreakBefore w:val="0"/>
              <w:kinsoku/>
              <w:wordWrap/>
              <w:overflowPunct/>
              <w:topLinePunct w:val="0"/>
              <w:autoSpaceDE/>
              <w:autoSpaceDN/>
              <w:bidi w:val="0"/>
              <w:adjustRightInd/>
              <w:snapToGrid/>
              <w:spacing w:line="400" w:lineRule="exact"/>
              <w:jc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功能说明</w:t>
            </w:r>
          </w:p>
        </w:tc>
      </w:tr>
      <w:tr w14:paraId="5B279B6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51" w:hRule="atLeast"/>
        </w:trPr>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F6A01A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1</w:t>
            </w:r>
          </w:p>
        </w:tc>
        <w:tc>
          <w:tcPr>
            <w:tcW w:w="1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93DF8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智慧消防平台</w:t>
            </w:r>
          </w:p>
        </w:tc>
        <w:tc>
          <w:tcPr>
            <w:tcW w:w="90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094E4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系统</w:t>
            </w:r>
          </w:p>
        </w:tc>
        <w:tc>
          <w:tcPr>
            <w:tcW w:w="71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46592A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49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1F871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color w:val="auto"/>
                <w:sz w:val="24"/>
                <w:szCs w:val="24"/>
                <w:highlight w:val="none"/>
              </w:rPr>
              <w:t>该平台⽀持⾃定义监控场景及传感器数据绑定，提供灵活可视化⼤屏配置（含图表/地 图/表格等组件），兼容Excel与API数据接⼊。具备可配置的数字化审批流、预设+⾃定 义巡检功能、跨企业数据共享协作，以及多场景⾃动化控制（如断电/联动配置）。同 时实现报警信息的多级分发推送，满⾜消防、安防等多领域管理需求。</w:t>
            </w:r>
          </w:p>
        </w:tc>
      </w:tr>
      <w:tr w14:paraId="29601A2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783" w:hRule="atLeast"/>
        </w:trPr>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73035D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2</w:t>
            </w:r>
          </w:p>
        </w:tc>
        <w:tc>
          <w:tcPr>
            <w:tcW w:w="1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5AF40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消防联动控制器</w:t>
            </w:r>
          </w:p>
        </w:tc>
        <w:tc>
          <w:tcPr>
            <w:tcW w:w="90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9A6D2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c>
          <w:tcPr>
            <w:tcW w:w="71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1993C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49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BCF395">
            <w:pPr>
              <w:pStyle w:val="50"/>
              <w:keepNext w:val="0"/>
              <w:keepLines w:val="0"/>
              <w:pageBreakBefore w:val="0"/>
              <w:kinsoku/>
              <w:wordWrap/>
              <w:overflowPunct/>
              <w:topLinePunct w:val="0"/>
              <w:autoSpaceDE/>
              <w:autoSpaceDN/>
              <w:bidi w:val="0"/>
              <w:adjustRightInd/>
              <w:snapToGrid/>
              <w:spacing w:line="400" w:lineRule="exact"/>
              <w:ind w:left="300" w:hanging="3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可监测消防设备设电源、运行、故障、手自动等状态信息，也可通过开关量输出实现设备的反控。</w:t>
            </w: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1. 设备本身包含12路DI接口，可通过跳针切换有源信号及无源信号两种信号输入。</w:t>
            </w:r>
          </w:p>
          <w:p w14:paraId="3DD999FC">
            <w:pPr>
              <w:pStyle w:val="50"/>
              <w:keepNext w:val="0"/>
              <w:keepLines w:val="0"/>
              <w:pageBreakBefore w:val="0"/>
              <w:kinsoku/>
              <w:wordWrap/>
              <w:overflowPunct/>
              <w:topLinePunct w:val="0"/>
              <w:autoSpaceDE/>
              <w:autoSpaceDN/>
              <w:bidi w:val="0"/>
              <w:adjustRightInd/>
              <w:snapToGrid/>
              <w:spacing w:line="400" w:lineRule="exact"/>
              <w:ind w:left="300" w:hanging="3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2. DI接口除可监测消防风机、水泵的【断电/通电】、【停止/运行】、【正常/故障】、【手动/自动】实时状态外，也可通过接入其他开关量信号实现异常事件报警。</w:t>
            </w:r>
          </w:p>
          <w:p w14:paraId="5FF51FF4">
            <w:pPr>
              <w:pStyle w:val="50"/>
              <w:keepNext w:val="0"/>
              <w:keepLines w:val="0"/>
              <w:pageBreakBefore w:val="0"/>
              <w:kinsoku/>
              <w:wordWrap/>
              <w:overflowPunct/>
              <w:topLinePunct w:val="0"/>
              <w:autoSpaceDE/>
              <w:autoSpaceDN/>
              <w:bidi w:val="0"/>
              <w:adjustRightInd/>
              <w:snapToGrid/>
              <w:spacing w:line="400" w:lineRule="exact"/>
              <w:ind w:left="300" w:hanging="3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3. 通过DO接口可实现设备的远程控制。</w:t>
            </w:r>
          </w:p>
          <w:p w14:paraId="59D7B173">
            <w:pPr>
              <w:pStyle w:val="50"/>
              <w:keepNext w:val="0"/>
              <w:keepLines w:val="0"/>
              <w:pageBreakBefore w:val="0"/>
              <w:kinsoku/>
              <w:wordWrap/>
              <w:overflowPunct/>
              <w:topLinePunct w:val="0"/>
              <w:autoSpaceDE/>
              <w:autoSpaceDN/>
              <w:bidi w:val="0"/>
              <w:adjustRightInd/>
              <w:snapToGrid/>
              <w:spacing w:line="400" w:lineRule="exact"/>
              <w:ind w:left="300" w:hanging="3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4.采用分布式模块设计，兼容所有 modbus协议，可接入16个不同类型、不同协议的RS485传感器，用于各类设备的状态监测及环境探测，可根据现场实际应用自由选择各类不同的传感器设备，更灵活。</w:t>
            </w:r>
          </w:p>
          <w:p w14:paraId="42BF7280">
            <w:pPr>
              <w:pStyle w:val="50"/>
              <w:keepNext w:val="0"/>
              <w:keepLines w:val="0"/>
              <w:pageBreakBefore w:val="0"/>
              <w:kinsoku/>
              <w:wordWrap/>
              <w:overflowPunct/>
              <w:topLinePunct w:val="0"/>
              <w:autoSpaceDE/>
              <w:autoSpaceDN/>
              <w:bidi w:val="0"/>
              <w:adjustRightInd/>
              <w:snapToGrid/>
              <w:spacing w:line="400" w:lineRule="exact"/>
              <w:ind w:left="300" w:hanging="3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5.采用10/100M以太网口，数据上传支持TCP/IP、UDP、FTP、HTTP等多种网络协议；支持DHCP及静态IP多种联网方式，网络调试更加简单。</w:t>
            </w:r>
          </w:p>
          <w:p w14:paraId="45987DA7">
            <w:pPr>
              <w:pStyle w:val="50"/>
              <w:keepNext w:val="0"/>
              <w:keepLines w:val="0"/>
              <w:pageBreakBefore w:val="0"/>
              <w:kinsoku/>
              <w:wordWrap/>
              <w:overflowPunct/>
              <w:topLinePunct w:val="0"/>
              <w:autoSpaceDE/>
              <w:autoSpaceDN/>
              <w:bidi w:val="0"/>
              <w:adjustRightInd/>
              <w:snapToGrid/>
              <w:spacing w:line="400" w:lineRule="exact"/>
              <w:ind w:left="300" w:hanging="3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6.RTU网关采用DC 24V供电，便于弱电运维和安全更换。</w:t>
            </w:r>
          </w:p>
          <w:p w14:paraId="061951C1">
            <w:pPr>
              <w:pStyle w:val="50"/>
              <w:keepNext w:val="0"/>
              <w:keepLines w:val="0"/>
              <w:pageBreakBefore w:val="0"/>
              <w:kinsoku/>
              <w:wordWrap/>
              <w:overflowPunct/>
              <w:topLinePunct w:val="0"/>
              <w:autoSpaceDE/>
              <w:autoSpaceDN/>
              <w:bidi w:val="0"/>
              <w:adjustRightInd/>
              <w:snapToGrid/>
              <w:spacing w:line="400" w:lineRule="exact"/>
              <w:ind w:left="300" w:hanging="3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7.各类指示灯可显示电源、通讯、485、IO等状态的实时信息。</w:t>
            </w:r>
          </w:p>
          <w:p w14:paraId="146203AD">
            <w:pPr>
              <w:pStyle w:val="50"/>
              <w:keepNext w:val="0"/>
              <w:keepLines w:val="0"/>
              <w:pageBreakBefore w:val="0"/>
              <w:kinsoku/>
              <w:wordWrap/>
              <w:overflowPunct/>
              <w:topLinePunct w:val="0"/>
              <w:autoSpaceDE/>
              <w:autoSpaceDN/>
              <w:bidi w:val="0"/>
              <w:adjustRightInd/>
              <w:snapToGrid/>
              <w:spacing w:line="400" w:lineRule="exact"/>
              <w:ind w:left="300" w:hanging="3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8.消防设备状态监控器对下行采集数据进行边缘计算，减少海量设备接入时的平台资源消耗。</w:t>
            </w:r>
          </w:p>
          <w:p w14:paraId="0F33BDEC">
            <w:pPr>
              <w:pStyle w:val="50"/>
              <w:keepNext w:val="0"/>
              <w:keepLines w:val="0"/>
              <w:pageBreakBefore w:val="0"/>
              <w:kinsoku/>
              <w:wordWrap/>
              <w:overflowPunct/>
              <w:topLinePunct w:val="0"/>
              <w:autoSpaceDE/>
              <w:autoSpaceDN/>
              <w:bidi w:val="0"/>
              <w:adjustRightInd/>
              <w:snapToGrid/>
              <w:spacing w:line="400" w:lineRule="exact"/>
              <w:ind w:left="300" w:hanging="300"/>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9.由TYPE-C接口配合专用调试软件进行设备调试，无需制作通讯线，配置更加简单；可通过串口设定传感器报警及上报规则，配置更灵活，支持定制化接入非标协议。</w:t>
            </w:r>
          </w:p>
          <w:p w14:paraId="04DCB06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color w:val="auto"/>
                <w:sz w:val="24"/>
                <w:szCs w:val="24"/>
                <w:highlight w:val="none"/>
              </w:rPr>
              <w:t>10.通过专有的调试软件可灵活配置远程服务器IP、端口，上传周期，报警阈值等参数。</w:t>
            </w:r>
          </w:p>
        </w:tc>
      </w:tr>
      <w:tr w14:paraId="37C2CB9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993" w:hRule="atLeast"/>
        </w:trPr>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797C0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3</w:t>
            </w:r>
          </w:p>
        </w:tc>
        <w:tc>
          <w:tcPr>
            <w:tcW w:w="1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8CE39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用户信息传输装置</w:t>
            </w:r>
          </w:p>
        </w:tc>
        <w:tc>
          <w:tcPr>
            <w:tcW w:w="90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9D1D8D">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c>
          <w:tcPr>
            <w:tcW w:w="71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294A4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49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F0A96A">
            <w:pPr>
              <w:pStyle w:val="7"/>
              <w:keepNext w:val="0"/>
              <w:keepLines w:val="0"/>
              <w:pageBreakBefore w:val="0"/>
              <w:kinsoku/>
              <w:wordWrap/>
              <w:overflowPunct/>
              <w:topLinePunct w:val="0"/>
              <w:autoSpaceDE/>
              <w:autoSpaceDN/>
              <w:bidi w:val="0"/>
              <w:adjustRightInd/>
              <w:snapToGrid/>
              <w:spacing w:line="400" w:lineRule="exact"/>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1、用户信息传输装置的采用主备电工作模式，主备电自动切换。内置备电连续运行时间≥8小时。</w:t>
            </w:r>
          </w:p>
          <w:p w14:paraId="7FA033B3">
            <w:pPr>
              <w:pStyle w:val="7"/>
              <w:keepNext w:val="0"/>
              <w:keepLines w:val="0"/>
              <w:pageBreakBefore w:val="0"/>
              <w:kinsoku/>
              <w:wordWrap/>
              <w:overflowPunct/>
              <w:topLinePunct w:val="0"/>
              <w:autoSpaceDE/>
              <w:autoSpaceDN/>
              <w:bidi w:val="0"/>
              <w:adjustRightInd/>
              <w:snapToGrid/>
              <w:spacing w:line="400" w:lineRule="exact"/>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2、用户信息传输装置设有液晶屏幕，屏幕显示简体中文界面及图形。</w:t>
            </w:r>
          </w:p>
          <w:p w14:paraId="3FEC6552">
            <w:pPr>
              <w:pStyle w:val="7"/>
              <w:keepNext w:val="0"/>
              <w:keepLines w:val="0"/>
              <w:pageBreakBefore w:val="0"/>
              <w:kinsoku/>
              <w:wordWrap/>
              <w:overflowPunct/>
              <w:topLinePunct w:val="0"/>
              <w:autoSpaceDE/>
              <w:autoSpaceDN/>
              <w:bidi w:val="0"/>
              <w:adjustRightInd/>
              <w:snapToGrid/>
              <w:spacing w:line="400" w:lineRule="exact"/>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3、用户信息传输装置可通过指示灯或文字显示方式，明确指示各类信息的传输过程、传输成功失败等状态。</w:t>
            </w:r>
          </w:p>
          <w:p w14:paraId="6AF7C80A">
            <w:pPr>
              <w:pStyle w:val="7"/>
              <w:keepNext w:val="0"/>
              <w:keepLines w:val="0"/>
              <w:pageBreakBefore w:val="0"/>
              <w:kinsoku/>
              <w:wordWrap/>
              <w:overflowPunct/>
              <w:topLinePunct w:val="0"/>
              <w:autoSpaceDE/>
              <w:autoSpaceDN/>
              <w:bidi w:val="0"/>
              <w:adjustRightInd/>
              <w:snapToGrid/>
              <w:spacing w:line="400" w:lineRule="exact"/>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4、用户信息传输装置具有信息重发功能，信息重发机制满足GB/T 26875.3-20121中6.5的要求。传输装置在传输信息失败后，应能发出指示传输信息失败或通信故障的声信号。</w:t>
            </w:r>
          </w:p>
          <w:p w14:paraId="3EC20BE3">
            <w:pPr>
              <w:pStyle w:val="7"/>
              <w:keepNext w:val="0"/>
              <w:keepLines w:val="0"/>
              <w:pageBreakBefore w:val="0"/>
              <w:kinsoku/>
              <w:wordWrap/>
              <w:overflowPunct/>
              <w:topLinePunct w:val="0"/>
              <w:autoSpaceDE/>
              <w:autoSpaceDN/>
              <w:bidi w:val="0"/>
              <w:adjustRightInd/>
              <w:snapToGrid/>
              <w:spacing w:line="400" w:lineRule="exact"/>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5、用户信息传输装置支持接收和上传火灾自动报警主机的火警信息、故障状态信息、监管报警、屏蔽报警等信息。</w:t>
            </w:r>
          </w:p>
          <w:p w14:paraId="354EDECE">
            <w:pPr>
              <w:pStyle w:val="7"/>
              <w:keepNext w:val="0"/>
              <w:keepLines w:val="0"/>
              <w:pageBreakBefore w:val="0"/>
              <w:kinsoku/>
              <w:wordWrap/>
              <w:overflowPunct/>
              <w:topLinePunct w:val="0"/>
              <w:autoSpaceDE/>
              <w:autoSpaceDN/>
              <w:bidi w:val="0"/>
              <w:adjustRightInd/>
              <w:snapToGrid/>
              <w:spacing w:line="400" w:lineRule="exact"/>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6、用户信息传输装置具备报警确认和手动报警按键，值班人员可通过按键快速确认警情或手动上报警情。</w:t>
            </w:r>
          </w:p>
          <w:p w14:paraId="2DC6486C">
            <w:pPr>
              <w:pStyle w:val="7"/>
              <w:keepNext w:val="0"/>
              <w:keepLines w:val="0"/>
              <w:pageBreakBefore w:val="0"/>
              <w:kinsoku/>
              <w:wordWrap/>
              <w:overflowPunct/>
              <w:topLinePunct w:val="0"/>
              <w:autoSpaceDE/>
              <w:autoSpaceDN/>
              <w:bidi w:val="0"/>
              <w:adjustRightInd/>
              <w:snapToGrid/>
              <w:spacing w:line="400" w:lineRule="exact"/>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7、用户信息传输装置设有各种功能按键，用于消音、复位等基础操作和对用户信息传输装置进行设置。</w:t>
            </w:r>
          </w:p>
          <w:p w14:paraId="2AD52AEE">
            <w:pPr>
              <w:pStyle w:val="7"/>
              <w:keepNext w:val="0"/>
              <w:keepLines w:val="0"/>
              <w:pageBreakBefore w:val="0"/>
              <w:kinsoku/>
              <w:wordWrap/>
              <w:overflowPunct/>
              <w:topLinePunct w:val="0"/>
              <w:autoSpaceDE/>
              <w:autoSpaceDN/>
              <w:bidi w:val="0"/>
              <w:adjustRightInd/>
              <w:snapToGrid/>
              <w:spacing w:line="400" w:lineRule="exact"/>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8、用户信息传输装置设有查岗应答功能按键，能够通过按键进行上下班考勤、查岗应答等操作。</w:t>
            </w:r>
          </w:p>
          <w:p w14:paraId="4EDCC22E">
            <w:pPr>
              <w:pStyle w:val="7"/>
              <w:keepNext w:val="0"/>
              <w:keepLines w:val="0"/>
              <w:pageBreakBefore w:val="0"/>
              <w:kinsoku/>
              <w:wordWrap/>
              <w:overflowPunct/>
              <w:topLinePunct w:val="0"/>
              <w:autoSpaceDE/>
              <w:autoSpaceDN/>
              <w:bidi w:val="0"/>
              <w:adjustRightInd/>
              <w:snapToGrid/>
              <w:spacing w:line="400" w:lineRule="exact"/>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9、用户信息传输装置具有本机故障、电源故障、通讯故障、与消防主机之间连线监测功能，能够通过液晶屏幕显示相关信息并将信息自动上传。</w:t>
            </w:r>
          </w:p>
          <w:p w14:paraId="061230C3">
            <w:pPr>
              <w:pStyle w:val="7"/>
              <w:keepNext w:val="0"/>
              <w:keepLines w:val="0"/>
              <w:pageBreakBefore w:val="0"/>
              <w:kinsoku/>
              <w:wordWrap/>
              <w:overflowPunct/>
              <w:topLinePunct w:val="0"/>
              <w:autoSpaceDE/>
              <w:autoSpaceDN/>
              <w:bidi w:val="0"/>
              <w:adjustRightInd/>
              <w:snapToGrid/>
              <w:spacing w:line="400" w:lineRule="exact"/>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10、用户信息传输装置拥有4路开关量信号输入端口，2路无源信号输出。</w:t>
            </w:r>
          </w:p>
          <w:p w14:paraId="02E55859">
            <w:pPr>
              <w:pStyle w:val="7"/>
              <w:keepNext w:val="0"/>
              <w:keepLines w:val="0"/>
              <w:pageBreakBefore w:val="0"/>
              <w:kinsoku/>
              <w:wordWrap/>
              <w:overflowPunct/>
              <w:topLinePunct w:val="0"/>
              <w:autoSpaceDE/>
              <w:autoSpaceDN/>
              <w:bidi w:val="0"/>
              <w:adjustRightInd/>
              <w:snapToGrid/>
              <w:spacing w:line="400" w:lineRule="exact"/>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11、用户信息传输装置的RS232/RS485接口具有安全隔离措施，保障工作稳定，防止其他设备干扰。</w:t>
            </w:r>
          </w:p>
          <w:p w14:paraId="337B07F4">
            <w:pPr>
              <w:pStyle w:val="7"/>
              <w:keepNext w:val="0"/>
              <w:keepLines w:val="0"/>
              <w:pageBreakBefore w:val="0"/>
              <w:kinsoku/>
              <w:wordWrap/>
              <w:overflowPunct/>
              <w:topLinePunct w:val="0"/>
              <w:autoSpaceDE/>
              <w:autoSpaceDN/>
              <w:bidi w:val="0"/>
              <w:adjustRightInd/>
              <w:snapToGrid/>
              <w:spacing w:line="400" w:lineRule="exact"/>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12、“黑匣子”功能，可存储本机记录2000条、火警记录6000条、其他记录6000条，信息掉电不丢失。</w:t>
            </w:r>
          </w:p>
          <w:p w14:paraId="11ECE946">
            <w:pPr>
              <w:pStyle w:val="7"/>
              <w:keepNext w:val="0"/>
              <w:keepLines w:val="0"/>
              <w:pageBreakBefore w:val="0"/>
              <w:kinsoku/>
              <w:wordWrap/>
              <w:overflowPunct/>
              <w:topLinePunct w:val="0"/>
              <w:autoSpaceDE/>
              <w:autoSpaceDN/>
              <w:bidi w:val="0"/>
              <w:adjustRightInd/>
              <w:snapToGrid/>
              <w:spacing w:line="400" w:lineRule="exact"/>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13、可采用TCP\GPRS等多种模式上传信息</w:t>
            </w:r>
          </w:p>
          <w:p w14:paraId="48BDCD70">
            <w:pPr>
              <w:pStyle w:val="7"/>
              <w:keepNext w:val="0"/>
              <w:keepLines w:val="0"/>
              <w:pageBreakBefore w:val="0"/>
              <w:kinsoku/>
              <w:wordWrap/>
              <w:overflowPunct/>
              <w:topLinePunct w:val="0"/>
              <w:autoSpaceDE/>
              <w:autoSpaceDN/>
              <w:bidi w:val="0"/>
              <w:adjustRightInd/>
              <w:snapToGrid/>
              <w:spacing w:line="400" w:lineRule="exact"/>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14、具有多种数据接口，兼容更多厂家设备。具备1路RS232、1路RS485、1路CAN通讯接口。</w:t>
            </w:r>
          </w:p>
          <w:p w14:paraId="347F2591">
            <w:pPr>
              <w:pStyle w:val="7"/>
              <w:keepNext w:val="0"/>
              <w:keepLines w:val="0"/>
              <w:pageBreakBefore w:val="0"/>
              <w:kinsoku/>
              <w:wordWrap/>
              <w:overflowPunct/>
              <w:topLinePunct w:val="0"/>
              <w:autoSpaceDE/>
              <w:autoSpaceDN/>
              <w:bidi w:val="0"/>
              <w:adjustRightInd/>
              <w:snapToGrid/>
              <w:spacing w:line="400" w:lineRule="exact"/>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15、内置上百种主流火灾报警控制器主机通讯协议</w:t>
            </w:r>
          </w:p>
          <w:p w14:paraId="0CD10A63">
            <w:pPr>
              <w:pStyle w:val="7"/>
              <w:keepNext w:val="0"/>
              <w:keepLines w:val="0"/>
              <w:pageBreakBefore w:val="0"/>
              <w:kinsoku/>
              <w:wordWrap/>
              <w:overflowPunct/>
              <w:topLinePunct w:val="0"/>
              <w:autoSpaceDE/>
              <w:autoSpaceDN/>
              <w:bidi w:val="0"/>
              <w:adjustRightInd/>
              <w:snapToGrid/>
              <w:spacing w:line="400" w:lineRule="exact"/>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16、报警反应时间≤5S，支持声光报警及语音提示</w:t>
            </w:r>
          </w:p>
          <w:p w14:paraId="4A884238">
            <w:pPr>
              <w:pStyle w:val="7"/>
              <w:keepNext w:val="0"/>
              <w:keepLines w:val="0"/>
              <w:pageBreakBefore w:val="0"/>
              <w:kinsoku/>
              <w:wordWrap/>
              <w:overflowPunct/>
              <w:topLinePunct w:val="0"/>
              <w:autoSpaceDE/>
              <w:autoSpaceDN/>
              <w:bidi w:val="0"/>
              <w:adjustRightInd/>
              <w:snapToGrid/>
              <w:spacing w:line="400" w:lineRule="exact"/>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17、该用户信息传输装置符合消防3C认证《强制性产品认证实施规则火灾报警产品》</w:t>
            </w:r>
          </w:p>
          <w:p w14:paraId="6EC41C1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18、该用户信息传输装置各项技术指标完全符合GB26875《城市消防远程监控系统》和GB16806《消防联动控制系统》</w:t>
            </w:r>
          </w:p>
        </w:tc>
      </w:tr>
      <w:tr w14:paraId="04B6666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911" w:hRule="atLeast"/>
        </w:trPr>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E16365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4</w:t>
            </w:r>
          </w:p>
        </w:tc>
        <w:tc>
          <w:tcPr>
            <w:tcW w:w="1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4012B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消防管网压力探测器</w:t>
            </w:r>
          </w:p>
        </w:tc>
        <w:tc>
          <w:tcPr>
            <w:tcW w:w="90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DB362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只</w:t>
            </w:r>
          </w:p>
        </w:tc>
        <w:tc>
          <w:tcPr>
            <w:tcW w:w="71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ED6D5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w:t>
            </w:r>
          </w:p>
        </w:tc>
        <w:tc>
          <w:tcPr>
            <w:tcW w:w="49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D5C59A">
            <w:pPr>
              <w:pStyle w:val="50"/>
              <w:keepNext w:val="0"/>
              <w:keepLines w:val="0"/>
              <w:pageBreakBefore w:val="0"/>
              <w:kinsoku/>
              <w:wordWrap/>
              <w:overflowPunct/>
              <w:topLinePunct w:val="0"/>
              <w:autoSpaceDE/>
              <w:autoSpaceDN/>
              <w:bidi w:val="0"/>
              <w:adjustRightInd/>
              <w:snapToGrid/>
              <w:spacing w:line="400" w:lineRule="exact"/>
              <w:ind w:left="300" w:hanging="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1、探测器内置高精度压力传感器，配备大尺寸LCD液晶显示，可以实时显示监测管网内实时压力值。</w:t>
            </w:r>
          </w:p>
          <w:p w14:paraId="740A64A2">
            <w:pPr>
              <w:pStyle w:val="50"/>
              <w:keepNext w:val="0"/>
              <w:keepLines w:val="0"/>
              <w:pageBreakBefore w:val="0"/>
              <w:kinsoku/>
              <w:wordWrap/>
              <w:overflowPunct/>
              <w:topLinePunct w:val="0"/>
              <w:autoSpaceDE/>
              <w:autoSpaceDN/>
              <w:bidi w:val="0"/>
              <w:adjustRightInd/>
              <w:snapToGrid/>
              <w:spacing w:line="400" w:lineRule="exact"/>
              <w:ind w:left="300" w:hanging="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2、探测器采用高强度尼龙外壳和304不锈钢接头，内置MCU,单节3.6V电池供电，低功耗，电池工作时间长。</w:t>
            </w:r>
          </w:p>
          <w:p w14:paraId="4DC383D3">
            <w:pPr>
              <w:pStyle w:val="50"/>
              <w:keepNext w:val="0"/>
              <w:keepLines w:val="0"/>
              <w:pageBreakBefore w:val="0"/>
              <w:kinsoku/>
              <w:wordWrap/>
              <w:overflowPunct/>
              <w:topLinePunct w:val="0"/>
              <w:autoSpaceDE/>
              <w:autoSpaceDN/>
              <w:bidi w:val="0"/>
              <w:adjustRightInd/>
              <w:snapToGrid/>
              <w:spacing w:line="400" w:lineRule="exact"/>
              <w:ind w:left="300" w:hanging="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3、采用标准G1/2螺纹可通过三通进行安装，安装简便。可定制其他螺纹。</w:t>
            </w:r>
          </w:p>
          <w:p w14:paraId="60A521EC">
            <w:pPr>
              <w:pStyle w:val="50"/>
              <w:keepNext w:val="0"/>
              <w:keepLines w:val="0"/>
              <w:pageBreakBefore w:val="0"/>
              <w:kinsoku/>
              <w:wordWrap/>
              <w:overflowPunct/>
              <w:topLinePunct w:val="0"/>
              <w:autoSpaceDE/>
              <w:autoSpaceDN/>
              <w:bidi w:val="0"/>
              <w:adjustRightInd/>
              <w:snapToGrid/>
              <w:spacing w:line="400" w:lineRule="exact"/>
              <w:ind w:left="300" w:hanging="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4、支持4G或NB-IOT两种通讯方式，可根据用户需求进行通讯方式的切换。</w:t>
            </w:r>
          </w:p>
          <w:p w14:paraId="3A1346A2">
            <w:pPr>
              <w:pStyle w:val="50"/>
              <w:keepNext w:val="0"/>
              <w:keepLines w:val="0"/>
              <w:pageBreakBefore w:val="0"/>
              <w:kinsoku/>
              <w:wordWrap/>
              <w:overflowPunct/>
              <w:topLinePunct w:val="0"/>
              <w:autoSpaceDE/>
              <w:autoSpaceDN/>
              <w:bidi w:val="0"/>
              <w:adjustRightInd/>
              <w:snapToGrid/>
              <w:spacing w:line="400" w:lineRule="exact"/>
              <w:ind w:left="300" w:hanging="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5、可通过按键配置设置IP地址、报警点、采集速度，上发频率，高低压力报警值可设，即时压力报警等功能。</w:t>
            </w:r>
          </w:p>
          <w:p w14:paraId="10897DE9">
            <w:pPr>
              <w:pStyle w:val="50"/>
              <w:keepNext w:val="0"/>
              <w:keepLines w:val="0"/>
              <w:pageBreakBefore w:val="0"/>
              <w:kinsoku/>
              <w:wordWrap/>
              <w:overflowPunct/>
              <w:topLinePunct w:val="0"/>
              <w:autoSpaceDE/>
              <w:autoSpaceDN/>
              <w:bidi w:val="0"/>
              <w:adjustRightInd/>
              <w:snapToGrid/>
              <w:spacing w:line="400" w:lineRule="exact"/>
              <w:ind w:left="300" w:hanging="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6、现场报警时能10秒内上传报警数据综合性平台、手机短信、手机APP同步发警详细信息给级别管理员及用户，可通过平台配置联动声光报警。</w:t>
            </w:r>
          </w:p>
          <w:p w14:paraId="05B00AF2">
            <w:pPr>
              <w:pStyle w:val="50"/>
              <w:keepNext w:val="0"/>
              <w:keepLines w:val="0"/>
              <w:pageBreakBefore w:val="0"/>
              <w:kinsoku/>
              <w:wordWrap/>
              <w:overflowPunct/>
              <w:topLinePunct w:val="0"/>
              <w:autoSpaceDE/>
              <w:autoSpaceDN/>
              <w:bidi w:val="0"/>
              <w:adjustRightInd/>
              <w:snapToGrid/>
              <w:spacing w:line="400" w:lineRule="exact"/>
              <w:ind w:left="300" w:hanging="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7、能够查询通讯信息和信号强度。</w:t>
            </w:r>
          </w:p>
          <w:p w14:paraId="4DA09B56">
            <w:pPr>
              <w:pStyle w:val="50"/>
              <w:keepNext w:val="0"/>
              <w:keepLines w:val="0"/>
              <w:pageBreakBefore w:val="0"/>
              <w:kinsoku/>
              <w:wordWrap/>
              <w:overflowPunct/>
              <w:topLinePunct w:val="0"/>
              <w:autoSpaceDE/>
              <w:autoSpaceDN/>
              <w:bidi w:val="0"/>
              <w:adjustRightInd/>
              <w:snapToGrid/>
              <w:spacing w:line="400" w:lineRule="exact"/>
              <w:ind w:left="300" w:hanging="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8、具备管网压力监测和报警功能。</w:t>
            </w:r>
          </w:p>
          <w:p w14:paraId="25741FA4">
            <w:pPr>
              <w:pStyle w:val="50"/>
              <w:keepNext w:val="0"/>
              <w:keepLines w:val="0"/>
              <w:pageBreakBefore w:val="0"/>
              <w:kinsoku/>
              <w:wordWrap/>
              <w:overflowPunct/>
              <w:topLinePunct w:val="0"/>
              <w:autoSpaceDE/>
              <w:autoSpaceDN/>
              <w:bidi w:val="0"/>
              <w:adjustRightInd/>
              <w:snapToGrid/>
              <w:spacing w:line="400" w:lineRule="exact"/>
              <w:ind w:left="300" w:hanging="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9、抗震性强，可以测量气体、液体、油等对不锈钢无腐蚀的介质，具有介质兼容性强特点。</w:t>
            </w:r>
          </w:p>
          <w:p w14:paraId="72EE918B">
            <w:pPr>
              <w:pStyle w:val="50"/>
              <w:keepNext w:val="0"/>
              <w:keepLines w:val="0"/>
              <w:pageBreakBefore w:val="0"/>
              <w:kinsoku/>
              <w:wordWrap/>
              <w:overflowPunct/>
              <w:topLinePunct w:val="0"/>
              <w:autoSpaceDE/>
              <w:autoSpaceDN/>
              <w:bidi w:val="0"/>
              <w:adjustRightInd/>
              <w:snapToGrid/>
              <w:spacing w:line="400" w:lineRule="exact"/>
              <w:ind w:left="300" w:hanging="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10、精度等级：1%FS</w:t>
            </w:r>
          </w:p>
          <w:p w14:paraId="45527FD3">
            <w:pPr>
              <w:pStyle w:val="50"/>
              <w:keepNext w:val="0"/>
              <w:keepLines w:val="0"/>
              <w:pageBreakBefore w:val="0"/>
              <w:kinsoku/>
              <w:wordWrap/>
              <w:overflowPunct/>
              <w:topLinePunct w:val="0"/>
              <w:autoSpaceDE/>
              <w:autoSpaceDN/>
              <w:bidi w:val="0"/>
              <w:adjustRightInd/>
              <w:snapToGrid/>
              <w:spacing w:line="400" w:lineRule="exact"/>
              <w:ind w:left="300" w:hanging="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11、过载能力：2倍x量程</w:t>
            </w:r>
          </w:p>
          <w:p w14:paraId="196FA6E1">
            <w:pPr>
              <w:pStyle w:val="7"/>
              <w:keepNext w:val="0"/>
              <w:keepLines w:val="0"/>
              <w:pageBreakBefore w:val="0"/>
              <w:kinsoku/>
              <w:wordWrap/>
              <w:overflowPunct/>
              <w:topLinePunct w:val="0"/>
              <w:autoSpaceDE/>
              <w:autoSpaceDN/>
              <w:bidi w:val="0"/>
              <w:adjustRightInd/>
              <w:snapToGrid/>
              <w:spacing w:line="400" w:lineRule="exact"/>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12、采样速率：1~60秒/次可设</w:t>
            </w:r>
          </w:p>
          <w:p w14:paraId="08FEA516">
            <w:pPr>
              <w:pStyle w:val="50"/>
              <w:keepNext w:val="0"/>
              <w:keepLines w:val="0"/>
              <w:pageBreakBefore w:val="0"/>
              <w:kinsoku/>
              <w:wordWrap/>
              <w:overflowPunct/>
              <w:topLinePunct w:val="0"/>
              <w:autoSpaceDE/>
              <w:autoSpaceDN/>
              <w:bidi w:val="0"/>
              <w:adjustRightInd/>
              <w:snapToGrid/>
              <w:spacing w:line="400" w:lineRule="exact"/>
              <w:ind w:left="300" w:hanging="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13、IP65防护等级，防水防尘</w:t>
            </w:r>
          </w:p>
          <w:p w14:paraId="4EF117F5">
            <w:pPr>
              <w:pStyle w:val="7"/>
              <w:keepNext w:val="0"/>
              <w:keepLines w:val="0"/>
              <w:pageBreakBefore w:val="0"/>
              <w:kinsoku/>
              <w:wordWrap/>
              <w:overflowPunct/>
              <w:topLinePunct w:val="0"/>
              <w:autoSpaceDE/>
              <w:autoSpaceDN/>
              <w:bidi w:val="0"/>
              <w:adjustRightInd/>
              <w:snapToGrid/>
              <w:spacing w:line="400" w:lineRule="exact"/>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14、产品符合GB/T 4208-2017</w:t>
            </w:r>
          </w:p>
          <w:p w14:paraId="5181287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color w:val="auto"/>
                <w:sz w:val="24"/>
                <w:szCs w:val="24"/>
                <w:highlight w:val="none"/>
              </w:rPr>
              <w:t>15、具有产品IP防护等级认证和电气安全证书</w:t>
            </w:r>
          </w:p>
        </w:tc>
      </w:tr>
      <w:tr w14:paraId="5C1C27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11" w:hRule="atLeast"/>
        </w:trPr>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ECACFC">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5</w:t>
            </w:r>
          </w:p>
        </w:tc>
        <w:tc>
          <w:tcPr>
            <w:tcW w:w="1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CADE1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消火栓监测终端</w:t>
            </w:r>
          </w:p>
        </w:tc>
        <w:tc>
          <w:tcPr>
            <w:tcW w:w="90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2532C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只</w:t>
            </w:r>
          </w:p>
        </w:tc>
        <w:tc>
          <w:tcPr>
            <w:tcW w:w="71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8F9D2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w:t>
            </w:r>
          </w:p>
        </w:tc>
        <w:tc>
          <w:tcPr>
            <w:tcW w:w="49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611FAA">
            <w:pPr>
              <w:pStyle w:val="50"/>
              <w:keepNext w:val="0"/>
              <w:keepLines w:val="0"/>
              <w:pageBreakBefore w:val="0"/>
              <w:kinsoku/>
              <w:wordWrap/>
              <w:overflowPunct/>
              <w:topLinePunct w:val="0"/>
              <w:autoSpaceDE/>
              <w:autoSpaceDN/>
              <w:bidi w:val="0"/>
              <w:adjustRightInd/>
              <w:snapToGrid/>
              <w:spacing w:line="400" w:lineRule="exact"/>
              <w:ind w:left="300" w:hanging="300"/>
              <w:rPr>
                <w:rFonts w:hint="eastAsia" w:ascii="宋体" w:hAnsi="宋体" w:eastAsia="宋体" w:cs="宋体"/>
                <w:color w:val="auto"/>
                <w:sz w:val="24"/>
                <w:szCs w:val="24"/>
                <w:highlight w:val="none"/>
              </w:rPr>
            </w:pPr>
            <w:r>
              <w:rPr>
                <w:rFonts w:hint="eastAsia" w:ascii="宋体" w:hAnsi="宋体" w:eastAsia="宋体" w:cs="宋体"/>
                <w:i w:val="0"/>
                <w:iCs w:val="0"/>
                <w:color w:val="auto"/>
                <w:sz w:val="24"/>
                <w:szCs w:val="24"/>
                <w:highlight w:val="none"/>
                <w:u w:val="none"/>
                <w:lang w:val="en-US" w:eastAsia="zh-CN"/>
              </w:rPr>
              <w:t>各楼最不利点水压检测</w:t>
            </w:r>
            <w:r>
              <w:rPr>
                <w:rFonts w:hint="eastAsia" w:ascii="宋体" w:hAnsi="宋体" w:eastAsia="宋体" w:cs="宋体"/>
                <w:color w:val="auto"/>
                <w:sz w:val="24"/>
                <w:szCs w:val="24"/>
                <w:highlight w:val="none"/>
              </w:rPr>
              <w:t>1、探测器内置高精度压力传感器，内置LCD显示，可以实时显示监测管网内实时压力值。</w:t>
            </w:r>
          </w:p>
          <w:p w14:paraId="45089DF1">
            <w:pPr>
              <w:pStyle w:val="50"/>
              <w:keepNext w:val="0"/>
              <w:keepLines w:val="0"/>
              <w:pageBreakBefore w:val="0"/>
              <w:kinsoku/>
              <w:wordWrap/>
              <w:overflowPunct/>
              <w:topLinePunct w:val="0"/>
              <w:autoSpaceDE/>
              <w:autoSpaceDN/>
              <w:bidi w:val="0"/>
              <w:adjustRightInd/>
              <w:snapToGrid/>
              <w:spacing w:line="400" w:lineRule="exact"/>
              <w:ind w:left="300" w:hanging="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2、探测器采用高强度尼龙外壳，内置MCU,3.6V电池供电，双节电池，低功耗设计，超长续航.</w:t>
            </w:r>
          </w:p>
          <w:p w14:paraId="769FF094">
            <w:pPr>
              <w:pStyle w:val="50"/>
              <w:keepNext w:val="0"/>
              <w:keepLines w:val="0"/>
              <w:pageBreakBefore w:val="0"/>
              <w:kinsoku/>
              <w:wordWrap/>
              <w:overflowPunct/>
              <w:topLinePunct w:val="0"/>
              <w:autoSpaceDE/>
              <w:autoSpaceDN/>
              <w:bidi w:val="0"/>
              <w:adjustRightInd/>
              <w:snapToGrid/>
              <w:spacing w:line="400" w:lineRule="exact"/>
              <w:ind w:left="300" w:hanging="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3、采用标准G1/2螺纹可通过三通进行安装，安装简便。可定制其他螺纹。</w:t>
            </w:r>
          </w:p>
          <w:p w14:paraId="70DD4949">
            <w:pPr>
              <w:pStyle w:val="50"/>
              <w:keepNext w:val="0"/>
              <w:keepLines w:val="0"/>
              <w:pageBreakBefore w:val="0"/>
              <w:kinsoku/>
              <w:wordWrap/>
              <w:overflowPunct/>
              <w:topLinePunct w:val="0"/>
              <w:autoSpaceDE/>
              <w:autoSpaceDN/>
              <w:bidi w:val="0"/>
              <w:adjustRightInd/>
              <w:snapToGrid/>
              <w:spacing w:line="400" w:lineRule="exact"/>
              <w:ind w:left="300" w:hanging="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4、支持4G或NB-IOT两种通讯方式，可根据用户需求进行通讯方式的切换。</w:t>
            </w:r>
          </w:p>
          <w:p w14:paraId="74516888">
            <w:pPr>
              <w:pStyle w:val="50"/>
              <w:keepNext w:val="0"/>
              <w:keepLines w:val="0"/>
              <w:pageBreakBefore w:val="0"/>
              <w:kinsoku/>
              <w:wordWrap/>
              <w:overflowPunct/>
              <w:topLinePunct w:val="0"/>
              <w:autoSpaceDE/>
              <w:autoSpaceDN/>
              <w:bidi w:val="0"/>
              <w:adjustRightInd/>
              <w:snapToGrid/>
              <w:spacing w:line="400" w:lineRule="exact"/>
              <w:ind w:left="300" w:hanging="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5、蓝牙小程序或者按键设置查询参数、定时上报功能、水压高低报警功能、开水/关水上报功能、电量报警功能以及根据客户要求订制的其它功能。</w:t>
            </w:r>
          </w:p>
          <w:p w14:paraId="722422B6">
            <w:pPr>
              <w:pStyle w:val="50"/>
              <w:keepNext w:val="0"/>
              <w:keepLines w:val="0"/>
              <w:pageBreakBefore w:val="0"/>
              <w:kinsoku/>
              <w:wordWrap/>
              <w:overflowPunct/>
              <w:topLinePunct w:val="0"/>
              <w:autoSpaceDE/>
              <w:autoSpaceDN/>
              <w:bidi w:val="0"/>
              <w:adjustRightInd/>
              <w:snapToGrid/>
              <w:spacing w:line="400" w:lineRule="exact"/>
              <w:ind w:left="300" w:hanging="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6、现场报警时能10秒内上传报警数据综合性平台、手机短信、手机APP同步发警详细信息给级别管理员及用户，可通过平台配置联动声光报警。</w:t>
            </w:r>
          </w:p>
          <w:p w14:paraId="6F54A350">
            <w:pPr>
              <w:pStyle w:val="50"/>
              <w:keepNext w:val="0"/>
              <w:keepLines w:val="0"/>
              <w:pageBreakBefore w:val="0"/>
              <w:kinsoku/>
              <w:wordWrap/>
              <w:overflowPunct/>
              <w:topLinePunct w:val="0"/>
              <w:autoSpaceDE/>
              <w:autoSpaceDN/>
              <w:bidi w:val="0"/>
              <w:adjustRightInd/>
              <w:snapToGrid/>
              <w:spacing w:line="400" w:lineRule="exact"/>
              <w:ind w:left="300" w:hanging="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7、能够查询通讯信息和信号强度。</w:t>
            </w:r>
          </w:p>
          <w:p w14:paraId="1D0A365E">
            <w:pPr>
              <w:pStyle w:val="50"/>
              <w:keepNext w:val="0"/>
              <w:keepLines w:val="0"/>
              <w:pageBreakBefore w:val="0"/>
              <w:kinsoku/>
              <w:wordWrap/>
              <w:overflowPunct/>
              <w:topLinePunct w:val="0"/>
              <w:autoSpaceDE/>
              <w:autoSpaceDN/>
              <w:bidi w:val="0"/>
              <w:adjustRightInd/>
              <w:snapToGrid/>
              <w:spacing w:line="400" w:lineRule="exact"/>
              <w:ind w:left="300" w:hanging="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w:t>
            </w:r>
            <w:r>
              <w:rPr>
                <w:rFonts w:hint="eastAsia" w:ascii="宋体" w:hAnsi="宋体" w:eastAsia="宋体" w:cs="宋体"/>
                <w:color w:val="auto"/>
                <w:sz w:val="24"/>
                <w:szCs w:val="24"/>
                <w:highlight w:val="none"/>
              </w:rPr>
              <w:t>8、具备管网压力监测和报警功能。</w:t>
            </w:r>
          </w:p>
          <w:p w14:paraId="2BD462D5">
            <w:pPr>
              <w:pStyle w:val="50"/>
              <w:keepNext w:val="0"/>
              <w:keepLines w:val="0"/>
              <w:pageBreakBefore w:val="0"/>
              <w:kinsoku/>
              <w:wordWrap/>
              <w:overflowPunct/>
              <w:topLinePunct w:val="0"/>
              <w:autoSpaceDE/>
              <w:autoSpaceDN/>
              <w:bidi w:val="0"/>
              <w:adjustRightInd/>
              <w:snapToGrid/>
              <w:spacing w:line="400" w:lineRule="exact"/>
              <w:ind w:left="300" w:hanging="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9、抗震性强，可以测量气体、液体、油等对不锈钢无腐蚀的介质，具有介质兼容性强特点。</w:t>
            </w:r>
          </w:p>
          <w:p w14:paraId="0DE03F14">
            <w:pPr>
              <w:pStyle w:val="50"/>
              <w:keepNext w:val="0"/>
              <w:keepLines w:val="0"/>
              <w:pageBreakBefore w:val="0"/>
              <w:kinsoku/>
              <w:wordWrap/>
              <w:overflowPunct/>
              <w:topLinePunct w:val="0"/>
              <w:autoSpaceDE/>
              <w:autoSpaceDN/>
              <w:bidi w:val="0"/>
              <w:adjustRightInd/>
              <w:snapToGrid/>
              <w:spacing w:line="400" w:lineRule="exact"/>
              <w:ind w:left="300" w:hanging="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10、精度等级：0.5%FS</w:t>
            </w:r>
          </w:p>
          <w:p w14:paraId="6EE0907E">
            <w:pPr>
              <w:pStyle w:val="50"/>
              <w:keepNext w:val="0"/>
              <w:keepLines w:val="0"/>
              <w:pageBreakBefore w:val="0"/>
              <w:kinsoku/>
              <w:wordWrap/>
              <w:overflowPunct/>
              <w:topLinePunct w:val="0"/>
              <w:autoSpaceDE/>
              <w:autoSpaceDN/>
              <w:bidi w:val="0"/>
              <w:adjustRightInd/>
              <w:snapToGrid/>
              <w:spacing w:line="400" w:lineRule="exact"/>
              <w:ind w:left="300" w:hanging="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11、过载能力：2倍x量程</w:t>
            </w:r>
          </w:p>
          <w:p w14:paraId="381434C0">
            <w:pPr>
              <w:pStyle w:val="50"/>
              <w:keepNext w:val="0"/>
              <w:keepLines w:val="0"/>
              <w:pageBreakBefore w:val="0"/>
              <w:kinsoku/>
              <w:wordWrap/>
              <w:overflowPunct/>
              <w:topLinePunct w:val="0"/>
              <w:autoSpaceDE/>
              <w:autoSpaceDN/>
              <w:bidi w:val="0"/>
              <w:adjustRightInd/>
              <w:snapToGrid/>
              <w:spacing w:line="400" w:lineRule="exact"/>
              <w:ind w:left="300" w:hanging="3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12、IP68防护等级，防水防尘</w:t>
            </w:r>
          </w:p>
          <w:p w14:paraId="108260F7">
            <w:pPr>
              <w:pStyle w:val="7"/>
              <w:keepNext w:val="0"/>
              <w:keepLines w:val="0"/>
              <w:pageBreakBefore w:val="0"/>
              <w:kinsoku/>
              <w:wordWrap/>
              <w:overflowPunct/>
              <w:topLinePunct w:val="0"/>
              <w:autoSpaceDE/>
              <w:autoSpaceDN/>
              <w:bidi w:val="0"/>
              <w:adjustRightInd/>
              <w:snapToGrid/>
              <w:spacing w:line="400" w:lineRule="exact"/>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13、支持倾角监测及报警</w:t>
            </w:r>
          </w:p>
          <w:p w14:paraId="4BDA184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color w:val="auto"/>
                <w:sz w:val="24"/>
                <w:szCs w:val="24"/>
                <w:highlight w:val="none"/>
              </w:rPr>
              <w:t>14、具有产品IP防护等级认证和电气安全证书</w:t>
            </w:r>
          </w:p>
        </w:tc>
      </w:tr>
      <w:tr w14:paraId="6C3B9B8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50" w:hRule="atLeast"/>
        </w:trPr>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9FABCD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6</w:t>
            </w:r>
          </w:p>
        </w:tc>
        <w:tc>
          <w:tcPr>
            <w:tcW w:w="1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D4DA0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慧眼视频盒（8路）</w:t>
            </w:r>
          </w:p>
        </w:tc>
        <w:tc>
          <w:tcPr>
            <w:tcW w:w="90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FF6B2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只</w:t>
            </w:r>
          </w:p>
        </w:tc>
        <w:tc>
          <w:tcPr>
            <w:tcW w:w="71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3E6BFA">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4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E9EC8C">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auto"/>
                <w:kern w:val="2"/>
                <w:sz w:val="24"/>
                <w:szCs w:val="24"/>
                <w:highlight w:val="none"/>
                <w:u w:val="none"/>
                <w:lang w:val="en-US" w:eastAsia="zh-CN"/>
              </w:rPr>
            </w:pPr>
            <w:r>
              <w:rPr>
                <w:rFonts w:hint="eastAsia" w:ascii="宋体" w:hAnsi="宋体" w:eastAsia="宋体" w:cs="宋体"/>
                <w:i w:val="0"/>
                <w:iCs w:val="0"/>
                <w:color w:val="auto"/>
                <w:kern w:val="0"/>
                <w:sz w:val="24"/>
                <w:szCs w:val="24"/>
                <w:highlight w:val="none"/>
                <w:u w:val="none"/>
                <w:lang w:val="en-US" w:eastAsia="zh-CN" w:bidi="ar"/>
              </w:rPr>
              <w:t>与传统监控系统连接，可实现16路摄像头赋予AI算法，实现消防车道占用，离岗监测、烟火识别、消防通道占有等功能；</w:t>
            </w:r>
          </w:p>
        </w:tc>
      </w:tr>
      <w:tr w14:paraId="646292E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0" w:hRule="atLeast"/>
        </w:trPr>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5B07F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7</w:t>
            </w:r>
          </w:p>
        </w:tc>
        <w:tc>
          <w:tcPr>
            <w:tcW w:w="1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8F713F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重点部位标签</w:t>
            </w:r>
          </w:p>
        </w:tc>
        <w:tc>
          <w:tcPr>
            <w:tcW w:w="90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BD40B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处</w:t>
            </w:r>
          </w:p>
        </w:tc>
        <w:tc>
          <w:tcPr>
            <w:tcW w:w="71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4843D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10</w:t>
            </w:r>
          </w:p>
        </w:tc>
        <w:tc>
          <w:tcPr>
            <w:tcW w:w="49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BD3B61">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消防重点部位巡检上传，NFC巡检管理，实现信息采集与交互。</w:t>
            </w:r>
          </w:p>
        </w:tc>
      </w:tr>
      <w:tr w14:paraId="609117B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0" w:hRule="atLeast"/>
        </w:trPr>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819AF7">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8</w:t>
            </w:r>
          </w:p>
        </w:tc>
        <w:tc>
          <w:tcPr>
            <w:tcW w:w="1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6F126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TD-LTE移动数据终端</w:t>
            </w:r>
          </w:p>
        </w:tc>
        <w:tc>
          <w:tcPr>
            <w:tcW w:w="90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51224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c>
          <w:tcPr>
            <w:tcW w:w="71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2DBCE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49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7EDBAE">
            <w:pPr>
              <w:keepNext w:val="0"/>
              <w:keepLines w:val="0"/>
              <w:pageBreakBefore w:val="0"/>
              <w:widowControl/>
              <w:suppressLineNumbers w:val="0"/>
              <w:tabs>
                <w:tab w:val="center" w:pos="2376"/>
                <w:tab w:val="left" w:pos="3438"/>
              </w:tabs>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ab/>
            </w:r>
            <w:r>
              <w:rPr>
                <w:rFonts w:hint="eastAsia" w:ascii="宋体" w:hAnsi="宋体" w:eastAsia="宋体" w:cs="宋体"/>
                <w:i w:val="0"/>
                <w:iCs w:val="0"/>
                <w:color w:val="auto"/>
                <w:sz w:val="24"/>
                <w:szCs w:val="24"/>
                <w:highlight w:val="none"/>
                <w:u w:val="none"/>
                <w:lang w:val="en-US" w:eastAsia="zh-CN"/>
              </w:rPr>
              <w:t>智能巡检仪</w:t>
            </w:r>
            <w:r>
              <w:rPr>
                <w:rFonts w:hint="eastAsia" w:ascii="宋体" w:hAnsi="宋体" w:eastAsia="宋体" w:cs="宋体"/>
                <w:i w:val="0"/>
                <w:iCs w:val="0"/>
                <w:color w:val="auto"/>
                <w:sz w:val="24"/>
                <w:szCs w:val="24"/>
                <w:highlight w:val="none"/>
                <w:u w:val="none"/>
                <w:lang w:val="en-US" w:eastAsia="zh-CN"/>
              </w:rPr>
              <w:tab/>
            </w:r>
            <w:r>
              <w:rPr>
                <w:rFonts w:hint="eastAsia" w:ascii="宋体" w:hAnsi="宋体" w:eastAsia="宋体" w:cs="宋体"/>
                <w:i w:val="0"/>
                <w:iCs w:val="0"/>
                <w:color w:val="auto"/>
                <w:sz w:val="24"/>
                <w:szCs w:val="24"/>
                <w:highlight w:val="none"/>
                <w:u w:val="none"/>
                <w:lang w:val="en-US" w:eastAsia="zh-CN"/>
              </w:rPr>
              <w:t>用于通过NFC感应标签与管理终端之间实现信息交互</w:t>
            </w:r>
          </w:p>
        </w:tc>
      </w:tr>
      <w:tr w14:paraId="090540C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0" w:hRule="atLeast"/>
        </w:trPr>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E3BB039">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9</w:t>
            </w:r>
          </w:p>
        </w:tc>
        <w:tc>
          <w:tcPr>
            <w:tcW w:w="1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31A735">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智慧消防平台软件服务</w:t>
            </w:r>
          </w:p>
        </w:tc>
        <w:tc>
          <w:tcPr>
            <w:tcW w:w="90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2248D2">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年</w:t>
            </w:r>
          </w:p>
        </w:tc>
        <w:tc>
          <w:tcPr>
            <w:tcW w:w="71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863A5E4">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w:t>
            </w:r>
          </w:p>
        </w:tc>
        <w:tc>
          <w:tcPr>
            <w:tcW w:w="49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6C6EE6">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运维服务：服务期间，所有现场智慧消防设备损坏后，只换不修。保证系统稳定运行。</w:t>
            </w:r>
          </w:p>
        </w:tc>
      </w:tr>
      <w:tr w14:paraId="048962A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70" w:hRule="atLeast"/>
        </w:trPr>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A9C2460">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10</w:t>
            </w:r>
          </w:p>
        </w:tc>
        <w:tc>
          <w:tcPr>
            <w:tcW w:w="1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DAEE2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安消一体化录像机</w:t>
            </w:r>
          </w:p>
        </w:tc>
        <w:tc>
          <w:tcPr>
            <w:tcW w:w="90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F0CC4B">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c>
          <w:tcPr>
            <w:tcW w:w="71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2636C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490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F2DF50">
            <w:pPr>
              <w:keepNext w:val="0"/>
              <w:keepLines w:val="0"/>
              <w:pageBreakBefore w:val="0"/>
              <w:widowControl/>
              <w:suppressLineNumbers w:val="0"/>
              <w:kinsoku/>
              <w:wordWrap/>
              <w:overflowPunct/>
              <w:topLinePunct w:val="0"/>
              <w:autoSpaceDE/>
              <w:autoSpaceDN/>
              <w:bidi w:val="0"/>
              <w:adjustRightInd/>
              <w:snapToGrid/>
              <w:spacing w:line="400" w:lineRule="exact"/>
              <w:jc w:val="left"/>
              <w:textAlignment w:val="center"/>
              <w:rPr>
                <w:rFonts w:hint="eastAsia" w:ascii="宋体" w:hAnsi="宋体" w:eastAsia="宋体" w:cs="宋体"/>
                <w:i w:val="0"/>
                <w:iCs w:val="0"/>
                <w:color w:val="auto"/>
                <w:kern w:val="2"/>
                <w:sz w:val="24"/>
                <w:szCs w:val="24"/>
                <w:highlight w:val="none"/>
                <w:u w:val="none"/>
                <w:lang w:val="en-US" w:eastAsia="zh-CN"/>
              </w:rPr>
            </w:pPr>
            <w:r>
              <w:rPr>
                <w:rFonts w:hint="eastAsia" w:ascii="宋体" w:hAnsi="宋体" w:eastAsia="宋体" w:cs="宋体"/>
                <w:i w:val="0"/>
                <w:iCs w:val="0"/>
                <w:color w:val="auto"/>
                <w:kern w:val="0"/>
                <w:sz w:val="24"/>
                <w:szCs w:val="24"/>
                <w:highlight w:val="none"/>
                <w:u w:val="none"/>
                <w:lang w:val="en-US" w:eastAsia="zh-CN" w:bidi="ar"/>
              </w:rPr>
              <w:t>32路2硬盘，用于存储录像画面，硬盘另配</w:t>
            </w:r>
          </w:p>
        </w:tc>
      </w:tr>
      <w:tr w14:paraId="0226E4B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540" w:hRule="atLeast"/>
        </w:trPr>
        <w:tc>
          <w:tcPr>
            <w:tcW w:w="71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C13BC8">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i w:val="0"/>
                <w:iCs w:val="0"/>
                <w:color w:val="auto"/>
                <w:sz w:val="24"/>
                <w:szCs w:val="24"/>
                <w:highlight w:val="none"/>
                <w:u w:val="none"/>
                <w:lang w:val="en-US" w:eastAsia="zh-CN"/>
              </w:rPr>
              <w:t>11</w:t>
            </w:r>
          </w:p>
        </w:tc>
        <w:tc>
          <w:tcPr>
            <w:tcW w:w="109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6173BE">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无线中继器</w:t>
            </w:r>
          </w:p>
        </w:tc>
        <w:tc>
          <w:tcPr>
            <w:tcW w:w="903"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EB587F">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台</w:t>
            </w:r>
          </w:p>
        </w:tc>
        <w:tc>
          <w:tcPr>
            <w:tcW w:w="714"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2C4863">
            <w:pPr>
              <w:keepNext w:val="0"/>
              <w:keepLines w:val="0"/>
              <w:pageBreakBefore w:val="0"/>
              <w:widowControl/>
              <w:suppressLineNumbers w:val="0"/>
              <w:kinsoku/>
              <w:wordWrap/>
              <w:overflowPunct/>
              <w:topLinePunct w:val="0"/>
              <w:autoSpaceDE/>
              <w:autoSpaceDN/>
              <w:bidi w:val="0"/>
              <w:adjustRightInd/>
              <w:snapToGrid/>
              <w:spacing w:line="400" w:lineRule="exact"/>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w:t>
            </w:r>
          </w:p>
        </w:tc>
        <w:tc>
          <w:tcPr>
            <w:tcW w:w="4909" w:type="dxa"/>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0779C1">
            <w:pPr>
              <w:keepNext w:val="0"/>
              <w:keepLines w:val="0"/>
              <w:pageBreakBefore w:val="0"/>
              <w:kinsoku/>
              <w:wordWrap/>
              <w:overflowPunct/>
              <w:topLinePunct w:val="0"/>
              <w:autoSpaceDE/>
              <w:autoSpaceDN/>
              <w:bidi w:val="0"/>
              <w:adjustRightInd/>
              <w:snapToGrid/>
              <w:spacing w:line="400" w:lineRule="exact"/>
              <w:ind w:firstLine="480" w:firstLineChars="200"/>
              <w:rPr>
                <w:rFonts w:hint="eastAsia" w:ascii="宋体" w:hAnsi="宋体" w:eastAsia="宋体" w:cs="宋体"/>
                <w:i w:val="0"/>
                <w:iCs w:val="0"/>
                <w:color w:val="auto"/>
                <w:sz w:val="24"/>
                <w:szCs w:val="24"/>
                <w:highlight w:val="none"/>
                <w:u w:val="none"/>
                <w:lang w:val="en-US" w:eastAsia="zh-CN"/>
              </w:rPr>
            </w:pPr>
            <w:r>
              <w:rPr>
                <w:rFonts w:hint="eastAsia" w:ascii="宋体" w:hAnsi="宋体" w:eastAsia="宋体" w:cs="宋体"/>
                <w:color w:val="auto"/>
                <w:sz w:val="24"/>
                <w:szCs w:val="24"/>
                <w:highlight w:val="none"/>
              </w:rPr>
              <w:t>无线中继器采用两种无线方式（LORA与433Mhz),适用于通过无线433MHZ,收集无线光电感烟火灾探测报警器等无线前端产品的报警信息和故障信息。通过LORA方式与网关实时通信，将报警信息推送至网关，网关在将信息通过4G或RJ45方式上传到平台，无线中继器具备器件自动/手动注册，手动注册中继器到网关，并具备自动组网功能，自动转发数据等功能。</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无线中继器采用低功耗设计，内置锂电池备电，提供后备电源工作。具有液晶显示，历史存储，记录查询等功能满足。</w:t>
            </w:r>
          </w:p>
        </w:tc>
      </w:tr>
    </w:tbl>
    <w:p w14:paraId="2FB7CC00">
      <w:pPr>
        <w:jc w:val="both"/>
        <w:rPr>
          <w:rFonts w:hint="eastAsia" w:ascii="宋体" w:hAnsi="宋体" w:eastAsia="宋体" w:cs="宋体"/>
          <w:color w:val="auto"/>
          <w:spacing w:val="-13"/>
          <w:highlight w:val="none"/>
          <w:lang w:eastAsia="zh-CN"/>
        </w:rPr>
      </w:pPr>
    </w:p>
    <w:p w14:paraId="5E564C30">
      <w:pPr>
        <w:rPr>
          <w:color w:val="auto"/>
          <w:highlight w:val="none"/>
        </w:rPr>
      </w:pPr>
      <w:r>
        <w:rPr>
          <w:color w:val="auto"/>
          <w:highlight w:val="none"/>
        </w:rPr>
        <w:br w:type="page"/>
      </w:r>
    </w:p>
    <w:p w14:paraId="58B089E6">
      <w:pPr>
        <w:pStyle w:val="2"/>
        <w:keepNext w:val="0"/>
        <w:keepLines w:val="0"/>
        <w:pageBreakBefore w:val="0"/>
        <w:tabs>
          <w:tab w:val="left" w:pos="1607"/>
        </w:tabs>
        <w:kinsoku/>
        <w:wordWrap/>
        <w:overflowPunct/>
        <w:topLinePunct w:val="0"/>
        <w:bidi w:val="0"/>
        <w:spacing w:before="41" w:line="520" w:lineRule="exact"/>
        <w:textAlignment w:val="auto"/>
        <w:outlineLvl w:val="0"/>
        <w:rPr>
          <w:color w:val="auto"/>
          <w:sz w:val="32"/>
          <w:szCs w:val="32"/>
          <w:highlight w:val="none"/>
        </w:rPr>
      </w:pPr>
      <w:bookmarkStart w:id="15" w:name="_Toc4752"/>
      <w:bookmarkStart w:id="16" w:name="_Toc25268"/>
      <w:r>
        <w:rPr>
          <w:rFonts w:hint="eastAsia"/>
          <w:color w:val="auto"/>
          <w:sz w:val="32"/>
          <w:szCs w:val="32"/>
          <w:highlight w:val="none"/>
        </w:rPr>
        <w:t>第三部分</w:t>
      </w:r>
      <w:r>
        <w:rPr>
          <w:rFonts w:hint="eastAsia"/>
          <w:color w:val="auto"/>
          <w:sz w:val="32"/>
          <w:szCs w:val="32"/>
          <w:highlight w:val="none"/>
          <w:lang w:val="en-US" w:eastAsia="zh-CN"/>
        </w:rPr>
        <w:t xml:space="preserve"> </w:t>
      </w:r>
      <w:r>
        <w:rPr>
          <w:rFonts w:hint="eastAsia"/>
          <w:color w:val="auto"/>
          <w:sz w:val="32"/>
          <w:szCs w:val="32"/>
          <w:highlight w:val="none"/>
        </w:rPr>
        <w:t>谈判项目要求</w:t>
      </w:r>
      <w:bookmarkEnd w:id="15"/>
      <w:bookmarkEnd w:id="16"/>
    </w:p>
    <w:p w14:paraId="52316638">
      <w:pPr>
        <w:pStyle w:val="7"/>
        <w:keepNext w:val="0"/>
        <w:keepLines w:val="0"/>
        <w:pageBreakBefore w:val="0"/>
        <w:kinsoku/>
        <w:wordWrap/>
        <w:overflowPunct/>
        <w:topLinePunct w:val="0"/>
        <w:bidi w:val="0"/>
        <w:adjustRightInd w:val="0"/>
        <w:snapToGrid w:val="0"/>
        <w:spacing w:line="520" w:lineRule="exact"/>
        <w:ind w:firstLine="424" w:firstLineChars="200"/>
        <w:textAlignment w:val="auto"/>
        <w:rPr>
          <w:color w:val="auto"/>
          <w:highlight w:val="none"/>
        </w:rPr>
      </w:pPr>
      <w:r>
        <w:rPr>
          <w:rFonts w:hint="eastAsia"/>
          <w:color w:val="auto"/>
          <w:spacing w:val="-14"/>
          <w:highlight w:val="none"/>
          <w:lang w:eastAsia="zh-CN"/>
        </w:rPr>
        <w:t>一</w:t>
      </w:r>
      <w:r>
        <w:rPr>
          <w:rFonts w:hint="eastAsia"/>
          <w:color w:val="auto"/>
          <w:spacing w:val="-14"/>
          <w:highlight w:val="none"/>
        </w:rPr>
        <w:t>、谈判响应文件应按要求递交，因未按要求造成的泄密，由谈判供应商负责。</w:t>
      </w:r>
      <w:r>
        <w:rPr>
          <w:rFonts w:hint="eastAsia"/>
          <w:color w:val="auto"/>
          <w:highlight w:val="none"/>
        </w:rPr>
        <w:t>除谈判文件有规定外，谈判供应商对项目每次只允许有一个报价，谈判组织人和采购人不接受有任何选择的报价响应。</w:t>
      </w:r>
    </w:p>
    <w:p w14:paraId="0B201293">
      <w:pPr>
        <w:pStyle w:val="7"/>
        <w:keepNext w:val="0"/>
        <w:keepLines w:val="0"/>
        <w:pageBreakBefore w:val="0"/>
        <w:kinsoku/>
        <w:wordWrap/>
        <w:overflowPunct/>
        <w:topLinePunct w:val="0"/>
        <w:bidi w:val="0"/>
        <w:adjustRightInd w:val="0"/>
        <w:snapToGrid w:val="0"/>
        <w:spacing w:line="520" w:lineRule="exact"/>
        <w:ind w:firstLine="480" w:firstLineChars="200"/>
        <w:textAlignment w:val="auto"/>
        <w:rPr>
          <w:color w:val="auto"/>
          <w:highlight w:val="none"/>
        </w:rPr>
      </w:pPr>
      <w:r>
        <w:rPr>
          <w:rFonts w:hint="eastAsia"/>
          <w:color w:val="auto"/>
          <w:highlight w:val="none"/>
          <w:lang w:eastAsia="zh-CN"/>
        </w:rPr>
        <w:t>二</w:t>
      </w:r>
      <w:r>
        <w:rPr>
          <w:rFonts w:hint="eastAsia"/>
          <w:color w:val="auto"/>
          <w:highlight w:val="none"/>
        </w:rPr>
        <w:t>、</w:t>
      </w:r>
      <w:r>
        <w:rPr>
          <w:rFonts w:hint="eastAsia"/>
          <w:color w:val="auto"/>
          <w:spacing w:val="-14"/>
          <w:highlight w:val="none"/>
        </w:rPr>
        <w:t>采购人与成交供应商应当在成交通知书发出之日起三十日内，按照采购文件确定的事项签订政府采购合同，并在合同签订后2个工作日内负责将合同及验收结果在河南省政府采购网进行公示。</w:t>
      </w:r>
    </w:p>
    <w:p w14:paraId="2660D3A3">
      <w:pPr>
        <w:pStyle w:val="7"/>
        <w:keepNext w:val="0"/>
        <w:keepLines w:val="0"/>
        <w:pageBreakBefore w:val="0"/>
        <w:kinsoku/>
        <w:wordWrap/>
        <w:overflowPunct/>
        <w:topLinePunct w:val="0"/>
        <w:bidi w:val="0"/>
        <w:adjustRightInd w:val="0"/>
        <w:snapToGrid w:val="0"/>
        <w:spacing w:line="520" w:lineRule="exact"/>
        <w:ind w:firstLine="480" w:firstLineChars="200"/>
        <w:textAlignment w:val="auto"/>
        <w:rPr>
          <w:color w:val="auto"/>
          <w:highlight w:val="none"/>
        </w:rPr>
      </w:pPr>
      <w:r>
        <w:rPr>
          <w:rFonts w:hint="eastAsia"/>
          <w:color w:val="auto"/>
          <w:highlight w:val="none"/>
          <w:lang w:eastAsia="zh-CN"/>
        </w:rPr>
        <w:t>三</w:t>
      </w:r>
      <w:r>
        <w:rPr>
          <w:rFonts w:hint="eastAsia"/>
          <w:color w:val="auto"/>
          <w:highlight w:val="none"/>
        </w:rPr>
        <w:t>、施工地点：采购人指定地点。</w:t>
      </w:r>
    </w:p>
    <w:p w14:paraId="0CD5D6B9">
      <w:pPr>
        <w:pStyle w:val="7"/>
        <w:keepNext w:val="0"/>
        <w:keepLines w:val="0"/>
        <w:pageBreakBefore w:val="0"/>
        <w:kinsoku/>
        <w:wordWrap/>
        <w:overflowPunct/>
        <w:topLinePunct w:val="0"/>
        <w:bidi w:val="0"/>
        <w:adjustRightInd w:val="0"/>
        <w:snapToGrid w:val="0"/>
        <w:spacing w:line="520" w:lineRule="exact"/>
        <w:ind w:firstLine="480" w:firstLineChars="200"/>
        <w:textAlignment w:val="auto"/>
        <w:rPr>
          <w:color w:val="auto"/>
          <w:highlight w:val="none"/>
        </w:rPr>
      </w:pPr>
      <w:r>
        <w:rPr>
          <w:rFonts w:hint="eastAsia"/>
          <w:color w:val="auto"/>
          <w:highlight w:val="none"/>
          <w:lang w:eastAsia="zh-CN"/>
        </w:rPr>
        <w:t>四</w:t>
      </w:r>
      <w:r>
        <w:rPr>
          <w:rFonts w:hint="eastAsia"/>
          <w:color w:val="auto"/>
          <w:highlight w:val="none"/>
        </w:rPr>
        <w:t>、验收：由</w:t>
      </w:r>
      <w:r>
        <w:rPr>
          <w:rFonts w:hint="eastAsia"/>
          <w:color w:val="auto"/>
          <w:highlight w:val="none"/>
          <w:lang w:val="en-US"/>
        </w:rPr>
        <w:t>采购人</w:t>
      </w:r>
      <w:r>
        <w:rPr>
          <w:rFonts w:hint="eastAsia"/>
          <w:color w:val="auto"/>
          <w:highlight w:val="none"/>
        </w:rPr>
        <w:t>组织验收。</w:t>
      </w:r>
    </w:p>
    <w:p w14:paraId="48292C2E">
      <w:pPr>
        <w:pStyle w:val="17"/>
        <w:keepNext w:val="0"/>
        <w:keepLines w:val="0"/>
        <w:pageBreakBefore w:val="0"/>
        <w:kinsoku/>
        <w:wordWrap/>
        <w:overflowPunct/>
        <w:topLinePunct w:val="0"/>
        <w:bidi w:val="0"/>
        <w:snapToGrid w:val="0"/>
        <w:spacing w:before="0" w:beforeAutospacing="0" w:after="0" w:afterAutospacing="0" w:line="520" w:lineRule="exact"/>
        <w:ind w:firstLine="480"/>
        <w:jc w:val="both"/>
        <w:textAlignment w:val="auto"/>
        <w:rPr>
          <w:rFonts w:hint="default"/>
          <w:color w:val="auto"/>
          <w:highlight w:val="none"/>
          <w:lang w:val="en-US"/>
        </w:rPr>
      </w:pPr>
      <w:r>
        <w:rPr>
          <w:rFonts w:hint="eastAsia"/>
          <w:color w:val="auto"/>
          <w:highlight w:val="none"/>
          <w:lang w:eastAsia="zh-CN"/>
        </w:rPr>
        <w:t>五</w:t>
      </w:r>
      <w:r>
        <w:rPr>
          <w:rFonts w:hint="eastAsia"/>
          <w:color w:val="auto"/>
          <w:highlight w:val="none"/>
        </w:rPr>
        <w:t>、付款方式：</w:t>
      </w:r>
      <w:r>
        <w:rPr>
          <w:rFonts w:hint="eastAsia" w:ascii="宋体" w:hAnsi="宋体" w:eastAsia="宋体" w:cs="宋体"/>
          <w:color w:val="auto"/>
          <w:kern w:val="2"/>
          <w:sz w:val="24"/>
          <w:szCs w:val="24"/>
          <w:highlight w:val="none"/>
          <w:lang w:val="en-US" w:eastAsia="zh-CN" w:bidi="ar-SA"/>
        </w:rPr>
        <w:t>①合同签订后支付20%，（或主材到场后支付20%）②工程量完成70%，支付至40%。③工程完成，主管单位验收后支付至95%。④</w:t>
      </w:r>
      <w:r>
        <w:rPr>
          <w:rFonts w:hint="eastAsia" w:cs="宋体"/>
          <w:color w:val="auto"/>
          <w:kern w:val="2"/>
          <w:sz w:val="24"/>
          <w:szCs w:val="24"/>
          <w:highlight w:val="none"/>
          <w:lang w:val="en-US" w:eastAsia="zh-CN" w:bidi="ar-SA"/>
        </w:rPr>
        <w:t>工程竣工一年后</w:t>
      </w:r>
      <w:r>
        <w:rPr>
          <w:rFonts w:hint="eastAsia" w:ascii="宋体" w:hAnsi="宋体" w:eastAsia="宋体" w:cs="宋体"/>
          <w:color w:val="auto"/>
          <w:kern w:val="2"/>
          <w:sz w:val="24"/>
          <w:szCs w:val="24"/>
          <w:highlight w:val="none"/>
          <w:lang w:val="en-US" w:eastAsia="zh-CN" w:bidi="ar-SA"/>
        </w:rPr>
        <w:t>，支付剩余</w:t>
      </w:r>
      <w:r>
        <w:rPr>
          <w:rFonts w:hint="eastAsia" w:cs="宋体"/>
          <w:color w:val="auto"/>
          <w:kern w:val="2"/>
          <w:sz w:val="24"/>
          <w:szCs w:val="24"/>
          <w:highlight w:val="none"/>
          <w:lang w:val="en-US" w:eastAsia="zh-CN" w:bidi="ar-SA"/>
        </w:rPr>
        <w:t>5</w:t>
      </w:r>
      <w:r>
        <w:rPr>
          <w:rFonts w:hint="eastAsia" w:ascii="宋体" w:hAnsi="宋体" w:eastAsia="宋体" w:cs="宋体"/>
          <w:color w:val="auto"/>
          <w:kern w:val="2"/>
          <w:sz w:val="24"/>
          <w:szCs w:val="24"/>
          <w:highlight w:val="none"/>
          <w:lang w:val="en-US" w:eastAsia="zh-CN" w:bidi="ar-SA"/>
        </w:rPr>
        <w:t>%。</w:t>
      </w:r>
    </w:p>
    <w:p w14:paraId="32A4D538">
      <w:pPr>
        <w:rPr>
          <w:rFonts w:hint="eastAsia"/>
          <w:color w:val="auto"/>
          <w:highlight w:val="none"/>
        </w:rPr>
      </w:pPr>
      <w:bookmarkStart w:id="17" w:name="第四部分__谈判供应商须知"/>
      <w:bookmarkEnd w:id="17"/>
      <w:r>
        <w:rPr>
          <w:rFonts w:hint="eastAsia"/>
          <w:color w:val="auto"/>
          <w:highlight w:val="none"/>
        </w:rPr>
        <w:br w:type="page"/>
      </w:r>
    </w:p>
    <w:p w14:paraId="380E4881">
      <w:pPr>
        <w:pStyle w:val="2"/>
        <w:tabs>
          <w:tab w:val="left" w:pos="1607"/>
        </w:tabs>
        <w:outlineLvl w:val="0"/>
        <w:rPr>
          <w:color w:val="auto"/>
          <w:sz w:val="32"/>
          <w:szCs w:val="32"/>
          <w:highlight w:val="none"/>
        </w:rPr>
      </w:pPr>
      <w:bookmarkStart w:id="18" w:name="_Toc28349"/>
      <w:bookmarkStart w:id="19" w:name="_Toc21875"/>
      <w:r>
        <w:rPr>
          <w:rFonts w:hint="eastAsia"/>
          <w:color w:val="auto"/>
          <w:sz w:val="32"/>
          <w:szCs w:val="32"/>
          <w:highlight w:val="none"/>
          <w:lang w:val="en-US" w:eastAsia="zh-CN"/>
        </w:rPr>
        <w:t xml:space="preserve">第四部分 </w:t>
      </w:r>
      <w:r>
        <w:rPr>
          <w:rFonts w:hint="eastAsia"/>
          <w:color w:val="auto"/>
          <w:sz w:val="32"/>
          <w:szCs w:val="32"/>
          <w:highlight w:val="none"/>
        </w:rPr>
        <w:t>谈判供应商须知</w:t>
      </w:r>
      <w:bookmarkEnd w:id="18"/>
      <w:bookmarkEnd w:id="19"/>
    </w:p>
    <w:p w14:paraId="296D96B8">
      <w:pPr>
        <w:pStyle w:val="4"/>
        <w:numPr>
          <w:ilvl w:val="0"/>
          <w:numId w:val="1"/>
        </w:numPr>
        <w:adjustRightInd w:val="0"/>
        <w:snapToGrid w:val="0"/>
        <w:spacing w:line="360" w:lineRule="auto"/>
        <w:ind w:left="0" w:firstLine="602" w:firstLineChars="200"/>
        <w:rPr>
          <w:color w:val="auto"/>
          <w:highlight w:val="none"/>
        </w:rPr>
      </w:pPr>
      <w:bookmarkStart w:id="20" w:name="_Toc13295"/>
      <w:bookmarkStart w:id="21" w:name="_Toc26647"/>
      <w:r>
        <w:rPr>
          <w:rFonts w:hint="eastAsia"/>
          <w:color w:val="auto"/>
          <w:highlight w:val="none"/>
        </w:rPr>
        <w:t>说明</w:t>
      </w:r>
      <w:bookmarkEnd w:id="20"/>
      <w:bookmarkEnd w:id="21"/>
    </w:p>
    <w:p w14:paraId="10F8E7BD">
      <w:pPr>
        <w:pStyle w:val="4"/>
        <w:adjustRightInd w:val="0"/>
        <w:snapToGrid w:val="0"/>
        <w:spacing w:line="360" w:lineRule="auto"/>
        <w:ind w:left="0" w:firstLine="482" w:firstLineChars="200"/>
        <w:rPr>
          <w:color w:val="auto"/>
          <w:sz w:val="24"/>
          <w:szCs w:val="24"/>
          <w:highlight w:val="none"/>
        </w:rPr>
      </w:pPr>
      <w:bookmarkStart w:id="22" w:name="_Toc23126"/>
      <w:bookmarkStart w:id="23" w:name="_Toc26302"/>
      <w:r>
        <w:rPr>
          <w:rFonts w:hint="eastAsia"/>
          <w:color w:val="auto"/>
          <w:sz w:val="24"/>
          <w:szCs w:val="24"/>
          <w:highlight w:val="none"/>
        </w:rPr>
        <w:t>1、适用范围</w:t>
      </w:r>
      <w:bookmarkEnd w:id="22"/>
      <w:bookmarkEnd w:id="23"/>
    </w:p>
    <w:p w14:paraId="25A01A60">
      <w:pPr>
        <w:pStyle w:val="7"/>
        <w:adjustRightInd w:val="0"/>
        <w:snapToGrid w:val="0"/>
        <w:spacing w:line="360" w:lineRule="auto"/>
        <w:ind w:firstLine="492" w:firstLineChars="200"/>
        <w:jc w:val="both"/>
        <w:rPr>
          <w:color w:val="auto"/>
          <w:highlight w:val="none"/>
        </w:rPr>
      </w:pPr>
      <w:r>
        <w:rPr>
          <w:rFonts w:hint="eastAsia"/>
          <w:color w:val="auto"/>
          <w:spacing w:val="3"/>
          <w:highlight w:val="none"/>
        </w:rPr>
        <w:t>本采购文件仅适用于本次邀请函中所述的</w:t>
      </w:r>
      <w:r>
        <w:rPr>
          <w:color w:val="auto"/>
          <w:spacing w:val="-6"/>
          <w:highlight w:val="none"/>
        </w:rPr>
        <w:t>项目</w:t>
      </w:r>
      <w:r>
        <w:rPr>
          <w:rFonts w:hint="eastAsia"/>
          <w:color w:val="auto"/>
          <w:spacing w:val="-6"/>
          <w:highlight w:val="none"/>
        </w:rPr>
        <w:t>的</w:t>
      </w:r>
      <w:r>
        <w:rPr>
          <w:rFonts w:hint="eastAsia"/>
          <w:color w:val="auto"/>
          <w:spacing w:val="3"/>
          <w:highlight w:val="none"/>
        </w:rPr>
        <w:t>谈判。</w:t>
      </w:r>
    </w:p>
    <w:p w14:paraId="18415684">
      <w:pPr>
        <w:pStyle w:val="5"/>
        <w:adjustRightInd w:val="0"/>
        <w:snapToGrid w:val="0"/>
        <w:spacing w:line="360" w:lineRule="auto"/>
        <w:ind w:left="0" w:firstLine="482" w:firstLineChars="200"/>
        <w:rPr>
          <w:color w:val="auto"/>
          <w:highlight w:val="none"/>
        </w:rPr>
      </w:pPr>
      <w:r>
        <w:rPr>
          <w:rFonts w:hint="eastAsia"/>
          <w:color w:val="auto"/>
          <w:highlight w:val="none"/>
        </w:rPr>
        <w:t>2、定义</w:t>
      </w:r>
    </w:p>
    <w:p w14:paraId="0CFAB687">
      <w:pPr>
        <w:pStyle w:val="36"/>
        <w:numPr>
          <w:ilvl w:val="1"/>
          <w:numId w:val="2"/>
        </w:numPr>
        <w:tabs>
          <w:tab w:val="left" w:pos="826"/>
        </w:tabs>
        <w:adjustRightInd w:val="0"/>
        <w:snapToGrid w:val="0"/>
        <w:spacing w:line="360" w:lineRule="auto"/>
        <w:ind w:left="0" w:firstLine="496" w:firstLineChars="200"/>
        <w:rPr>
          <w:color w:val="auto"/>
          <w:sz w:val="24"/>
          <w:highlight w:val="none"/>
        </w:rPr>
      </w:pPr>
      <w:r>
        <w:rPr>
          <w:rFonts w:hint="eastAsia"/>
          <w:color w:val="auto"/>
          <w:spacing w:val="4"/>
          <w:sz w:val="24"/>
          <w:highlight w:val="none"/>
        </w:rPr>
        <w:t>谈判组织人——指组织本次谈判的周口市公共资源交易中心政府采购中</w:t>
      </w:r>
      <w:r>
        <w:rPr>
          <w:rFonts w:hint="eastAsia"/>
          <w:color w:val="auto"/>
          <w:sz w:val="24"/>
          <w:highlight w:val="none"/>
        </w:rPr>
        <w:t>心。</w:t>
      </w:r>
    </w:p>
    <w:p w14:paraId="53978C4E">
      <w:pPr>
        <w:pStyle w:val="36"/>
        <w:numPr>
          <w:ilvl w:val="1"/>
          <w:numId w:val="2"/>
        </w:numPr>
        <w:tabs>
          <w:tab w:val="left" w:pos="819"/>
        </w:tabs>
        <w:adjustRightInd w:val="0"/>
        <w:snapToGrid w:val="0"/>
        <w:spacing w:line="360" w:lineRule="auto"/>
        <w:ind w:left="0" w:firstLine="480" w:firstLineChars="200"/>
        <w:rPr>
          <w:color w:val="auto"/>
          <w:sz w:val="24"/>
          <w:highlight w:val="none"/>
        </w:rPr>
      </w:pPr>
      <w:r>
        <w:rPr>
          <w:rFonts w:hint="eastAsia"/>
          <w:color w:val="auto"/>
          <w:sz w:val="24"/>
          <w:highlight w:val="none"/>
        </w:rPr>
        <w:t>谈判供应商——指向谈判组织人提交谈判文件的供应商。</w:t>
      </w:r>
    </w:p>
    <w:p w14:paraId="5390A176">
      <w:pPr>
        <w:pStyle w:val="36"/>
        <w:numPr>
          <w:ilvl w:val="1"/>
          <w:numId w:val="2"/>
        </w:numPr>
        <w:tabs>
          <w:tab w:val="left" w:pos="819"/>
        </w:tabs>
        <w:adjustRightInd w:val="0"/>
        <w:snapToGrid w:val="0"/>
        <w:spacing w:line="360" w:lineRule="auto"/>
        <w:ind w:left="0" w:firstLine="480" w:firstLineChars="200"/>
        <w:rPr>
          <w:color w:val="auto"/>
          <w:sz w:val="24"/>
          <w:highlight w:val="none"/>
        </w:rPr>
      </w:pPr>
      <w:r>
        <w:rPr>
          <w:rFonts w:hint="eastAsia"/>
          <w:color w:val="auto"/>
          <w:sz w:val="24"/>
          <w:highlight w:val="none"/>
        </w:rPr>
        <w:t>采购人——周口市第六幼儿园</w:t>
      </w:r>
    </w:p>
    <w:p w14:paraId="2AC69B8A">
      <w:pPr>
        <w:pStyle w:val="36"/>
        <w:numPr>
          <w:ilvl w:val="1"/>
          <w:numId w:val="2"/>
        </w:numPr>
        <w:tabs>
          <w:tab w:val="left" w:pos="819"/>
        </w:tabs>
        <w:adjustRightInd w:val="0"/>
        <w:snapToGrid w:val="0"/>
        <w:spacing w:line="360" w:lineRule="auto"/>
        <w:ind w:left="0" w:firstLine="468" w:firstLineChars="200"/>
        <w:rPr>
          <w:color w:val="auto"/>
          <w:sz w:val="24"/>
          <w:highlight w:val="none"/>
        </w:rPr>
      </w:pPr>
      <w:r>
        <w:rPr>
          <w:rFonts w:hint="eastAsia"/>
          <w:color w:val="auto"/>
          <w:spacing w:val="-3"/>
          <w:sz w:val="24"/>
          <w:highlight w:val="none"/>
        </w:rPr>
        <w:t>工程——指谈判供应商按谈判文件规定，须为采购人提供的工程施工及服</w:t>
      </w:r>
      <w:r>
        <w:rPr>
          <w:rFonts w:hint="eastAsia"/>
          <w:color w:val="auto"/>
          <w:sz w:val="24"/>
          <w:highlight w:val="none"/>
        </w:rPr>
        <w:t>务。</w:t>
      </w:r>
    </w:p>
    <w:p w14:paraId="2204C6FE">
      <w:pPr>
        <w:pStyle w:val="5"/>
        <w:adjustRightInd w:val="0"/>
        <w:snapToGrid w:val="0"/>
        <w:spacing w:line="360" w:lineRule="auto"/>
        <w:ind w:left="0" w:firstLine="482" w:firstLineChars="200"/>
        <w:rPr>
          <w:color w:val="auto"/>
          <w:highlight w:val="none"/>
        </w:rPr>
      </w:pPr>
      <w:r>
        <w:rPr>
          <w:rFonts w:hint="eastAsia"/>
          <w:color w:val="auto"/>
          <w:highlight w:val="none"/>
        </w:rPr>
        <w:t>3、谈判供应商条件</w:t>
      </w:r>
    </w:p>
    <w:p w14:paraId="0D9F5AD7">
      <w:pPr>
        <w:pStyle w:val="36"/>
        <w:numPr>
          <w:ilvl w:val="1"/>
          <w:numId w:val="3"/>
        </w:numPr>
        <w:tabs>
          <w:tab w:val="left" w:pos="819"/>
        </w:tabs>
        <w:adjustRightInd w:val="0"/>
        <w:snapToGrid w:val="0"/>
        <w:spacing w:line="360" w:lineRule="auto"/>
        <w:ind w:left="0" w:firstLine="468" w:firstLineChars="200"/>
        <w:jc w:val="both"/>
        <w:rPr>
          <w:color w:val="auto"/>
          <w:sz w:val="24"/>
          <w:highlight w:val="none"/>
        </w:rPr>
      </w:pPr>
      <w:r>
        <w:rPr>
          <w:rFonts w:hint="eastAsia"/>
          <w:color w:val="auto"/>
          <w:spacing w:val="-3"/>
          <w:sz w:val="24"/>
          <w:highlight w:val="none"/>
        </w:rPr>
        <w:t>具有独立承担民事责任的能力；具有良好的商业信誉和健全的财务会计制</w:t>
      </w:r>
      <w:r>
        <w:rPr>
          <w:rFonts w:hint="eastAsia"/>
          <w:color w:val="auto"/>
          <w:sz w:val="24"/>
          <w:highlight w:val="none"/>
        </w:rPr>
        <w:t>度；具有完成本次谈判项目所必需的设备和专业技术能力；有依法缴纳税收和社会保障资金的良好记录。</w:t>
      </w:r>
    </w:p>
    <w:p w14:paraId="36CF1DFB">
      <w:pPr>
        <w:pStyle w:val="36"/>
        <w:numPr>
          <w:ilvl w:val="1"/>
          <w:numId w:val="3"/>
        </w:numPr>
        <w:tabs>
          <w:tab w:val="left" w:pos="819"/>
        </w:tabs>
        <w:adjustRightInd w:val="0"/>
        <w:snapToGrid w:val="0"/>
        <w:spacing w:line="360" w:lineRule="auto"/>
        <w:ind w:left="0" w:firstLine="468" w:firstLineChars="200"/>
        <w:rPr>
          <w:color w:val="auto"/>
          <w:sz w:val="24"/>
          <w:highlight w:val="none"/>
        </w:rPr>
      </w:pPr>
      <w:r>
        <w:rPr>
          <w:rFonts w:hint="eastAsia"/>
          <w:color w:val="auto"/>
          <w:spacing w:val="-3"/>
          <w:sz w:val="24"/>
          <w:highlight w:val="none"/>
        </w:rPr>
        <w:t>凡符合“谈判项目要求”条件，承认本谈判文件所有内容的供应商均为合</w:t>
      </w:r>
      <w:r>
        <w:rPr>
          <w:rFonts w:hint="eastAsia"/>
          <w:color w:val="auto"/>
          <w:sz w:val="24"/>
          <w:highlight w:val="none"/>
        </w:rPr>
        <w:t>格的谈判供应商。</w:t>
      </w:r>
    </w:p>
    <w:p w14:paraId="0FBC0A71">
      <w:pPr>
        <w:pStyle w:val="36"/>
        <w:numPr>
          <w:ilvl w:val="1"/>
          <w:numId w:val="3"/>
        </w:numPr>
        <w:tabs>
          <w:tab w:val="left" w:pos="819"/>
        </w:tabs>
        <w:adjustRightInd w:val="0"/>
        <w:snapToGrid w:val="0"/>
        <w:spacing w:line="360" w:lineRule="auto"/>
        <w:ind w:left="0" w:firstLine="468" w:firstLineChars="200"/>
        <w:rPr>
          <w:color w:val="auto"/>
          <w:sz w:val="24"/>
          <w:highlight w:val="none"/>
        </w:rPr>
      </w:pPr>
      <w:r>
        <w:rPr>
          <w:rFonts w:hint="eastAsia"/>
          <w:color w:val="auto"/>
          <w:spacing w:val="-3"/>
          <w:sz w:val="24"/>
          <w:highlight w:val="none"/>
        </w:rPr>
        <w:t>谈判供应商应遵守中华人民共和国法律、法规和谈判组织人有关谈判的规</w:t>
      </w:r>
      <w:r>
        <w:rPr>
          <w:rFonts w:hint="eastAsia"/>
          <w:color w:val="auto"/>
          <w:sz w:val="24"/>
          <w:highlight w:val="none"/>
        </w:rPr>
        <w:t>定。</w:t>
      </w:r>
    </w:p>
    <w:p w14:paraId="7222B830">
      <w:pPr>
        <w:pStyle w:val="5"/>
        <w:adjustRightInd w:val="0"/>
        <w:snapToGrid w:val="0"/>
        <w:spacing w:line="360" w:lineRule="auto"/>
        <w:ind w:left="0" w:firstLine="482" w:firstLineChars="200"/>
        <w:rPr>
          <w:color w:val="auto"/>
          <w:highlight w:val="none"/>
        </w:rPr>
      </w:pPr>
      <w:r>
        <w:rPr>
          <w:rFonts w:hint="eastAsia"/>
          <w:color w:val="auto"/>
          <w:highlight w:val="none"/>
        </w:rPr>
        <w:t>4、谈判费用</w:t>
      </w:r>
    </w:p>
    <w:p w14:paraId="666DFC02">
      <w:pPr>
        <w:pStyle w:val="36"/>
        <w:numPr>
          <w:ilvl w:val="1"/>
          <w:numId w:val="4"/>
        </w:numPr>
        <w:tabs>
          <w:tab w:val="left" w:pos="819"/>
        </w:tabs>
        <w:adjustRightInd w:val="0"/>
        <w:snapToGrid w:val="0"/>
        <w:spacing w:line="360" w:lineRule="auto"/>
        <w:ind w:left="0" w:firstLine="472" w:firstLineChars="200"/>
        <w:rPr>
          <w:color w:val="auto"/>
          <w:highlight w:val="none"/>
        </w:rPr>
      </w:pPr>
      <w:r>
        <w:rPr>
          <w:rFonts w:hint="eastAsia"/>
          <w:color w:val="auto"/>
          <w:spacing w:val="-2"/>
          <w:sz w:val="24"/>
          <w:highlight w:val="none"/>
        </w:rPr>
        <w:t>谈判供应商应自行承担参加谈判活动有关的全部费用，谈判组织人在任何</w:t>
      </w:r>
      <w:r>
        <w:rPr>
          <w:rFonts w:hint="eastAsia"/>
          <w:color w:val="auto"/>
          <w:sz w:val="24"/>
          <w:highlight w:val="none"/>
        </w:rPr>
        <w:t>情况下均无义务和责任承担上述费用。</w:t>
      </w:r>
    </w:p>
    <w:p w14:paraId="3F99C94A">
      <w:pPr>
        <w:pStyle w:val="5"/>
        <w:numPr>
          <w:ilvl w:val="1"/>
          <w:numId w:val="4"/>
        </w:numPr>
        <w:tabs>
          <w:tab w:val="left" w:pos="823"/>
        </w:tabs>
        <w:adjustRightInd w:val="0"/>
        <w:snapToGrid w:val="0"/>
        <w:spacing w:line="360" w:lineRule="auto"/>
        <w:ind w:left="0" w:firstLine="482" w:firstLineChars="200"/>
        <w:rPr>
          <w:color w:val="auto"/>
          <w:sz w:val="22"/>
          <w:highlight w:val="none"/>
        </w:rPr>
      </w:pPr>
      <w:r>
        <w:rPr>
          <w:rFonts w:hint="eastAsia"/>
          <w:color w:val="auto"/>
          <w:highlight w:val="none"/>
        </w:rPr>
        <w:t>本项目免收成交服务费，</w:t>
      </w:r>
      <w:r>
        <w:rPr>
          <w:rFonts w:hint="eastAsia"/>
          <w:color w:val="auto"/>
          <w:highlight w:val="none"/>
          <w:lang w:val="en-US"/>
        </w:rPr>
        <w:t>评标费用由采购人自行解决</w:t>
      </w:r>
      <w:r>
        <w:rPr>
          <w:rFonts w:hint="eastAsia"/>
          <w:color w:val="auto"/>
          <w:highlight w:val="none"/>
        </w:rPr>
        <w:t>。</w:t>
      </w:r>
    </w:p>
    <w:p w14:paraId="07CF0727">
      <w:pPr>
        <w:adjustRightInd w:val="0"/>
        <w:snapToGrid w:val="0"/>
        <w:spacing w:line="360" w:lineRule="auto"/>
        <w:ind w:firstLine="440" w:firstLineChars="200"/>
        <w:rPr>
          <w:color w:val="auto"/>
          <w:highlight w:val="none"/>
        </w:rPr>
        <w:sectPr>
          <w:footerReference r:id="rId3" w:type="default"/>
          <w:pgSz w:w="11906" w:h="16838"/>
          <w:pgMar w:top="1440" w:right="1800" w:bottom="1440" w:left="1800" w:header="0" w:footer="721" w:gutter="0"/>
          <w:cols w:space="720" w:num="1"/>
        </w:sectPr>
      </w:pPr>
    </w:p>
    <w:p w14:paraId="2A80ADCF">
      <w:pPr>
        <w:numPr>
          <w:ilvl w:val="0"/>
          <w:numId w:val="1"/>
        </w:numPr>
        <w:adjustRightInd w:val="0"/>
        <w:snapToGrid w:val="0"/>
        <w:spacing w:line="360" w:lineRule="auto"/>
        <w:ind w:firstLine="572" w:firstLineChars="200"/>
        <w:rPr>
          <w:b/>
          <w:color w:val="auto"/>
          <w:w w:val="95"/>
          <w:sz w:val="30"/>
          <w:highlight w:val="none"/>
        </w:rPr>
      </w:pPr>
      <w:r>
        <w:rPr>
          <w:rFonts w:hint="eastAsia"/>
          <w:b/>
          <w:color w:val="auto"/>
          <w:w w:val="95"/>
          <w:sz w:val="30"/>
          <w:highlight w:val="none"/>
        </w:rPr>
        <w:t>谈判文件说明</w:t>
      </w:r>
    </w:p>
    <w:p w14:paraId="402CDB48">
      <w:pPr>
        <w:adjustRightInd w:val="0"/>
        <w:snapToGrid w:val="0"/>
        <w:spacing w:line="360" w:lineRule="auto"/>
        <w:ind w:left="440" w:leftChars="200"/>
        <w:rPr>
          <w:b/>
          <w:color w:val="auto"/>
          <w:sz w:val="24"/>
          <w:highlight w:val="none"/>
        </w:rPr>
      </w:pPr>
      <w:r>
        <w:rPr>
          <w:rFonts w:hint="eastAsia"/>
          <w:b/>
          <w:color w:val="auto"/>
          <w:w w:val="95"/>
          <w:sz w:val="24"/>
          <w:highlight w:val="none"/>
        </w:rPr>
        <w:t>5、谈判文件的构成：</w:t>
      </w:r>
    </w:p>
    <w:p w14:paraId="3645F2AE">
      <w:pPr>
        <w:pStyle w:val="7"/>
        <w:adjustRightInd w:val="0"/>
        <w:snapToGrid w:val="0"/>
        <w:spacing w:line="360" w:lineRule="auto"/>
        <w:ind w:firstLine="480" w:firstLineChars="200"/>
        <w:rPr>
          <w:color w:val="auto"/>
          <w:highlight w:val="none"/>
        </w:rPr>
      </w:pPr>
      <w:r>
        <w:rPr>
          <w:rFonts w:hint="eastAsia"/>
          <w:color w:val="auto"/>
          <w:highlight w:val="none"/>
        </w:rPr>
        <w:t>5.1谈判文件用以阐明所采购工程的内容、要求及谈判程序。谈判文件由下述部分组成：</w:t>
      </w:r>
    </w:p>
    <w:p w14:paraId="64148D24">
      <w:pPr>
        <w:pStyle w:val="7"/>
        <w:adjustRightInd w:val="0"/>
        <w:snapToGrid w:val="0"/>
        <w:spacing w:line="360" w:lineRule="auto"/>
        <w:ind w:firstLine="480" w:firstLineChars="200"/>
        <w:rPr>
          <w:color w:val="auto"/>
          <w:highlight w:val="none"/>
        </w:rPr>
      </w:pPr>
      <w:r>
        <w:rPr>
          <w:rFonts w:hint="eastAsia"/>
          <w:color w:val="auto"/>
          <w:highlight w:val="none"/>
        </w:rPr>
        <w:t>谈判邀请函</w:t>
      </w:r>
    </w:p>
    <w:p w14:paraId="11C51ABF">
      <w:pPr>
        <w:pStyle w:val="7"/>
        <w:adjustRightInd w:val="0"/>
        <w:snapToGrid w:val="0"/>
        <w:spacing w:line="360" w:lineRule="auto"/>
        <w:ind w:firstLine="472" w:firstLineChars="200"/>
        <w:rPr>
          <w:color w:val="auto"/>
          <w:highlight w:val="none"/>
        </w:rPr>
      </w:pPr>
      <w:r>
        <w:rPr>
          <w:rFonts w:hint="eastAsia"/>
          <w:color w:val="auto"/>
          <w:spacing w:val="-2"/>
          <w:highlight w:val="none"/>
        </w:rPr>
        <w:t>项目内容及施工要求</w:t>
      </w:r>
      <w:r>
        <w:rPr>
          <w:rFonts w:hint="eastAsia"/>
          <w:color w:val="auto"/>
          <w:highlight w:val="none"/>
        </w:rPr>
        <w:t>谈判项目要求</w:t>
      </w:r>
    </w:p>
    <w:p w14:paraId="4E4C352E">
      <w:pPr>
        <w:pStyle w:val="7"/>
        <w:adjustRightInd w:val="0"/>
        <w:snapToGrid w:val="0"/>
        <w:spacing w:line="360" w:lineRule="auto"/>
        <w:ind w:firstLine="468" w:firstLineChars="200"/>
        <w:rPr>
          <w:color w:val="auto"/>
          <w:highlight w:val="none"/>
        </w:rPr>
      </w:pPr>
      <w:r>
        <w:rPr>
          <w:rFonts w:hint="eastAsia"/>
          <w:color w:val="auto"/>
          <w:spacing w:val="-3"/>
          <w:highlight w:val="none"/>
        </w:rPr>
        <w:t>谈判供应商须知</w:t>
      </w:r>
      <w:r>
        <w:rPr>
          <w:rFonts w:hint="eastAsia"/>
          <w:color w:val="auto"/>
          <w:highlight w:val="none"/>
        </w:rPr>
        <w:t>谈判文件格式</w:t>
      </w:r>
    </w:p>
    <w:p w14:paraId="712ED6CA">
      <w:pPr>
        <w:pStyle w:val="5"/>
        <w:adjustRightInd w:val="0"/>
        <w:snapToGrid w:val="0"/>
        <w:spacing w:line="360" w:lineRule="auto"/>
        <w:ind w:left="0" w:firstLine="482" w:firstLineChars="200"/>
        <w:rPr>
          <w:color w:val="auto"/>
          <w:highlight w:val="none"/>
        </w:rPr>
      </w:pPr>
      <w:r>
        <w:rPr>
          <w:rFonts w:hint="eastAsia"/>
          <w:color w:val="auto"/>
          <w:highlight w:val="none"/>
        </w:rPr>
        <w:t>6、谈判文件的澄清</w:t>
      </w:r>
    </w:p>
    <w:p w14:paraId="6597F8A9">
      <w:pPr>
        <w:pStyle w:val="36"/>
        <w:numPr>
          <w:ilvl w:val="1"/>
          <w:numId w:val="5"/>
        </w:numPr>
        <w:tabs>
          <w:tab w:val="left" w:pos="82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参加谈判的供应商对谈判文件如有需要澄清的疑问，应在谈判截止时间前按谈判邀请函中载明的地址以书面形式通知到</w:t>
      </w:r>
      <w:r>
        <w:rPr>
          <w:rFonts w:hint="eastAsia"/>
          <w:color w:val="auto"/>
          <w:sz w:val="24"/>
          <w:highlight w:val="none"/>
          <w:lang w:val="en-US"/>
        </w:rPr>
        <w:t>采购人</w:t>
      </w:r>
      <w:r>
        <w:rPr>
          <w:rFonts w:hint="eastAsia"/>
          <w:color w:val="auto"/>
          <w:sz w:val="24"/>
          <w:highlight w:val="none"/>
        </w:rPr>
        <w:t>。</w:t>
      </w:r>
      <w:r>
        <w:rPr>
          <w:rFonts w:hint="eastAsia"/>
          <w:color w:val="auto"/>
          <w:sz w:val="24"/>
          <w:highlight w:val="none"/>
          <w:lang w:val="en-US"/>
        </w:rPr>
        <w:t>采购</w:t>
      </w:r>
      <w:r>
        <w:rPr>
          <w:rFonts w:hint="eastAsia"/>
          <w:color w:val="auto"/>
          <w:sz w:val="24"/>
          <w:highlight w:val="none"/>
        </w:rPr>
        <w:t>人将视情况确定采用适当方式予以澄清或以书面形式予以答复，并在其认为必要时，将不标明查询来源的书面答复</w:t>
      </w:r>
      <w:r>
        <w:rPr>
          <w:rFonts w:hint="eastAsia"/>
          <w:color w:val="auto"/>
          <w:sz w:val="24"/>
          <w:highlight w:val="none"/>
          <w:lang w:val="en-US"/>
        </w:rPr>
        <w:t>以网上公告的形式告知</w:t>
      </w:r>
      <w:r>
        <w:rPr>
          <w:rFonts w:hint="eastAsia"/>
          <w:color w:val="auto"/>
          <w:sz w:val="24"/>
          <w:highlight w:val="none"/>
        </w:rPr>
        <w:t>谈判文件的所有潜在谈判供应商。</w:t>
      </w:r>
    </w:p>
    <w:p w14:paraId="73034E9C">
      <w:pPr>
        <w:pStyle w:val="5"/>
        <w:adjustRightInd w:val="0"/>
        <w:snapToGrid w:val="0"/>
        <w:spacing w:line="360" w:lineRule="auto"/>
        <w:ind w:left="0" w:firstLine="482" w:firstLineChars="200"/>
        <w:rPr>
          <w:color w:val="auto"/>
          <w:highlight w:val="none"/>
        </w:rPr>
      </w:pPr>
      <w:r>
        <w:rPr>
          <w:rFonts w:hint="eastAsia"/>
          <w:color w:val="auto"/>
          <w:highlight w:val="none"/>
        </w:rPr>
        <w:t>7、谈判文件的修改</w:t>
      </w:r>
    </w:p>
    <w:p w14:paraId="1C067195">
      <w:pPr>
        <w:pStyle w:val="7"/>
        <w:adjustRightInd w:val="0"/>
        <w:snapToGrid w:val="0"/>
        <w:spacing w:line="360" w:lineRule="auto"/>
        <w:ind w:firstLine="480" w:firstLineChars="200"/>
        <w:rPr>
          <w:color w:val="auto"/>
          <w:szCs w:val="22"/>
          <w:highlight w:val="none"/>
        </w:rPr>
      </w:pPr>
      <w:r>
        <w:rPr>
          <w:rFonts w:hint="eastAsia"/>
          <w:color w:val="auto"/>
          <w:szCs w:val="22"/>
          <w:highlight w:val="none"/>
        </w:rPr>
        <w:t>7.1谈判文件的修改将构成谈判文件的一部分，对所有参加谈判的供应商均有约束力。</w:t>
      </w:r>
    </w:p>
    <w:p w14:paraId="26EBEA34">
      <w:pPr>
        <w:spacing w:line="360" w:lineRule="auto"/>
        <w:ind w:firstLine="550"/>
        <w:rPr>
          <w:rFonts w:hint="eastAsia"/>
          <w:color w:val="auto"/>
          <w:sz w:val="24"/>
          <w:highlight w:val="none"/>
        </w:rPr>
      </w:pPr>
      <w:r>
        <w:rPr>
          <w:rFonts w:hint="eastAsia"/>
          <w:color w:val="auto"/>
          <w:sz w:val="24"/>
          <w:highlight w:val="none"/>
          <w:lang w:val="en-US"/>
        </w:rPr>
        <w:t>7.2</w:t>
      </w:r>
      <w:r>
        <w:rPr>
          <w:rFonts w:hint="eastAsia"/>
          <w:color w:val="auto"/>
          <w:sz w:val="24"/>
          <w:highlight w:val="none"/>
        </w:rPr>
        <w:t>采购人</w:t>
      </w:r>
      <w:r>
        <w:rPr>
          <w:rFonts w:hint="eastAsia"/>
          <w:color w:val="auto"/>
          <w:sz w:val="24"/>
          <w:highlight w:val="none"/>
          <w:lang w:val="en-US"/>
        </w:rPr>
        <w:t>或采购中心</w:t>
      </w:r>
      <w:r>
        <w:rPr>
          <w:rFonts w:hint="eastAsia"/>
          <w:color w:val="auto"/>
          <w:sz w:val="24"/>
          <w:highlight w:val="none"/>
        </w:rPr>
        <w:t>对</w:t>
      </w:r>
      <w:r>
        <w:rPr>
          <w:rFonts w:hint="eastAsia"/>
          <w:color w:val="auto"/>
          <w:sz w:val="24"/>
          <w:highlight w:val="none"/>
          <w:lang w:val="en-US"/>
        </w:rPr>
        <w:t>谈判</w:t>
      </w:r>
      <w:r>
        <w:rPr>
          <w:rFonts w:hint="eastAsia"/>
          <w:color w:val="auto"/>
          <w:sz w:val="24"/>
          <w:highlight w:val="none"/>
        </w:rPr>
        <w:t>文件进行的澄清、更正或更改，将在</w:t>
      </w:r>
      <w:r>
        <w:rPr>
          <w:rFonts w:hint="eastAsia"/>
          <w:color w:val="auto"/>
          <w:sz w:val="24"/>
          <w:highlight w:val="none"/>
          <w:lang w:val="en-US"/>
        </w:rPr>
        <w:t>河南省政府采购</w:t>
      </w:r>
      <w:r>
        <w:rPr>
          <w:rFonts w:hint="eastAsia"/>
          <w:color w:val="auto"/>
          <w:sz w:val="24"/>
          <w:highlight w:val="none"/>
        </w:rPr>
        <w:t>网站</w:t>
      </w:r>
      <w:r>
        <w:rPr>
          <w:rFonts w:hint="eastAsia"/>
          <w:color w:val="auto"/>
          <w:sz w:val="24"/>
          <w:highlight w:val="none"/>
          <w:lang w:val="en-US"/>
        </w:rPr>
        <w:t>及周口市公共资源交易中心网站</w:t>
      </w:r>
      <w:r>
        <w:rPr>
          <w:rFonts w:hint="eastAsia"/>
          <w:color w:val="auto"/>
          <w:sz w:val="24"/>
          <w:highlight w:val="none"/>
        </w:rPr>
        <w:t>上及时发布，投标人应主动上网查询。周口市公共资源交易中心政府采购中心或采购人不承担投标人未及时关注相关信息引发的相关责任。对竞争性</w:t>
      </w:r>
      <w:r>
        <w:rPr>
          <w:rFonts w:hint="eastAsia"/>
          <w:color w:val="auto"/>
          <w:sz w:val="24"/>
          <w:highlight w:val="none"/>
          <w:lang w:val="en-US" w:eastAsia="zh-CN"/>
        </w:rPr>
        <w:t>谈判</w:t>
      </w:r>
      <w:r>
        <w:rPr>
          <w:rFonts w:hint="eastAsia"/>
          <w:color w:val="auto"/>
          <w:sz w:val="24"/>
          <w:highlight w:val="none"/>
        </w:rPr>
        <w:t>文件进行的澄清，以网上公告的方式通知供应商。澄清或修改的内容可能影响响应文件编制的，采购人、采购代理机构应当在提交响应文件截止时间至少</w:t>
      </w:r>
      <w:r>
        <w:rPr>
          <w:rFonts w:hint="eastAsia"/>
          <w:color w:val="auto"/>
          <w:sz w:val="24"/>
          <w:highlight w:val="none"/>
          <w:lang w:val="en-US" w:eastAsia="zh-CN"/>
        </w:rPr>
        <w:t>3</w:t>
      </w:r>
      <w:r>
        <w:rPr>
          <w:rFonts w:hint="eastAsia"/>
          <w:color w:val="auto"/>
          <w:sz w:val="24"/>
          <w:highlight w:val="none"/>
        </w:rPr>
        <w:t>日前。</w:t>
      </w:r>
    </w:p>
    <w:p w14:paraId="27FBB85C">
      <w:pPr>
        <w:spacing w:line="360" w:lineRule="auto"/>
        <w:ind w:firstLine="550"/>
        <w:rPr>
          <w:color w:val="auto"/>
          <w:sz w:val="24"/>
          <w:highlight w:val="none"/>
        </w:rPr>
      </w:pPr>
    </w:p>
    <w:p w14:paraId="1464296F">
      <w:pPr>
        <w:spacing w:line="360" w:lineRule="auto"/>
        <w:ind w:firstLine="550"/>
        <w:rPr>
          <w:color w:val="auto"/>
          <w:highlight w:val="none"/>
          <w:lang w:val="en-US"/>
        </w:rPr>
      </w:pPr>
      <w:r>
        <w:rPr>
          <w:rFonts w:hint="eastAsia"/>
          <w:color w:val="auto"/>
          <w:sz w:val="24"/>
          <w:highlight w:val="none"/>
          <w:lang w:val="en-US"/>
        </w:rPr>
        <w:t>7.3</w:t>
      </w:r>
      <w:r>
        <w:rPr>
          <w:rFonts w:hint="eastAsia"/>
          <w:color w:val="auto"/>
          <w:sz w:val="24"/>
          <w:highlight w:val="none"/>
        </w:rPr>
        <w:t>在投标截止时间前，采购人可以视采购具体情况，延长投标截止时间和开标时间，并在</w:t>
      </w:r>
      <w:r>
        <w:rPr>
          <w:rFonts w:hint="eastAsia"/>
          <w:color w:val="auto"/>
          <w:sz w:val="24"/>
          <w:highlight w:val="none"/>
          <w:lang w:val="en-US"/>
        </w:rPr>
        <w:t>谈判</w:t>
      </w:r>
      <w:r>
        <w:rPr>
          <w:rFonts w:hint="eastAsia"/>
          <w:color w:val="auto"/>
          <w:sz w:val="24"/>
          <w:highlight w:val="none"/>
        </w:rPr>
        <w:t>文件要求提交投标文件的截止时间前，在网站上发布变更公告。在上述情况下，采购人和投标人在投标截止期方面的全部权力、责任和义务，将适用于延长后新的投标截止期。</w:t>
      </w:r>
    </w:p>
    <w:p w14:paraId="354722A6">
      <w:pPr>
        <w:pStyle w:val="4"/>
        <w:adjustRightInd w:val="0"/>
        <w:snapToGrid w:val="0"/>
        <w:spacing w:line="360" w:lineRule="auto"/>
        <w:ind w:left="0" w:firstLine="602" w:firstLineChars="200"/>
        <w:rPr>
          <w:color w:val="auto"/>
          <w:highlight w:val="none"/>
        </w:rPr>
      </w:pPr>
      <w:bookmarkStart w:id="24" w:name="_Toc19515"/>
      <w:bookmarkStart w:id="25" w:name="_Toc4324"/>
      <w:r>
        <w:rPr>
          <w:rFonts w:hint="eastAsia"/>
          <w:color w:val="auto"/>
          <w:highlight w:val="none"/>
        </w:rPr>
        <w:t>C、谈判响应文件的编写</w:t>
      </w:r>
      <w:bookmarkEnd w:id="24"/>
      <w:bookmarkEnd w:id="25"/>
    </w:p>
    <w:p w14:paraId="46151BF4">
      <w:pPr>
        <w:pStyle w:val="5"/>
        <w:adjustRightInd w:val="0"/>
        <w:snapToGrid w:val="0"/>
        <w:spacing w:line="360" w:lineRule="auto"/>
        <w:ind w:left="0" w:firstLine="482" w:firstLineChars="200"/>
        <w:rPr>
          <w:color w:val="auto"/>
          <w:highlight w:val="none"/>
        </w:rPr>
      </w:pPr>
      <w:r>
        <w:rPr>
          <w:rFonts w:hint="eastAsia"/>
          <w:color w:val="auto"/>
          <w:highlight w:val="none"/>
        </w:rPr>
        <w:t>8、要求</w:t>
      </w:r>
    </w:p>
    <w:p w14:paraId="39AE8EB2">
      <w:pPr>
        <w:pStyle w:val="36"/>
        <w:numPr>
          <w:ilvl w:val="1"/>
          <w:numId w:val="6"/>
        </w:numPr>
        <w:tabs>
          <w:tab w:val="left" w:pos="819"/>
        </w:tabs>
        <w:adjustRightInd w:val="0"/>
        <w:snapToGrid w:val="0"/>
        <w:spacing w:line="360" w:lineRule="auto"/>
        <w:ind w:left="0" w:firstLine="468" w:firstLineChars="200"/>
        <w:jc w:val="both"/>
        <w:rPr>
          <w:color w:val="auto"/>
          <w:sz w:val="24"/>
          <w:highlight w:val="none"/>
        </w:rPr>
      </w:pPr>
      <w:r>
        <w:rPr>
          <w:rFonts w:hint="eastAsia"/>
          <w:color w:val="auto"/>
          <w:spacing w:val="-3"/>
          <w:sz w:val="24"/>
          <w:highlight w:val="none"/>
        </w:rPr>
        <w:t>谈判的供应商应仔细阅读谈判文件的所有内容，按谈判文件的要求提供响</w:t>
      </w:r>
      <w:r>
        <w:rPr>
          <w:rFonts w:hint="eastAsia"/>
          <w:color w:val="auto"/>
          <w:sz w:val="24"/>
          <w:highlight w:val="none"/>
        </w:rPr>
        <w:t>应文件，并保证所提供的全部资料的真实性，以使其投标对谈判文件做出实质性响应，否则，其响应可能被拒绝。</w:t>
      </w:r>
    </w:p>
    <w:p w14:paraId="710BC23E">
      <w:pPr>
        <w:pStyle w:val="36"/>
        <w:numPr>
          <w:ilvl w:val="1"/>
          <w:numId w:val="6"/>
        </w:numPr>
        <w:tabs>
          <w:tab w:val="left" w:pos="805"/>
        </w:tabs>
        <w:adjustRightInd w:val="0"/>
        <w:snapToGrid w:val="0"/>
        <w:spacing w:line="360" w:lineRule="auto"/>
        <w:ind w:left="0" w:firstLine="468" w:firstLineChars="200"/>
        <w:jc w:val="left"/>
        <w:rPr>
          <w:color w:val="auto"/>
          <w:sz w:val="24"/>
          <w:highlight w:val="none"/>
        </w:rPr>
      </w:pPr>
      <w:r>
        <w:rPr>
          <w:rFonts w:hint="eastAsia"/>
          <w:color w:val="auto"/>
          <w:spacing w:val="-3"/>
          <w:sz w:val="24"/>
          <w:highlight w:val="none"/>
        </w:rPr>
        <w:t>谈判文件文字：谈判文件均以中文印刷体，中文以外的文字应附以中文译</w:t>
      </w:r>
      <w:r>
        <w:rPr>
          <w:rFonts w:hint="eastAsia"/>
          <w:color w:val="auto"/>
          <w:sz w:val="24"/>
          <w:highlight w:val="none"/>
        </w:rPr>
        <w:t>文，中外文不符时，以中文为准。</w:t>
      </w:r>
    </w:p>
    <w:p w14:paraId="1F13F3AB">
      <w:pPr>
        <w:pStyle w:val="36"/>
        <w:tabs>
          <w:tab w:val="left" w:pos="580"/>
        </w:tabs>
        <w:adjustRightInd w:val="0"/>
        <w:snapToGrid w:val="0"/>
        <w:spacing w:line="360" w:lineRule="auto"/>
        <w:ind w:left="440" w:leftChars="200" w:firstLine="0"/>
        <w:rPr>
          <w:color w:val="auto"/>
          <w:spacing w:val="-3"/>
          <w:sz w:val="24"/>
          <w:highlight w:val="none"/>
        </w:rPr>
      </w:pPr>
      <w:r>
        <w:rPr>
          <w:rFonts w:hint="eastAsia"/>
          <w:color w:val="auto"/>
          <w:spacing w:val="-3"/>
          <w:sz w:val="24"/>
          <w:highlight w:val="none"/>
          <w:lang w:val="en-US"/>
        </w:rPr>
        <w:t>8.3</w:t>
      </w:r>
      <w:r>
        <w:rPr>
          <w:rFonts w:hint="eastAsia"/>
          <w:color w:val="auto"/>
          <w:spacing w:val="-3"/>
          <w:sz w:val="24"/>
          <w:highlight w:val="none"/>
        </w:rPr>
        <w:t>谈判文件中计量单位：除在谈判文件的技术规格中另有规定外，计量单位使用中</w:t>
      </w:r>
    </w:p>
    <w:p w14:paraId="37E793B2">
      <w:pPr>
        <w:pStyle w:val="36"/>
        <w:tabs>
          <w:tab w:val="left" w:pos="580"/>
        </w:tabs>
        <w:adjustRightInd w:val="0"/>
        <w:snapToGrid w:val="0"/>
        <w:spacing w:line="360" w:lineRule="auto"/>
        <w:ind w:left="0" w:firstLine="0"/>
        <w:rPr>
          <w:color w:val="auto"/>
          <w:spacing w:val="-3"/>
          <w:sz w:val="24"/>
          <w:highlight w:val="none"/>
        </w:rPr>
      </w:pPr>
      <w:r>
        <w:rPr>
          <w:rFonts w:hint="eastAsia"/>
          <w:color w:val="auto"/>
          <w:spacing w:val="-3"/>
          <w:sz w:val="24"/>
          <w:highlight w:val="none"/>
        </w:rPr>
        <w:t>华人民共和国法定计量单位。</w:t>
      </w:r>
    </w:p>
    <w:p w14:paraId="17B681E4">
      <w:pPr>
        <w:pStyle w:val="36"/>
        <w:tabs>
          <w:tab w:val="left" w:pos="710"/>
        </w:tabs>
        <w:adjustRightInd w:val="0"/>
        <w:snapToGrid w:val="0"/>
        <w:spacing w:line="360" w:lineRule="auto"/>
        <w:ind w:left="0" w:firstLine="472" w:firstLineChars="200"/>
        <w:jc w:val="both"/>
        <w:rPr>
          <w:color w:val="auto"/>
          <w:spacing w:val="-2"/>
          <w:sz w:val="24"/>
          <w:highlight w:val="none"/>
        </w:rPr>
      </w:pPr>
      <w:r>
        <w:rPr>
          <w:rFonts w:hint="eastAsia"/>
          <w:color w:val="auto"/>
          <w:spacing w:val="-2"/>
          <w:sz w:val="24"/>
          <w:highlight w:val="none"/>
        </w:rPr>
        <w:t>8.4谈判供应商的谈判响应文件必须加盖谈判供应商公章（指投标人的行政章），采购人不接受加盖其他印鉴（如合同章、投标专用章等印鉴）的谈判文件。</w:t>
      </w:r>
    </w:p>
    <w:p w14:paraId="5E3D0F3E">
      <w:pPr>
        <w:pStyle w:val="5"/>
        <w:adjustRightInd w:val="0"/>
        <w:snapToGrid w:val="0"/>
        <w:spacing w:line="360" w:lineRule="auto"/>
        <w:ind w:left="0" w:firstLine="482" w:firstLineChars="200"/>
        <w:rPr>
          <w:color w:val="auto"/>
          <w:highlight w:val="none"/>
        </w:rPr>
      </w:pPr>
      <w:r>
        <w:rPr>
          <w:rFonts w:hint="eastAsia"/>
          <w:color w:val="auto"/>
          <w:highlight w:val="none"/>
        </w:rPr>
        <w:t>9、谈判文件的组成</w:t>
      </w:r>
    </w:p>
    <w:p w14:paraId="7AC539D5">
      <w:pPr>
        <w:pStyle w:val="36"/>
        <w:numPr>
          <w:ilvl w:val="1"/>
          <w:numId w:val="7"/>
        </w:numPr>
        <w:tabs>
          <w:tab w:val="left" w:pos="819"/>
        </w:tabs>
        <w:adjustRightInd w:val="0"/>
        <w:snapToGrid w:val="0"/>
        <w:spacing w:line="360" w:lineRule="auto"/>
        <w:ind w:left="0" w:firstLine="472" w:firstLineChars="200"/>
        <w:rPr>
          <w:color w:val="auto"/>
          <w:sz w:val="24"/>
          <w:highlight w:val="none"/>
        </w:rPr>
      </w:pPr>
      <w:r>
        <w:rPr>
          <w:rFonts w:hint="eastAsia"/>
          <w:color w:val="auto"/>
          <w:spacing w:val="-2"/>
          <w:sz w:val="24"/>
          <w:highlight w:val="none"/>
        </w:rPr>
        <w:t>谈判文件应包括下列部分。</w:t>
      </w:r>
    </w:p>
    <w:p w14:paraId="3277418C">
      <w:pPr>
        <w:pStyle w:val="7"/>
        <w:spacing w:before="5" w:line="364" w:lineRule="auto"/>
        <w:ind w:left="218" w:right="616" w:firstLine="719"/>
        <w:rPr>
          <w:color w:val="auto"/>
          <w:highlight w:val="none"/>
        </w:rPr>
      </w:pPr>
      <w:r>
        <w:rPr>
          <w:rFonts w:hint="eastAsia"/>
          <w:color w:val="auto"/>
          <w:highlight w:val="none"/>
        </w:rPr>
        <w:t>（</w:t>
      </w:r>
      <w:r>
        <w:rPr>
          <w:rFonts w:hint="eastAsia"/>
          <w:color w:val="auto"/>
          <w:highlight w:val="none"/>
          <w:lang w:val="en-US" w:eastAsia="zh-CN"/>
        </w:rPr>
        <w:t>1</w:t>
      </w:r>
      <w:r>
        <w:rPr>
          <w:rFonts w:hint="eastAsia"/>
          <w:color w:val="auto"/>
          <w:highlight w:val="none"/>
        </w:rPr>
        <w:t>）谈判响应函(附件一)按统一格式填写，由投标单位加盖公章，并由投标单位法定代表人或其授权代表人签字盖章。</w:t>
      </w:r>
    </w:p>
    <w:p w14:paraId="272BB2A8">
      <w:pPr>
        <w:pStyle w:val="7"/>
        <w:spacing w:line="306" w:lineRule="exact"/>
        <w:ind w:left="938"/>
        <w:rPr>
          <w:color w:val="auto"/>
          <w:highlight w:val="none"/>
        </w:rPr>
      </w:pPr>
      <w:r>
        <w:rPr>
          <w:rFonts w:hint="eastAsia"/>
          <w:color w:val="auto"/>
          <w:highlight w:val="none"/>
        </w:rPr>
        <w:t>（</w:t>
      </w:r>
      <w:r>
        <w:rPr>
          <w:rFonts w:hint="eastAsia"/>
          <w:color w:val="auto"/>
          <w:highlight w:val="none"/>
          <w:lang w:val="en-US" w:eastAsia="zh-CN"/>
        </w:rPr>
        <w:t>2</w:t>
      </w:r>
      <w:r>
        <w:rPr>
          <w:rFonts w:hint="eastAsia"/>
          <w:color w:val="auto"/>
          <w:highlight w:val="none"/>
        </w:rPr>
        <w:t>）谈判价格一览表</w:t>
      </w:r>
    </w:p>
    <w:p w14:paraId="49319D13">
      <w:pPr>
        <w:pStyle w:val="7"/>
        <w:spacing w:before="160"/>
        <w:ind w:left="938"/>
        <w:rPr>
          <w:color w:val="auto"/>
          <w:highlight w:val="none"/>
        </w:rPr>
      </w:pPr>
      <w:r>
        <w:rPr>
          <w:rFonts w:hint="eastAsia"/>
          <w:color w:val="auto"/>
          <w:highlight w:val="none"/>
        </w:rPr>
        <w:t>（</w:t>
      </w:r>
      <w:r>
        <w:rPr>
          <w:rFonts w:hint="eastAsia"/>
          <w:color w:val="auto"/>
          <w:highlight w:val="none"/>
          <w:lang w:val="en-US" w:eastAsia="zh-CN"/>
        </w:rPr>
        <w:t>3</w:t>
      </w:r>
      <w:r>
        <w:rPr>
          <w:rFonts w:hint="eastAsia"/>
          <w:color w:val="auto"/>
          <w:highlight w:val="none"/>
        </w:rPr>
        <w:t>）优惠条件及服务承诺</w:t>
      </w:r>
    </w:p>
    <w:p w14:paraId="6DF9C3AE">
      <w:pPr>
        <w:pStyle w:val="7"/>
        <w:spacing w:before="158"/>
        <w:ind w:left="938"/>
        <w:rPr>
          <w:color w:val="auto"/>
          <w:highlight w:val="none"/>
        </w:rPr>
      </w:pPr>
      <w:r>
        <w:rPr>
          <w:rFonts w:hint="eastAsia"/>
          <w:color w:val="auto"/>
          <w:highlight w:val="none"/>
        </w:rPr>
        <w:t>（</w:t>
      </w:r>
      <w:r>
        <w:rPr>
          <w:rFonts w:hint="eastAsia"/>
          <w:color w:val="auto"/>
          <w:highlight w:val="none"/>
          <w:lang w:val="en-US" w:eastAsia="zh-CN"/>
        </w:rPr>
        <w:t>4</w:t>
      </w:r>
      <w:r>
        <w:rPr>
          <w:rFonts w:hint="eastAsia"/>
          <w:color w:val="auto"/>
          <w:highlight w:val="none"/>
        </w:rPr>
        <w:t>）施工图预算书</w:t>
      </w:r>
    </w:p>
    <w:p w14:paraId="0ED8631B">
      <w:pPr>
        <w:pStyle w:val="7"/>
        <w:spacing w:before="161"/>
        <w:ind w:left="938"/>
        <w:rPr>
          <w:color w:val="auto"/>
          <w:highlight w:val="none"/>
        </w:rPr>
      </w:pPr>
      <w:r>
        <w:rPr>
          <w:rFonts w:hint="eastAsia"/>
          <w:color w:val="auto"/>
          <w:highlight w:val="none"/>
        </w:rPr>
        <w:t>（</w:t>
      </w:r>
      <w:r>
        <w:rPr>
          <w:rFonts w:hint="eastAsia"/>
          <w:color w:val="auto"/>
          <w:highlight w:val="none"/>
          <w:lang w:val="en-US" w:eastAsia="zh-CN"/>
        </w:rPr>
        <w:t>5</w:t>
      </w:r>
      <w:r>
        <w:rPr>
          <w:rFonts w:hint="eastAsia"/>
          <w:color w:val="auto"/>
          <w:highlight w:val="none"/>
        </w:rPr>
        <w:t>）施工组织设计</w:t>
      </w:r>
    </w:p>
    <w:p w14:paraId="19530B90">
      <w:pPr>
        <w:pStyle w:val="7"/>
        <w:spacing w:before="158"/>
        <w:ind w:left="938"/>
        <w:rPr>
          <w:color w:val="auto"/>
          <w:highlight w:val="none"/>
        </w:rPr>
      </w:pPr>
      <w:r>
        <w:rPr>
          <w:rFonts w:hint="eastAsia"/>
          <w:color w:val="auto"/>
          <w:highlight w:val="none"/>
        </w:rPr>
        <w:t>（</w:t>
      </w:r>
      <w:r>
        <w:rPr>
          <w:rFonts w:hint="eastAsia"/>
          <w:color w:val="auto"/>
          <w:highlight w:val="none"/>
          <w:lang w:val="en-US" w:eastAsia="zh-CN"/>
        </w:rPr>
        <w:t>6</w:t>
      </w:r>
      <w:r>
        <w:rPr>
          <w:rFonts w:hint="eastAsia"/>
          <w:color w:val="auto"/>
          <w:highlight w:val="none"/>
        </w:rPr>
        <w:t>）劳动力计划表</w:t>
      </w:r>
    </w:p>
    <w:p w14:paraId="355A537D">
      <w:pPr>
        <w:pStyle w:val="7"/>
        <w:spacing w:before="161"/>
        <w:ind w:left="938"/>
        <w:rPr>
          <w:color w:val="auto"/>
          <w:highlight w:val="none"/>
        </w:rPr>
      </w:pPr>
      <w:r>
        <w:rPr>
          <w:rFonts w:hint="eastAsia"/>
          <w:color w:val="auto"/>
          <w:highlight w:val="none"/>
        </w:rPr>
        <w:t>（</w:t>
      </w:r>
      <w:r>
        <w:rPr>
          <w:rFonts w:hint="eastAsia"/>
          <w:color w:val="auto"/>
          <w:highlight w:val="none"/>
          <w:lang w:val="en-US" w:eastAsia="zh-CN"/>
        </w:rPr>
        <w:t>7</w:t>
      </w:r>
      <w:r>
        <w:rPr>
          <w:rFonts w:hint="eastAsia"/>
          <w:color w:val="auto"/>
          <w:highlight w:val="none"/>
        </w:rPr>
        <w:t>）计划开、竣工日期和施工进度表</w:t>
      </w:r>
    </w:p>
    <w:p w14:paraId="6E42C232">
      <w:pPr>
        <w:pStyle w:val="7"/>
        <w:spacing w:before="158"/>
        <w:ind w:left="938"/>
        <w:rPr>
          <w:color w:val="auto"/>
          <w:highlight w:val="none"/>
        </w:rPr>
      </w:pPr>
      <w:r>
        <w:rPr>
          <w:rFonts w:hint="eastAsia"/>
          <w:color w:val="auto"/>
          <w:highlight w:val="none"/>
        </w:rPr>
        <w:t>（</w:t>
      </w:r>
      <w:r>
        <w:rPr>
          <w:rFonts w:hint="eastAsia"/>
          <w:color w:val="auto"/>
          <w:highlight w:val="none"/>
          <w:lang w:val="en-US" w:eastAsia="zh-CN"/>
        </w:rPr>
        <w:t>8</w:t>
      </w:r>
      <w:r>
        <w:rPr>
          <w:rFonts w:hint="eastAsia"/>
          <w:color w:val="auto"/>
          <w:highlight w:val="none"/>
        </w:rPr>
        <w:t>）项目管理机构配备情况表</w:t>
      </w:r>
    </w:p>
    <w:p w14:paraId="1FCDF774">
      <w:pPr>
        <w:pStyle w:val="7"/>
        <w:spacing w:before="161"/>
        <w:ind w:left="938"/>
        <w:rPr>
          <w:color w:val="auto"/>
          <w:highlight w:val="none"/>
        </w:rPr>
      </w:pPr>
      <w:r>
        <w:rPr>
          <w:rFonts w:hint="eastAsia"/>
          <w:color w:val="auto"/>
          <w:highlight w:val="none"/>
        </w:rPr>
        <w:t>（</w:t>
      </w:r>
      <w:r>
        <w:rPr>
          <w:rFonts w:hint="eastAsia"/>
          <w:color w:val="auto"/>
          <w:highlight w:val="none"/>
          <w:lang w:val="en-US" w:eastAsia="zh-CN"/>
        </w:rPr>
        <w:t>9</w:t>
      </w:r>
      <w:r>
        <w:rPr>
          <w:rFonts w:hint="eastAsia"/>
          <w:color w:val="auto"/>
          <w:highlight w:val="none"/>
        </w:rPr>
        <w:t>）项目负责人简历表</w:t>
      </w:r>
    </w:p>
    <w:p w14:paraId="32456B64">
      <w:pPr>
        <w:pStyle w:val="7"/>
        <w:spacing w:before="158"/>
        <w:ind w:left="938"/>
        <w:rPr>
          <w:color w:val="auto"/>
          <w:highlight w:val="none"/>
        </w:rPr>
      </w:pPr>
      <w:r>
        <w:rPr>
          <w:rFonts w:hint="eastAsia"/>
          <w:color w:val="auto"/>
          <w:highlight w:val="none"/>
        </w:rPr>
        <w:t>（</w:t>
      </w:r>
      <w:r>
        <w:rPr>
          <w:rFonts w:hint="eastAsia"/>
          <w:color w:val="auto"/>
          <w:highlight w:val="none"/>
          <w:lang w:val="en-US" w:eastAsia="zh-CN"/>
        </w:rPr>
        <w:t>10</w:t>
      </w:r>
      <w:r>
        <w:rPr>
          <w:rFonts w:hint="eastAsia"/>
          <w:color w:val="auto"/>
          <w:highlight w:val="none"/>
        </w:rPr>
        <w:t>）项目管理机构配备情况辅助说明资料</w:t>
      </w:r>
    </w:p>
    <w:p w14:paraId="72124758">
      <w:pPr>
        <w:pStyle w:val="7"/>
        <w:spacing w:before="160"/>
        <w:ind w:left="938"/>
        <w:rPr>
          <w:color w:val="auto"/>
          <w:highlight w:val="none"/>
        </w:rPr>
      </w:pPr>
      <w:r>
        <w:rPr>
          <w:rFonts w:hint="eastAsia"/>
          <w:color w:val="auto"/>
          <w:highlight w:val="none"/>
        </w:rPr>
        <w:t>（</w:t>
      </w:r>
      <w:r>
        <w:rPr>
          <w:rFonts w:hint="eastAsia"/>
          <w:color w:val="auto"/>
          <w:highlight w:val="none"/>
          <w:lang w:val="en-US" w:eastAsia="zh-CN"/>
        </w:rPr>
        <w:t>11</w:t>
      </w:r>
      <w:r>
        <w:rPr>
          <w:rFonts w:hint="eastAsia"/>
          <w:color w:val="auto"/>
          <w:highlight w:val="none"/>
        </w:rPr>
        <w:t>）关于资格的声明函</w:t>
      </w:r>
    </w:p>
    <w:p w14:paraId="5AE8D6F6">
      <w:pPr>
        <w:pStyle w:val="7"/>
        <w:spacing w:before="159"/>
        <w:ind w:left="938"/>
        <w:rPr>
          <w:color w:val="auto"/>
          <w:highlight w:val="none"/>
        </w:rPr>
      </w:pPr>
      <w:r>
        <w:rPr>
          <w:rFonts w:hint="eastAsia"/>
          <w:color w:val="auto"/>
          <w:highlight w:val="none"/>
        </w:rPr>
        <w:t>（</w:t>
      </w:r>
      <w:r>
        <w:rPr>
          <w:rFonts w:hint="eastAsia"/>
          <w:color w:val="auto"/>
          <w:highlight w:val="none"/>
          <w:lang w:val="en-US" w:eastAsia="zh-CN"/>
        </w:rPr>
        <w:t>12</w:t>
      </w:r>
      <w:r>
        <w:rPr>
          <w:rFonts w:hint="eastAsia"/>
          <w:color w:val="auto"/>
          <w:highlight w:val="none"/>
        </w:rPr>
        <w:t>）授权委托书</w:t>
      </w:r>
    </w:p>
    <w:p w14:paraId="18C52C6B">
      <w:pPr>
        <w:pStyle w:val="7"/>
        <w:spacing w:before="160"/>
        <w:ind w:left="938"/>
        <w:rPr>
          <w:color w:val="auto"/>
          <w:highlight w:val="none"/>
        </w:rPr>
      </w:pPr>
      <w:r>
        <w:rPr>
          <w:rFonts w:hint="eastAsia"/>
          <w:color w:val="auto"/>
          <w:highlight w:val="none"/>
        </w:rPr>
        <w:t>（</w:t>
      </w:r>
      <w:r>
        <w:rPr>
          <w:rFonts w:hint="eastAsia"/>
          <w:color w:val="auto"/>
          <w:highlight w:val="none"/>
          <w:lang w:val="en-US" w:eastAsia="zh-CN"/>
        </w:rPr>
        <w:t>13</w:t>
      </w:r>
      <w:r>
        <w:rPr>
          <w:rFonts w:hint="eastAsia"/>
          <w:color w:val="auto"/>
          <w:highlight w:val="none"/>
        </w:rPr>
        <w:t>）其它相关资料</w:t>
      </w:r>
    </w:p>
    <w:p w14:paraId="684D9E9B">
      <w:pPr>
        <w:pStyle w:val="36"/>
        <w:numPr>
          <w:ilvl w:val="1"/>
          <w:numId w:val="7"/>
        </w:numPr>
        <w:tabs>
          <w:tab w:val="left" w:pos="938"/>
        </w:tabs>
        <w:adjustRightInd w:val="0"/>
        <w:snapToGrid w:val="0"/>
        <w:spacing w:line="360" w:lineRule="auto"/>
        <w:ind w:left="0" w:firstLine="480" w:firstLineChars="200"/>
        <w:rPr>
          <w:color w:val="auto"/>
          <w:sz w:val="24"/>
          <w:highlight w:val="none"/>
        </w:rPr>
      </w:pPr>
      <w:r>
        <w:rPr>
          <w:rFonts w:hint="eastAsia"/>
          <w:color w:val="auto"/>
          <w:sz w:val="24"/>
          <w:highlight w:val="none"/>
        </w:rPr>
        <w:t>资格证明文件包括:</w:t>
      </w:r>
    </w:p>
    <w:p w14:paraId="23627794">
      <w:pPr>
        <w:pStyle w:val="7"/>
        <w:adjustRightInd w:val="0"/>
        <w:snapToGrid w:val="0"/>
        <w:spacing w:line="360" w:lineRule="auto"/>
        <w:ind w:firstLine="480" w:firstLineChars="200"/>
        <w:rPr>
          <w:color w:val="auto"/>
          <w:highlight w:val="none"/>
        </w:rPr>
      </w:pPr>
      <w:r>
        <w:rPr>
          <w:rFonts w:hint="eastAsia"/>
          <w:color w:val="auto"/>
          <w:highlight w:val="none"/>
        </w:rPr>
        <w:t>加盖单位公章的营业执照复印件。</w:t>
      </w:r>
    </w:p>
    <w:p w14:paraId="708A4211">
      <w:pPr>
        <w:pStyle w:val="7"/>
        <w:adjustRightInd w:val="0"/>
        <w:snapToGrid w:val="0"/>
        <w:spacing w:line="360" w:lineRule="auto"/>
        <w:ind w:firstLine="480" w:firstLineChars="200"/>
        <w:rPr>
          <w:color w:val="auto"/>
          <w:highlight w:val="none"/>
        </w:rPr>
      </w:pPr>
      <w:r>
        <w:rPr>
          <w:rFonts w:hint="eastAsia"/>
          <w:color w:val="auto"/>
          <w:highlight w:val="none"/>
        </w:rPr>
        <w:t>法人授权委托书。</w:t>
      </w:r>
    </w:p>
    <w:p w14:paraId="5553A92D">
      <w:pPr>
        <w:pStyle w:val="7"/>
        <w:adjustRightInd w:val="0"/>
        <w:snapToGrid w:val="0"/>
        <w:spacing w:line="360" w:lineRule="auto"/>
        <w:ind w:firstLine="480" w:firstLineChars="200"/>
        <w:rPr>
          <w:color w:val="auto"/>
          <w:highlight w:val="none"/>
        </w:rPr>
      </w:pPr>
      <w:r>
        <w:rPr>
          <w:rFonts w:hint="eastAsia"/>
          <w:color w:val="auto"/>
          <w:highlight w:val="none"/>
        </w:rPr>
        <w:t>授权代表身份证复印件。</w:t>
      </w:r>
    </w:p>
    <w:p w14:paraId="2380D122">
      <w:pPr>
        <w:pStyle w:val="7"/>
        <w:adjustRightInd w:val="0"/>
        <w:snapToGrid w:val="0"/>
        <w:spacing w:line="360" w:lineRule="auto"/>
        <w:ind w:firstLine="480" w:firstLineChars="200"/>
        <w:rPr>
          <w:color w:val="auto"/>
          <w:sz w:val="28"/>
          <w:highlight w:val="none"/>
        </w:rPr>
      </w:pPr>
      <w:r>
        <w:rPr>
          <w:rFonts w:hint="eastAsia"/>
          <w:color w:val="auto"/>
          <w:highlight w:val="none"/>
        </w:rPr>
        <w:t>其他有关证明复印件</w:t>
      </w:r>
      <w:r>
        <w:rPr>
          <w:rFonts w:hint="eastAsia"/>
          <w:color w:val="auto"/>
          <w:sz w:val="28"/>
          <w:highlight w:val="none"/>
        </w:rPr>
        <w:t>。</w:t>
      </w:r>
    </w:p>
    <w:p w14:paraId="2EFC01B7">
      <w:pPr>
        <w:pStyle w:val="5"/>
        <w:adjustRightInd w:val="0"/>
        <w:snapToGrid w:val="0"/>
        <w:spacing w:line="360" w:lineRule="auto"/>
        <w:ind w:left="0" w:firstLine="482" w:firstLineChars="200"/>
        <w:rPr>
          <w:color w:val="auto"/>
          <w:highlight w:val="none"/>
        </w:rPr>
      </w:pPr>
      <w:r>
        <w:rPr>
          <w:rFonts w:hint="eastAsia"/>
          <w:color w:val="auto"/>
          <w:highlight w:val="none"/>
        </w:rPr>
        <w:t>10、谈判文件格式</w:t>
      </w:r>
    </w:p>
    <w:p w14:paraId="1773A2DD">
      <w:pPr>
        <w:pStyle w:val="7"/>
        <w:adjustRightInd w:val="0"/>
        <w:snapToGrid w:val="0"/>
        <w:spacing w:line="360" w:lineRule="auto"/>
        <w:ind w:firstLine="480" w:firstLineChars="200"/>
        <w:jc w:val="both"/>
        <w:rPr>
          <w:color w:val="auto"/>
          <w:highlight w:val="none"/>
        </w:rPr>
      </w:pPr>
      <w:r>
        <w:rPr>
          <w:rFonts w:hint="eastAsia"/>
          <w:color w:val="auto"/>
          <w:highlight w:val="none"/>
        </w:rPr>
        <w:t>10.1谈判人应按谈判文件中第五部分谈判文件格式填写，谈判供应商认为需加以说明的其它内容可列备注栏。不按谈判文件内容填写或填写不完整视为无效响应。</w:t>
      </w:r>
    </w:p>
    <w:p w14:paraId="0FC359F2">
      <w:pPr>
        <w:pStyle w:val="5"/>
        <w:adjustRightInd w:val="0"/>
        <w:snapToGrid w:val="0"/>
        <w:spacing w:line="360" w:lineRule="auto"/>
        <w:ind w:left="0" w:firstLine="482" w:firstLineChars="200"/>
        <w:rPr>
          <w:color w:val="auto"/>
          <w:highlight w:val="none"/>
        </w:rPr>
      </w:pPr>
      <w:r>
        <w:rPr>
          <w:rFonts w:hint="eastAsia"/>
          <w:color w:val="auto"/>
          <w:highlight w:val="none"/>
        </w:rPr>
        <w:t>11、谈判报价</w:t>
      </w:r>
    </w:p>
    <w:p w14:paraId="5D7B6552">
      <w:pPr>
        <w:pStyle w:val="36"/>
        <w:numPr>
          <w:ilvl w:val="1"/>
          <w:numId w:val="8"/>
        </w:numPr>
        <w:tabs>
          <w:tab w:val="left" w:pos="939"/>
        </w:tabs>
        <w:adjustRightInd w:val="0"/>
        <w:snapToGrid w:val="0"/>
        <w:spacing w:line="360" w:lineRule="auto"/>
        <w:ind w:left="0" w:firstLine="476" w:firstLineChars="200"/>
        <w:rPr>
          <w:color w:val="auto"/>
          <w:sz w:val="24"/>
          <w:szCs w:val="24"/>
          <w:highlight w:val="none"/>
        </w:rPr>
      </w:pPr>
      <w:r>
        <w:rPr>
          <w:rFonts w:hint="eastAsia"/>
          <w:color w:val="auto"/>
          <w:spacing w:val="-1"/>
          <w:sz w:val="24"/>
          <w:highlight w:val="none"/>
        </w:rPr>
        <w:t>谈判报价为工程交付使用前的所有费用</w:t>
      </w:r>
      <w:r>
        <w:rPr>
          <w:rFonts w:hint="eastAsia"/>
          <w:color w:val="auto"/>
          <w:sz w:val="24"/>
          <w:highlight w:val="none"/>
        </w:rPr>
        <w:t>（</w:t>
      </w:r>
      <w:r>
        <w:rPr>
          <w:rFonts w:hint="eastAsia"/>
          <w:color w:val="auto"/>
          <w:spacing w:val="-3"/>
          <w:sz w:val="24"/>
          <w:highlight w:val="none"/>
        </w:rPr>
        <w:t>含材料费、施工费、税金等</w:t>
      </w:r>
      <w:r>
        <w:rPr>
          <w:rFonts w:hint="eastAsia"/>
          <w:color w:val="auto"/>
          <w:spacing w:val="-12"/>
          <w:sz w:val="24"/>
          <w:highlight w:val="none"/>
        </w:rPr>
        <w:t>），</w:t>
      </w:r>
      <w:r>
        <w:rPr>
          <w:rFonts w:hint="eastAsia"/>
          <w:color w:val="auto"/>
          <w:sz w:val="24"/>
          <w:highlight w:val="none"/>
        </w:rPr>
        <w:t>以人民币为单位</w:t>
      </w:r>
      <w:r>
        <w:rPr>
          <w:rFonts w:hint="eastAsia"/>
          <w:color w:val="auto"/>
          <w:sz w:val="24"/>
          <w:szCs w:val="24"/>
          <w:highlight w:val="none"/>
        </w:rPr>
        <w:t>。投标人应当在投标文件中列出完成本项目并通过验收所需的所有各项服务等明细表及全部费用。中标人必须确保整体通过用户方及有关主管部门验收,所发生的验收费用由中标人承担；投标人应自行踏勘现场，如投标人因未及时踏勘现场而导致的报价缺项漏项废标、或中标后无法完工，投标人自行承担一切后果。</w:t>
      </w:r>
    </w:p>
    <w:p w14:paraId="37E0A293">
      <w:pPr>
        <w:pStyle w:val="36"/>
        <w:numPr>
          <w:ilvl w:val="1"/>
          <w:numId w:val="8"/>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谈判供应商应填写谈判价格一览表、工程施工预算表，如果分项报价与单价不符，则以单价为准；其它表格与谈判报价一览表不符，以谈判报价一览表为准；小写与大写不符，以大写为准；</w:t>
      </w:r>
    </w:p>
    <w:p w14:paraId="7FB3E838">
      <w:pPr>
        <w:pStyle w:val="36"/>
        <w:numPr>
          <w:ilvl w:val="1"/>
          <w:numId w:val="8"/>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谈判报价执行政府采购政策，被认定为小微企业最终报价按扣除</w:t>
      </w:r>
      <w:r>
        <w:rPr>
          <w:rFonts w:hint="eastAsia"/>
          <w:color w:val="auto"/>
          <w:sz w:val="24"/>
          <w:highlight w:val="none"/>
          <w:lang w:val="en-US" w:eastAsia="zh-CN"/>
        </w:rPr>
        <w:t>5</w:t>
      </w:r>
      <w:r>
        <w:rPr>
          <w:rFonts w:hint="eastAsia"/>
          <w:color w:val="auto"/>
          <w:sz w:val="24"/>
          <w:highlight w:val="none"/>
        </w:rPr>
        <w:t>%作为评审报价。</w:t>
      </w:r>
    </w:p>
    <w:p w14:paraId="611531A0">
      <w:pPr>
        <w:pStyle w:val="36"/>
        <w:numPr>
          <w:ilvl w:val="1"/>
          <w:numId w:val="8"/>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小微企业认定：投标人提供小微企业声明函。</w:t>
      </w:r>
    </w:p>
    <w:p w14:paraId="68894E9E">
      <w:pPr>
        <w:pStyle w:val="36"/>
        <w:numPr>
          <w:ilvl w:val="0"/>
          <w:numId w:val="0"/>
        </w:numPr>
        <w:tabs>
          <w:tab w:val="left" w:pos="941"/>
        </w:tabs>
        <w:adjustRightInd w:val="0"/>
        <w:snapToGrid w:val="0"/>
        <w:spacing w:line="360" w:lineRule="auto"/>
        <w:ind w:leftChars="200"/>
        <w:jc w:val="both"/>
        <w:rPr>
          <w:color w:val="auto"/>
          <w:sz w:val="24"/>
          <w:highlight w:val="none"/>
        </w:rPr>
      </w:pPr>
      <w:r>
        <w:rPr>
          <w:rFonts w:hint="eastAsia"/>
          <w:color w:val="auto"/>
          <w:sz w:val="24"/>
          <w:highlight w:val="none"/>
          <w:lang w:val="en-US" w:eastAsia="zh-CN"/>
        </w:rPr>
        <w:t>11.5网上报价</w:t>
      </w:r>
      <w:r>
        <w:rPr>
          <w:rFonts w:hint="eastAsia" w:ascii="宋体" w:hAnsi="宋体" w:eastAsia="宋体" w:cs="宋体"/>
          <w:color w:val="auto"/>
          <w:sz w:val="24"/>
          <w:highlight w:val="none"/>
          <w:lang w:val="en-US" w:eastAsia="zh-CN"/>
        </w:rPr>
        <w:t>，见周口市公共资源交易中心网站下载中心版块《投标单位-电子投标文件视频制作手册》中的《周口市公共资源交易系统政府采购供应商操作手册》相关规定。</w:t>
      </w:r>
    </w:p>
    <w:p w14:paraId="4D5EC5EF">
      <w:pPr>
        <w:pStyle w:val="5"/>
        <w:adjustRightInd w:val="0"/>
        <w:snapToGrid w:val="0"/>
        <w:spacing w:line="360" w:lineRule="auto"/>
        <w:ind w:left="0" w:firstLine="482" w:firstLineChars="200"/>
        <w:rPr>
          <w:color w:val="auto"/>
          <w:highlight w:val="none"/>
        </w:rPr>
      </w:pPr>
      <w:r>
        <w:rPr>
          <w:rFonts w:hint="eastAsia"/>
          <w:color w:val="auto"/>
          <w:highlight w:val="none"/>
        </w:rPr>
        <w:t>12、谈判供应商资格证明文件</w:t>
      </w:r>
    </w:p>
    <w:p w14:paraId="77D4829F">
      <w:pPr>
        <w:pStyle w:val="36"/>
        <w:numPr>
          <w:ilvl w:val="1"/>
          <w:numId w:val="9"/>
        </w:numPr>
        <w:tabs>
          <w:tab w:val="left" w:pos="934"/>
        </w:tabs>
        <w:adjustRightInd w:val="0"/>
        <w:snapToGrid w:val="0"/>
        <w:spacing w:line="360" w:lineRule="auto"/>
        <w:ind w:left="0" w:firstLine="480" w:firstLineChars="200"/>
        <w:rPr>
          <w:color w:val="auto"/>
          <w:sz w:val="24"/>
          <w:highlight w:val="none"/>
        </w:rPr>
      </w:pPr>
      <w:r>
        <w:rPr>
          <w:rFonts w:hint="eastAsia"/>
          <w:color w:val="auto"/>
          <w:sz w:val="24"/>
          <w:highlight w:val="none"/>
        </w:rPr>
        <w:t>谈判供应商资格证明文件，证明谈判供应商是合格的，且一旦其响应被接受，谈判供应商有能力履行合同。</w:t>
      </w:r>
    </w:p>
    <w:p w14:paraId="3F3E0340">
      <w:pPr>
        <w:pStyle w:val="36"/>
        <w:numPr>
          <w:ilvl w:val="1"/>
          <w:numId w:val="9"/>
        </w:numPr>
        <w:tabs>
          <w:tab w:val="left" w:pos="934"/>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谈判工程符合谈判文件规定的证明文件，证明谈判供应商提供的施工服务是合格的，且符合国家有关标准、谈判文件规定</w:t>
      </w:r>
    </w:p>
    <w:p w14:paraId="07E1969D">
      <w:pPr>
        <w:pStyle w:val="36"/>
        <w:numPr>
          <w:ilvl w:val="1"/>
          <w:numId w:val="9"/>
        </w:numPr>
        <w:tabs>
          <w:tab w:val="left" w:pos="934"/>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及谈判供应商认为需加以说明的其它内容。</w:t>
      </w:r>
    </w:p>
    <w:p w14:paraId="2658D174">
      <w:pPr>
        <w:pStyle w:val="36"/>
        <w:numPr>
          <w:ilvl w:val="1"/>
          <w:numId w:val="9"/>
        </w:numPr>
        <w:tabs>
          <w:tab w:val="left" w:pos="932"/>
        </w:tabs>
        <w:adjustRightInd w:val="0"/>
        <w:snapToGrid w:val="0"/>
        <w:spacing w:line="360" w:lineRule="auto"/>
        <w:ind w:left="0" w:firstLine="480" w:firstLineChars="200"/>
        <w:rPr>
          <w:color w:val="auto"/>
          <w:sz w:val="24"/>
          <w:highlight w:val="none"/>
        </w:rPr>
      </w:pPr>
      <w:r>
        <w:rPr>
          <w:rFonts w:hint="eastAsia"/>
          <w:color w:val="auto"/>
          <w:sz w:val="24"/>
          <w:highlight w:val="none"/>
        </w:rPr>
        <w:t>谈判供应商有履行合同所需的财务、技术、施工能力。</w:t>
      </w:r>
    </w:p>
    <w:p w14:paraId="134570F6">
      <w:pPr>
        <w:pStyle w:val="36"/>
        <w:numPr>
          <w:ilvl w:val="1"/>
          <w:numId w:val="9"/>
        </w:numPr>
        <w:tabs>
          <w:tab w:val="left" w:pos="934"/>
        </w:tabs>
        <w:adjustRightInd w:val="0"/>
        <w:snapToGrid w:val="0"/>
        <w:spacing w:line="360" w:lineRule="auto"/>
        <w:ind w:left="0" w:firstLine="480" w:firstLineChars="200"/>
        <w:rPr>
          <w:color w:val="auto"/>
          <w:sz w:val="24"/>
          <w:highlight w:val="none"/>
        </w:rPr>
      </w:pPr>
      <w:r>
        <w:rPr>
          <w:rFonts w:hint="eastAsia"/>
          <w:color w:val="auto"/>
          <w:sz w:val="24"/>
          <w:highlight w:val="none"/>
        </w:rPr>
        <w:t>谈判供应商有能力履行谈判文件中合同条款和施工要求规定的由谈判供应商履行的服务义务。</w:t>
      </w:r>
    </w:p>
    <w:p w14:paraId="055A823B">
      <w:pPr>
        <w:pStyle w:val="5"/>
        <w:adjustRightInd w:val="0"/>
        <w:snapToGrid w:val="0"/>
        <w:spacing w:line="360" w:lineRule="auto"/>
        <w:ind w:left="0" w:firstLine="482" w:firstLineChars="200"/>
        <w:rPr>
          <w:color w:val="auto"/>
          <w:highlight w:val="none"/>
        </w:rPr>
      </w:pPr>
      <w:r>
        <w:rPr>
          <w:rFonts w:hint="eastAsia"/>
          <w:color w:val="auto"/>
          <w:highlight w:val="none"/>
        </w:rPr>
        <w:t>13、谈判保证金</w:t>
      </w:r>
    </w:p>
    <w:p w14:paraId="68A0FBA2">
      <w:pPr>
        <w:pStyle w:val="5"/>
        <w:adjustRightInd w:val="0"/>
        <w:snapToGrid w:val="0"/>
        <w:spacing w:line="360" w:lineRule="auto"/>
        <w:ind w:left="0" w:firstLine="480" w:firstLineChars="200"/>
        <w:rPr>
          <w:b w:val="0"/>
          <w:bCs w:val="0"/>
          <w:color w:val="auto"/>
          <w:szCs w:val="22"/>
          <w:highlight w:val="none"/>
          <w:lang w:val="en-US"/>
        </w:rPr>
      </w:pPr>
      <w:r>
        <w:rPr>
          <w:rFonts w:hint="eastAsia"/>
          <w:b w:val="0"/>
          <w:bCs w:val="0"/>
          <w:color w:val="auto"/>
          <w:szCs w:val="22"/>
          <w:highlight w:val="none"/>
          <w:lang w:val="en-US"/>
        </w:rPr>
        <w:t>不需要缴纳谈判保证金</w:t>
      </w:r>
    </w:p>
    <w:p w14:paraId="0D108F26">
      <w:pPr>
        <w:pStyle w:val="5"/>
        <w:adjustRightInd w:val="0"/>
        <w:snapToGrid w:val="0"/>
        <w:spacing w:line="360" w:lineRule="auto"/>
        <w:ind w:left="0" w:firstLine="482" w:firstLineChars="200"/>
        <w:rPr>
          <w:color w:val="auto"/>
          <w:highlight w:val="none"/>
        </w:rPr>
      </w:pPr>
      <w:r>
        <w:rPr>
          <w:rFonts w:hint="eastAsia"/>
          <w:color w:val="auto"/>
          <w:highlight w:val="none"/>
        </w:rPr>
        <w:t>14、投标有效期</w:t>
      </w:r>
    </w:p>
    <w:p w14:paraId="0B33A5EF">
      <w:pPr>
        <w:pStyle w:val="36"/>
        <w:numPr>
          <w:ilvl w:val="1"/>
          <w:numId w:val="10"/>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rPr>
        <w:t>谈判响应文件有效期为自谈判之日起60</w:t>
      </w:r>
      <w:r>
        <w:rPr>
          <w:rFonts w:hint="eastAsia"/>
          <w:color w:val="auto"/>
          <w:sz w:val="24"/>
          <w:highlight w:val="none"/>
          <w:lang w:val="en-US" w:eastAsia="zh-CN"/>
        </w:rPr>
        <w:t>工作日</w:t>
      </w:r>
      <w:r>
        <w:rPr>
          <w:rFonts w:hint="eastAsia"/>
          <w:color w:val="auto"/>
          <w:sz w:val="24"/>
          <w:highlight w:val="none"/>
        </w:rPr>
        <w:t>内，成交的谈判文件其有效期应延续至合同执行结束，有效期短于这个规定期限的谈判供应商将被拒绝。</w:t>
      </w:r>
    </w:p>
    <w:p w14:paraId="38F91930">
      <w:pPr>
        <w:pStyle w:val="36"/>
        <w:numPr>
          <w:ilvl w:val="1"/>
          <w:numId w:val="10"/>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特殊情况下，</w:t>
      </w:r>
      <w:r>
        <w:rPr>
          <w:rFonts w:hint="eastAsia"/>
          <w:color w:val="auto"/>
          <w:sz w:val="24"/>
          <w:highlight w:val="none"/>
          <w:lang w:val="en-US"/>
        </w:rPr>
        <w:t>采购人</w:t>
      </w:r>
      <w:r>
        <w:rPr>
          <w:rFonts w:hint="eastAsia"/>
          <w:color w:val="auto"/>
          <w:sz w:val="24"/>
          <w:highlight w:val="none"/>
        </w:rPr>
        <w:t>可于谈判供应商协商延长谈判书的有效期，要求与答复均为书面（函件、传真、电报）形式。谈判供应商可以拒绝接受延期要求而放弃谈判，谈判保证金将被尽快退回。对于同意该要求的谈判供应商，既不要求也不允许其修改谈判响应文件。</w:t>
      </w:r>
    </w:p>
    <w:p w14:paraId="170549F2">
      <w:pPr>
        <w:pStyle w:val="5"/>
        <w:adjustRightInd w:val="0"/>
        <w:snapToGrid w:val="0"/>
        <w:spacing w:line="360" w:lineRule="auto"/>
        <w:ind w:left="0" w:firstLine="482" w:firstLineChars="200"/>
        <w:rPr>
          <w:color w:val="auto"/>
          <w:highlight w:val="none"/>
        </w:rPr>
      </w:pPr>
      <w:r>
        <w:rPr>
          <w:rFonts w:hint="eastAsia"/>
          <w:color w:val="auto"/>
          <w:highlight w:val="none"/>
        </w:rPr>
        <w:t>15、谈判响应文件的签署及规定</w:t>
      </w:r>
    </w:p>
    <w:p w14:paraId="7A92A131">
      <w:pPr>
        <w:pStyle w:val="36"/>
        <w:numPr>
          <w:ilvl w:val="1"/>
          <w:numId w:val="11"/>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rPr>
        <w:t>谈判响应文件中不应有加行、涂抹或改写。如有修改错漏处，必须由谈判供应商法定代表人或其委托代理人签字并加盖公章。</w:t>
      </w:r>
    </w:p>
    <w:p w14:paraId="358BBF5C">
      <w:pPr>
        <w:pStyle w:val="36"/>
        <w:numPr>
          <w:ilvl w:val="1"/>
          <w:numId w:val="11"/>
        </w:numPr>
        <w:tabs>
          <w:tab w:val="left" w:pos="939"/>
        </w:tabs>
        <w:adjustRightInd w:val="0"/>
        <w:snapToGrid w:val="0"/>
        <w:spacing w:line="360" w:lineRule="auto"/>
        <w:ind w:left="0" w:firstLine="480" w:firstLineChars="200"/>
        <w:rPr>
          <w:color w:val="auto"/>
          <w:sz w:val="24"/>
          <w:highlight w:val="none"/>
        </w:rPr>
      </w:pPr>
      <w:r>
        <w:rPr>
          <w:rFonts w:hint="eastAsia"/>
          <w:color w:val="auto"/>
          <w:sz w:val="24"/>
          <w:highlight w:val="none"/>
        </w:rPr>
        <w:t>电报、电话、传真、电子邮件形式的投标概不接受。</w:t>
      </w:r>
    </w:p>
    <w:p w14:paraId="676A8078">
      <w:pPr>
        <w:spacing w:line="360" w:lineRule="auto"/>
        <w:ind w:firstLine="480" w:firstLineChars="200"/>
        <w:rPr>
          <w:bCs/>
          <w:color w:val="auto"/>
          <w:sz w:val="24"/>
          <w:highlight w:val="none"/>
        </w:rPr>
      </w:pPr>
      <w:r>
        <w:rPr>
          <w:rFonts w:hint="eastAsia"/>
          <w:bCs/>
          <w:color w:val="auto"/>
          <w:sz w:val="24"/>
          <w:highlight w:val="none"/>
          <w:lang w:val="en-US"/>
        </w:rPr>
        <w:t>15.3按照谈判文件规定签署、签章（</w:t>
      </w:r>
      <w:r>
        <w:rPr>
          <w:rFonts w:hint="eastAsia"/>
          <w:bCs/>
          <w:color w:val="auto"/>
          <w:sz w:val="24"/>
          <w:highlight w:val="none"/>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w:t>
      </w:r>
      <w:r>
        <w:rPr>
          <w:rFonts w:hint="eastAsia"/>
          <w:bCs/>
          <w:color w:val="auto"/>
          <w:sz w:val="24"/>
          <w:highlight w:val="none"/>
          <w:lang w:val="en-US"/>
        </w:rPr>
        <w:t>谈判文件所有要求授权代表签字的位置，</w:t>
      </w:r>
      <w:r>
        <w:rPr>
          <w:rFonts w:hint="eastAsia"/>
          <w:bCs/>
          <w:color w:val="auto"/>
          <w:sz w:val="24"/>
          <w:highlight w:val="none"/>
        </w:rPr>
        <w:t>授权代表的</w:t>
      </w:r>
      <w:r>
        <w:rPr>
          <w:rFonts w:hint="eastAsia"/>
          <w:bCs/>
          <w:color w:val="auto"/>
          <w:sz w:val="24"/>
          <w:highlight w:val="none"/>
          <w:lang w:val="en-US"/>
        </w:rPr>
        <w:t>签字手写或机打均可</w:t>
      </w:r>
      <w:r>
        <w:rPr>
          <w:rFonts w:hint="eastAsia"/>
          <w:bCs/>
          <w:color w:val="auto"/>
          <w:sz w:val="24"/>
          <w:highlight w:val="none"/>
        </w:rPr>
        <w:t>）；</w:t>
      </w:r>
    </w:p>
    <w:p w14:paraId="61AB2F3E">
      <w:pPr>
        <w:pStyle w:val="4"/>
        <w:adjustRightInd w:val="0"/>
        <w:snapToGrid w:val="0"/>
        <w:spacing w:line="360" w:lineRule="auto"/>
        <w:ind w:left="0" w:firstLine="602" w:firstLineChars="200"/>
        <w:rPr>
          <w:color w:val="auto"/>
          <w:highlight w:val="none"/>
        </w:rPr>
      </w:pPr>
      <w:bookmarkStart w:id="26" w:name="_Toc3274"/>
      <w:bookmarkStart w:id="27" w:name="_Toc10233"/>
      <w:r>
        <w:rPr>
          <w:rFonts w:hint="eastAsia"/>
          <w:color w:val="auto"/>
          <w:highlight w:val="none"/>
        </w:rPr>
        <w:t>D、谈判响应文件的递交</w:t>
      </w:r>
      <w:bookmarkEnd w:id="26"/>
      <w:bookmarkEnd w:id="27"/>
    </w:p>
    <w:p w14:paraId="01526AF5">
      <w:pPr>
        <w:pStyle w:val="7"/>
        <w:adjustRightInd w:val="0"/>
        <w:snapToGrid w:val="0"/>
        <w:spacing w:line="360" w:lineRule="auto"/>
        <w:ind w:firstLine="480" w:firstLineChars="200"/>
        <w:jc w:val="both"/>
        <w:rPr>
          <w:color w:val="auto"/>
          <w:highlight w:val="none"/>
          <w:lang w:val="en-US"/>
        </w:rPr>
      </w:pPr>
      <w:r>
        <w:rPr>
          <w:rFonts w:hint="eastAsia" w:ascii="宋体" w:hAnsi="宋体" w:eastAsia="宋体" w:cs="宋体"/>
          <w:color w:val="auto"/>
          <w:sz w:val="24"/>
          <w:highlight w:val="none"/>
        </w:rPr>
        <w:t>16、加密的电子投标文件的递交</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w:t>
      </w:r>
      <w:r>
        <w:rPr>
          <w:rFonts w:hint="eastAsia" w:ascii="宋体" w:hAnsi="宋体" w:eastAsia="宋体" w:cs="宋体"/>
          <w:color w:val="auto"/>
          <w:sz w:val="24"/>
          <w:highlight w:val="none"/>
          <w:lang w:val="en-US" w:eastAsia="zh-CN"/>
        </w:rPr>
        <w:t>中的《周口市公共资源交易系统政府采购供应商操作手册》相</w:t>
      </w:r>
      <w:r>
        <w:rPr>
          <w:rFonts w:hint="eastAsia" w:cs="宋体"/>
          <w:color w:val="auto"/>
          <w:sz w:val="24"/>
          <w:highlight w:val="none"/>
          <w:lang w:val="en-US" w:eastAsia="zh-CN"/>
        </w:rPr>
        <w:t>关规定</w:t>
      </w:r>
      <w:r>
        <w:rPr>
          <w:rFonts w:hint="eastAsia" w:ascii="宋体" w:hAnsi="宋体" w:eastAsia="宋体" w:cs="宋体"/>
          <w:color w:val="auto"/>
          <w:sz w:val="24"/>
          <w:highlight w:val="none"/>
        </w:rPr>
        <w:t>。</w:t>
      </w:r>
      <w:r>
        <w:rPr>
          <w:rFonts w:hint="eastAsia" w:ascii="宋体" w:hAnsi="宋体" w:cs="宋体"/>
          <w:color w:val="auto"/>
          <w:sz w:val="24"/>
          <w:highlight w:val="none"/>
        </w:rPr>
        <w:t>如未在招标文件规定的投标时间截止前上传网上</w:t>
      </w:r>
      <w:r>
        <w:rPr>
          <w:rFonts w:hint="eastAsia" w:ascii="宋体" w:hAnsi="宋体" w:cs="宋体"/>
          <w:color w:val="auto"/>
          <w:sz w:val="24"/>
          <w:highlight w:val="none"/>
          <w:lang w:val="en-US" w:eastAsia="zh-CN"/>
        </w:rPr>
        <w:t>响应</w:t>
      </w:r>
      <w:r>
        <w:rPr>
          <w:rFonts w:hint="eastAsia" w:ascii="宋体" w:hAnsi="宋体" w:cs="宋体"/>
          <w:color w:val="auto"/>
          <w:sz w:val="24"/>
          <w:highlight w:val="none"/>
        </w:rPr>
        <w:t>文件，投标无效。</w:t>
      </w:r>
    </w:p>
    <w:p w14:paraId="414590BA">
      <w:pPr>
        <w:adjustRightInd w:val="0"/>
        <w:snapToGrid w:val="0"/>
        <w:spacing w:line="360" w:lineRule="auto"/>
        <w:ind w:firstLine="482" w:firstLineChars="200"/>
        <w:rPr>
          <w:b/>
          <w:color w:val="auto"/>
          <w:sz w:val="24"/>
          <w:highlight w:val="none"/>
        </w:rPr>
      </w:pPr>
      <w:r>
        <w:rPr>
          <w:rFonts w:hint="eastAsia"/>
          <w:b/>
          <w:color w:val="auto"/>
          <w:sz w:val="24"/>
          <w:highlight w:val="none"/>
        </w:rPr>
        <w:t>17、递交谈判响应文件的截止时间</w:t>
      </w:r>
    </w:p>
    <w:p w14:paraId="09875437">
      <w:pPr>
        <w:pStyle w:val="36"/>
        <w:numPr>
          <w:ilvl w:val="1"/>
          <w:numId w:val="12"/>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rPr>
        <w:t>谈判响应文件须按谈判邀请函中规定的</w:t>
      </w:r>
      <w:r>
        <w:rPr>
          <w:rFonts w:hint="eastAsia"/>
          <w:color w:val="auto"/>
          <w:sz w:val="24"/>
          <w:highlight w:val="none"/>
          <w:lang w:val="en-US"/>
        </w:rPr>
        <w:t>在</w:t>
      </w:r>
      <w:r>
        <w:rPr>
          <w:rFonts w:hint="eastAsia"/>
          <w:color w:val="auto"/>
          <w:sz w:val="24"/>
          <w:highlight w:val="none"/>
        </w:rPr>
        <w:t>谈判截止时间之前</w:t>
      </w:r>
      <w:r>
        <w:rPr>
          <w:rFonts w:hint="eastAsia"/>
          <w:color w:val="auto"/>
          <w:sz w:val="24"/>
          <w:highlight w:val="none"/>
          <w:lang w:val="en-US"/>
        </w:rPr>
        <w:t>成功上传到指定位置</w:t>
      </w:r>
      <w:r>
        <w:rPr>
          <w:rFonts w:hint="eastAsia"/>
          <w:color w:val="auto"/>
          <w:sz w:val="24"/>
          <w:highlight w:val="none"/>
        </w:rPr>
        <w:t>。</w:t>
      </w:r>
    </w:p>
    <w:p w14:paraId="1B924E70">
      <w:pPr>
        <w:pStyle w:val="36"/>
        <w:numPr>
          <w:ilvl w:val="1"/>
          <w:numId w:val="12"/>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lang w:val="en-US"/>
        </w:rPr>
        <w:t>采购人</w:t>
      </w:r>
      <w:r>
        <w:rPr>
          <w:rFonts w:hint="eastAsia"/>
          <w:color w:val="auto"/>
          <w:sz w:val="24"/>
          <w:highlight w:val="none"/>
        </w:rPr>
        <w:t>推迟谈判截止时间时，应以</w:t>
      </w:r>
      <w:r>
        <w:rPr>
          <w:rFonts w:hint="eastAsia"/>
          <w:color w:val="auto"/>
          <w:sz w:val="24"/>
          <w:highlight w:val="none"/>
          <w:lang w:val="en-US"/>
        </w:rPr>
        <w:t>网上</w:t>
      </w:r>
      <w:r>
        <w:rPr>
          <w:rFonts w:hint="eastAsia"/>
          <w:color w:val="auto"/>
          <w:sz w:val="24"/>
          <w:highlight w:val="none"/>
        </w:rPr>
        <w:t>公告的形式，通知所有潜在的谈判供应商，在这种情况下，谈判组织人和谈判供应商的权利和义务将受到新的截止期的约束。</w:t>
      </w:r>
    </w:p>
    <w:p w14:paraId="41CF88D1">
      <w:pPr>
        <w:pStyle w:val="36"/>
        <w:numPr>
          <w:ilvl w:val="1"/>
          <w:numId w:val="12"/>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rPr>
        <w:t>在谈判截止时间前，谈判供应商可以补充、修改或撤回已递交的谈判响应文件。补充、修改的内容为谈判响应文件的组成部分。上述补充或修改若涉及谈判报价，将视为有选择性报价。</w:t>
      </w:r>
    </w:p>
    <w:p w14:paraId="7FD43313">
      <w:pPr>
        <w:pStyle w:val="36"/>
        <w:numPr>
          <w:ilvl w:val="1"/>
          <w:numId w:val="12"/>
        </w:numPr>
        <w:tabs>
          <w:tab w:val="left" w:pos="941"/>
        </w:tabs>
        <w:adjustRightInd w:val="0"/>
        <w:snapToGrid w:val="0"/>
        <w:spacing w:line="360" w:lineRule="auto"/>
        <w:ind w:left="0" w:firstLine="480" w:firstLineChars="200"/>
        <w:jc w:val="both"/>
        <w:rPr>
          <w:color w:val="auto"/>
          <w:sz w:val="24"/>
          <w:highlight w:val="none"/>
          <w:lang w:val="en-US"/>
        </w:rPr>
      </w:pPr>
      <w:r>
        <w:rPr>
          <w:rFonts w:hint="eastAsia"/>
          <w:color w:val="auto"/>
          <w:sz w:val="24"/>
          <w:highlight w:val="none"/>
          <w:lang w:val="en-US"/>
        </w:rPr>
        <w:t>补充、修改后的谈判响应文件须</w:t>
      </w:r>
      <w:r>
        <w:rPr>
          <w:rFonts w:hint="eastAsia"/>
          <w:color w:val="auto"/>
          <w:sz w:val="24"/>
          <w:highlight w:val="none"/>
        </w:rPr>
        <w:t>在投标截止时间前</w:t>
      </w:r>
      <w:r>
        <w:rPr>
          <w:rFonts w:hint="eastAsia"/>
          <w:color w:val="auto"/>
          <w:sz w:val="24"/>
          <w:highlight w:val="none"/>
          <w:lang w:val="en-US"/>
        </w:rPr>
        <w:t>再</w:t>
      </w:r>
      <w:r>
        <w:rPr>
          <w:rFonts w:hint="eastAsia"/>
          <w:color w:val="auto"/>
          <w:sz w:val="24"/>
          <w:highlight w:val="none"/>
        </w:rPr>
        <w:t>次成功上传</w:t>
      </w:r>
      <w:r>
        <w:rPr>
          <w:rFonts w:hint="eastAsia"/>
          <w:color w:val="auto"/>
          <w:sz w:val="24"/>
          <w:highlight w:val="none"/>
          <w:lang w:val="en-US"/>
        </w:rPr>
        <w:t>到网上指定位置</w:t>
      </w:r>
    </w:p>
    <w:p w14:paraId="427CC5CA">
      <w:pPr>
        <w:pStyle w:val="5"/>
        <w:adjustRightInd w:val="0"/>
        <w:snapToGrid w:val="0"/>
        <w:spacing w:line="360" w:lineRule="auto"/>
        <w:ind w:left="0" w:firstLine="482" w:firstLineChars="200"/>
        <w:rPr>
          <w:color w:val="auto"/>
          <w:highlight w:val="none"/>
        </w:rPr>
      </w:pPr>
      <w:r>
        <w:rPr>
          <w:rFonts w:hint="eastAsia"/>
          <w:color w:val="auto"/>
          <w:highlight w:val="none"/>
        </w:rPr>
        <w:t>18、迟交的谈判响应文件</w:t>
      </w:r>
    </w:p>
    <w:p w14:paraId="5B635D88">
      <w:pPr>
        <w:pStyle w:val="7"/>
        <w:adjustRightInd w:val="0"/>
        <w:snapToGrid w:val="0"/>
        <w:spacing w:line="360" w:lineRule="auto"/>
        <w:ind w:firstLine="480" w:firstLineChars="200"/>
        <w:rPr>
          <w:color w:val="auto"/>
          <w:highlight w:val="none"/>
        </w:rPr>
      </w:pPr>
      <w:r>
        <w:rPr>
          <w:rFonts w:hint="eastAsia"/>
          <w:color w:val="auto"/>
          <w:highlight w:val="none"/>
        </w:rPr>
        <w:t>18.1在</w:t>
      </w:r>
      <w:r>
        <w:rPr>
          <w:rFonts w:hint="eastAsia"/>
          <w:color w:val="auto"/>
          <w:highlight w:val="none"/>
          <w:lang w:val="en-US"/>
        </w:rPr>
        <w:t>谈判</w:t>
      </w:r>
      <w:r>
        <w:rPr>
          <w:rFonts w:hint="eastAsia"/>
          <w:color w:val="auto"/>
          <w:highlight w:val="none"/>
        </w:rPr>
        <w:t>文件要求提交</w:t>
      </w:r>
      <w:r>
        <w:rPr>
          <w:rFonts w:hint="eastAsia"/>
          <w:color w:val="auto"/>
          <w:highlight w:val="none"/>
          <w:lang w:val="en-US"/>
        </w:rPr>
        <w:t>响应</w:t>
      </w:r>
      <w:r>
        <w:rPr>
          <w:rFonts w:hint="eastAsia"/>
          <w:color w:val="auto"/>
          <w:highlight w:val="none"/>
        </w:rPr>
        <w:t>文件的截止时间之后制作上传的投标文件为无效投标文件，</w:t>
      </w:r>
      <w:r>
        <w:rPr>
          <w:rFonts w:hint="eastAsia"/>
          <w:bCs/>
          <w:color w:val="auto"/>
          <w:highlight w:val="none"/>
        </w:rPr>
        <w:t>采购人</w:t>
      </w:r>
      <w:r>
        <w:rPr>
          <w:rFonts w:hint="eastAsia"/>
          <w:bCs/>
          <w:color w:val="auto"/>
          <w:highlight w:val="none"/>
          <w:lang w:val="en-US"/>
        </w:rPr>
        <w:t>和网上开评标系统</w:t>
      </w:r>
      <w:r>
        <w:rPr>
          <w:rFonts w:hint="eastAsia"/>
          <w:color w:val="auto"/>
          <w:highlight w:val="none"/>
        </w:rPr>
        <w:t>将拒绝接收。</w:t>
      </w:r>
    </w:p>
    <w:p w14:paraId="6EE55CBB">
      <w:pPr>
        <w:pStyle w:val="4"/>
        <w:adjustRightInd w:val="0"/>
        <w:snapToGrid w:val="0"/>
        <w:spacing w:line="360" w:lineRule="auto"/>
        <w:ind w:left="0" w:firstLine="602" w:firstLineChars="200"/>
        <w:rPr>
          <w:color w:val="auto"/>
          <w:highlight w:val="none"/>
        </w:rPr>
      </w:pPr>
      <w:bookmarkStart w:id="28" w:name="_Toc9242"/>
      <w:bookmarkStart w:id="29" w:name="_Toc7757"/>
      <w:r>
        <w:rPr>
          <w:rFonts w:hint="eastAsia"/>
          <w:color w:val="auto"/>
          <w:highlight w:val="none"/>
        </w:rPr>
        <w:t>E、开始和谈判</w:t>
      </w:r>
      <w:bookmarkEnd w:id="28"/>
      <w:bookmarkEnd w:id="29"/>
    </w:p>
    <w:p w14:paraId="44BF32CD">
      <w:pPr>
        <w:pStyle w:val="5"/>
        <w:adjustRightInd w:val="0"/>
        <w:snapToGrid w:val="0"/>
        <w:spacing w:line="360" w:lineRule="auto"/>
        <w:ind w:left="0" w:firstLine="482" w:firstLineChars="200"/>
        <w:rPr>
          <w:color w:val="auto"/>
          <w:highlight w:val="none"/>
        </w:rPr>
      </w:pPr>
      <w:r>
        <w:rPr>
          <w:rFonts w:hint="eastAsia"/>
          <w:color w:val="auto"/>
          <w:highlight w:val="none"/>
        </w:rPr>
        <w:t>19、开始</w:t>
      </w:r>
    </w:p>
    <w:p w14:paraId="262EAD1A">
      <w:pPr>
        <w:pStyle w:val="7"/>
        <w:adjustRightInd w:val="0"/>
        <w:snapToGrid w:val="0"/>
        <w:spacing w:line="360" w:lineRule="auto"/>
        <w:ind w:firstLine="480" w:firstLineChars="200"/>
        <w:rPr>
          <w:color w:val="auto"/>
          <w:highlight w:val="none"/>
        </w:rPr>
      </w:pPr>
      <w:r>
        <w:rPr>
          <w:rFonts w:hint="eastAsia"/>
          <w:color w:val="auto"/>
          <w:highlight w:val="none"/>
          <w:lang w:val="en-US"/>
        </w:rPr>
        <w:t>19.1</w:t>
      </w:r>
      <w:r>
        <w:rPr>
          <w:rFonts w:hint="eastAsia"/>
          <w:color w:val="auto"/>
          <w:highlight w:val="none"/>
        </w:rPr>
        <w:t>本项目施行网上远程开标</w:t>
      </w:r>
      <w:r>
        <w:rPr>
          <w:rFonts w:hint="eastAsia"/>
          <w:color w:val="auto"/>
          <w:highlight w:val="none"/>
          <w:lang w:val="en-US"/>
        </w:rPr>
        <w:t>并依法</w:t>
      </w:r>
      <w:r>
        <w:rPr>
          <w:rFonts w:hint="eastAsia"/>
          <w:color w:val="auto"/>
          <w:highlight w:val="none"/>
        </w:rPr>
        <w:t>按照相关程序进行开标。</w:t>
      </w:r>
    </w:p>
    <w:p w14:paraId="45533D67">
      <w:pPr>
        <w:pStyle w:val="7"/>
        <w:adjustRightInd w:val="0"/>
        <w:snapToGrid w:val="0"/>
        <w:spacing w:line="360" w:lineRule="auto"/>
        <w:ind w:firstLine="480" w:firstLineChars="200"/>
        <w:rPr>
          <w:color w:val="auto"/>
          <w:highlight w:val="none"/>
        </w:rPr>
      </w:pPr>
      <w:r>
        <w:rPr>
          <w:rFonts w:hint="eastAsia"/>
          <w:color w:val="auto"/>
          <w:highlight w:val="none"/>
          <w:lang w:val="en-US"/>
        </w:rPr>
        <w:t>19.2</w:t>
      </w:r>
      <w:r>
        <w:rPr>
          <w:rFonts w:hint="eastAsia"/>
          <w:color w:val="auto"/>
          <w:highlight w:val="none"/>
        </w:rPr>
        <w:t>请各投标人在开标规定时间内进行网上远程响应文件解密，远程响应文件解密程序见“周口市公共资</w:t>
      </w:r>
      <w:r>
        <w:rPr>
          <w:rFonts w:hint="eastAsia"/>
          <w:color w:val="auto"/>
          <w:spacing w:val="-4"/>
          <w:highlight w:val="none"/>
        </w:rPr>
        <w:t>源电子交易服务平台</w:t>
      </w:r>
      <w:r>
        <w:rPr>
          <w:rFonts w:hint="eastAsia"/>
          <w:color w:val="auto"/>
          <w:highlight w:val="none"/>
        </w:rPr>
        <w:t>（</w:t>
      </w:r>
      <w:r>
        <w:rPr>
          <w:rFonts w:hint="eastAsia"/>
          <w:color w:val="auto"/>
          <w:spacing w:val="-20"/>
          <w:highlight w:val="none"/>
        </w:rPr>
        <w:t>网址</w:t>
      </w:r>
      <w:r>
        <w:rPr>
          <w:color w:val="auto"/>
          <w:highlight w:val="none"/>
        </w:rPr>
        <w:fldChar w:fldCharType="begin"/>
      </w:r>
      <w:r>
        <w:rPr>
          <w:color w:val="auto"/>
          <w:highlight w:val="none"/>
        </w:rPr>
        <w:instrText xml:space="preserve"> HYPERLINK "http://jyzx.zhoukou.gov.cn/" </w:instrText>
      </w:r>
      <w:r>
        <w:rPr>
          <w:color w:val="auto"/>
          <w:highlight w:val="none"/>
        </w:rPr>
        <w:fldChar w:fldCharType="separate"/>
      </w:r>
      <w:r>
        <w:rPr>
          <w:rFonts w:hint="eastAsia"/>
          <w:color w:val="auto"/>
          <w:highlight w:val="none"/>
        </w:rPr>
        <w:t>http://jyzx.zhoukou.gov.cn</w:t>
      </w:r>
      <w:r>
        <w:rPr>
          <w:rFonts w:hint="eastAsia"/>
          <w:color w:val="auto"/>
          <w:highlight w:val="none"/>
        </w:rPr>
        <w:fldChar w:fldCharType="end"/>
      </w:r>
      <w:r>
        <w:rPr>
          <w:rFonts w:hint="eastAsia"/>
          <w:color w:val="auto"/>
          <w:highlight w:val="none"/>
        </w:rPr>
        <w:t>）下载</w:t>
      </w:r>
      <w:r>
        <w:rPr>
          <w:rFonts w:hint="eastAsia"/>
          <w:color w:val="auto"/>
          <w:spacing w:val="-8"/>
          <w:highlight w:val="none"/>
        </w:rPr>
        <w:t>中心</w:t>
      </w:r>
      <w:r>
        <w:rPr>
          <w:rFonts w:hint="eastAsia"/>
          <w:color w:val="auto"/>
          <w:spacing w:val="3"/>
          <w:highlight w:val="none"/>
        </w:rPr>
        <w:t>（</w:t>
      </w:r>
      <w:r>
        <w:rPr>
          <w:color w:val="auto"/>
          <w:highlight w:val="none"/>
        </w:rPr>
        <w:fldChar w:fldCharType="begin"/>
      </w:r>
      <w:r>
        <w:rPr>
          <w:color w:val="auto"/>
          <w:highlight w:val="none"/>
        </w:rPr>
        <w:instrText xml:space="preserve"> HYPERLINK "http://www.zkggzyjy.gov.cn/TPFront/infodetail/?infoid=47eea74d-b982-411d-875f-1b63772b7810&amp;amp;categoryNum=010" \h </w:instrText>
      </w:r>
      <w:r>
        <w:rPr>
          <w:color w:val="auto"/>
          <w:highlight w:val="none"/>
        </w:rPr>
        <w:fldChar w:fldCharType="separate"/>
      </w:r>
      <w:r>
        <w:rPr>
          <w:rFonts w:hint="eastAsia"/>
          <w:color w:val="auto"/>
          <w:highlight w:val="none"/>
        </w:rPr>
        <w:t>远程在线解</w:t>
      </w:r>
      <w:r>
        <w:rPr>
          <w:rFonts w:hint="eastAsia"/>
          <w:color w:val="auto"/>
          <w:highlight w:val="none"/>
        </w:rPr>
        <w:fldChar w:fldCharType="end"/>
      </w:r>
      <w:r>
        <w:rPr>
          <w:color w:val="auto"/>
          <w:highlight w:val="none"/>
        </w:rPr>
        <w:fldChar w:fldCharType="begin"/>
      </w:r>
      <w:r>
        <w:rPr>
          <w:color w:val="auto"/>
          <w:highlight w:val="none"/>
        </w:rPr>
        <w:instrText xml:space="preserve"> HYPERLINK "http://www.zkggzyjy.gov.cn/TPFront/infodetail/?infoid=47eea74d-b982-411d-875f-1b63772b7810&amp;amp;categoryNum=010" \h </w:instrText>
      </w:r>
      <w:r>
        <w:rPr>
          <w:color w:val="auto"/>
          <w:highlight w:val="none"/>
        </w:rPr>
        <w:fldChar w:fldCharType="separate"/>
      </w:r>
      <w:r>
        <w:rPr>
          <w:rFonts w:hint="eastAsia"/>
          <w:color w:val="auto"/>
          <w:highlight w:val="none"/>
        </w:rPr>
        <w:t>密操作手册</w:t>
      </w:r>
      <w:r>
        <w:rPr>
          <w:rFonts w:hint="eastAsia"/>
          <w:color w:val="auto"/>
          <w:highlight w:val="none"/>
        </w:rPr>
        <w:fldChar w:fldCharType="end"/>
      </w:r>
      <w:r>
        <w:rPr>
          <w:rFonts w:hint="eastAsia"/>
          <w:color w:val="auto"/>
          <w:highlight w:val="none"/>
        </w:rPr>
        <w:t>）”。在规定时间内（</w:t>
      </w:r>
      <w:r>
        <w:rPr>
          <w:rFonts w:hint="eastAsia"/>
          <w:color w:val="auto"/>
          <w:highlight w:val="none"/>
          <w:lang w:val="en-US"/>
        </w:rPr>
        <w:t>半个小时</w:t>
      </w:r>
      <w:r>
        <w:rPr>
          <w:rFonts w:hint="eastAsia"/>
          <w:color w:val="auto"/>
          <w:highlight w:val="none"/>
        </w:rPr>
        <w:t>）不进行解密的视为不提交响应文件。</w:t>
      </w:r>
    </w:p>
    <w:p w14:paraId="0D91BBB1">
      <w:pPr>
        <w:spacing w:line="360" w:lineRule="auto"/>
        <w:ind w:firstLine="549"/>
        <w:rPr>
          <w:color w:val="auto"/>
          <w:sz w:val="24"/>
          <w:szCs w:val="24"/>
          <w:highlight w:val="none"/>
        </w:rPr>
      </w:pPr>
      <w:r>
        <w:rPr>
          <w:rFonts w:hint="eastAsia"/>
          <w:color w:val="auto"/>
          <w:sz w:val="24"/>
          <w:szCs w:val="24"/>
          <w:highlight w:val="none"/>
          <w:lang w:val="en-US"/>
        </w:rPr>
        <w:t>19.3采购中心</w:t>
      </w:r>
      <w:r>
        <w:rPr>
          <w:rFonts w:hint="eastAsia"/>
          <w:color w:val="auto"/>
          <w:sz w:val="24"/>
          <w:szCs w:val="24"/>
          <w:highlight w:val="none"/>
        </w:rPr>
        <w:t>项目负责人在</w:t>
      </w:r>
      <w:r>
        <w:rPr>
          <w:rFonts w:hint="eastAsia"/>
          <w:color w:val="auto"/>
          <w:sz w:val="24"/>
          <w:szCs w:val="24"/>
          <w:highlight w:val="none"/>
          <w:lang w:val="en-US"/>
        </w:rPr>
        <w:t>采购人和财政监督</w:t>
      </w:r>
      <w:r>
        <w:rPr>
          <w:rFonts w:hint="eastAsia"/>
          <w:color w:val="auto"/>
          <w:sz w:val="24"/>
          <w:szCs w:val="24"/>
          <w:highlight w:val="none"/>
        </w:rPr>
        <w:t>下解密所有投标文件。</w:t>
      </w:r>
      <w:r>
        <w:rPr>
          <w:rFonts w:hint="eastAsia"/>
          <w:color w:val="auto"/>
          <w:sz w:val="24"/>
          <w:szCs w:val="24"/>
          <w:highlight w:val="none"/>
          <w:lang w:val="en-US"/>
        </w:rPr>
        <w:t>并</w:t>
      </w:r>
      <w:r>
        <w:rPr>
          <w:rFonts w:hint="eastAsia"/>
          <w:color w:val="auto"/>
          <w:sz w:val="24"/>
          <w:szCs w:val="24"/>
          <w:highlight w:val="none"/>
        </w:rPr>
        <w:t>通过网上开标系统公布投标人名称、投标价格，以及采购中心认为合适的其它详细内容。</w:t>
      </w:r>
    </w:p>
    <w:p w14:paraId="5EA48D2C">
      <w:pPr>
        <w:pStyle w:val="5"/>
        <w:adjustRightInd w:val="0"/>
        <w:snapToGrid w:val="0"/>
        <w:spacing w:line="360" w:lineRule="auto"/>
        <w:ind w:left="0" w:firstLine="458" w:firstLineChars="200"/>
        <w:rPr>
          <w:color w:val="auto"/>
          <w:highlight w:val="none"/>
        </w:rPr>
      </w:pPr>
      <w:r>
        <w:rPr>
          <w:rFonts w:hint="eastAsia"/>
          <w:color w:val="auto"/>
          <w:w w:val="95"/>
          <w:highlight w:val="none"/>
        </w:rPr>
        <w:t>20、谈判小组</w:t>
      </w:r>
    </w:p>
    <w:p w14:paraId="5D870099">
      <w:pPr>
        <w:pStyle w:val="7"/>
        <w:adjustRightInd w:val="0"/>
        <w:snapToGrid w:val="0"/>
        <w:spacing w:line="360" w:lineRule="auto"/>
        <w:ind w:firstLine="480" w:firstLineChars="200"/>
        <w:rPr>
          <w:color w:val="auto"/>
          <w:highlight w:val="none"/>
        </w:rPr>
      </w:pPr>
      <w:r>
        <w:rPr>
          <w:rFonts w:hint="eastAsia"/>
          <w:color w:val="auto"/>
          <w:highlight w:val="none"/>
        </w:rPr>
        <w:t>20.1</w:t>
      </w:r>
      <w:r>
        <w:rPr>
          <w:rFonts w:hint="eastAsia"/>
          <w:color w:val="auto"/>
          <w:highlight w:val="none"/>
          <w:lang w:val="en-US"/>
        </w:rPr>
        <w:t>采购人</w:t>
      </w:r>
      <w:r>
        <w:rPr>
          <w:rFonts w:hint="eastAsia"/>
          <w:color w:val="auto"/>
          <w:highlight w:val="none"/>
        </w:rPr>
        <w:t>将根据所采购工程的特点组建谈判小组，其成员由采购方代</w:t>
      </w:r>
      <w:r>
        <w:rPr>
          <w:rFonts w:hint="eastAsia"/>
          <w:color w:val="auto"/>
          <w:spacing w:val="-5"/>
          <w:highlight w:val="none"/>
        </w:rPr>
        <w:t>表和技术、经济等方面的专家组成。谈判小组对谈判响应文件进行审查、质疑、</w:t>
      </w:r>
      <w:r>
        <w:rPr>
          <w:rFonts w:hint="eastAsia"/>
          <w:color w:val="auto"/>
          <w:highlight w:val="none"/>
        </w:rPr>
        <w:t>评估和比较。</w:t>
      </w:r>
    </w:p>
    <w:p w14:paraId="1F5640B4">
      <w:pPr>
        <w:pStyle w:val="5"/>
        <w:adjustRightInd w:val="0"/>
        <w:snapToGrid w:val="0"/>
        <w:spacing w:line="360" w:lineRule="auto"/>
        <w:ind w:left="0" w:firstLine="482" w:firstLineChars="200"/>
        <w:rPr>
          <w:color w:val="auto"/>
          <w:highlight w:val="none"/>
        </w:rPr>
      </w:pPr>
      <w:r>
        <w:rPr>
          <w:rFonts w:hint="eastAsia"/>
          <w:color w:val="auto"/>
          <w:highlight w:val="none"/>
        </w:rPr>
        <w:t>21、谈判响应文件的审查</w:t>
      </w:r>
    </w:p>
    <w:p w14:paraId="7A4B82A2">
      <w:pPr>
        <w:pStyle w:val="36"/>
        <w:numPr>
          <w:ilvl w:val="1"/>
          <w:numId w:val="13"/>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谈判开始后，谈判组织人将组织审查谈判响应文件是否完整，是否有计</w:t>
      </w:r>
      <w:r>
        <w:rPr>
          <w:rFonts w:hint="eastAsia"/>
          <w:color w:val="auto"/>
          <w:spacing w:val="-1"/>
          <w:sz w:val="24"/>
          <w:highlight w:val="none"/>
        </w:rPr>
        <w:t>算错误，文件是否已恰当地签署。不按谈判文件规定要求的响应为无效响应</w:t>
      </w:r>
      <w:r>
        <w:rPr>
          <w:rFonts w:hint="eastAsia"/>
          <w:color w:val="auto"/>
          <w:sz w:val="24"/>
          <w:highlight w:val="none"/>
        </w:rPr>
        <w:t>。</w:t>
      </w:r>
    </w:p>
    <w:p w14:paraId="415D7A81">
      <w:pPr>
        <w:pStyle w:val="36"/>
        <w:numPr>
          <w:ilvl w:val="1"/>
          <w:numId w:val="13"/>
        </w:numPr>
        <w:tabs>
          <w:tab w:val="left" w:pos="941"/>
        </w:tabs>
        <w:adjustRightInd w:val="0"/>
        <w:snapToGrid w:val="0"/>
        <w:spacing w:line="360" w:lineRule="auto"/>
        <w:ind w:left="0" w:firstLine="480" w:firstLineChars="200"/>
        <w:jc w:val="left"/>
        <w:rPr>
          <w:color w:val="auto"/>
          <w:sz w:val="24"/>
          <w:highlight w:val="none"/>
        </w:rPr>
      </w:pPr>
      <w:r>
        <w:rPr>
          <w:rFonts w:hint="eastAsia"/>
          <w:color w:val="auto"/>
          <w:sz w:val="24"/>
          <w:highlight w:val="none"/>
        </w:rPr>
        <w:t>在对谈判响应文件进行详细评估之前，谈判小组将依据谈判供应商提供</w:t>
      </w:r>
      <w:r>
        <w:rPr>
          <w:rFonts w:hint="eastAsia"/>
          <w:color w:val="auto"/>
          <w:spacing w:val="-3"/>
          <w:sz w:val="24"/>
          <w:highlight w:val="none"/>
        </w:rPr>
        <w:t>的证明文件进行资格审查。如果确定谈判供应商不符合谈判文件对资格的要求，</w:t>
      </w:r>
      <w:r>
        <w:rPr>
          <w:rFonts w:hint="eastAsia"/>
          <w:color w:val="auto"/>
          <w:sz w:val="24"/>
          <w:highlight w:val="none"/>
        </w:rPr>
        <w:t>其谈判将被拒绝。</w:t>
      </w:r>
    </w:p>
    <w:p w14:paraId="3B2C4B84">
      <w:pPr>
        <w:pStyle w:val="36"/>
        <w:numPr>
          <w:ilvl w:val="1"/>
          <w:numId w:val="13"/>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谈判小组将确定每一谈判供应商是否对谈判文件的要求做出了实质性的响应。实质性响应是指谈判供应商符合谈判文件的</w:t>
      </w:r>
      <w:r>
        <w:rPr>
          <w:rFonts w:hint="eastAsia" w:asciiTheme="minorEastAsia" w:hAnsiTheme="minorEastAsia" w:eastAsiaTheme="minorEastAsia" w:cstheme="minorEastAsia"/>
          <w:b w:val="0"/>
          <w:i w:val="0"/>
          <w:iCs w:val="0"/>
          <w:color w:val="auto"/>
          <w:sz w:val="24"/>
          <w:szCs w:val="24"/>
          <w:highlight w:val="none"/>
        </w:rPr>
        <w:t>合同履行期限</w:t>
      </w:r>
      <w:r>
        <w:rPr>
          <w:rFonts w:hint="eastAsia" w:asciiTheme="minorEastAsia" w:hAnsiTheme="minorEastAsia" w:eastAsiaTheme="minorEastAsia" w:cstheme="minorEastAsia"/>
          <w:b w:val="0"/>
          <w:i w:val="0"/>
          <w:iCs w:val="0"/>
          <w:color w:val="auto"/>
          <w:sz w:val="24"/>
          <w:szCs w:val="24"/>
          <w:highlight w:val="none"/>
          <w:lang w:eastAsia="zh-CN"/>
        </w:rPr>
        <w:t>、</w:t>
      </w:r>
      <w:r>
        <w:rPr>
          <w:rFonts w:hint="eastAsia" w:asciiTheme="minorEastAsia" w:hAnsiTheme="minorEastAsia" w:eastAsiaTheme="minorEastAsia" w:cstheme="minorEastAsia"/>
          <w:b w:val="0"/>
          <w:i w:val="0"/>
          <w:iCs w:val="0"/>
          <w:color w:val="auto"/>
          <w:sz w:val="24"/>
          <w:szCs w:val="24"/>
          <w:highlight w:val="none"/>
          <w:lang w:val="en-US" w:eastAsia="zh-CN"/>
        </w:rPr>
        <w:t>工程质量、投标有效期等</w:t>
      </w:r>
      <w:r>
        <w:rPr>
          <w:rFonts w:hint="eastAsia"/>
          <w:color w:val="auto"/>
          <w:sz w:val="24"/>
          <w:highlight w:val="none"/>
        </w:rPr>
        <w:t>所有条款、条件和规定且没有重大偏离和保留。重大偏离和保留是指影响到谈判文件规定的范围、质量和性能，或限制了谈判组织人的权利和谈判供应商的义务的规定，而纠正这些偏离将影响到其它提交实质性响应的谈判供应商的公平竞争地位。</w:t>
      </w:r>
    </w:p>
    <w:p w14:paraId="100326E6">
      <w:pPr>
        <w:pStyle w:val="36"/>
        <w:numPr>
          <w:ilvl w:val="1"/>
          <w:numId w:val="13"/>
        </w:numPr>
        <w:tabs>
          <w:tab w:val="left" w:pos="941"/>
        </w:tabs>
        <w:adjustRightInd w:val="0"/>
        <w:snapToGrid w:val="0"/>
        <w:spacing w:line="360" w:lineRule="auto"/>
        <w:ind w:left="0" w:firstLine="480" w:firstLineChars="200"/>
        <w:jc w:val="left"/>
        <w:rPr>
          <w:color w:val="auto"/>
          <w:sz w:val="24"/>
          <w:highlight w:val="none"/>
        </w:rPr>
      </w:pPr>
      <w:r>
        <w:rPr>
          <w:rFonts w:hint="eastAsia"/>
          <w:color w:val="auto"/>
          <w:sz w:val="24"/>
          <w:highlight w:val="none"/>
        </w:rPr>
        <w:t>谈判小组判断谈判文件的响应性仅基于谈判响应文件本身内容而不靠外部证据。</w:t>
      </w:r>
    </w:p>
    <w:p w14:paraId="6E354D5B">
      <w:pPr>
        <w:pStyle w:val="36"/>
        <w:numPr>
          <w:ilvl w:val="1"/>
          <w:numId w:val="13"/>
        </w:numPr>
        <w:tabs>
          <w:tab w:val="left" w:pos="941"/>
        </w:tabs>
        <w:adjustRightInd w:val="0"/>
        <w:snapToGrid w:val="0"/>
        <w:spacing w:line="360" w:lineRule="auto"/>
        <w:ind w:left="0" w:firstLine="480" w:firstLineChars="200"/>
        <w:jc w:val="left"/>
        <w:rPr>
          <w:color w:val="auto"/>
          <w:sz w:val="24"/>
          <w:highlight w:val="none"/>
        </w:rPr>
      </w:pPr>
      <w:r>
        <w:rPr>
          <w:rFonts w:hint="eastAsia"/>
          <w:color w:val="auto"/>
          <w:sz w:val="24"/>
          <w:highlight w:val="none"/>
        </w:rPr>
        <w:t>谈判小组将拒绝被确定为非实质性响应的谈判供应商，谈判供应商不能通过修正或撤消不符之处而使其成为实质性响应的谈判供应商。</w:t>
      </w:r>
    </w:p>
    <w:p w14:paraId="012A6DA1">
      <w:pPr>
        <w:pStyle w:val="36"/>
        <w:numPr>
          <w:ilvl w:val="1"/>
          <w:numId w:val="13"/>
        </w:numPr>
        <w:tabs>
          <w:tab w:val="left" w:pos="941"/>
        </w:tabs>
        <w:adjustRightInd w:val="0"/>
        <w:snapToGrid w:val="0"/>
        <w:spacing w:line="360" w:lineRule="auto"/>
        <w:ind w:left="0" w:firstLine="480" w:firstLineChars="200"/>
        <w:jc w:val="left"/>
        <w:rPr>
          <w:color w:val="auto"/>
          <w:sz w:val="24"/>
          <w:highlight w:val="none"/>
        </w:rPr>
      </w:pPr>
      <w:r>
        <w:rPr>
          <w:rFonts w:hint="eastAsia"/>
          <w:color w:val="auto"/>
          <w:sz w:val="24"/>
          <w:highlight w:val="none"/>
        </w:rPr>
        <w:t>谈判小组允许修改谈判响应中不构成重大偏离的、微小的、非正规、不一致或不规则的地方。</w:t>
      </w:r>
    </w:p>
    <w:p w14:paraId="6E5FDF0C">
      <w:pPr>
        <w:pStyle w:val="36"/>
        <w:tabs>
          <w:tab w:val="left" w:pos="819"/>
        </w:tabs>
        <w:adjustRightInd w:val="0"/>
        <w:snapToGrid w:val="0"/>
        <w:spacing w:line="360" w:lineRule="auto"/>
        <w:ind w:left="440" w:leftChars="200" w:firstLine="0"/>
        <w:rPr>
          <w:b/>
          <w:bCs/>
          <w:color w:val="auto"/>
          <w:sz w:val="24"/>
          <w:szCs w:val="24"/>
          <w:highlight w:val="none"/>
        </w:rPr>
      </w:pPr>
      <w:r>
        <w:rPr>
          <w:rFonts w:hint="eastAsia"/>
          <w:b/>
          <w:bCs/>
          <w:color w:val="auto"/>
          <w:sz w:val="24"/>
          <w:szCs w:val="24"/>
          <w:highlight w:val="none"/>
          <w:lang w:val="en-US"/>
        </w:rPr>
        <w:t>21.7</w:t>
      </w:r>
      <w:r>
        <w:rPr>
          <w:rFonts w:hint="eastAsia"/>
          <w:b/>
          <w:bCs/>
          <w:color w:val="auto"/>
          <w:sz w:val="24"/>
          <w:szCs w:val="24"/>
          <w:highlight w:val="none"/>
        </w:rPr>
        <w:t>无效投标</w:t>
      </w:r>
    </w:p>
    <w:p w14:paraId="57534A83">
      <w:pPr>
        <w:pStyle w:val="7"/>
        <w:adjustRightInd w:val="0"/>
        <w:snapToGrid w:val="0"/>
        <w:spacing w:line="360" w:lineRule="auto"/>
        <w:ind w:firstLine="480" w:firstLineChars="200"/>
        <w:rPr>
          <w:color w:val="auto"/>
          <w:highlight w:val="none"/>
        </w:rPr>
      </w:pPr>
      <w:r>
        <w:rPr>
          <w:rFonts w:hint="eastAsia"/>
          <w:color w:val="auto"/>
          <w:highlight w:val="none"/>
        </w:rPr>
        <w:t>遇到下列情况之一时,投标人的投标将被视为无效投标:</w:t>
      </w:r>
    </w:p>
    <w:p w14:paraId="3A81AF6F">
      <w:pPr>
        <w:pStyle w:val="36"/>
        <w:tabs>
          <w:tab w:val="left" w:pos="1179"/>
        </w:tabs>
        <w:adjustRightInd w:val="0"/>
        <w:snapToGrid w:val="0"/>
        <w:spacing w:line="360" w:lineRule="auto"/>
        <w:ind w:left="440" w:leftChars="200" w:firstLine="0"/>
        <w:rPr>
          <w:color w:val="auto"/>
          <w:sz w:val="24"/>
          <w:highlight w:val="none"/>
        </w:rPr>
      </w:pPr>
      <w:r>
        <w:rPr>
          <w:rFonts w:hint="eastAsia"/>
          <w:color w:val="auto"/>
          <w:sz w:val="24"/>
          <w:highlight w:val="none"/>
          <w:lang w:val="en-US"/>
        </w:rPr>
        <w:t>21.7.1</w:t>
      </w:r>
      <w:r>
        <w:rPr>
          <w:rFonts w:hint="eastAsia"/>
          <w:color w:val="auto"/>
          <w:sz w:val="24"/>
          <w:highlight w:val="none"/>
        </w:rPr>
        <w:t>投标文件无投标人公章和法人或者法人委托人的印章或签字的；</w:t>
      </w:r>
    </w:p>
    <w:p w14:paraId="0D1F1685">
      <w:pPr>
        <w:pStyle w:val="36"/>
        <w:tabs>
          <w:tab w:val="left" w:pos="1190"/>
        </w:tabs>
        <w:adjustRightInd w:val="0"/>
        <w:snapToGrid w:val="0"/>
        <w:spacing w:line="360" w:lineRule="auto"/>
        <w:ind w:left="440" w:leftChars="200" w:firstLine="0"/>
        <w:rPr>
          <w:color w:val="auto"/>
          <w:sz w:val="24"/>
          <w:szCs w:val="24"/>
          <w:highlight w:val="none"/>
        </w:rPr>
      </w:pPr>
      <w:r>
        <w:rPr>
          <w:rFonts w:hint="eastAsia"/>
          <w:color w:val="auto"/>
          <w:sz w:val="24"/>
          <w:highlight w:val="none"/>
          <w:lang w:val="en-US"/>
        </w:rPr>
        <w:t>21.7</w:t>
      </w:r>
      <w:r>
        <w:rPr>
          <w:rFonts w:hint="eastAsia"/>
          <w:color w:val="auto"/>
          <w:sz w:val="24"/>
          <w:szCs w:val="24"/>
          <w:highlight w:val="none"/>
          <w:lang w:val="en-US"/>
        </w:rPr>
        <w:t>.2</w:t>
      </w:r>
      <w:r>
        <w:rPr>
          <w:rFonts w:hint="eastAsia"/>
          <w:color w:val="auto"/>
          <w:sz w:val="24"/>
          <w:szCs w:val="24"/>
          <w:highlight w:val="none"/>
        </w:rPr>
        <w:t>投标文件未按照招标文件规定的格式填写，或者填写的内容不全，或者涂改</w:t>
      </w:r>
    </w:p>
    <w:p w14:paraId="746785DB">
      <w:pPr>
        <w:pStyle w:val="36"/>
        <w:tabs>
          <w:tab w:val="left" w:pos="1190"/>
        </w:tabs>
        <w:adjustRightInd w:val="0"/>
        <w:snapToGrid w:val="0"/>
        <w:spacing w:line="360" w:lineRule="auto"/>
        <w:ind w:left="0" w:firstLine="0"/>
        <w:rPr>
          <w:color w:val="auto"/>
          <w:sz w:val="24"/>
          <w:szCs w:val="24"/>
          <w:highlight w:val="none"/>
        </w:rPr>
      </w:pPr>
      <w:r>
        <w:rPr>
          <w:rFonts w:hint="eastAsia"/>
          <w:color w:val="auto"/>
          <w:sz w:val="24"/>
          <w:szCs w:val="24"/>
          <w:highlight w:val="none"/>
        </w:rPr>
        <w:t>处未加盖投标人公章及法人或法人授权的代理人的印章或签字的。</w:t>
      </w:r>
    </w:p>
    <w:p w14:paraId="2A3A806B">
      <w:pPr>
        <w:pStyle w:val="36"/>
        <w:tabs>
          <w:tab w:val="left" w:pos="1190"/>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rPr>
        <w:t>21</w:t>
      </w:r>
      <w:r>
        <w:rPr>
          <w:rFonts w:hint="eastAsia"/>
          <w:color w:val="auto"/>
          <w:sz w:val="24"/>
          <w:szCs w:val="24"/>
          <w:highlight w:val="none"/>
          <w:lang w:val="en-US"/>
        </w:rPr>
        <w:t>.7.3</w:t>
      </w:r>
      <w:r>
        <w:rPr>
          <w:rFonts w:hint="eastAsia"/>
          <w:color w:val="auto"/>
          <w:sz w:val="24"/>
          <w:szCs w:val="24"/>
          <w:highlight w:val="none"/>
        </w:rPr>
        <w:t>投标文件中有两个及两个以上的方案进行投标的（招标文件另有规定的除</w:t>
      </w:r>
    </w:p>
    <w:p w14:paraId="405D857D">
      <w:pPr>
        <w:pStyle w:val="36"/>
        <w:tabs>
          <w:tab w:val="left" w:pos="1190"/>
        </w:tabs>
        <w:adjustRightInd w:val="0"/>
        <w:snapToGrid w:val="0"/>
        <w:spacing w:line="360" w:lineRule="auto"/>
        <w:ind w:left="0" w:firstLine="0"/>
        <w:rPr>
          <w:color w:val="auto"/>
          <w:sz w:val="24"/>
          <w:szCs w:val="24"/>
          <w:highlight w:val="none"/>
        </w:rPr>
      </w:pPr>
      <w:r>
        <w:rPr>
          <w:rFonts w:hint="eastAsia"/>
          <w:color w:val="auto"/>
          <w:sz w:val="24"/>
          <w:szCs w:val="24"/>
          <w:highlight w:val="none"/>
        </w:rPr>
        <w:t>外）；</w:t>
      </w:r>
    </w:p>
    <w:p w14:paraId="501B7D86">
      <w:pPr>
        <w:pStyle w:val="36"/>
        <w:tabs>
          <w:tab w:val="left" w:pos="1190"/>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21.7.4</w:t>
      </w:r>
      <w:r>
        <w:rPr>
          <w:rFonts w:hint="eastAsia"/>
          <w:color w:val="auto"/>
          <w:sz w:val="24"/>
          <w:szCs w:val="24"/>
          <w:highlight w:val="none"/>
        </w:rPr>
        <w:t>投标人资格条件不符合国家有关规定和招标文件要求的，或者拒不按照要求</w:t>
      </w:r>
    </w:p>
    <w:p w14:paraId="4A0A5D56">
      <w:pPr>
        <w:pStyle w:val="36"/>
        <w:tabs>
          <w:tab w:val="left" w:pos="1190"/>
        </w:tabs>
        <w:adjustRightInd w:val="0"/>
        <w:snapToGrid w:val="0"/>
        <w:spacing w:line="360" w:lineRule="auto"/>
        <w:ind w:left="0" w:firstLine="0"/>
        <w:rPr>
          <w:color w:val="auto"/>
          <w:sz w:val="24"/>
          <w:szCs w:val="24"/>
          <w:highlight w:val="none"/>
        </w:rPr>
      </w:pPr>
      <w:r>
        <w:rPr>
          <w:rFonts w:hint="eastAsia"/>
          <w:color w:val="auto"/>
          <w:sz w:val="24"/>
          <w:szCs w:val="24"/>
          <w:highlight w:val="none"/>
        </w:rPr>
        <w:t>对投标文件进行澄清、说明或者补正的；</w:t>
      </w:r>
    </w:p>
    <w:p w14:paraId="7C2B3B9C">
      <w:pPr>
        <w:pStyle w:val="36"/>
        <w:tabs>
          <w:tab w:val="left" w:pos="1179"/>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21.7.5</w:t>
      </w:r>
      <w:r>
        <w:rPr>
          <w:rFonts w:hint="eastAsia"/>
          <w:color w:val="auto"/>
          <w:sz w:val="24"/>
          <w:szCs w:val="24"/>
          <w:highlight w:val="none"/>
        </w:rPr>
        <w:t>投标文件附有招标人不能接受的条件的；</w:t>
      </w:r>
    </w:p>
    <w:p w14:paraId="473BE383">
      <w:pPr>
        <w:pStyle w:val="36"/>
        <w:tabs>
          <w:tab w:val="left" w:pos="1190"/>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21.7.6</w:t>
      </w:r>
      <w:r>
        <w:rPr>
          <w:rFonts w:hint="eastAsia"/>
          <w:color w:val="auto"/>
          <w:sz w:val="24"/>
          <w:szCs w:val="24"/>
          <w:highlight w:val="none"/>
        </w:rPr>
        <w:t>投标人以他人名义投标、串通投标、以行贿手段谋取中标或者以弄虚作假等</w:t>
      </w:r>
    </w:p>
    <w:p w14:paraId="7D5F0968">
      <w:pPr>
        <w:pStyle w:val="36"/>
        <w:tabs>
          <w:tab w:val="left" w:pos="1190"/>
        </w:tabs>
        <w:adjustRightInd w:val="0"/>
        <w:snapToGrid w:val="0"/>
        <w:spacing w:line="360" w:lineRule="auto"/>
        <w:ind w:left="0" w:firstLine="0"/>
        <w:rPr>
          <w:color w:val="auto"/>
          <w:sz w:val="24"/>
          <w:szCs w:val="24"/>
          <w:highlight w:val="none"/>
        </w:rPr>
      </w:pPr>
      <w:r>
        <w:rPr>
          <w:rFonts w:hint="eastAsia"/>
          <w:color w:val="auto"/>
          <w:sz w:val="24"/>
          <w:szCs w:val="24"/>
          <w:highlight w:val="none"/>
        </w:rPr>
        <w:t>方式投标的；</w:t>
      </w:r>
    </w:p>
    <w:p w14:paraId="3230E501">
      <w:pPr>
        <w:pStyle w:val="36"/>
        <w:tabs>
          <w:tab w:val="left" w:pos="1179"/>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21.7.7</w:t>
      </w:r>
      <w:r>
        <w:rPr>
          <w:rFonts w:hint="eastAsia"/>
          <w:color w:val="auto"/>
          <w:sz w:val="24"/>
          <w:szCs w:val="24"/>
          <w:highlight w:val="none"/>
        </w:rPr>
        <w:t>经核实两个或两个以上投标人的投标文件有雷同或有抄袭行为的；</w:t>
      </w:r>
    </w:p>
    <w:p w14:paraId="159E0E0E">
      <w:pPr>
        <w:pStyle w:val="36"/>
        <w:tabs>
          <w:tab w:val="left" w:pos="1299"/>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21.7.8</w:t>
      </w:r>
      <w:r>
        <w:rPr>
          <w:rFonts w:hint="eastAsia"/>
          <w:color w:val="auto"/>
          <w:sz w:val="24"/>
          <w:szCs w:val="24"/>
          <w:highlight w:val="none"/>
        </w:rPr>
        <w:t>投标人出现技术</w:t>
      </w:r>
      <w:r>
        <w:rPr>
          <w:rFonts w:hint="eastAsia"/>
          <w:color w:val="auto"/>
          <w:sz w:val="24"/>
          <w:szCs w:val="24"/>
          <w:highlight w:val="none"/>
          <w:lang w:val="en-US"/>
        </w:rPr>
        <w:t>和</w:t>
      </w:r>
      <w:r>
        <w:rPr>
          <w:rFonts w:hint="eastAsia"/>
          <w:color w:val="auto"/>
          <w:sz w:val="24"/>
          <w:szCs w:val="24"/>
          <w:highlight w:val="none"/>
        </w:rPr>
        <w:t>参数不符合采购要求的及不响应</w:t>
      </w:r>
      <w:r>
        <w:rPr>
          <w:rFonts w:hint="eastAsia"/>
          <w:color w:val="auto"/>
          <w:sz w:val="24"/>
          <w:szCs w:val="24"/>
          <w:highlight w:val="none"/>
          <w:lang w:val="en-US"/>
        </w:rPr>
        <w:t>谈判</w:t>
      </w:r>
      <w:r>
        <w:rPr>
          <w:rFonts w:hint="eastAsia"/>
          <w:color w:val="auto"/>
          <w:sz w:val="24"/>
          <w:szCs w:val="24"/>
          <w:highlight w:val="none"/>
        </w:rPr>
        <w:t>文件的；</w:t>
      </w:r>
    </w:p>
    <w:p w14:paraId="2F853323">
      <w:pPr>
        <w:pStyle w:val="36"/>
        <w:tabs>
          <w:tab w:val="left" w:pos="1299"/>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21.7.9</w:t>
      </w:r>
      <w:r>
        <w:rPr>
          <w:rFonts w:hint="eastAsia"/>
          <w:color w:val="auto"/>
          <w:sz w:val="24"/>
          <w:szCs w:val="24"/>
          <w:highlight w:val="none"/>
        </w:rPr>
        <w:t>响应文件封面未列明项目名称、编号、供应商名称及地址的；</w:t>
      </w:r>
    </w:p>
    <w:p w14:paraId="60FDFA01">
      <w:pPr>
        <w:spacing w:line="360" w:lineRule="auto"/>
        <w:ind w:firstLine="480" w:firstLineChars="200"/>
        <w:rPr>
          <w:rFonts w:hint="eastAsia" w:ascii="宋体" w:hAnsi="宋体" w:eastAsia="宋体" w:cs="宋体"/>
          <w:color w:val="auto"/>
          <w:sz w:val="24"/>
          <w:highlight w:val="none"/>
        </w:rPr>
      </w:pPr>
      <w:r>
        <w:rPr>
          <w:rFonts w:hint="eastAsia"/>
          <w:color w:val="auto"/>
          <w:sz w:val="24"/>
          <w:szCs w:val="24"/>
          <w:highlight w:val="none"/>
          <w:lang w:val="en-US"/>
        </w:rPr>
        <w:t>21.7.</w:t>
      </w:r>
      <w:r>
        <w:rPr>
          <w:rFonts w:hint="eastAsia" w:cs="宋体"/>
          <w:color w:val="auto"/>
          <w:sz w:val="24"/>
          <w:highlight w:val="none"/>
          <w:lang w:val="en-US" w:eastAsia="zh-CN"/>
        </w:rPr>
        <w:t>10</w:t>
      </w:r>
      <w:r>
        <w:rPr>
          <w:rFonts w:hint="eastAsia" w:ascii="宋体" w:hAnsi="宋体" w:eastAsia="宋体" w:cs="宋体"/>
          <w:color w:val="auto"/>
          <w:sz w:val="24"/>
          <w:highlight w:val="none"/>
        </w:rPr>
        <w:t>不同供应商的电子投标（响应）文件上传计算机的网卡 MAC 地址、CPU 序列号和硬盘序列号等硬件信息相同的</w:t>
      </w:r>
      <w:r>
        <w:rPr>
          <w:rFonts w:hint="eastAsia" w:cs="宋体"/>
          <w:color w:val="auto"/>
          <w:sz w:val="24"/>
          <w:highlight w:val="none"/>
          <w:lang w:eastAsia="zh-CN"/>
        </w:rPr>
        <w:t>，</w:t>
      </w:r>
      <w:r>
        <w:rPr>
          <w:rFonts w:hint="eastAsia"/>
          <w:color w:val="auto"/>
          <w:sz w:val="24"/>
          <w:highlight w:val="none"/>
        </w:rPr>
        <w:t>生成后</w:t>
      </w:r>
      <w:r>
        <w:rPr>
          <w:color w:val="auto"/>
          <w:sz w:val="24"/>
          <w:highlight w:val="none"/>
        </w:rPr>
        <w:t>的电子</w:t>
      </w:r>
      <w:r>
        <w:rPr>
          <w:rFonts w:hint="eastAsia"/>
          <w:color w:val="auto"/>
          <w:sz w:val="24"/>
          <w:highlight w:val="none"/>
        </w:rPr>
        <w:t>响应文件</w:t>
      </w:r>
      <w:r>
        <w:rPr>
          <w:rFonts w:hint="eastAsia"/>
          <w:color w:val="auto"/>
          <w:sz w:val="24"/>
          <w:highlight w:val="none"/>
          <w:lang w:val="en-US" w:eastAsia="zh-CN"/>
        </w:rPr>
        <w:t>未</w:t>
      </w:r>
      <w:r>
        <w:rPr>
          <w:rFonts w:hint="eastAsia"/>
          <w:color w:val="auto"/>
          <w:sz w:val="24"/>
          <w:highlight w:val="none"/>
        </w:rPr>
        <w:t>加盖供应商骑缝章</w:t>
      </w:r>
      <w:r>
        <w:rPr>
          <w:rFonts w:hint="eastAsia" w:ascii="宋体" w:hAnsi="宋体" w:eastAsia="宋体" w:cs="宋体"/>
          <w:color w:val="auto"/>
          <w:sz w:val="24"/>
          <w:highlight w:val="none"/>
        </w:rPr>
        <w:t>;</w:t>
      </w:r>
    </w:p>
    <w:p w14:paraId="1E0AB652">
      <w:pPr>
        <w:spacing w:line="360" w:lineRule="auto"/>
        <w:ind w:firstLine="480" w:firstLineChars="200"/>
        <w:rPr>
          <w:rFonts w:hint="eastAsia" w:ascii="宋体" w:hAnsi="宋体" w:eastAsia="宋体" w:cs="宋体"/>
          <w:color w:val="auto"/>
          <w:sz w:val="24"/>
          <w:highlight w:val="none"/>
        </w:rPr>
      </w:pPr>
      <w:r>
        <w:rPr>
          <w:rFonts w:hint="eastAsia"/>
          <w:color w:val="auto"/>
          <w:sz w:val="24"/>
          <w:szCs w:val="24"/>
          <w:highlight w:val="none"/>
          <w:lang w:val="en-US"/>
        </w:rPr>
        <w:t>21.7.</w:t>
      </w:r>
      <w:r>
        <w:rPr>
          <w:rFonts w:hint="eastAsia" w:cs="宋体"/>
          <w:color w:val="auto"/>
          <w:sz w:val="24"/>
          <w:highlight w:val="none"/>
          <w:lang w:val="en-US" w:eastAsia="zh-CN"/>
        </w:rPr>
        <w:t>11</w:t>
      </w:r>
      <w:r>
        <w:rPr>
          <w:rFonts w:hint="eastAsia" w:ascii="宋体" w:hAnsi="宋体" w:eastAsia="宋体" w:cs="宋体"/>
          <w:color w:val="auto"/>
          <w:sz w:val="24"/>
          <w:highlight w:val="none"/>
        </w:rPr>
        <w:t>不同供应商的投标（响应）文件由同一电子设备编制，打印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复印、</w:t>
      </w:r>
      <w:r>
        <w:rPr>
          <w:rFonts w:hint="eastAsia" w:ascii="宋体" w:hAnsi="宋体" w:eastAsia="宋体" w:cs="宋体"/>
          <w:color w:val="auto"/>
          <w:sz w:val="24"/>
          <w:highlight w:val="none"/>
        </w:rPr>
        <w:t>加密或者上传</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w:t>
      </w:r>
    </w:p>
    <w:p w14:paraId="5BBF2017">
      <w:pPr>
        <w:spacing w:line="360" w:lineRule="auto"/>
        <w:ind w:firstLine="480" w:firstLineChars="200"/>
        <w:rPr>
          <w:rFonts w:hint="eastAsia" w:ascii="宋体" w:hAnsi="宋体" w:eastAsia="宋体" w:cs="宋体"/>
          <w:color w:val="auto"/>
          <w:sz w:val="24"/>
          <w:highlight w:val="none"/>
        </w:rPr>
      </w:pPr>
      <w:r>
        <w:rPr>
          <w:rFonts w:hint="eastAsia"/>
          <w:color w:val="auto"/>
          <w:sz w:val="24"/>
          <w:szCs w:val="24"/>
          <w:highlight w:val="none"/>
          <w:lang w:val="en-US"/>
        </w:rPr>
        <w:t>21.7.</w:t>
      </w:r>
      <w:r>
        <w:rPr>
          <w:rFonts w:hint="eastAsia" w:cs="宋体"/>
          <w:color w:val="auto"/>
          <w:sz w:val="24"/>
          <w:highlight w:val="none"/>
          <w:lang w:val="en-US" w:eastAsia="zh-CN"/>
        </w:rPr>
        <w:t>12</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64DFBE1E">
      <w:pPr>
        <w:spacing w:line="360" w:lineRule="auto"/>
        <w:ind w:firstLine="480" w:firstLineChars="200"/>
        <w:rPr>
          <w:rFonts w:hint="eastAsia" w:ascii="宋体" w:hAnsi="宋体" w:eastAsia="宋体" w:cs="宋体"/>
          <w:color w:val="auto"/>
          <w:sz w:val="24"/>
          <w:highlight w:val="none"/>
        </w:rPr>
      </w:pPr>
      <w:r>
        <w:rPr>
          <w:rFonts w:hint="eastAsia"/>
          <w:color w:val="auto"/>
          <w:sz w:val="24"/>
          <w:szCs w:val="24"/>
          <w:highlight w:val="none"/>
          <w:lang w:val="en-US"/>
        </w:rPr>
        <w:t>21.7.</w:t>
      </w:r>
      <w:r>
        <w:rPr>
          <w:rFonts w:hint="eastAsia" w:cs="宋体"/>
          <w:color w:val="auto"/>
          <w:sz w:val="24"/>
          <w:highlight w:val="none"/>
          <w:lang w:val="en-US" w:eastAsia="zh-CN"/>
        </w:rPr>
        <w:t>13</w:t>
      </w:r>
      <w:r>
        <w:rPr>
          <w:rFonts w:hint="eastAsia" w:ascii="宋体" w:hAnsi="宋体" w:eastAsia="宋体" w:cs="宋体"/>
          <w:color w:val="auto"/>
          <w:sz w:val="24"/>
          <w:highlight w:val="none"/>
        </w:rPr>
        <w:t>不同供应商的投标（响应）文件的内容存在两处以上细节错误一致；</w:t>
      </w:r>
    </w:p>
    <w:p w14:paraId="71F47A5B">
      <w:pPr>
        <w:spacing w:line="360" w:lineRule="auto"/>
        <w:ind w:firstLine="480" w:firstLineChars="200"/>
        <w:rPr>
          <w:rFonts w:hint="eastAsia" w:ascii="宋体" w:hAnsi="宋体" w:eastAsia="宋体" w:cs="宋体"/>
          <w:color w:val="auto"/>
          <w:sz w:val="24"/>
          <w:highlight w:val="none"/>
        </w:rPr>
      </w:pPr>
      <w:r>
        <w:rPr>
          <w:rFonts w:hint="eastAsia"/>
          <w:color w:val="auto"/>
          <w:sz w:val="24"/>
          <w:szCs w:val="24"/>
          <w:highlight w:val="none"/>
          <w:lang w:val="en-US"/>
        </w:rPr>
        <w:t>21.7.</w:t>
      </w:r>
      <w:r>
        <w:rPr>
          <w:rFonts w:hint="eastAsia" w:cs="宋体"/>
          <w:color w:val="auto"/>
          <w:sz w:val="24"/>
          <w:highlight w:val="none"/>
          <w:lang w:val="en-US" w:eastAsia="zh-CN"/>
        </w:rPr>
        <w:t>14</w:t>
      </w:r>
      <w:r>
        <w:rPr>
          <w:rFonts w:hint="eastAsia" w:ascii="宋体" w:hAnsi="宋体" w:eastAsia="宋体" w:cs="宋体"/>
          <w:color w:val="auto"/>
          <w:sz w:val="24"/>
          <w:highlight w:val="none"/>
        </w:rPr>
        <w:t>不同供应商的法定代表人、委托代理人、项目经理、项目负责人等由同一个单位缴纳社会保险或者领取报酬的；</w:t>
      </w:r>
    </w:p>
    <w:p w14:paraId="5A40C58A">
      <w:pPr>
        <w:spacing w:line="360" w:lineRule="auto"/>
        <w:ind w:firstLine="480" w:firstLineChars="200"/>
        <w:rPr>
          <w:color w:val="auto"/>
          <w:sz w:val="24"/>
          <w:szCs w:val="24"/>
          <w:highlight w:val="none"/>
        </w:rPr>
      </w:pPr>
      <w:r>
        <w:rPr>
          <w:rFonts w:hint="eastAsia"/>
          <w:color w:val="auto"/>
          <w:sz w:val="24"/>
          <w:szCs w:val="24"/>
          <w:highlight w:val="none"/>
          <w:lang w:val="en-US"/>
        </w:rPr>
        <w:t>21.7.</w:t>
      </w:r>
      <w:r>
        <w:rPr>
          <w:rFonts w:hint="eastAsia" w:cs="宋体"/>
          <w:color w:val="auto"/>
          <w:sz w:val="24"/>
          <w:highlight w:val="none"/>
          <w:lang w:val="en-US" w:eastAsia="zh-CN"/>
        </w:rPr>
        <w:t>15</w:t>
      </w:r>
      <w:r>
        <w:rPr>
          <w:rFonts w:hint="eastAsia" w:ascii="宋体" w:hAnsi="宋体" w:eastAsia="宋体" w:cs="宋体"/>
          <w:color w:val="auto"/>
          <w:sz w:val="24"/>
          <w:highlight w:val="none"/>
        </w:rPr>
        <w:t>不同供应商投标（响应）文件中法定代表人或者负责人签字出自同一人之手</w:t>
      </w:r>
      <w:r>
        <w:rPr>
          <w:rFonts w:hint="eastAsia" w:ascii="宋体" w:hAnsi="宋体" w:eastAsia="宋体" w:cs="宋体"/>
          <w:color w:val="auto"/>
          <w:sz w:val="24"/>
          <w:highlight w:val="none"/>
          <w:lang w:eastAsia="zh-CN"/>
        </w:rPr>
        <w:t>。</w:t>
      </w:r>
    </w:p>
    <w:p w14:paraId="12330FAD">
      <w:pPr>
        <w:pStyle w:val="36"/>
        <w:tabs>
          <w:tab w:val="left" w:pos="1299"/>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21.7.1</w:t>
      </w:r>
      <w:r>
        <w:rPr>
          <w:rFonts w:hint="eastAsia"/>
          <w:color w:val="auto"/>
          <w:sz w:val="24"/>
          <w:szCs w:val="24"/>
          <w:highlight w:val="none"/>
          <w:lang w:val="en-US" w:eastAsia="zh-CN"/>
        </w:rPr>
        <w:t>6</w:t>
      </w:r>
      <w:r>
        <w:rPr>
          <w:rFonts w:hint="eastAsia"/>
          <w:color w:val="auto"/>
          <w:sz w:val="24"/>
          <w:szCs w:val="24"/>
          <w:highlight w:val="none"/>
        </w:rPr>
        <w:t>其它未响应招标文件而可能导致废标；</w:t>
      </w:r>
    </w:p>
    <w:p w14:paraId="103B5860">
      <w:pPr>
        <w:pStyle w:val="36"/>
        <w:tabs>
          <w:tab w:val="left" w:pos="1299"/>
        </w:tabs>
        <w:adjustRightInd w:val="0"/>
        <w:snapToGrid w:val="0"/>
        <w:spacing w:line="360" w:lineRule="auto"/>
        <w:ind w:left="440" w:leftChars="200" w:firstLine="0"/>
        <w:rPr>
          <w:color w:val="auto"/>
          <w:sz w:val="24"/>
          <w:szCs w:val="24"/>
          <w:highlight w:val="none"/>
        </w:rPr>
      </w:pPr>
      <w:r>
        <w:rPr>
          <w:rFonts w:hint="eastAsia"/>
          <w:color w:val="auto"/>
          <w:sz w:val="24"/>
          <w:szCs w:val="24"/>
          <w:highlight w:val="none"/>
          <w:lang w:val="en-US"/>
        </w:rPr>
        <w:t>21.7.1</w:t>
      </w:r>
      <w:r>
        <w:rPr>
          <w:rFonts w:hint="eastAsia"/>
          <w:color w:val="auto"/>
          <w:sz w:val="24"/>
          <w:szCs w:val="24"/>
          <w:highlight w:val="none"/>
          <w:lang w:val="en-US" w:eastAsia="zh-CN"/>
        </w:rPr>
        <w:t>7</w:t>
      </w:r>
      <w:r>
        <w:rPr>
          <w:rFonts w:hint="eastAsia"/>
          <w:color w:val="auto"/>
          <w:sz w:val="24"/>
          <w:szCs w:val="24"/>
          <w:highlight w:val="none"/>
        </w:rPr>
        <w:t>所有投标人的投标报价均超出采购人预算的；</w:t>
      </w:r>
    </w:p>
    <w:p w14:paraId="0311630A">
      <w:pPr>
        <w:pStyle w:val="36"/>
        <w:tabs>
          <w:tab w:val="left" w:pos="1155"/>
        </w:tabs>
        <w:adjustRightInd w:val="0"/>
        <w:snapToGrid w:val="0"/>
        <w:spacing w:line="360" w:lineRule="auto"/>
        <w:ind w:left="440" w:leftChars="200" w:firstLine="0"/>
        <w:rPr>
          <w:color w:val="auto"/>
          <w:sz w:val="24"/>
          <w:szCs w:val="24"/>
          <w:highlight w:val="none"/>
          <w:lang w:val="en-US"/>
        </w:rPr>
      </w:pPr>
      <w:r>
        <w:rPr>
          <w:rFonts w:hint="eastAsia"/>
          <w:color w:val="auto"/>
          <w:sz w:val="24"/>
          <w:szCs w:val="24"/>
          <w:highlight w:val="none"/>
          <w:lang w:val="en-US"/>
        </w:rPr>
        <w:t>21.7.1</w:t>
      </w:r>
      <w:r>
        <w:rPr>
          <w:rFonts w:hint="eastAsia"/>
          <w:color w:val="auto"/>
          <w:sz w:val="24"/>
          <w:szCs w:val="24"/>
          <w:highlight w:val="none"/>
          <w:lang w:val="en-US" w:eastAsia="zh-CN"/>
        </w:rPr>
        <w:t>8</w:t>
      </w:r>
      <w:r>
        <w:rPr>
          <w:rFonts w:hint="eastAsia"/>
          <w:color w:val="auto"/>
          <w:sz w:val="24"/>
          <w:szCs w:val="24"/>
          <w:highlight w:val="none"/>
        </w:rPr>
        <w:t>具备合格投标人资格的公司不能将其资格授予下属公司使用参与投标</w:t>
      </w:r>
      <w:r>
        <w:rPr>
          <w:rFonts w:hint="eastAsia"/>
          <w:color w:val="auto"/>
          <w:sz w:val="24"/>
          <w:szCs w:val="24"/>
          <w:highlight w:val="none"/>
          <w:lang w:val="en-US"/>
        </w:rPr>
        <w:t>的；</w:t>
      </w:r>
    </w:p>
    <w:p w14:paraId="1B49FC47">
      <w:pPr>
        <w:pStyle w:val="5"/>
        <w:adjustRightInd w:val="0"/>
        <w:snapToGrid w:val="0"/>
        <w:spacing w:line="360" w:lineRule="auto"/>
        <w:ind w:left="0" w:firstLine="482" w:firstLineChars="200"/>
        <w:rPr>
          <w:color w:val="auto"/>
          <w:highlight w:val="none"/>
        </w:rPr>
      </w:pPr>
      <w:r>
        <w:rPr>
          <w:rFonts w:hint="eastAsia"/>
          <w:color w:val="auto"/>
          <w:highlight w:val="none"/>
        </w:rPr>
        <w:t>22、谈判文响应件的澄清</w:t>
      </w:r>
    </w:p>
    <w:p w14:paraId="272D303A">
      <w:pPr>
        <w:pStyle w:val="36"/>
        <w:numPr>
          <w:ilvl w:val="1"/>
          <w:numId w:val="14"/>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为了有助于对谈判响应文件进行审查、评估和比较，谈判小组有权向谈判供应商质疑，请谈判供应商澄清其响应文件内容。谈判供应商有责任按照谈判小组通知的时间、地点、方式指派委托代理人进行答疑和澄清。</w:t>
      </w:r>
    </w:p>
    <w:p w14:paraId="132BE74D">
      <w:pPr>
        <w:pStyle w:val="36"/>
        <w:numPr>
          <w:ilvl w:val="1"/>
          <w:numId w:val="14"/>
        </w:numPr>
        <w:tabs>
          <w:tab w:val="left" w:pos="939"/>
        </w:tabs>
        <w:adjustRightInd w:val="0"/>
        <w:snapToGrid w:val="0"/>
        <w:spacing w:line="360" w:lineRule="auto"/>
        <w:ind w:left="0" w:firstLine="480" w:firstLineChars="200"/>
        <w:rPr>
          <w:color w:val="auto"/>
          <w:sz w:val="24"/>
          <w:highlight w:val="none"/>
        </w:rPr>
      </w:pPr>
      <w:r>
        <w:rPr>
          <w:rFonts w:hint="eastAsia"/>
          <w:color w:val="auto"/>
          <w:sz w:val="24"/>
          <w:highlight w:val="none"/>
        </w:rPr>
        <w:t>重要澄清的答复应是书面的，并由法定代表人或其委托代理人签字。</w:t>
      </w:r>
    </w:p>
    <w:p w14:paraId="51F100A4">
      <w:pPr>
        <w:pStyle w:val="36"/>
        <w:numPr>
          <w:ilvl w:val="1"/>
          <w:numId w:val="14"/>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rPr>
        <w:t>谈判供应商的澄清文件是其谈判响应文件的组成部分，并取代谈判响应文件中被澄清的部分。</w:t>
      </w:r>
    </w:p>
    <w:p w14:paraId="7651F94B">
      <w:pPr>
        <w:pStyle w:val="36"/>
        <w:numPr>
          <w:ilvl w:val="1"/>
          <w:numId w:val="14"/>
        </w:numPr>
        <w:tabs>
          <w:tab w:val="left" w:pos="939"/>
        </w:tabs>
        <w:adjustRightInd w:val="0"/>
        <w:snapToGrid w:val="0"/>
        <w:spacing w:line="360" w:lineRule="auto"/>
        <w:ind w:left="0" w:firstLine="480" w:firstLineChars="200"/>
        <w:rPr>
          <w:color w:val="auto"/>
          <w:sz w:val="24"/>
          <w:highlight w:val="none"/>
        </w:rPr>
      </w:pPr>
      <w:r>
        <w:rPr>
          <w:rFonts w:hint="eastAsia"/>
          <w:color w:val="auto"/>
          <w:sz w:val="24"/>
          <w:highlight w:val="none"/>
        </w:rPr>
        <w:t>谈判响应文件的澄清不得对谈判响应内容进行实质性修改。</w:t>
      </w:r>
    </w:p>
    <w:p w14:paraId="276FACCB">
      <w:pPr>
        <w:pStyle w:val="5"/>
        <w:adjustRightInd w:val="0"/>
        <w:snapToGrid w:val="0"/>
        <w:spacing w:line="360" w:lineRule="auto"/>
        <w:ind w:left="0" w:firstLine="482" w:firstLineChars="200"/>
        <w:rPr>
          <w:color w:val="auto"/>
          <w:highlight w:val="none"/>
        </w:rPr>
      </w:pPr>
      <w:r>
        <w:rPr>
          <w:rFonts w:hint="eastAsia"/>
          <w:color w:val="auto"/>
          <w:highlight w:val="none"/>
        </w:rPr>
        <w:t>23、谈判原则和方法</w:t>
      </w:r>
    </w:p>
    <w:p w14:paraId="50497DA4">
      <w:pPr>
        <w:pStyle w:val="36"/>
        <w:numPr>
          <w:ilvl w:val="1"/>
          <w:numId w:val="15"/>
        </w:numPr>
        <w:tabs>
          <w:tab w:val="left" w:pos="939"/>
        </w:tabs>
        <w:adjustRightInd w:val="0"/>
        <w:snapToGrid w:val="0"/>
        <w:spacing w:line="360" w:lineRule="auto"/>
        <w:ind w:left="0" w:firstLine="480" w:firstLineChars="200"/>
        <w:rPr>
          <w:color w:val="auto"/>
          <w:highlight w:val="none"/>
        </w:rPr>
      </w:pPr>
      <w:r>
        <w:rPr>
          <w:rFonts w:hint="eastAsia"/>
          <w:color w:val="auto"/>
          <w:sz w:val="24"/>
          <w:highlight w:val="none"/>
        </w:rPr>
        <w:t>坚持公平、公正的原则。</w:t>
      </w:r>
    </w:p>
    <w:p w14:paraId="6277833E">
      <w:pPr>
        <w:pStyle w:val="36"/>
        <w:numPr>
          <w:ilvl w:val="1"/>
          <w:numId w:val="15"/>
        </w:numPr>
        <w:tabs>
          <w:tab w:val="left" w:pos="941"/>
        </w:tabs>
        <w:adjustRightInd w:val="0"/>
        <w:snapToGrid w:val="0"/>
        <w:spacing w:line="360" w:lineRule="auto"/>
        <w:ind w:left="0" w:firstLine="480" w:firstLineChars="200"/>
        <w:rPr>
          <w:color w:val="auto"/>
          <w:highlight w:val="none"/>
        </w:rPr>
      </w:pPr>
      <w:r>
        <w:rPr>
          <w:rFonts w:hint="eastAsia"/>
          <w:color w:val="auto"/>
          <w:sz w:val="24"/>
          <w:highlight w:val="none"/>
        </w:rPr>
        <w:t>谈判工作在谈判小组内独立进行，遵照谈判原则，按照谈判程序及方法公正、平等地对待所有谈判响应人。</w:t>
      </w:r>
    </w:p>
    <w:p w14:paraId="0ABAA537">
      <w:pPr>
        <w:pStyle w:val="5"/>
        <w:tabs>
          <w:tab w:val="left" w:pos="944"/>
        </w:tabs>
        <w:adjustRightInd w:val="0"/>
        <w:snapToGrid w:val="0"/>
        <w:spacing w:line="360" w:lineRule="auto"/>
        <w:ind w:left="440" w:leftChars="200"/>
        <w:rPr>
          <w:b w:val="0"/>
          <w:bCs w:val="0"/>
          <w:color w:val="auto"/>
          <w:highlight w:val="none"/>
        </w:rPr>
      </w:pPr>
      <w:r>
        <w:rPr>
          <w:rFonts w:hint="eastAsia"/>
          <w:b w:val="0"/>
          <w:bCs w:val="0"/>
          <w:color w:val="auto"/>
          <w:highlight w:val="none"/>
          <w:lang w:val="en-US"/>
        </w:rPr>
        <w:t>23.3</w:t>
      </w:r>
      <w:r>
        <w:rPr>
          <w:rFonts w:hint="eastAsia"/>
          <w:b w:val="0"/>
          <w:bCs w:val="0"/>
          <w:color w:val="auto"/>
          <w:highlight w:val="none"/>
        </w:rPr>
        <w:t>谈判方法</w:t>
      </w:r>
    </w:p>
    <w:p w14:paraId="12154F14">
      <w:pPr>
        <w:pStyle w:val="36"/>
        <w:adjustRightInd w:val="0"/>
        <w:snapToGrid w:val="0"/>
        <w:spacing w:line="360" w:lineRule="auto"/>
        <w:ind w:left="440" w:leftChars="200" w:firstLine="0"/>
        <w:rPr>
          <w:color w:val="auto"/>
          <w:sz w:val="24"/>
          <w:highlight w:val="none"/>
        </w:rPr>
      </w:pPr>
      <w:r>
        <w:rPr>
          <w:rFonts w:hint="eastAsia" w:cs="仿宋_GB2312"/>
          <w:color w:val="auto"/>
          <w:sz w:val="24"/>
          <w:szCs w:val="24"/>
          <w:highlight w:val="none"/>
        </w:rPr>
        <w:t>采用最低价评审法。</w:t>
      </w:r>
      <w:r>
        <w:rPr>
          <w:rFonts w:hint="eastAsia"/>
          <w:color w:val="auto"/>
          <w:sz w:val="24"/>
          <w:highlight w:val="none"/>
        </w:rPr>
        <w:t>响应文件</w:t>
      </w:r>
      <w:r>
        <w:rPr>
          <w:color w:val="auto"/>
          <w:sz w:val="24"/>
          <w:highlight w:val="none"/>
        </w:rPr>
        <w:t>满足谈判文件全部实质性要求的且报价最低的谈判供</w:t>
      </w:r>
    </w:p>
    <w:p w14:paraId="2491BEEC">
      <w:pPr>
        <w:pStyle w:val="36"/>
        <w:adjustRightInd w:val="0"/>
        <w:snapToGrid w:val="0"/>
        <w:spacing w:line="360" w:lineRule="auto"/>
        <w:ind w:left="0" w:firstLine="0"/>
        <w:rPr>
          <w:color w:val="auto"/>
          <w:sz w:val="24"/>
          <w:highlight w:val="none"/>
        </w:rPr>
      </w:pPr>
      <w:r>
        <w:rPr>
          <w:color w:val="auto"/>
          <w:sz w:val="24"/>
          <w:highlight w:val="none"/>
        </w:rPr>
        <w:t>应商为中标人</w:t>
      </w:r>
      <w:r>
        <w:rPr>
          <w:rFonts w:hint="eastAsia"/>
          <w:color w:val="auto"/>
          <w:sz w:val="24"/>
          <w:highlight w:val="none"/>
        </w:rPr>
        <w:t>。</w:t>
      </w:r>
    </w:p>
    <w:p w14:paraId="777738FB">
      <w:pPr>
        <w:pStyle w:val="36"/>
        <w:adjustRightInd w:val="0"/>
        <w:snapToGrid w:val="0"/>
        <w:spacing w:line="360" w:lineRule="auto"/>
        <w:ind w:left="0" w:firstLine="480" w:firstLineChars="200"/>
        <w:rPr>
          <w:rFonts w:cs="仿宋_GB2312"/>
          <w:color w:val="auto"/>
          <w:sz w:val="24"/>
          <w:szCs w:val="24"/>
          <w:highlight w:val="none"/>
        </w:rPr>
      </w:pPr>
      <w:r>
        <w:rPr>
          <w:rFonts w:hint="eastAsia" w:cs="仿宋_GB2312"/>
          <w:color w:val="auto"/>
          <w:sz w:val="24"/>
          <w:szCs w:val="24"/>
          <w:highlight w:val="none"/>
        </w:rPr>
        <w:t>谈判小组将分别与响应文件均能满足谈判文件实质性要求的供应商进行谈判，开标结束后请供应商在报名系统中等待二轮或多轮报价（谈判响应函上为第一轮报价）；每轮的报价由供应商自定，谈判小组不作限制，但每次的报价不得高于上次报价（可以等于或小于）；供应商最终报价最低者为成交供应商。</w:t>
      </w:r>
    </w:p>
    <w:p w14:paraId="7F1CB6AF">
      <w:pPr>
        <w:pStyle w:val="7"/>
        <w:adjustRightInd w:val="0"/>
        <w:snapToGrid w:val="0"/>
        <w:spacing w:line="360" w:lineRule="auto"/>
        <w:ind w:firstLine="480" w:firstLineChars="200"/>
        <w:rPr>
          <w:rFonts w:hint="eastAsia" w:cs="仿宋_GB2312"/>
          <w:color w:val="auto"/>
          <w:highlight w:val="none"/>
        </w:rPr>
      </w:pPr>
      <w:r>
        <w:rPr>
          <w:rFonts w:hint="eastAsia" w:cs="仿宋_GB2312"/>
          <w:color w:val="auto"/>
          <w:highlight w:val="none"/>
        </w:rPr>
        <w:t>通过资格审查和符合性审查的供应商须在谈判小组设定的时间内使用本单位CA证书在网上进行二次（多次）报价。</w:t>
      </w:r>
    </w:p>
    <w:p w14:paraId="2D7F7267">
      <w:pPr>
        <w:pStyle w:val="45"/>
        <w:rPr>
          <w:color w:val="auto"/>
          <w:highlight w:val="none"/>
        </w:rPr>
      </w:pPr>
      <w:r>
        <w:rPr>
          <w:rFonts w:hint="eastAsia" w:ascii="宋体" w:hAnsi="宋体" w:eastAsia="宋体" w:cs="仿宋_GB2312"/>
          <w:color w:val="auto"/>
          <w:sz w:val="24"/>
          <w:szCs w:val="24"/>
          <w:highlight w:val="none"/>
          <w:lang w:val="en-US" w:eastAsia="zh-CN" w:bidi="zh-CN"/>
        </w:rPr>
        <w:t>注：开标后请供应商在计算前等待报价。</w:t>
      </w:r>
    </w:p>
    <w:p w14:paraId="6FA21DE4">
      <w:pPr>
        <w:adjustRightInd w:val="0"/>
        <w:snapToGrid w:val="0"/>
        <w:spacing w:line="360" w:lineRule="auto"/>
        <w:ind w:firstLine="482" w:firstLineChars="200"/>
        <w:rPr>
          <w:b/>
          <w:color w:val="auto"/>
          <w:sz w:val="24"/>
          <w:highlight w:val="none"/>
        </w:rPr>
      </w:pPr>
      <w:r>
        <w:rPr>
          <w:rFonts w:hint="eastAsia"/>
          <w:b/>
          <w:color w:val="auto"/>
          <w:sz w:val="24"/>
          <w:highlight w:val="none"/>
        </w:rPr>
        <w:t>24、保密及其它注意事项</w:t>
      </w:r>
    </w:p>
    <w:p w14:paraId="57099046">
      <w:pPr>
        <w:pStyle w:val="36"/>
        <w:numPr>
          <w:ilvl w:val="1"/>
          <w:numId w:val="16"/>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谈判小组将对谈判响应文件中有关部分分别向谈判供应商进行询问，请各谈判供应商予以答复。重要或复杂问题回答后，须补充以书面形式，并经法定代表人或其委托代理人签署。回答文件将作为谈判响应文件的组成部分。</w:t>
      </w:r>
    </w:p>
    <w:p w14:paraId="2CC7E21C">
      <w:pPr>
        <w:pStyle w:val="36"/>
        <w:numPr>
          <w:ilvl w:val="1"/>
          <w:numId w:val="16"/>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在谈判期间，谈判供应商不得向谈判小组成员询问谈判情况，不得进行旨在影响谈判公正下交换意见。在谈判工作结束后，凡与谈判情况有接触的任何人不得也不应将谈判情况扩散出谈判人员之外。</w:t>
      </w:r>
    </w:p>
    <w:p w14:paraId="47188847">
      <w:pPr>
        <w:pStyle w:val="36"/>
        <w:numPr>
          <w:ilvl w:val="1"/>
          <w:numId w:val="16"/>
        </w:numPr>
        <w:tabs>
          <w:tab w:val="left" w:pos="934"/>
        </w:tabs>
        <w:adjustRightInd w:val="0"/>
        <w:snapToGrid w:val="0"/>
        <w:spacing w:line="360" w:lineRule="auto"/>
        <w:ind w:left="0" w:firstLine="480" w:firstLineChars="200"/>
        <w:rPr>
          <w:color w:val="auto"/>
          <w:highlight w:val="none"/>
        </w:rPr>
      </w:pPr>
      <w:r>
        <w:rPr>
          <w:rFonts w:hint="eastAsia"/>
          <w:color w:val="auto"/>
          <w:sz w:val="24"/>
          <w:highlight w:val="none"/>
        </w:rPr>
        <w:t>为保证谈判的公正性，谈判后直至授予成交供应商合同，谈判小组成员不得与谈判供应商私下交换意见。</w:t>
      </w:r>
    </w:p>
    <w:p w14:paraId="62F3EF6F">
      <w:pPr>
        <w:pStyle w:val="36"/>
        <w:numPr>
          <w:ilvl w:val="1"/>
          <w:numId w:val="16"/>
        </w:numPr>
        <w:tabs>
          <w:tab w:val="left" w:pos="932"/>
        </w:tabs>
        <w:adjustRightInd w:val="0"/>
        <w:snapToGrid w:val="0"/>
        <w:spacing w:line="360" w:lineRule="auto"/>
        <w:ind w:left="0" w:firstLine="480" w:firstLineChars="200"/>
        <w:rPr>
          <w:color w:val="auto"/>
          <w:sz w:val="24"/>
          <w:highlight w:val="none"/>
        </w:rPr>
      </w:pPr>
      <w:r>
        <w:rPr>
          <w:rFonts w:hint="eastAsia"/>
          <w:color w:val="auto"/>
          <w:sz w:val="24"/>
          <w:highlight w:val="none"/>
        </w:rPr>
        <w:t>在谈判过程中，如有谈判供应商联合故意抬高报价或其他不正当行为，谈判组织人有权终止谈判。</w:t>
      </w:r>
    </w:p>
    <w:p w14:paraId="694F886E">
      <w:pPr>
        <w:pStyle w:val="4"/>
        <w:adjustRightInd w:val="0"/>
        <w:snapToGrid w:val="0"/>
        <w:spacing w:line="360" w:lineRule="auto"/>
        <w:ind w:left="0" w:firstLine="572" w:firstLineChars="200"/>
        <w:rPr>
          <w:color w:val="auto"/>
          <w:highlight w:val="none"/>
        </w:rPr>
      </w:pPr>
      <w:bookmarkStart w:id="30" w:name="_Toc16398"/>
      <w:bookmarkStart w:id="31" w:name="_Toc21527"/>
      <w:r>
        <w:rPr>
          <w:rFonts w:hint="eastAsia"/>
          <w:color w:val="auto"/>
          <w:w w:val="95"/>
          <w:highlight w:val="none"/>
        </w:rPr>
        <w:t>F、授予合同</w:t>
      </w:r>
      <w:bookmarkEnd w:id="30"/>
      <w:bookmarkEnd w:id="31"/>
    </w:p>
    <w:p w14:paraId="724FC0FA">
      <w:pPr>
        <w:pStyle w:val="5"/>
        <w:adjustRightInd w:val="0"/>
        <w:snapToGrid w:val="0"/>
        <w:spacing w:line="360" w:lineRule="auto"/>
        <w:ind w:left="0" w:firstLine="482" w:firstLineChars="200"/>
        <w:rPr>
          <w:color w:val="auto"/>
          <w:highlight w:val="none"/>
        </w:rPr>
      </w:pPr>
      <w:r>
        <w:rPr>
          <w:rFonts w:hint="eastAsia"/>
          <w:color w:val="auto"/>
          <w:highlight w:val="none"/>
        </w:rPr>
        <w:t>25、成交原则</w:t>
      </w:r>
    </w:p>
    <w:p w14:paraId="00450485">
      <w:pPr>
        <w:pStyle w:val="36"/>
        <w:numPr>
          <w:ilvl w:val="1"/>
          <w:numId w:val="17"/>
        </w:numPr>
        <w:tabs>
          <w:tab w:val="left" w:pos="939"/>
        </w:tabs>
        <w:adjustRightInd w:val="0"/>
        <w:snapToGrid w:val="0"/>
        <w:spacing w:line="360" w:lineRule="auto"/>
        <w:ind w:left="0" w:firstLine="480" w:firstLineChars="200"/>
        <w:rPr>
          <w:color w:val="auto"/>
          <w:sz w:val="24"/>
          <w:highlight w:val="none"/>
        </w:rPr>
      </w:pPr>
      <w:r>
        <w:rPr>
          <w:rFonts w:hint="eastAsia"/>
          <w:color w:val="auto"/>
          <w:sz w:val="24"/>
          <w:highlight w:val="none"/>
        </w:rPr>
        <w:t>严格按照谈判文件的要求和条件进行谈判，择优确定成交供应商。</w:t>
      </w:r>
    </w:p>
    <w:p w14:paraId="325435B5">
      <w:pPr>
        <w:pStyle w:val="36"/>
        <w:numPr>
          <w:ilvl w:val="1"/>
          <w:numId w:val="17"/>
        </w:numPr>
        <w:tabs>
          <w:tab w:val="left" w:pos="934"/>
        </w:tabs>
        <w:adjustRightInd w:val="0"/>
        <w:snapToGrid w:val="0"/>
        <w:spacing w:line="360" w:lineRule="auto"/>
        <w:ind w:left="0" w:firstLine="480" w:firstLineChars="200"/>
        <w:rPr>
          <w:color w:val="auto"/>
          <w:sz w:val="24"/>
          <w:highlight w:val="none"/>
        </w:rPr>
      </w:pPr>
      <w:r>
        <w:rPr>
          <w:rFonts w:hint="eastAsia"/>
          <w:color w:val="auto"/>
          <w:sz w:val="24"/>
          <w:highlight w:val="none"/>
        </w:rPr>
        <w:t>本次谈判，合同将授予符合谈判文件要求，能提供最佳服务、综合评价最优且报价最低的谈判供应商。</w:t>
      </w:r>
    </w:p>
    <w:p w14:paraId="67EE3F8B">
      <w:pPr>
        <w:pStyle w:val="5"/>
        <w:numPr>
          <w:ilvl w:val="0"/>
          <w:numId w:val="18"/>
        </w:numPr>
        <w:adjustRightInd w:val="0"/>
        <w:snapToGrid w:val="0"/>
        <w:spacing w:line="360" w:lineRule="auto"/>
        <w:ind w:left="0" w:firstLine="482" w:firstLineChars="200"/>
        <w:rPr>
          <w:rFonts w:hint="eastAsia"/>
          <w:color w:val="auto"/>
          <w:highlight w:val="none"/>
        </w:rPr>
      </w:pPr>
      <w:r>
        <w:rPr>
          <w:rFonts w:hint="eastAsia"/>
          <w:color w:val="auto"/>
          <w:highlight w:val="none"/>
        </w:rPr>
        <w:t>成交通知</w:t>
      </w:r>
    </w:p>
    <w:p w14:paraId="3D61A377">
      <w:pPr>
        <w:pStyle w:val="36"/>
        <w:numPr>
          <w:ilvl w:val="0"/>
          <w:numId w:val="0"/>
        </w:numPr>
        <w:tabs>
          <w:tab w:val="left" w:pos="939"/>
        </w:tabs>
        <w:adjustRightInd w:val="0"/>
        <w:snapToGrid w:val="0"/>
        <w:spacing w:line="360" w:lineRule="auto"/>
        <w:ind w:leftChars="200"/>
        <w:jc w:val="both"/>
        <w:rPr>
          <w:color w:val="auto"/>
          <w:sz w:val="24"/>
          <w:highlight w:val="none"/>
        </w:rPr>
      </w:pPr>
      <w:r>
        <w:rPr>
          <w:rFonts w:hint="eastAsia"/>
          <w:color w:val="auto"/>
          <w:sz w:val="24"/>
          <w:highlight w:val="none"/>
        </w:rPr>
        <w:t>成交供应商确定后，</w:t>
      </w:r>
      <w:r>
        <w:rPr>
          <w:rFonts w:hint="eastAsia"/>
          <w:color w:val="auto"/>
          <w:sz w:val="24"/>
          <w:highlight w:val="none"/>
          <w:lang w:val="en-US"/>
        </w:rPr>
        <w:t>采购中心</w:t>
      </w:r>
      <w:r>
        <w:rPr>
          <w:rFonts w:hint="eastAsia"/>
          <w:color w:val="auto"/>
          <w:sz w:val="24"/>
          <w:highlight w:val="none"/>
        </w:rPr>
        <w:t>将</w:t>
      </w:r>
      <w:r>
        <w:rPr>
          <w:rFonts w:hint="eastAsia"/>
          <w:color w:val="auto"/>
          <w:sz w:val="24"/>
          <w:highlight w:val="none"/>
          <w:lang w:val="en-US"/>
        </w:rPr>
        <w:t>成交</w:t>
      </w:r>
      <w:r>
        <w:rPr>
          <w:rFonts w:hint="eastAsia"/>
          <w:color w:val="auto"/>
          <w:sz w:val="24"/>
          <w:highlight w:val="none"/>
        </w:rPr>
        <w:t>结果在河南省政府采购网进行公</w:t>
      </w:r>
      <w:r>
        <w:rPr>
          <w:rFonts w:hint="eastAsia"/>
          <w:color w:val="auto"/>
          <w:sz w:val="24"/>
          <w:highlight w:val="none"/>
          <w:lang w:val="en-US" w:eastAsia="zh-CN"/>
        </w:rPr>
        <w:t>告</w:t>
      </w:r>
      <w:r>
        <w:rPr>
          <w:rFonts w:hint="eastAsia"/>
          <w:color w:val="auto"/>
          <w:sz w:val="24"/>
          <w:highlight w:val="none"/>
          <w:lang w:eastAsia="zh-CN"/>
        </w:rPr>
        <w:t>，</w:t>
      </w:r>
      <w:r>
        <w:rPr>
          <w:rFonts w:hint="eastAsia" w:ascii="宋体" w:hAnsi="宋体" w:cs="宋体"/>
          <w:color w:val="auto"/>
          <w:sz w:val="24"/>
          <w:highlight w:val="none"/>
          <w:lang w:val="en-US" w:eastAsia="zh-CN"/>
        </w:rPr>
        <w:t>在发出成交公告后</w:t>
      </w:r>
      <w:r>
        <w:rPr>
          <w:rFonts w:hint="eastAsia" w:ascii="宋体" w:hAnsi="宋体" w:eastAsia="宋体" w:cs="宋体"/>
          <w:color w:val="auto"/>
          <w:sz w:val="24"/>
          <w:highlight w:val="none"/>
          <w:lang w:val="en-US" w:eastAsia="zh-CN"/>
        </w:rPr>
        <w:t>请采购人、中标人登录</w:t>
      </w:r>
      <w:r>
        <w:rPr>
          <w:rFonts w:hint="eastAsia" w:ascii="宋体" w:hAnsi="宋体" w:eastAsia="宋体" w:cs="宋体"/>
          <w:color w:val="auto"/>
          <w:sz w:val="24"/>
          <w:highlight w:val="none"/>
        </w:rPr>
        <w:t>周口市公共资源</w:t>
      </w:r>
      <w:r>
        <w:rPr>
          <w:rFonts w:hint="eastAsia" w:ascii="宋体" w:hAnsi="宋体" w:eastAsia="宋体" w:cs="宋体"/>
          <w:color w:val="auto"/>
          <w:sz w:val="24"/>
          <w:szCs w:val="24"/>
          <w:highlight w:val="none"/>
        </w:rPr>
        <w:t>交易</w:t>
      </w:r>
      <w:r>
        <w:rPr>
          <w:rFonts w:hint="eastAsia" w:ascii="宋体" w:hAnsi="宋体" w:eastAsia="宋体" w:cs="宋体"/>
          <w:color w:val="auto"/>
          <w:sz w:val="24"/>
          <w:highlight w:val="none"/>
          <w:lang w:eastAsia="zh-CN"/>
        </w:rPr>
        <w:t>中心网</w:t>
      </w:r>
      <w:r>
        <w:rPr>
          <w:rFonts w:hint="eastAsia" w:ascii="宋体" w:hAnsi="宋体" w:eastAsia="宋体" w:cs="宋体"/>
          <w:color w:val="auto"/>
          <w:sz w:val="24"/>
          <w:szCs w:val="24"/>
          <w:highlight w:val="none"/>
        </w:rPr>
        <w:t>（http://jyzx.zhoukou.gov.cn）</w:t>
      </w:r>
      <w:r>
        <w:rPr>
          <w:rFonts w:hint="eastAsia" w:ascii="宋体" w:hAnsi="宋体" w:eastAsia="宋体" w:cs="宋体"/>
          <w:color w:val="auto"/>
          <w:sz w:val="24"/>
          <w:szCs w:val="24"/>
          <w:highlight w:val="none"/>
          <w:lang w:val="en-US" w:eastAsia="zh-CN"/>
        </w:rPr>
        <w:t>自行下载</w:t>
      </w:r>
      <w:r>
        <w:rPr>
          <w:rFonts w:hint="eastAsia" w:cs="宋体"/>
          <w:color w:val="auto"/>
          <w:sz w:val="24"/>
          <w:highlight w:val="none"/>
          <w:lang w:val="en-US" w:eastAsia="zh-CN"/>
        </w:rPr>
        <w:t>成交</w:t>
      </w:r>
      <w:r>
        <w:rPr>
          <w:rFonts w:hint="eastAsia" w:ascii="宋体" w:hAnsi="宋体" w:eastAsia="宋体" w:cs="宋体"/>
          <w:color w:val="auto"/>
          <w:sz w:val="24"/>
          <w:highlight w:val="none"/>
        </w:rPr>
        <w:t>通知书。</w:t>
      </w:r>
    </w:p>
    <w:p w14:paraId="0A3BC7B3">
      <w:pPr>
        <w:numPr>
          <w:ilvl w:val="0"/>
          <w:numId w:val="0"/>
        </w:numPr>
        <w:rPr>
          <w:color w:val="auto"/>
          <w:highlight w:val="none"/>
        </w:rPr>
      </w:pPr>
    </w:p>
    <w:p w14:paraId="6CBFA73B">
      <w:pPr>
        <w:pStyle w:val="5"/>
        <w:adjustRightInd w:val="0"/>
        <w:snapToGrid w:val="0"/>
        <w:spacing w:line="360" w:lineRule="auto"/>
        <w:ind w:left="0" w:firstLine="482" w:firstLineChars="200"/>
        <w:rPr>
          <w:color w:val="auto"/>
          <w:highlight w:val="none"/>
        </w:rPr>
      </w:pPr>
      <w:r>
        <w:rPr>
          <w:rFonts w:hint="eastAsia"/>
          <w:color w:val="auto"/>
          <w:highlight w:val="none"/>
        </w:rPr>
        <w:t>27、质疑处理</w:t>
      </w:r>
    </w:p>
    <w:p w14:paraId="4ED0F55C">
      <w:pPr>
        <w:pStyle w:val="36"/>
        <w:numPr>
          <w:ilvl w:val="1"/>
          <w:numId w:val="19"/>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rPr>
        <w:t>谈判供应商若对谈判文件、谈判结果等采购过程有疑问，在知道或应当知道自己的权益受到损害之日起7个工作日内，有权按照《中华人民共和国政府采购法》、《政府采购质疑和投诉办法》</w:t>
      </w:r>
      <w:r>
        <w:rPr>
          <w:rFonts w:hint="eastAsia"/>
          <w:color w:val="auto"/>
          <w:sz w:val="24"/>
          <w:highlight w:val="none"/>
          <w:lang w:val="en-US"/>
        </w:rPr>
        <w:t>等</w:t>
      </w:r>
      <w:r>
        <w:rPr>
          <w:rFonts w:hint="eastAsia"/>
          <w:color w:val="auto"/>
          <w:sz w:val="24"/>
          <w:highlight w:val="none"/>
        </w:rPr>
        <w:t>相关法律、法规的规定程序向采购人进行质疑，但须对质疑内容的真实性承担责任。</w:t>
      </w:r>
    </w:p>
    <w:p w14:paraId="7EDF63D8">
      <w:pPr>
        <w:pStyle w:val="36"/>
        <w:numPr>
          <w:ilvl w:val="1"/>
          <w:numId w:val="19"/>
        </w:numPr>
        <w:tabs>
          <w:tab w:val="left" w:pos="941"/>
        </w:tabs>
        <w:adjustRightInd w:val="0"/>
        <w:snapToGrid w:val="0"/>
        <w:spacing w:line="360" w:lineRule="auto"/>
        <w:ind w:left="0" w:firstLine="480" w:firstLineChars="200"/>
        <w:rPr>
          <w:color w:val="auto"/>
          <w:sz w:val="24"/>
          <w:highlight w:val="none"/>
        </w:rPr>
      </w:pPr>
      <w:r>
        <w:rPr>
          <w:rFonts w:hint="eastAsia" w:cs="仿宋_GB2312"/>
          <w:color w:val="auto"/>
          <w:sz w:val="24"/>
          <w:szCs w:val="24"/>
          <w:highlight w:val="none"/>
        </w:rPr>
        <w:t>质疑人对采购人的质疑答复不满意的，有权按规定的程序和时间实名向项目所属政府采购监管部门提出书面投诉。质疑和投诉应有具体的质疑（投诉）事项和必要的证明材料或事实根据，供应商对其质疑和投诉内容的真实性及其来源的合法性承担法律责任。</w:t>
      </w:r>
    </w:p>
    <w:p w14:paraId="10A24FC1">
      <w:pPr>
        <w:pStyle w:val="5"/>
        <w:adjustRightInd w:val="0"/>
        <w:snapToGrid w:val="0"/>
        <w:spacing w:line="360" w:lineRule="auto"/>
        <w:ind w:left="0" w:firstLine="482" w:firstLineChars="200"/>
        <w:rPr>
          <w:color w:val="auto"/>
          <w:highlight w:val="none"/>
        </w:rPr>
      </w:pPr>
      <w:r>
        <w:rPr>
          <w:rFonts w:hint="eastAsia"/>
          <w:color w:val="auto"/>
          <w:highlight w:val="none"/>
        </w:rPr>
        <w:t>28、签订合同</w:t>
      </w:r>
    </w:p>
    <w:p w14:paraId="0654964E">
      <w:pPr>
        <w:pStyle w:val="36"/>
        <w:numPr>
          <w:ilvl w:val="1"/>
          <w:numId w:val="20"/>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成交供应商应按照成交通知规定的时间、地点与采购人签订成交合同，否则给采购人造成损失的，谈判供应商还应承担赔偿责任。</w:t>
      </w:r>
    </w:p>
    <w:p w14:paraId="2A86CADB">
      <w:pPr>
        <w:pStyle w:val="36"/>
        <w:numPr>
          <w:ilvl w:val="1"/>
          <w:numId w:val="20"/>
        </w:numPr>
        <w:tabs>
          <w:tab w:val="left" w:pos="941"/>
        </w:tabs>
        <w:adjustRightInd w:val="0"/>
        <w:snapToGrid w:val="0"/>
        <w:spacing w:line="360" w:lineRule="auto"/>
        <w:ind w:left="0" w:firstLine="480" w:firstLineChars="200"/>
        <w:rPr>
          <w:color w:val="auto"/>
          <w:sz w:val="24"/>
          <w:highlight w:val="none"/>
        </w:rPr>
      </w:pPr>
      <w:r>
        <w:rPr>
          <w:rFonts w:hint="eastAsia"/>
          <w:color w:val="auto"/>
          <w:sz w:val="24"/>
          <w:highlight w:val="none"/>
        </w:rPr>
        <w:t>履约保证金</w:t>
      </w:r>
      <w:r>
        <w:rPr>
          <w:rFonts w:hint="eastAsia"/>
          <w:color w:val="auto"/>
          <w:sz w:val="24"/>
          <w:highlight w:val="none"/>
          <w:lang w:val="en-US"/>
        </w:rPr>
        <w:t>原则上不再缴纳</w:t>
      </w:r>
      <w:r>
        <w:rPr>
          <w:rFonts w:hint="eastAsia"/>
          <w:color w:val="auto"/>
          <w:sz w:val="24"/>
          <w:highlight w:val="none"/>
        </w:rPr>
        <w:t>，</w:t>
      </w:r>
      <w:r>
        <w:rPr>
          <w:rFonts w:hint="eastAsia"/>
          <w:color w:val="auto"/>
          <w:sz w:val="24"/>
          <w:highlight w:val="none"/>
          <w:lang w:val="en-US"/>
        </w:rPr>
        <w:t>具体项目由采购人和成交供应商在签订合同时约定（</w:t>
      </w:r>
      <w:r>
        <w:rPr>
          <w:rFonts w:hint="eastAsia"/>
          <w:color w:val="auto"/>
          <w:sz w:val="24"/>
          <w:highlight w:val="none"/>
        </w:rPr>
        <w:t>履约完成后履约保证金</w:t>
      </w:r>
      <w:r>
        <w:rPr>
          <w:rFonts w:hint="eastAsia"/>
          <w:color w:val="auto"/>
          <w:sz w:val="24"/>
          <w:highlight w:val="none"/>
          <w:lang w:val="en-US"/>
        </w:rPr>
        <w:t>将</w:t>
      </w:r>
      <w:r>
        <w:rPr>
          <w:rFonts w:hint="eastAsia"/>
          <w:color w:val="auto"/>
          <w:sz w:val="24"/>
          <w:highlight w:val="none"/>
        </w:rPr>
        <w:t>无息退还</w:t>
      </w:r>
      <w:r>
        <w:rPr>
          <w:rFonts w:hint="eastAsia"/>
          <w:color w:val="auto"/>
          <w:sz w:val="24"/>
          <w:highlight w:val="none"/>
          <w:lang w:val="en-US"/>
        </w:rPr>
        <w:t>）</w:t>
      </w:r>
      <w:r>
        <w:rPr>
          <w:rFonts w:hint="eastAsia"/>
          <w:color w:val="auto"/>
          <w:sz w:val="24"/>
          <w:highlight w:val="none"/>
        </w:rPr>
        <w:t>。</w:t>
      </w:r>
    </w:p>
    <w:p w14:paraId="40481467">
      <w:pPr>
        <w:pStyle w:val="36"/>
        <w:numPr>
          <w:ilvl w:val="1"/>
          <w:numId w:val="20"/>
        </w:numPr>
        <w:tabs>
          <w:tab w:val="left" w:pos="941"/>
        </w:tabs>
        <w:adjustRightInd w:val="0"/>
        <w:snapToGrid w:val="0"/>
        <w:spacing w:line="360" w:lineRule="auto"/>
        <w:ind w:left="0" w:firstLine="480" w:firstLineChars="200"/>
        <w:rPr>
          <w:color w:val="auto"/>
          <w:sz w:val="24"/>
          <w:highlight w:val="none"/>
          <w:lang w:val="en-US"/>
        </w:rPr>
      </w:pPr>
      <w:r>
        <w:rPr>
          <w:rFonts w:hint="eastAsia"/>
          <w:color w:val="auto"/>
          <w:sz w:val="24"/>
          <w:highlight w:val="none"/>
        </w:rPr>
        <w:t>谈判组织人签发的成交通知书、谈判文件、成交供应商的谈判响</w:t>
      </w:r>
      <w:r>
        <w:rPr>
          <w:rFonts w:hint="eastAsia"/>
          <w:color w:val="auto"/>
          <w:sz w:val="24"/>
          <w:highlight w:val="none"/>
          <w:lang w:val="en-US"/>
        </w:rPr>
        <w:t>应文件</w:t>
      </w:r>
      <w:bookmarkStart w:id="32" w:name="_bookmark4"/>
      <w:bookmarkEnd w:id="32"/>
      <w:r>
        <w:rPr>
          <w:rFonts w:hint="eastAsia"/>
          <w:color w:val="auto"/>
          <w:sz w:val="24"/>
          <w:highlight w:val="none"/>
          <w:lang w:val="en-US"/>
        </w:rPr>
        <w:t>及其澄清文件等，均为签定合同的依据。</w:t>
      </w:r>
    </w:p>
    <w:p w14:paraId="0101AED0">
      <w:pPr>
        <w:pStyle w:val="36"/>
        <w:numPr>
          <w:ilvl w:val="1"/>
          <w:numId w:val="20"/>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签订合同后，成交供应商不得将本项目及其他相关服务进行转包。未经采购人同意，成交供应商不得采用分包的形式履行合同。否则采购人有权终止合同。转包或分包造成采购人损失的，成交供应商还应承担相应赔偿责任。</w:t>
      </w:r>
    </w:p>
    <w:p w14:paraId="7FE77056">
      <w:pPr>
        <w:pStyle w:val="36"/>
        <w:numPr>
          <w:ilvl w:val="1"/>
          <w:numId w:val="20"/>
        </w:numPr>
        <w:tabs>
          <w:tab w:val="left" w:pos="941"/>
        </w:tabs>
        <w:adjustRightInd w:val="0"/>
        <w:snapToGrid w:val="0"/>
        <w:spacing w:line="360" w:lineRule="auto"/>
        <w:ind w:left="0" w:firstLine="480" w:firstLineChars="200"/>
        <w:jc w:val="both"/>
        <w:rPr>
          <w:color w:val="auto"/>
          <w:sz w:val="24"/>
          <w:highlight w:val="none"/>
        </w:rPr>
      </w:pPr>
      <w:r>
        <w:rPr>
          <w:rFonts w:hint="eastAsia"/>
          <w:color w:val="auto"/>
          <w:sz w:val="24"/>
          <w:highlight w:val="none"/>
        </w:rPr>
        <w:t>如最终用户或成交供应商拒签合同，则按违约处理。</w:t>
      </w:r>
      <w:r>
        <w:rPr>
          <w:rFonts w:hint="eastAsia"/>
          <w:color w:val="auto"/>
          <w:sz w:val="24"/>
          <w:highlight w:val="none"/>
          <w:lang w:val="en-US"/>
        </w:rPr>
        <w:t>采购</w:t>
      </w:r>
      <w:r>
        <w:rPr>
          <w:rFonts w:hint="eastAsia"/>
          <w:color w:val="auto"/>
          <w:sz w:val="24"/>
          <w:highlight w:val="none"/>
        </w:rPr>
        <w:t>人对违约方收取成交金额</w:t>
      </w:r>
      <w:r>
        <w:rPr>
          <w:rFonts w:hint="eastAsia"/>
          <w:color w:val="auto"/>
          <w:spacing w:val="2"/>
          <w:sz w:val="24"/>
          <w:highlight w:val="none"/>
          <w:lang w:val="en-US"/>
        </w:rPr>
        <w:t>一定数额</w:t>
      </w:r>
      <w:r>
        <w:rPr>
          <w:rFonts w:hint="eastAsia"/>
          <w:color w:val="auto"/>
          <w:sz w:val="24"/>
          <w:highlight w:val="none"/>
        </w:rPr>
        <w:t>的违约金（</w:t>
      </w:r>
      <w:r>
        <w:rPr>
          <w:rFonts w:hint="eastAsia"/>
          <w:color w:val="auto"/>
          <w:sz w:val="24"/>
          <w:highlight w:val="none"/>
          <w:lang w:val="en-US"/>
        </w:rPr>
        <w:t>不超过成交金额的2%</w:t>
      </w:r>
      <w:r>
        <w:rPr>
          <w:rFonts w:hint="eastAsia"/>
          <w:color w:val="auto"/>
          <w:sz w:val="24"/>
          <w:highlight w:val="none"/>
        </w:rPr>
        <w:t>）。</w:t>
      </w:r>
    </w:p>
    <w:p w14:paraId="4C270118">
      <w:pPr>
        <w:pStyle w:val="36"/>
        <w:numPr>
          <w:ilvl w:val="1"/>
          <w:numId w:val="20"/>
        </w:numPr>
        <w:tabs>
          <w:tab w:val="left" w:pos="941"/>
        </w:tabs>
        <w:adjustRightInd w:val="0"/>
        <w:snapToGrid w:val="0"/>
        <w:spacing w:line="360" w:lineRule="auto"/>
        <w:ind w:left="0" w:firstLine="480" w:firstLineChars="200"/>
        <w:jc w:val="both"/>
        <w:rPr>
          <w:color w:val="auto"/>
          <w:highlight w:val="none"/>
        </w:rPr>
      </w:pPr>
      <w:r>
        <w:rPr>
          <w:rFonts w:hint="eastAsia"/>
          <w:color w:val="auto"/>
          <w:sz w:val="24"/>
          <w:highlight w:val="none"/>
        </w:rPr>
        <w:t>如成交供应商拒签合同，</w:t>
      </w:r>
      <w:r>
        <w:rPr>
          <w:rFonts w:hint="eastAsia"/>
          <w:color w:val="auto"/>
          <w:sz w:val="24"/>
          <w:highlight w:val="none"/>
          <w:lang w:val="en-US"/>
        </w:rPr>
        <w:t>采购人</w:t>
      </w:r>
      <w:r>
        <w:rPr>
          <w:rFonts w:hint="eastAsia"/>
          <w:color w:val="auto"/>
          <w:sz w:val="24"/>
          <w:highlight w:val="none"/>
        </w:rPr>
        <w:t>可</w:t>
      </w:r>
      <w:r>
        <w:rPr>
          <w:rFonts w:hint="eastAsia"/>
          <w:color w:val="auto"/>
          <w:sz w:val="24"/>
          <w:highlight w:val="none"/>
          <w:lang w:val="en-US"/>
        </w:rPr>
        <w:t>依次递补下一名</w:t>
      </w:r>
      <w:r>
        <w:rPr>
          <w:rFonts w:hint="eastAsia"/>
          <w:color w:val="auto"/>
          <w:sz w:val="24"/>
          <w:highlight w:val="none"/>
        </w:rPr>
        <w:t>成交</w:t>
      </w:r>
      <w:r>
        <w:rPr>
          <w:rFonts w:hint="eastAsia"/>
          <w:color w:val="auto"/>
          <w:sz w:val="24"/>
          <w:highlight w:val="none"/>
          <w:lang w:val="en-US"/>
        </w:rPr>
        <w:t>候选人或依法进行二次邀请谈判</w:t>
      </w:r>
      <w:r>
        <w:rPr>
          <w:rFonts w:hint="eastAsia"/>
          <w:color w:val="auto"/>
          <w:sz w:val="24"/>
          <w:highlight w:val="none"/>
        </w:rPr>
        <w:t>。</w:t>
      </w:r>
    </w:p>
    <w:p w14:paraId="1D186187">
      <w:pPr>
        <w:spacing w:line="360" w:lineRule="auto"/>
        <w:ind w:firstLine="549"/>
        <w:rPr>
          <w:b/>
          <w:color w:val="auto"/>
          <w:sz w:val="24"/>
          <w:highlight w:val="none"/>
        </w:rPr>
      </w:pPr>
      <w:r>
        <w:rPr>
          <w:rFonts w:hint="eastAsia"/>
          <w:b/>
          <w:color w:val="auto"/>
          <w:sz w:val="24"/>
          <w:highlight w:val="none"/>
          <w:lang w:val="en-US"/>
        </w:rPr>
        <w:t>29</w:t>
      </w:r>
      <w:r>
        <w:rPr>
          <w:rFonts w:hint="eastAsia"/>
          <w:b/>
          <w:color w:val="auto"/>
          <w:sz w:val="24"/>
          <w:highlight w:val="none"/>
        </w:rPr>
        <w:t>.未尽事宜</w:t>
      </w:r>
    </w:p>
    <w:p w14:paraId="2509F3D8">
      <w:pPr>
        <w:spacing w:line="360" w:lineRule="auto"/>
        <w:ind w:firstLine="549"/>
        <w:rPr>
          <w:color w:val="auto"/>
          <w:sz w:val="24"/>
          <w:highlight w:val="none"/>
          <w:lang w:val="en-US"/>
        </w:rPr>
      </w:pPr>
      <w:r>
        <w:rPr>
          <w:rFonts w:hint="eastAsia"/>
          <w:color w:val="auto"/>
          <w:sz w:val="24"/>
          <w:highlight w:val="none"/>
          <w:lang w:val="en-US"/>
        </w:rPr>
        <w:t>29.1</w:t>
      </w:r>
      <w:r>
        <w:rPr>
          <w:rFonts w:hint="eastAsia"/>
          <w:color w:val="auto"/>
          <w:sz w:val="24"/>
          <w:highlight w:val="none"/>
        </w:rPr>
        <w:t>按《中华人民共和国政府采购法》、</w:t>
      </w:r>
      <w:r>
        <w:rPr>
          <w:rFonts w:hint="eastAsia"/>
          <w:color w:val="auto"/>
          <w:sz w:val="24"/>
          <w:highlight w:val="none"/>
          <w:lang w:val="en-US"/>
        </w:rPr>
        <w:t>《政府采购非招标采购方式管理办法》及其他有关法律法规的规定执行。</w:t>
      </w:r>
    </w:p>
    <w:p w14:paraId="02262BA2">
      <w:pPr>
        <w:spacing w:line="360" w:lineRule="auto"/>
        <w:ind w:firstLine="549"/>
        <w:rPr>
          <w:bCs/>
          <w:color w:val="auto"/>
          <w:sz w:val="24"/>
          <w:highlight w:val="none"/>
        </w:rPr>
      </w:pPr>
      <w:r>
        <w:rPr>
          <w:rFonts w:hint="eastAsia"/>
          <w:b/>
          <w:color w:val="auto"/>
          <w:sz w:val="24"/>
          <w:highlight w:val="none"/>
          <w:lang w:val="en-US"/>
        </w:rPr>
        <w:t>30</w:t>
      </w:r>
      <w:r>
        <w:rPr>
          <w:rFonts w:hint="eastAsia"/>
          <w:b/>
          <w:color w:val="auto"/>
          <w:sz w:val="24"/>
          <w:highlight w:val="none"/>
        </w:rPr>
        <w:t>.解释权</w:t>
      </w:r>
    </w:p>
    <w:p w14:paraId="3A9C19E0">
      <w:pPr>
        <w:pStyle w:val="15"/>
        <w:ind w:firstLine="480" w:firstLineChars="200"/>
        <w:rPr>
          <w:color w:val="auto"/>
          <w:highlight w:val="none"/>
        </w:rPr>
        <w:sectPr>
          <w:pgSz w:w="11850" w:h="16790"/>
          <w:pgMar w:top="1560" w:right="1180" w:bottom="920" w:left="1580" w:header="0" w:footer="721" w:gutter="0"/>
          <w:cols w:space="720" w:num="1"/>
        </w:sectPr>
      </w:pPr>
      <w:r>
        <w:rPr>
          <w:rFonts w:hint="eastAsia"/>
          <w:bCs/>
          <w:color w:val="auto"/>
          <w:sz w:val="24"/>
          <w:highlight w:val="none"/>
        </w:rPr>
        <w:t>本</w:t>
      </w:r>
      <w:r>
        <w:rPr>
          <w:rFonts w:hint="eastAsia"/>
          <w:bCs/>
          <w:color w:val="auto"/>
          <w:sz w:val="24"/>
          <w:highlight w:val="none"/>
          <w:lang w:val="en-US"/>
        </w:rPr>
        <w:t>谈判</w:t>
      </w:r>
      <w:r>
        <w:rPr>
          <w:rFonts w:hint="eastAsia"/>
          <w:bCs/>
          <w:color w:val="auto"/>
          <w:sz w:val="24"/>
          <w:highlight w:val="none"/>
        </w:rPr>
        <w:t>文件的</w:t>
      </w:r>
      <w:r>
        <w:rPr>
          <w:rFonts w:hint="eastAsia"/>
          <w:bCs/>
          <w:color w:val="auto"/>
          <w:sz w:val="24"/>
          <w:highlight w:val="none"/>
          <w:lang w:val="en-US"/>
        </w:rPr>
        <w:t>解释权属于采购人。</w:t>
      </w:r>
    </w:p>
    <w:p w14:paraId="7F468BCA">
      <w:pPr>
        <w:pStyle w:val="3"/>
        <w:tabs>
          <w:tab w:val="left" w:pos="1607"/>
        </w:tabs>
        <w:spacing w:before="41"/>
        <w:rPr>
          <w:color w:val="auto"/>
          <w:highlight w:val="none"/>
        </w:rPr>
      </w:pPr>
      <w:bookmarkStart w:id="33" w:name="第五部分__谈判文件格式"/>
      <w:bookmarkEnd w:id="33"/>
      <w:bookmarkStart w:id="34" w:name="_Toc2075"/>
      <w:bookmarkStart w:id="35" w:name="_Toc32183"/>
      <w:r>
        <w:rPr>
          <w:rFonts w:hint="eastAsia"/>
          <w:color w:val="auto"/>
          <w:highlight w:val="none"/>
        </w:rPr>
        <w:t>第五部分</w:t>
      </w:r>
      <w:r>
        <w:rPr>
          <w:rFonts w:hint="eastAsia"/>
          <w:color w:val="auto"/>
          <w:highlight w:val="none"/>
          <w:lang w:val="en-US" w:eastAsia="zh-CN"/>
        </w:rPr>
        <w:t xml:space="preserve"> </w:t>
      </w:r>
      <w:r>
        <w:rPr>
          <w:rFonts w:hint="eastAsia"/>
          <w:color w:val="auto"/>
          <w:highlight w:val="none"/>
        </w:rPr>
        <w:t>谈判文件格式</w:t>
      </w:r>
      <w:bookmarkEnd w:id="34"/>
      <w:bookmarkEnd w:id="35"/>
    </w:p>
    <w:p w14:paraId="570F1970">
      <w:pPr>
        <w:pStyle w:val="7"/>
        <w:rPr>
          <w:b/>
          <w:color w:val="auto"/>
          <w:sz w:val="20"/>
          <w:highlight w:val="none"/>
        </w:rPr>
      </w:pPr>
    </w:p>
    <w:p w14:paraId="3E97A634">
      <w:pPr>
        <w:pStyle w:val="7"/>
        <w:spacing w:before="7"/>
        <w:rPr>
          <w:b/>
          <w:color w:val="auto"/>
          <w:sz w:val="19"/>
          <w:highlight w:val="none"/>
        </w:rPr>
      </w:pPr>
    </w:p>
    <w:p w14:paraId="3AE005B5">
      <w:pPr>
        <w:rPr>
          <w:color w:val="auto"/>
          <w:sz w:val="19"/>
          <w:highlight w:val="none"/>
        </w:rPr>
        <w:sectPr>
          <w:pgSz w:w="11850" w:h="16790"/>
          <w:pgMar w:top="1400" w:right="1180" w:bottom="920" w:left="1580" w:header="0" w:footer="721" w:gutter="0"/>
          <w:cols w:space="720" w:num="1"/>
        </w:sectPr>
      </w:pPr>
    </w:p>
    <w:p w14:paraId="3D52C42D">
      <w:pPr>
        <w:spacing w:before="62"/>
        <w:ind w:left="218"/>
        <w:rPr>
          <w:color w:val="auto"/>
          <w:sz w:val="28"/>
          <w:highlight w:val="none"/>
        </w:rPr>
      </w:pPr>
      <w:r>
        <w:rPr>
          <w:rFonts w:hint="eastAsia"/>
          <w:color w:val="auto"/>
          <w:sz w:val="28"/>
          <w:highlight w:val="none"/>
        </w:rPr>
        <w:t>附件１：</w:t>
      </w:r>
    </w:p>
    <w:p w14:paraId="687A9AF2">
      <w:pPr>
        <w:pStyle w:val="7"/>
        <w:spacing w:before="12"/>
        <w:rPr>
          <w:color w:val="auto"/>
          <w:sz w:val="32"/>
          <w:highlight w:val="none"/>
        </w:rPr>
      </w:pPr>
      <w:r>
        <w:rPr>
          <w:rFonts w:hint="eastAsia"/>
          <w:color w:val="auto"/>
          <w:highlight w:val="none"/>
        </w:rPr>
        <w:br w:type="column"/>
      </w:r>
    </w:p>
    <w:p w14:paraId="42DF3529">
      <w:pPr>
        <w:ind w:left="218"/>
        <w:rPr>
          <w:b/>
          <w:color w:val="auto"/>
          <w:sz w:val="32"/>
          <w:highlight w:val="none"/>
        </w:rPr>
      </w:pPr>
      <w:r>
        <w:rPr>
          <w:rFonts w:hint="eastAsia"/>
          <w:b/>
          <w:color w:val="auto"/>
          <w:sz w:val="32"/>
          <w:highlight w:val="none"/>
        </w:rPr>
        <w:t>谈判响应函</w:t>
      </w:r>
    </w:p>
    <w:p w14:paraId="17343933">
      <w:pPr>
        <w:rPr>
          <w:color w:val="auto"/>
          <w:sz w:val="32"/>
          <w:highlight w:val="none"/>
        </w:rPr>
        <w:sectPr>
          <w:type w:val="continuous"/>
          <w:pgSz w:w="11850" w:h="16790"/>
          <w:pgMar w:top="1600" w:right="1180" w:bottom="920" w:left="1580" w:header="720" w:footer="720" w:gutter="0"/>
          <w:cols w:equalWidth="0" w:num="2">
            <w:col w:w="1382" w:space="1943"/>
            <w:col w:w="5765"/>
          </w:cols>
        </w:sectPr>
      </w:pPr>
    </w:p>
    <w:p w14:paraId="10A6396E">
      <w:pPr>
        <w:pStyle w:val="7"/>
        <w:spacing w:before="4"/>
        <w:rPr>
          <w:b/>
          <w:color w:val="auto"/>
          <w:sz w:val="16"/>
          <w:highlight w:val="none"/>
        </w:rPr>
      </w:pPr>
    </w:p>
    <w:p w14:paraId="5A190DE4">
      <w:pPr>
        <w:pStyle w:val="7"/>
        <w:spacing w:before="66"/>
        <w:rPr>
          <w:rFonts w:hint="eastAsia"/>
          <w:color w:val="auto"/>
          <w:highlight w:val="none"/>
          <w:lang w:val="en-US" w:eastAsia="zh-CN"/>
        </w:rPr>
      </w:pPr>
      <w:r>
        <w:rPr>
          <w:rFonts w:hint="eastAsia"/>
          <w:color w:val="auto"/>
          <w:highlight w:val="none"/>
        </w:rPr>
        <w:t>致:周口市公共资源交易中心</w:t>
      </w:r>
      <w:r>
        <w:rPr>
          <w:rFonts w:hint="eastAsia"/>
          <w:color w:val="auto"/>
          <w:highlight w:val="none"/>
          <w:lang w:eastAsia="zh-CN"/>
        </w:rPr>
        <w:t>（</w:t>
      </w:r>
      <w:r>
        <w:rPr>
          <w:rFonts w:hint="eastAsia"/>
          <w:color w:val="auto"/>
          <w:highlight w:val="none"/>
        </w:rPr>
        <w:t>政府采购中心</w:t>
      </w:r>
      <w:r>
        <w:rPr>
          <w:rFonts w:hint="eastAsia"/>
          <w:color w:val="auto"/>
          <w:highlight w:val="none"/>
          <w:lang w:val="en-US" w:eastAsia="zh-CN"/>
        </w:rPr>
        <w:t>)</w:t>
      </w:r>
    </w:p>
    <w:p w14:paraId="5BCD5CEA">
      <w:pPr>
        <w:pStyle w:val="7"/>
        <w:spacing w:before="66"/>
        <w:ind w:left="218" w:firstLine="248" w:firstLineChars="100"/>
        <w:rPr>
          <w:color w:val="auto"/>
          <w:highlight w:val="none"/>
        </w:rPr>
      </w:pPr>
      <w:r>
        <w:rPr>
          <w:rFonts w:hint="eastAsia"/>
          <w:color w:val="auto"/>
          <w:spacing w:val="4"/>
          <w:highlight w:val="none"/>
        </w:rPr>
        <w:t>根据贵方</w:t>
      </w:r>
      <w:r>
        <w:rPr>
          <w:rFonts w:hint="eastAsia"/>
          <w:color w:val="auto"/>
          <w:highlight w:val="none"/>
        </w:rPr>
        <w:t>政</w:t>
      </w:r>
      <w:r>
        <w:rPr>
          <w:rFonts w:hint="eastAsia"/>
          <w:color w:val="auto"/>
          <w:spacing w:val="4"/>
          <w:highlight w:val="none"/>
        </w:rPr>
        <w:t>府</w:t>
      </w:r>
      <w:r>
        <w:rPr>
          <w:rFonts w:hint="eastAsia"/>
          <w:color w:val="auto"/>
          <w:spacing w:val="4"/>
          <w:highlight w:val="none"/>
          <w:lang w:val="en-US" w:eastAsia="zh-CN"/>
        </w:rPr>
        <w:t>项目</w:t>
      </w:r>
      <w:r>
        <w:rPr>
          <w:rFonts w:hint="eastAsia"/>
          <w:color w:val="auto"/>
          <w:spacing w:val="4"/>
          <w:highlight w:val="none"/>
        </w:rPr>
        <w:t>编号</w:t>
      </w:r>
      <w:r>
        <w:rPr>
          <w:rFonts w:hint="eastAsia"/>
          <w:color w:val="auto"/>
          <w:spacing w:val="7"/>
          <w:highlight w:val="none"/>
        </w:rPr>
        <w:t>为</w:t>
      </w:r>
      <w:r>
        <w:rPr>
          <w:rFonts w:hint="eastAsia"/>
          <w:color w:val="auto"/>
          <w:spacing w:val="7"/>
          <w:highlight w:val="none"/>
          <w:u w:val="single"/>
        </w:rPr>
        <w:tab/>
      </w:r>
      <w:r>
        <w:rPr>
          <w:rFonts w:hint="eastAsia"/>
          <w:color w:val="auto"/>
          <w:spacing w:val="4"/>
          <w:highlight w:val="none"/>
        </w:rPr>
        <w:t>的</w:t>
      </w:r>
      <w:r>
        <w:rPr>
          <w:rFonts w:hint="eastAsia"/>
          <w:color w:val="auto"/>
          <w:spacing w:val="4"/>
          <w:highlight w:val="none"/>
          <w:lang w:val="en-US" w:eastAsia="zh-CN"/>
        </w:rPr>
        <w:t>项目</w:t>
      </w:r>
      <w:r>
        <w:rPr>
          <w:rFonts w:hint="eastAsia"/>
          <w:color w:val="auto"/>
          <w:spacing w:val="4"/>
          <w:highlight w:val="none"/>
        </w:rPr>
        <w:t>谈判邀请</w:t>
      </w:r>
      <w:r>
        <w:rPr>
          <w:rFonts w:hint="eastAsia"/>
          <w:color w:val="auto"/>
          <w:highlight w:val="none"/>
        </w:rPr>
        <w:t>函</w:t>
      </w:r>
      <w:r>
        <w:rPr>
          <w:rFonts w:hint="eastAsia"/>
          <w:color w:val="auto"/>
          <w:spacing w:val="4"/>
          <w:highlight w:val="none"/>
        </w:rPr>
        <w:t>,正式授权下述签</w:t>
      </w:r>
    </w:p>
    <w:p w14:paraId="574E00F6">
      <w:pPr>
        <w:pStyle w:val="7"/>
        <w:spacing w:before="158"/>
        <w:rPr>
          <w:color w:val="auto"/>
          <w:highlight w:val="none"/>
        </w:rPr>
      </w:pPr>
      <w:r>
        <w:rPr>
          <w:rFonts w:hint="eastAsia"/>
          <w:color w:val="auto"/>
          <w:highlight w:val="none"/>
        </w:rPr>
        <w:t>字人</w:t>
      </w:r>
      <w:r>
        <w:rPr>
          <w:rFonts w:hint="eastAsia"/>
          <w:color w:val="auto"/>
          <w:highlight w:val="none"/>
          <w:u w:val="single"/>
        </w:rPr>
        <w:tab/>
      </w:r>
      <w:r>
        <w:rPr>
          <w:rFonts w:hint="eastAsia"/>
          <w:color w:val="auto"/>
          <w:highlight w:val="none"/>
          <w:u w:val="single"/>
          <w:lang w:val="en-US" w:eastAsia="zh-CN"/>
        </w:rPr>
        <w:t xml:space="preserve">     </w:t>
      </w:r>
      <w:r>
        <w:rPr>
          <w:rFonts w:hint="eastAsia"/>
          <w:color w:val="auto"/>
          <w:highlight w:val="none"/>
        </w:rPr>
        <w:t>(姓名和职务</w:t>
      </w:r>
      <w:r>
        <w:rPr>
          <w:rFonts w:hint="eastAsia"/>
          <w:color w:val="auto"/>
          <w:spacing w:val="-96"/>
          <w:highlight w:val="none"/>
        </w:rPr>
        <w:t>，</w:t>
      </w:r>
      <w:r>
        <w:rPr>
          <w:rFonts w:hint="eastAsia"/>
          <w:color w:val="auto"/>
          <w:highlight w:val="none"/>
        </w:rPr>
        <w:t>请用印刷体)代表谈判供应商</w:t>
      </w:r>
      <w:r>
        <w:rPr>
          <w:rFonts w:hint="eastAsia"/>
          <w:color w:val="auto"/>
          <w:highlight w:val="none"/>
          <w:u w:val="single"/>
        </w:rPr>
        <w:tab/>
      </w:r>
      <w:r>
        <w:rPr>
          <w:rFonts w:hint="eastAsia"/>
          <w:color w:val="auto"/>
          <w:highlight w:val="none"/>
          <w:u w:val="single"/>
        </w:rPr>
        <w:t>（</w:t>
      </w:r>
      <w:r>
        <w:rPr>
          <w:rFonts w:hint="eastAsia"/>
          <w:color w:val="auto"/>
          <w:highlight w:val="none"/>
        </w:rPr>
        <w:t>投</w:t>
      </w:r>
      <w:r>
        <w:rPr>
          <w:rFonts w:hint="eastAsia"/>
          <w:color w:val="auto"/>
          <w:spacing w:val="-3"/>
          <w:highlight w:val="none"/>
        </w:rPr>
        <w:t>标</w:t>
      </w:r>
      <w:r>
        <w:rPr>
          <w:rFonts w:hint="eastAsia"/>
          <w:color w:val="auto"/>
          <w:highlight w:val="none"/>
        </w:rPr>
        <w:t>单位的名称</w:t>
      </w:r>
      <w:r>
        <w:rPr>
          <w:rFonts w:hint="eastAsia"/>
          <w:color w:val="auto"/>
          <w:spacing w:val="-9"/>
          <w:highlight w:val="none"/>
        </w:rPr>
        <w:t xml:space="preserve">), </w:t>
      </w:r>
      <w:r>
        <w:rPr>
          <w:rFonts w:hint="eastAsia"/>
          <w:color w:val="auto"/>
          <w:highlight w:val="none"/>
        </w:rPr>
        <w:t>提交：</w:t>
      </w:r>
    </w:p>
    <w:p w14:paraId="3EC1871B">
      <w:pPr>
        <w:pStyle w:val="7"/>
        <w:spacing w:before="5" w:line="364" w:lineRule="auto"/>
        <w:ind w:left="218" w:right="616" w:firstLine="719"/>
        <w:rPr>
          <w:color w:val="auto"/>
          <w:highlight w:val="none"/>
        </w:rPr>
      </w:pPr>
      <w:r>
        <w:rPr>
          <w:rFonts w:hint="eastAsia"/>
          <w:color w:val="auto"/>
          <w:highlight w:val="none"/>
        </w:rPr>
        <w:t>（一）谈判响应函(附件一)按统一格式填写，由投标单位加盖公章，并由投标单位法定代表人或其授权代表人签字。</w:t>
      </w:r>
    </w:p>
    <w:p w14:paraId="4192B7DA">
      <w:pPr>
        <w:pStyle w:val="7"/>
        <w:spacing w:line="306" w:lineRule="exact"/>
        <w:ind w:left="938"/>
        <w:rPr>
          <w:color w:val="auto"/>
          <w:highlight w:val="none"/>
        </w:rPr>
      </w:pPr>
      <w:r>
        <w:rPr>
          <w:rFonts w:hint="eastAsia"/>
          <w:color w:val="auto"/>
          <w:highlight w:val="none"/>
        </w:rPr>
        <w:t>（二）谈判价格一览表</w:t>
      </w:r>
    </w:p>
    <w:p w14:paraId="3F293987">
      <w:pPr>
        <w:pStyle w:val="7"/>
        <w:spacing w:before="160"/>
        <w:ind w:left="938"/>
        <w:rPr>
          <w:color w:val="auto"/>
          <w:highlight w:val="none"/>
        </w:rPr>
      </w:pPr>
      <w:r>
        <w:rPr>
          <w:rFonts w:hint="eastAsia"/>
          <w:color w:val="auto"/>
          <w:highlight w:val="none"/>
        </w:rPr>
        <w:t>（三）优惠条件及服务承诺</w:t>
      </w:r>
    </w:p>
    <w:p w14:paraId="079180A2">
      <w:pPr>
        <w:pStyle w:val="7"/>
        <w:spacing w:before="158"/>
        <w:ind w:left="938"/>
        <w:rPr>
          <w:color w:val="auto"/>
          <w:highlight w:val="none"/>
        </w:rPr>
      </w:pPr>
      <w:r>
        <w:rPr>
          <w:rFonts w:hint="eastAsia"/>
          <w:color w:val="auto"/>
          <w:highlight w:val="none"/>
        </w:rPr>
        <w:t>（四）施工图预算书</w:t>
      </w:r>
    </w:p>
    <w:p w14:paraId="46EE7A34">
      <w:pPr>
        <w:pStyle w:val="7"/>
        <w:spacing w:before="161"/>
        <w:ind w:left="938"/>
        <w:rPr>
          <w:color w:val="auto"/>
          <w:highlight w:val="none"/>
        </w:rPr>
      </w:pPr>
      <w:r>
        <w:rPr>
          <w:rFonts w:hint="eastAsia"/>
          <w:color w:val="auto"/>
          <w:highlight w:val="none"/>
        </w:rPr>
        <w:t>（五）施工组织设计</w:t>
      </w:r>
    </w:p>
    <w:p w14:paraId="427882C3">
      <w:pPr>
        <w:pStyle w:val="7"/>
        <w:spacing w:before="158"/>
        <w:ind w:left="938"/>
        <w:rPr>
          <w:color w:val="auto"/>
          <w:highlight w:val="none"/>
        </w:rPr>
      </w:pPr>
      <w:r>
        <w:rPr>
          <w:rFonts w:hint="eastAsia"/>
          <w:color w:val="auto"/>
          <w:highlight w:val="none"/>
        </w:rPr>
        <w:t>（六）劳动力计划表</w:t>
      </w:r>
    </w:p>
    <w:p w14:paraId="7D9BDEC0">
      <w:pPr>
        <w:pStyle w:val="7"/>
        <w:spacing w:before="161"/>
        <w:ind w:left="938"/>
        <w:rPr>
          <w:color w:val="auto"/>
          <w:highlight w:val="none"/>
        </w:rPr>
      </w:pPr>
      <w:r>
        <w:rPr>
          <w:rFonts w:hint="eastAsia"/>
          <w:color w:val="auto"/>
          <w:highlight w:val="none"/>
        </w:rPr>
        <w:t>（七）计划开、竣工日期和施工进度表</w:t>
      </w:r>
    </w:p>
    <w:p w14:paraId="39631C7F">
      <w:pPr>
        <w:pStyle w:val="7"/>
        <w:spacing w:before="158"/>
        <w:ind w:left="938"/>
        <w:rPr>
          <w:color w:val="auto"/>
          <w:highlight w:val="none"/>
        </w:rPr>
      </w:pPr>
      <w:r>
        <w:rPr>
          <w:rFonts w:hint="eastAsia"/>
          <w:color w:val="auto"/>
          <w:highlight w:val="none"/>
        </w:rPr>
        <w:t>（八）项目管理机构配备情况表</w:t>
      </w:r>
    </w:p>
    <w:p w14:paraId="197D43E1">
      <w:pPr>
        <w:pStyle w:val="7"/>
        <w:spacing w:before="161"/>
        <w:ind w:left="938"/>
        <w:rPr>
          <w:color w:val="auto"/>
          <w:highlight w:val="none"/>
        </w:rPr>
      </w:pPr>
      <w:r>
        <w:rPr>
          <w:rFonts w:hint="eastAsia"/>
          <w:color w:val="auto"/>
          <w:highlight w:val="none"/>
        </w:rPr>
        <w:t>（九）项目负责人简历表</w:t>
      </w:r>
    </w:p>
    <w:p w14:paraId="20894770">
      <w:pPr>
        <w:pStyle w:val="7"/>
        <w:spacing w:before="158"/>
        <w:ind w:left="938"/>
        <w:rPr>
          <w:color w:val="auto"/>
          <w:highlight w:val="none"/>
        </w:rPr>
      </w:pPr>
      <w:r>
        <w:rPr>
          <w:rFonts w:hint="eastAsia"/>
          <w:color w:val="auto"/>
          <w:highlight w:val="none"/>
        </w:rPr>
        <w:t>（十）项目管理机构配备情况辅助说明资料</w:t>
      </w:r>
    </w:p>
    <w:p w14:paraId="525B26AB">
      <w:pPr>
        <w:pStyle w:val="7"/>
        <w:spacing w:before="160"/>
        <w:ind w:left="938"/>
        <w:rPr>
          <w:color w:val="auto"/>
          <w:highlight w:val="none"/>
        </w:rPr>
      </w:pPr>
      <w:r>
        <w:rPr>
          <w:rFonts w:hint="eastAsia"/>
          <w:color w:val="auto"/>
          <w:highlight w:val="none"/>
        </w:rPr>
        <w:t>（十一）关于资格的声明函</w:t>
      </w:r>
    </w:p>
    <w:p w14:paraId="1787F30E">
      <w:pPr>
        <w:pStyle w:val="7"/>
        <w:spacing w:before="159"/>
        <w:ind w:left="938"/>
        <w:rPr>
          <w:color w:val="auto"/>
          <w:highlight w:val="none"/>
        </w:rPr>
      </w:pPr>
      <w:r>
        <w:rPr>
          <w:rFonts w:hint="eastAsia"/>
          <w:color w:val="auto"/>
          <w:highlight w:val="none"/>
        </w:rPr>
        <w:t>（十二）授权委托书</w:t>
      </w:r>
    </w:p>
    <w:p w14:paraId="7B9B8953">
      <w:pPr>
        <w:pStyle w:val="7"/>
        <w:spacing w:before="160"/>
        <w:ind w:left="938"/>
        <w:rPr>
          <w:color w:val="auto"/>
          <w:highlight w:val="none"/>
        </w:rPr>
      </w:pPr>
      <w:r>
        <w:rPr>
          <w:rFonts w:hint="eastAsia"/>
          <w:color w:val="auto"/>
          <w:highlight w:val="none"/>
        </w:rPr>
        <w:t>（十三）其它相关资料</w:t>
      </w:r>
    </w:p>
    <w:p w14:paraId="79D72C2D">
      <w:pPr>
        <w:pStyle w:val="7"/>
        <w:spacing w:before="161"/>
        <w:ind w:left="938"/>
        <w:rPr>
          <w:color w:val="auto"/>
          <w:highlight w:val="none"/>
        </w:rPr>
      </w:pPr>
      <w:r>
        <w:rPr>
          <w:rFonts w:hint="eastAsia"/>
          <w:color w:val="auto"/>
          <w:highlight w:val="none"/>
        </w:rPr>
        <w:t>根据此函,签字人兹宣布同意如下:</w:t>
      </w:r>
    </w:p>
    <w:p w14:paraId="19A8FC4A">
      <w:pPr>
        <w:pStyle w:val="36"/>
        <w:numPr>
          <w:ilvl w:val="0"/>
          <w:numId w:val="21"/>
        </w:numPr>
        <w:tabs>
          <w:tab w:val="left" w:pos="1003"/>
          <w:tab w:val="left" w:pos="7505"/>
        </w:tabs>
        <w:spacing w:before="160" w:line="362" w:lineRule="auto"/>
        <w:ind w:right="611" w:firstLine="542"/>
        <w:rPr>
          <w:color w:val="auto"/>
          <w:sz w:val="24"/>
          <w:highlight w:val="none"/>
        </w:rPr>
      </w:pPr>
      <w:r>
        <w:rPr>
          <w:rFonts w:hint="eastAsia"/>
          <w:color w:val="auto"/>
          <w:sz w:val="24"/>
          <w:highlight w:val="none"/>
        </w:rPr>
        <w:t>按采购</w:t>
      </w:r>
      <w:r>
        <w:rPr>
          <w:rFonts w:hint="eastAsia"/>
          <w:color w:val="auto"/>
          <w:spacing w:val="4"/>
          <w:sz w:val="24"/>
          <w:highlight w:val="none"/>
        </w:rPr>
        <w:t>文</w:t>
      </w:r>
      <w:r>
        <w:rPr>
          <w:rFonts w:hint="eastAsia"/>
          <w:color w:val="auto"/>
          <w:sz w:val="24"/>
          <w:highlight w:val="none"/>
        </w:rPr>
        <w:t>件</w:t>
      </w:r>
      <w:r>
        <w:rPr>
          <w:rFonts w:hint="eastAsia"/>
          <w:color w:val="auto"/>
          <w:spacing w:val="4"/>
          <w:sz w:val="24"/>
          <w:highlight w:val="none"/>
        </w:rPr>
        <w:t>的</w:t>
      </w:r>
      <w:r>
        <w:rPr>
          <w:rFonts w:hint="eastAsia"/>
          <w:color w:val="auto"/>
          <w:sz w:val="24"/>
          <w:highlight w:val="none"/>
        </w:rPr>
        <w:t>规定</w:t>
      </w:r>
      <w:r>
        <w:rPr>
          <w:rFonts w:hint="eastAsia"/>
          <w:color w:val="auto"/>
          <w:spacing w:val="4"/>
          <w:sz w:val="24"/>
          <w:highlight w:val="none"/>
        </w:rPr>
        <w:t>，</w:t>
      </w:r>
      <w:r>
        <w:rPr>
          <w:rFonts w:hint="eastAsia"/>
          <w:color w:val="auto"/>
          <w:sz w:val="24"/>
          <w:highlight w:val="none"/>
        </w:rPr>
        <w:t>我</w:t>
      </w:r>
      <w:r>
        <w:rPr>
          <w:rFonts w:hint="eastAsia"/>
          <w:color w:val="auto"/>
          <w:spacing w:val="4"/>
          <w:sz w:val="24"/>
          <w:highlight w:val="none"/>
        </w:rPr>
        <w:t>方</w:t>
      </w:r>
      <w:r>
        <w:rPr>
          <w:rFonts w:hint="eastAsia"/>
          <w:color w:val="auto"/>
          <w:sz w:val="24"/>
          <w:highlight w:val="none"/>
        </w:rPr>
        <w:t>此次</w:t>
      </w:r>
      <w:r>
        <w:rPr>
          <w:rFonts w:hint="eastAsia"/>
          <w:color w:val="auto"/>
          <w:spacing w:val="4"/>
          <w:sz w:val="24"/>
          <w:highlight w:val="none"/>
        </w:rPr>
        <w:t>项</w:t>
      </w:r>
      <w:r>
        <w:rPr>
          <w:rFonts w:hint="eastAsia"/>
          <w:color w:val="auto"/>
          <w:sz w:val="24"/>
          <w:highlight w:val="none"/>
        </w:rPr>
        <w:t>目</w:t>
      </w:r>
      <w:r>
        <w:rPr>
          <w:rFonts w:hint="eastAsia"/>
          <w:color w:val="auto"/>
          <w:spacing w:val="4"/>
          <w:sz w:val="24"/>
          <w:highlight w:val="none"/>
        </w:rPr>
        <w:t>总</w:t>
      </w:r>
      <w:r>
        <w:rPr>
          <w:rFonts w:hint="eastAsia"/>
          <w:color w:val="auto"/>
          <w:sz w:val="24"/>
          <w:highlight w:val="none"/>
        </w:rPr>
        <w:t>报价</w:t>
      </w:r>
      <w:r>
        <w:rPr>
          <w:rFonts w:hint="eastAsia"/>
          <w:color w:val="auto"/>
          <w:spacing w:val="4"/>
          <w:sz w:val="24"/>
          <w:highlight w:val="none"/>
        </w:rPr>
        <w:t>为</w:t>
      </w:r>
      <w:r>
        <w:rPr>
          <w:rFonts w:hint="eastAsia"/>
          <w:color w:val="auto"/>
          <w:sz w:val="24"/>
          <w:highlight w:val="none"/>
        </w:rPr>
        <w:t>人</w:t>
      </w:r>
      <w:r>
        <w:rPr>
          <w:rFonts w:hint="eastAsia"/>
          <w:color w:val="auto"/>
          <w:spacing w:val="4"/>
          <w:sz w:val="24"/>
          <w:highlight w:val="none"/>
        </w:rPr>
        <w:t>民</w:t>
      </w:r>
      <w:r>
        <w:rPr>
          <w:rFonts w:hint="eastAsia"/>
          <w:color w:val="auto"/>
          <w:spacing w:val="8"/>
          <w:sz w:val="24"/>
          <w:highlight w:val="none"/>
        </w:rPr>
        <w:t>币</w:t>
      </w:r>
      <w:r>
        <w:rPr>
          <w:rFonts w:hint="eastAsia"/>
          <w:color w:val="auto"/>
          <w:spacing w:val="8"/>
          <w:sz w:val="24"/>
          <w:highlight w:val="none"/>
          <w:u w:val="single"/>
        </w:rPr>
        <w:tab/>
      </w:r>
      <w:r>
        <w:rPr>
          <w:rFonts w:hint="eastAsia"/>
          <w:color w:val="auto"/>
          <w:sz w:val="24"/>
          <w:highlight w:val="none"/>
        </w:rPr>
        <w:t>元整（</w:t>
      </w:r>
      <w:r>
        <w:rPr>
          <w:rFonts w:hint="eastAsia"/>
          <w:color w:val="auto"/>
          <w:spacing w:val="-14"/>
          <w:sz w:val="24"/>
          <w:highlight w:val="none"/>
        </w:rPr>
        <w:t>大</w:t>
      </w:r>
      <w:r>
        <w:rPr>
          <w:rFonts w:hint="eastAsia"/>
          <w:color w:val="auto"/>
          <w:sz w:val="24"/>
          <w:highlight w:val="none"/>
        </w:rPr>
        <w:t>写）。</w:t>
      </w:r>
      <w:r>
        <w:rPr>
          <w:rFonts w:hint="eastAsia" w:asciiTheme="minorEastAsia" w:hAnsiTheme="minorEastAsia" w:eastAsiaTheme="minorEastAsia" w:cstheme="minorEastAsia"/>
          <w:b w:val="0"/>
          <w:i w:val="0"/>
          <w:iCs w:val="0"/>
          <w:color w:val="auto"/>
          <w:sz w:val="24"/>
          <w:szCs w:val="24"/>
          <w:highlight w:val="none"/>
        </w:rPr>
        <w:t>合同履行期限</w:t>
      </w:r>
      <w:r>
        <w:rPr>
          <w:rFonts w:hint="eastAsia"/>
          <w:color w:val="auto"/>
          <w:sz w:val="24"/>
          <w:highlight w:val="none"/>
        </w:rPr>
        <w:t>，工程质量达到___________。</w:t>
      </w:r>
    </w:p>
    <w:p w14:paraId="5CCDEC14">
      <w:pPr>
        <w:pStyle w:val="36"/>
        <w:numPr>
          <w:ilvl w:val="0"/>
          <w:numId w:val="21"/>
        </w:numPr>
        <w:tabs>
          <w:tab w:val="left" w:pos="1021"/>
        </w:tabs>
        <w:spacing w:before="5"/>
        <w:ind w:left="1020" w:hanging="242"/>
        <w:rPr>
          <w:color w:val="auto"/>
          <w:sz w:val="24"/>
          <w:highlight w:val="none"/>
        </w:rPr>
      </w:pPr>
      <w:r>
        <w:rPr>
          <w:rFonts w:hint="eastAsia"/>
          <w:color w:val="auto"/>
          <w:spacing w:val="-1"/>
          <w:sz w:val="24"/>
          <w:highlight w:val="none"/>
        </w:rPr>
        <w:t>我们完全理解贵方不一定要接受最低的报价为成交单位。</w:t>
      </w:r>
    </w:p>
    <w:p w14:paraId="1042C4A0">
      <w:pPr>
        <w:rPr>
          <w:color w:val="auto"/>
          <w:sz w:val="24"/>
          <w:highlight w:val="none"/>
        </w:rPr>
        <w:sectPr>
          <w:type w:val="continuous"/>
          <w:pgSz w:w="11850" w:h="16790"/>
          <w:pgMar w:top="1600" w:right="1180" w:bottom="920" w:left="1580" w:header="720" w:footer="720" w:gutter="0"/>
          <w:cols w:space="720" w:num="1"/>
        </w:sectPr>
      </w:pPr>
    </w:p>
    <w:p w14:paraId="428B632E">
      <w:pPr>
        <w:pStyle w:val="36"/>
        <w:numPr>
          <w:ilvl w:val="0"/>
          <w:numId w:val="21"/>
        </w:numPr>
        <w:tabs>
          <w:tab w:val="left" w:pos="1179"/>
        </w:tabs>
        <w:spacing w:before="39" w:line="364" w:lineRule="auto"/>
        <w:ind w:right="611" w:firstLine="599"/>
        <w:rPr>
          <w:color w:val="auto"/>
          <w:sz w:val="24"/>
          <w:highlight w:val="none"/>
        </w:rPr>
      </w:pPr>
      <w:r>
        <w:rPr>
          <w:rFonts w:hint="eastAsia"/>
          <w:color w:val="auto"/>
          <w:sz w:val="24"/>
          <w:highlight w:val="none"/>
        </w:rPr>
        <w:t>我们已详细审核全部采购文件及其有效补充文件,完全理解并同意贵</w:t>
      </w:r>
      <w:r>
        <w:rPr>
          <w:rFonts w:hint="eastAsia"/>
          <w:color w:val="auto"/>
          <w:spacing w:val="-4"/>
          <w:sz w:val="24"/>
          <w:highlight w:val="none"/>
        </w:rPr>
        <w:t>方采购文件的各项要求并遵守贵方采购文件中的各项规定。</w:t>
      </w:r>
    </w:p>
    <w:p w14:paraId="7633B03A">
      <w:pPr>
        <w:pStyle w:val="36"/>
        <w:numPr>
          <w:ilvl w:val="0"/>
          <w:numId w:val="21"/>
        </w:numPr>
        <w:tabs>
          <w:tab w:val="left" w:pos="1059"/>
        </w:tabs>
        <w:spacing w:line="306" w:lineRule="exact"/>
        <w:ind w:left="1059" w:hanging="241"/>
        <w:rPr>
          <w:color w:val="auto"/>
          <w:sz w:val="24"/>
          <w:highlight w:val="none"/>
        </w:rPr>
      </w:pPr>
      <w:r>
        <w:rPr>
          <w:rFonts w:hint="eastAsia"/>
          <w:color w:val="auto"/>
          <w:sz w:val="24"/>
          <w:highlight w:val="none"/>
        </w:rPr>
        <w:t>我方同意提供贵方可能另外要求的与谈判有关的任何证据或资料。</w:t>
      </w:r>
    </w:p>
    <w:p w14:paraId="1D5B481A">
      <w:pPr>
        <w:pStyle w:val="36"/>
        <w:numPr>
          <w:ilvl w:val="0"/>
          <w:numId w:val="21"/>
        </w:numPr>
        <w:tabs>
          <w:tab w:val="left" w:pos="1066"/>
        </w:tabs>
        <w:spacing w:before="161"/>
        <w:ind w:left="1065" w:hanging="248"/>
        <w:rPr>
          <w:color w:val="auto"/>
          <w:sz w:val="24"/>
          <w:highlight w:val="none"/>
        </w:rPr>
      </w:pPr>
      <w:r>
        <w:rPr>
          <w:rFonts w:hint="eastAsia"/>
          <w:color w:val="auto"/>
          <w:spacing w:val="4"/>
          <w:sz w:val="24"/>
          <w:highlight w:val="none"/>
        </w:rPr>
        <w:t>一旦我方成交,我们将根据采购文件的规定,严格履行自己的责任和义</w:t>
      </w:r>
    </w:p>
    <w:p w14:paraId="715646DE">
      <w:pPr>
        <w:pStyle w:val="7"/>
        <w:spacing w:before="158"/>
        <w:ind w:left="218"/>
        <w:rPr>
          <w:color w:val="auto"/>
          <w:highlight w:val="none"/>
        </w:rPr>
      </w:pPr>
      <w:r>
        <w:rPr>
          <w:rFonts w:hint="eastAsia"/>
          <w:color w:val="auto"/>
          <w:highlight w:val="none"/>
        </w:rPr>
        <w:t>务。</w:t>
      </w:r>
    </w:p>
    <w:p w14:paraId="163FAA15">
      <w:pPr>
        <w:pStyle w:val="7"/>
        <w:tabs>
          <w:tab w:val="left" w:pos="3979"/>
        </w:tabs>
        <w:spacing w:before="164"/>
        <w:ind w:left="578"/>
        <w:rPr>
          <w:rFonts w:hint="eastAsia"/>
          <w:color w:val="auto"/>
          <w:highlight w:val="none"/>
          <w:u w:val="single"/>
        </w:rPr>
      </w:pPr>
      <w:r>
        <w:rPr>
          <w:rFonts w:hint="eastAsia"/>
          <w:color w:val="auto"/>
          <w:highlight w:val="none"/>
        </w:rPr>
        <w:t>全权代表姓名</w:t>
      </w:r>
      <w:r>
        <w:rPr>
          <w:rFonts w:hint="eastAsia"/>
          <w:color w:val="auto"/>
          <w:sz w:val="28"/>
          <w:highlight w:val="none"/>
          <w:u w:val="single"/>
        </w:rPr>
        <w:t>：</w:t>
      </w:r>
      <w:r>
        <w:rPr>
          <w:rFonts w:hint="eastAsia"/>
          <w:color w:val="auto"/>
          <w:sz w:val="28"/>
          <w:highlight w:val="none"/>
          <w:u w:val="single"/>
        </w:rPr>
        <w:tab/>
      </w:r>
      <w:r>
        <w:rPr>
          <w:rFonts w:hint="eastAsia"/>
          <w:color w:val="auto"/>
          <w:highlight w:val="none"/>
        </w:rPr>
        <w:t>谈判供应商</w:t>
      </w:r>
      <w:r>
        <w:rPr>
          <w:rFonts w:hint="eastAsia"/>
          <w:color w:val="auto"/>
          <w:spacing w:val="-3"/>
          <w:highlight w:val="none"/>
        </w:rPr>
        <w:t>全</w:t>
      </w:r>
      <w:r>
        <w:rPr>
          <w:rFonts w:hint="eastAsia"/>
          <w:color w:val="auto"/>
          <w:highlight w:val="none"/>
        </w:rPr>
        <w:t>称</w:t>
      </w:r>
      <w:r>
        <w:rPr>
          <w:rFonts w:hint="eastAsia"/>
          <w:color w:val="auto"/>
          <w:highlight w:val="none"/>
          <w:u w:val="single"/>
        </w:rPr>
        <w:t>（</w:t>
      </w:r>
      <w:r>
        <w:rPr>
          <w:rFonts w:hint="eastAsia"/>
          <w:color w:val="auto"/>
          <w:highlight w:val="none"/>
          <w:u w:val="single"/>
          <w:lang w:val="en-US" w:eastAsia="zh-CN"/>
        </w:rPr>
        <w:t>电子</w:t>
      </w:r>
      <w:r>
        <w:rPr>
          <w:rFonts w:hint="eastAsia"/>
          <w:color w:val="auto"/>
          <w:highlight w:val="none"/>
          <w:u w:val="single"/>
        </w:rPr>
        <w:t>公章）</w:t>
      </w:r>
    </w:p>
    <w:p w14:paraId="71F97EA6">
      <w:pPr>
        <w:tabs>
          <w:tab w:val="left" w:pos="2601"/>
          <w:tab w:val="left" w:pos="4901"/>
          <w:tab w:val="left" w:pos="7340"/>
          <w:tab w:val="left" w:pos="7787"/>
        </w:tabs>
        <w:spacing w:before="188" w:line="367" w:lineRule="auto"/>
        <w:ind w:left="578" w:right="1299"/>
        <w:rPr>
          <w:rFonts w:hint="eastAsia"/>
          <w:color w:val="auto"/>
          <w:sz w:val="28"/>
          <w:highlight w:val="none"/>
          <w:u w:val="single"/>
        </w:rPr>
      </w:pPr>
      <w:r>
        <w:rPr>
          <w:rFonts w:hint="eastAsia"/>
          <w:color w:val="auto"/>
          <w:sz w:val="24"/>
          <w:highlight w:val="none"/>
        </w:rPr>
        <w:t>供应商单位地址</w:t>
      </w:r>
      <w:r>
        <w:rPr>
          <w:rFonts w:hint="eastAsia"/>
          <w:color w:val="auto"/>
          <w:sz w:val="28"/>
          <w:highlight w:val="none"/>
        </w:rPr>
        <w:t>：</w:t>
      </w:r>
      <w:r>
        <w:rPr>
          <w:rFonts w:hint="eastAsia"/>
          <w:color w:val="auto"/>
          <w:sz w:val="28"/>
          <w:highlight w:val="none"/>
          <w:u w:val="single"/>
        </w:rPr>
        <w:tab/>
      </w:r>
      <w:r>
        <w:rPr>
          <w:rFonts w:hint="eastAsia"/>
          <w:color w:val="auto"/>
          <w:sz w:val="28"/>
          <w:highlight w:val="none"/>
          <w:u w:val="single"/>
        </w:rPr>
        <w:tab/>
      </w:r>
      <w:r>
        <w:rPr>
          <w:rFonts w:hint="eastAsia"/>
          <w:color w:val="auto"/>
          <w:sz w:val="28"/>
          <w:highlight w:val="none"/>
          <w:u w:val="single"/>
        </w:rPr>
        <w:tab/>
      </w:r>
    </w:p>
    <w:p w14:paraId="4ED4811A">
      <w:pPr>
        <w:tabs>
          <w:tab w:val="left" w:pos="2601"/>
          <w:tab w:val="left" w:pos="4901"/>
          <w:tab w:val="left" w:pos="7340"/>
          <w:tab w:val="left" w:pos="7787"/>
        </w:tabs>
        <w:spacing w:before="188" w:line="367" w:lineRule="auto"/>
        <w:ind w:left="578" w:right="1299"/>
        <w:rPr>
          <w:color w:val="auto"/>
          <w:sz w:val="28"/>
          <w:highlight w:val="none"/>
        </w:rPr>
      </w:pPr>
      <w:r>
        <w:rPr>
          <w:rFonts w:hint="eastAsia"/>
          <w:color w:val="auto"/>
          <w:sz w:val="24"/>
          <w:highlight w:val="none"/>
        </w:rPr>
        <w:t>邮编</w:t>
      </w:r>
      <w:r>
        <w:rPr>
          <w:rFonts w:hint="eastAsia"/>
          <w:color w:val="auto"/>
          <w:sz w:val="28"/>
          <w:highlight w:val="none"/>
          <w:u w:val="single"/>
        </w:rPr>
        <w:t>：</w:t>
      </w:r>
      <w:r>
        <w:rPr>
          <w:rFonts w:hint="eastAsia"/>
          <w:color w:val="auto"/>
          <w:sz w:val="28"/>
          <w:highlight w:val="none"/>
          <w:u w:val="single"/>
        </w:rPr>
        <w:tab/>
      </w:r>
      <w:r>
        <w:rPr>
          <w:rFonts w:hint="eastAsia"/>
          <w:color w:val="auto"/>
          <w:spacing w:val="-3"/>
          <w:sz w:val="24"/>
          <w:highlight w:val="none"/>
        </w:rPr>
        <w:t>电</w:t>
      </w:r>
      <w:r>
        <w:rPr>
          <w:rFonts w:hint="eastAsia"/>
          <w:color w:val="auto"/>
          <w:sz w:val="24"/>
          <w:highlight w:val="none"/>
        </w:rPr>
        <w:t>话</w:t>
      </w:r>
      <w:r>
        <w:rPr>
          <w:rFonts w:hint="eastAsia"/>
          <w:color w:val="auto"/>
          <w:sz w:val="28"/>
          <w:highlight w:val="none"/>
          <w:u w:val="single"/>
        </w:rPr>
        <w:t>：</w:t>
      </w:r>
      <w:r>
        <w:rPr>
          <w:rFonts w:hint="eastAsia"/>
          <w:color w:val="auto"/>
          <w:sz w:val="28"/>
          <w:highlight w:val="none"/>
          <w:u w:val="single"/>
        </w:rPr>
        <w:tab/>
      </w:r>
      <w:r>
        <w:rPr>
          <w:rFonts w:hint="eastAsia"/>
          <w:color w:val="auto"/>
          <w:spacing w:val="-3"/>
          <w:sz w:val="24"/>
          <w:highlight w:val="none"/>
        </w:rPr>
        <w:t>传</w:t>
      </w:r>
      <w:r>
        <w:rPr>
          <w:rFonts w:hint="eastAsia"/>
          <w:color w:val="auto"/>
          <w:sz w:val="24"/>
          <w:highlight w:val="none"/>
        </w:rPr>
        <w:t>真</w:t>
      </w:r>
      <w:r>
        <w:rPr>
          <w:rFonts w:hint="eastAsia"/>
          <w:color w:val="auto"/>
          <w:sz w:val="28"/>
          <w:highlight w:val="none"/>
          <w:u w:val="single"/>
        </w:rPr>
        <w:t>：</w:t>
      </w:r>
      <w:r>
        <w:rPr>
          <w:rFonts w:hint="eastAsia"/>
          <w:color w:val="auto"/>
          <w:sz w:val="28"/>
          <w:highlight w:val="none"/>
          <w:u w:val="single"/>
        </w:rPr>
        <w:tab/>
      </w:r>
    </w:p>
    <w:p w14:paraId="044A4C6D">
      <w:pPr>
        <w:pStyle w:val="7"/>
        <w:rPr>
          <w:color w:val="auto"/>
          <w:sz w:val="20"/>
          <w:highlight w:val="none"/>
        </w:rPr>
      </w:pPr>
    </w:p>
    <w:p w14:paraId="30DAF358">
      <w:pPr>
        <w:pStyle w:val="7"/>
        <w:rPr>
          <w:color w:val="auto"/>
          <w:sz w:val="20"/>
          <w:highlight w:val="none"/>
        </w:rPr>
      </w:pPr>
    </w:p>
    <w:p w14:paraId="198AF8A2">
      <w:pPr>
        <w:pStyle w:val="7"/>
        <w:rPr>
          <w:color w:val="auto"/>
          <w:sz w:val="20"/>
          <w:highlight w:val="none"/>
        </w:rPr>
      </w:pPr>
    </w:p>
    <w:p w14:paraId="7EEF0E6F">
      <w:pPr>
        <w:pStyle w:val="7"/>
        <w:rPr>
          <w:color w:val="auto"/>
          <w:sz w:val="20"/>
          <w:highlight w:val="none"/>
        </w:rPr>
      </w:pPr>
    </w:p>
    <w:p w14:paraId="33EAB068">
      <w:pPr>
        <w:pStyle w:val="7"/>
        <w:rPr>
          <w:color w:val="auto"/>
          <w:sz w:val="20"/>
          <w:highlight w:val="none"/>
        </w:rPr>
      </w:pPr>
    </w:p>
    <w:p w14:paraId="6098918C">
      <w:pPr>
        <w:pStyle w:val="7"/>
        <w:spacing w:before="5"/>
        <w:rPr>
          <w:color w:val="auto"/>
          <w:sz w:val="23"/>
          <w:highlight w:val="none"/>
        </w:rPr>
      </w:pPr>
    </w:p>
    <w:p w14:paraId="54511EA5">
      <w:pPr>
        <w:pStyle w:val="7"/>
        <w:tabs>
          <w:tab w:val="left" w:pos="5822"/>
          <w:tab w:val="left" w:pos="6622"/>
          <w:tab w:val="left" w:pos="7421"/>
        </w:tabs>
        <w:spacing w:before="67"/>
        <w:ind w:left="5261"/>
        <w:rPr>
          <w:color w:val="auto"/>
          <w:highlight w:val="none"/>
        </w:rPr>
      </w:pPr>
      <w:r>
        <w:rPr>
          <w:rFonts w:hint="eastAsia"/>
          <w:color w:val="auto"/>
          <w:highlight w:val="none"/>
          <w:u w:val="single"/>
        </w:rPr>
        <w:tab/>
      </w:r>
      <w:r>
        <w:rPr>
          <w:rFonts w:hint="eastAsia"/>
          <w:color w:val="auto"/>
          <w:spacing w:val="-3"/>
          <w:highlight w:val="none"/>
        </w:rPr>
        <w:t>年</w:t>
      </w:r>
      <w:r>
        <w:rPr>
          <w:rFonts w:hint="eastAsia"/>
          <w:color w:val="auto"/>
          <w:spacing w:val="-3"/>
          <w:highlight w:val="none"/>
          <w:u w:val="single"/>
        </w:rPr>
        <w:tab/>
      </w:r>
      <w:r>
        <w:rPr>
          <w:rFonts w:hint="eastAsia"/>
          <w:color w:val="auto"/>
          <w:highlight w:val="none"/>
        </w:rPr>
        <w:t>月</w:t>
      </w:r>
      <w:r>
        <w:rPr>
          <w:rFonts w:hint="eastAsia"/>
          <w:color w:val="auto"/>
          <w:highlight w:val="none"/>
          <w:u w:val="single"/>
        </w:rPr>
        <w:tab/>
      </w:r>
      <w:r>
        <w:rPr>
          <w:rFonts w:hint="eastAsia"/>
          <w:color w:val="auto"/>
          <w:highlight w:val="none"/>
        </w:rPr>
        <w:t>日</w:t>
      </w:r>
    </w:p>
    <w:p w14:paraId="453E5EF8">
      <w:pPr>
        <w:rPr>
          <w:color w:val="auto"/>
          <w:highlight w:val="none"/>
        </w:rPr>
        <w:sectPr>
          <w:pgSz w:w="11850" w:h="16790"/>
          <w:pgMar w:top="1400" w:right="1180" w:bottom="920" w:left="1580" w:header="0" w:footer="721" w:gutter="0"/>
          <w:cols w:space="720" w:num="1"/>
        </w:sectPr>
      </w:pPr>
    </w:p>
    <w:p w14:paraId="52C401D1">
      <w:pPr>
        <w:pStyle w:val="7"/>
        <w:spacing w:before="1"/>
        <w:rPr>
          <w:color w:val="auto"/>
          <w:sz w:val="25"/>
          <w:highlight w:val="none"/>
        </w:rPr>
      </w:pPr>
    </w:p>
    <w:p w14:paraId="03E0DCFE">
      <w:pPr>
        <w:rPr>
          <w:color w:val="auto"/>
          <w:sz w:val="25"/>
          <w:highlight w:val="none"/>
        </w:rPr>
        <w:sectPr>
          <w:pgSz w:w="11850" w:h="16790"/>
          <w:pgMar w:top="1600" w:right="1180" w:bottom="920" w:left="1580" w:header="0" w:footer="721" w:gutter="0"/>
          <w:cols w:space="720" w:num="1"/>
        </w:sectPr>
      </w:pPr>
    </w:p>
    <w:p w14:paraId="5AE1C550">
      <w:pPr>
        <w:spacing w:before="61"/>
        <w:ind w:left="218"/>
        <w:rPr>
          <w:b/>
          <w:color w:val="auto"/>
          <w:sz w:val="28"/>
          <w:highlight w:val="none"/>
        </w:rPr>
      </w:pPr>
      <w:r>
        <w:rPr>
          <w:rFonts w:hint="eastAsia"/>
          <w:b/>
          <w:color w:val="auto"/>
          <w:sz w:val="28"/>
          <w:highlight w:val="none"/>
        </w:rPr>
        <w:t>附件二：</w:t>
      </w:r>
    </w:p>
    <w:p w14:paraId="0CAA14DC">
      <w:pPr>
        <w:pStyle w:val="7"/>
        <w:spacing w:before="4"/>
        <w:rPr>
          <w:b/>
          <w:color w:val="auto"/>
          <w:sz w:val="47"/>
          <w:highlight w:val="none"/>
        </w:rPr>
      </w:pPr>
      <w:r>
        <w:rPr>
          <w:rFonts w:hint="eastAsia"/>
          <w:color w:val="auto"/>
          <w:highlight w:val="none"/>
        </w:rPr>
        <w:br w:type="column"/>
      </w:r>
    </w:p>
    <w:p w14:paraId="44368DCD">
      <w:pPr>
        <w:spacing w:before="1"/>
        <w:ind w:left="218"/>
        <w:rPr>
          <w:b/>
          <w:color w:val="auto"/>
          <w:sz w:val="32"/>
          <w:highlight w:val="none"/>
        </w:rPr>
      </w:pPr>
      <w:r>
        <w:rPr>
          <w:rFonts w:hint="eastAsia"/>
          <w:b/>
          <w:color w:val="auto"/>
          <w:sz w:val="32"/>
          <w:highlight w:val="none"/>
        </w:rPr>
        <w:t>谈判价格一览表</w:t>
      </w:r>
    </w:p>
    <w:p w14:paraId="5C8453E8">
      <w:pPr>
        <w:rPr>
          <w:color w:val="auto"/>
          <w:sz w:val="32"/>
          <w:highlight w:val="none"/>
        </w:rPr>
        <w:sectPr>
          <w:type w:val="continuous"/>
          <w:pgSz w:w="11850" w:h="16790"/>
          <w:pgMar w:top="1600" w:right="1180" w:bottom="920" w:left="1580" w:header="720" w:footer="720" w:gutter="0"/>
          <w:cols w:equalWidth="0" w:num="2">
            <w:col w:w="1384" w:space="1619"/>
            <w:col w:w="6087"/>
          </w:cols>
        </w:sectPr>
      </w:pPr>
    </w:p>
    <w:p w14:paraId="341A2CE1">
      <w:pPr>
        <w:pStyle w:val="7"/>
        <w:rPr>
          <w:b/>
          <w:color w:val="auto"/>
          <w:sz w:val="20"/>
          <w:highlight w:val="none"/>
        </w:rPr>
      </w:pPr>
    </w:p>
    <w:p w14:paraId="0A085C05">
      <w:pPr>
        <w:pStyle w:val="7"/>
        <w:spacing w:before="6"/>
        <w:rPr>
          <w:b/>
          <w:color w:val="auto"/>
          <w:highlight w:val="none"/>
        </w:rPr>
      </w:pPr>
    </w:p>
    <w:tbl>
      <w:tblPr>
        <w:tblStyle w:val="18"/>
        <w:tblW w:w="8865"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596"/>
        <w:gridCol w:w="5860"/>
        <w:gridCol w:w="1409"/>
      </w:tblGrid>
      <w:tr w14:paraId="6C1E8A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4" w:hRule="atLeast"/>
        </w:trPr>
        <w:tc>
          <w:tcPr>
            <w:tcW w:w="1596" w:type="dxa"/>
          </w:tcPr>
          <w:p w14:paraId="3EEDF7EA">
            <w:pPr>
              <w:pStyle w:val="37"/>
              <w:spacing w:before="19"/>
              <w:ind w:left="7"/>
              <w:jc w:val="center"/>
              <w:rPr>
                <w:color w:val="auto"/>
                <w:sz w:val="24"/>
                <w:highlight w:val="none"/>
              </w:rPr>
            </w:pPr>
            <w:r>
              <w:rPr>
                <w:rFonts w:hint="eastAsia"/>
                <w:color w:val="auto"/>
                <w:sz w:val="24"/>
                <w:highlight w:val="none"/>
              </w:rPr>
              <w:t>项目名称</w:t>
            </w:r>
          </w:p>
        </w:tc>
        <w:tc>
          <w:tcPr>
            <w:tcW w:w="5860" w:type="dxa"/>
          </w:tcPr>
          <w:p w14:paraId="4AA16CE4">
            <w:pPr>
              <w:pStyle w:val="37"/>
              <w:rPr>
                <w:color w:val="auto"/>
                <w:sz w:val="24"/>
                <w:highlight w:val="none"/>
              </w:rPr>
            </w:pPr>
          </w:p>
        </w:tc>
        <w:tc>
          <w:tcPr>
            <w:tcW w:w="1409" w:type="dxa"/>
          </w:tcPr>
          <w:p w14:paraId="6C336C81">
            <w:pPr>
              <w:pStyle w:val="37"/>
              <w:spacing w:before="19"/>
              <w:ind w:left="462"/>
              <w:rPr>
                <w:color w:val="auto"/>
                <w:sz w:val="24"/>
                <w:highlight w:val="none"/>
              </w:rPr>
            </w:pPr>
            <w:r>
              <w:rPr>
                <w:rFonts w:hint="eastAsia"/>
                <w:color w:val="auto"/>
                <w:sz w:val="24"/>
                <w:highlight w:val="none"/>
              </w:rPr>
              <w:t>工期</w:t>
            </w:r>
          </w:p>
        </w:tc>
      </w:tr>
      <w:tr w14:paraId="5FCF2A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77" w:hRule="atLeast"/>
        </w:trPr>
        <w:tc>
          <w:tcPr>
            <w:tcW w:w="1596" w:type="dxa"/>
          </w:tcPr>
          <w:p w14:paraId="2155A67F">
            <w:pPr>
              <w:pStyle w:val="37"/>
              <w:tabs>
                <w:tab w:val="left" w:pos="726"/>
              </w:tabs>
              <w:spacing w:before="19"/>
              <w:ind w:left="7"/>
              <w:jc w:val="center"/>
              <w:rPr>
                <w:color w:val="auto"/>
                <w:sz w:val="24"/>
                <w:highlight w:val="none"/>
              </w:rPr>
            </w:pPr>
            <w:r>
              <w:rPr>
                <w:rFonts w:hint="eastAsia"/>
                <w:color w:val="auto"/>
                <w:sz w:val="24"/>
                <w:highlight w:val="none"/>
              </w:rPr>
              <w:t>报</w:t>
            </w:r>
            <w:r>
              <w:rPr>
                <w:rFonts w:hint="eastAsia"/>
                <w:color w:val="auto"/>
                <w:sz w:val="24"/>
                <w:highlight w:val="none"/>
              </w:rPr>
              <w:tab/>
            </w:r>
            <w:r>
              <w:rPr>
                <w:rFonts w:hint="eastAsia"/>
                <w:color w:val="auto"/>
                <w:sz w:val="24"/>
                <w:highlight w:val="none"/>
              </w:rPr>
              <w:t>价</w:t>
            </w:r>
          </w:p>
        </w:tc>
        <w:tc>
          <w:tcPr>
            <w:tcW w:w="5860" w:type="dxa"/>
          </w:tcPr>
          <w:p w14:paraId="7F978E99">
            <w:pPr>
              <w:pStyle w:val="37"/>
              <w:tabs>
                <w:tab w:val="left" w:pos="5816"/>
              </w:tabs>
              <w:spacing w:line="357" w:lineRule="exact"/>
              <w:ind w:left="389"/>
              <w:rPr>
                <w:color w:val="auto"/>
                <w:sz w:val="28"/>
                <w:highlight w:val="none"/>
              </w:rPr>
            </w:pPr>
            <w:r>
              <w:rPr>
                <w:rFonts w:hint="eastAsia"/>
                <w:color w:val="auto"/>
                <w:sz w:val="28"/>
                <w:highlight w:val="none"/>
              </w:rPr>
              <w:t xml:space="preserve">¥ </w:t>
            </w:r>
            <w:r>
              <w:rPr>
                <w:rFonts w:hint="eastAsia"/>
                <w:color w:val="auto"/>
                <w:sz w:val="28"/>
                <w:highlight w:val="none"/>
                <w:u w:val="single"/>
              </w:rPr>
              <w:tab/>
            </w:r>
          </w:p>
          <w:p w14:paraId="37C6794E">
            <w:pPr>
              <w:pStyle w:val="37"/>
              <w:tabs>
                <w:tab w:val="left" w:pos="2071"/>
                <w:tab w:val="left" w:pos="2589"/>
                <w:tab w:val="left" w:pos="3111"/>
                <w:tab w:val="left" w:pos="3631"/>
                <w:tab w:val="left" w:pos="4150"/>
                <w:tab w:val="left" w:pos="4668"/>
                <w:tab w:val="left" w:pos="5192"/>
              </w:tabs>
              <w:spacing w:before="187"/>
              <w:ind w:left="107"/>
              <w:rPr>
                <w:color w:val="auto"/>
                <w:sz w:val="24"/>
                <w:highlight w:val="none"/>
              </w:rPr>
            </w:pPr>
            <w:r>
              <w:rPr>
                <w:rFonts w:hint="eastAsia"/>
                <w:color w:val="auto"/>
                <w:sz w:val="24"/>
                <w:highlight w:val="none"/>
              </w:rPr>
              <w:t>（大写）人民币</w:t>
            </w:r>
            <w:r>
              <w:rPr>
                <w:rFonts w:hint="eastAsia"/>
                <w:color w:val="auto"/>
                <w:sz w:val="24"/>
                <w:highlight w:val="none"/>
                <w:u w:val="single"/>
              </w:rPr>
              <w:tab/>
            </w:r>
            <w:r>
              <w:rPr>
                <w:rFonts w:hint="eastAsia"/>
                <w:color w:val="auto"/>
                <w:spacing w:val="-3"/>
                <w:sz w:val="24"/>
                <w:highlight w:val="none"/>
              </w:rPr>
              <w:t>佰</w:t>
            </w:r>
            <w:r>
              <w:rPr>
                <w:rFonts w:hint="eastAsia"/>
                <w:color w:val="auto"/>
                <w:spacing w:val="-3"/>
                <w:sz w:val="24"/>
                <w:highlight w:val="none"/>
                <w:u w:val="single"/>
              </w:rPr>
              <w:tab/>
            </w:r>
            <w:r>
              <w:rPr>
                <w:rFonts w:hint="eastAsia"/>
                <w:color w:val="auto"/>
                <w:sz w:val="24"/>
                <w:highlight w:val="none"/>
              </w:rPr>
              <w:t>拾</w:t>
            </w:r>
            <w:r>
              <w:rPr>
                <w:rFonts w:hint="eastAsia"/>
                <w:color w:val="auto"/>
                <w:sz w:val="24"/>
                <w:highlight w:val="none"/>
                <w:u w:val="single"/>
              </w:rPr>
              <w:tab/>
            </w:r>
            <w:r>
              <w:rPr>
                <w:rFonts w:hint="eastAsia"/>
                <w:color w:val="auto"/>
                <w:spacing w:val="-3"/>
                <w:sz w:val="24"/>
                <w:highlight w:val="none"/>
              </w:rPr>
              <w:t>万</w:t>
            </w:r>
            <w:r>
              <w:rPr>
                <w:rFonts w:hint="eastAsia"/>
                <w:color w:val="auto"/>
                <w:spacing w:val="-3"/>
                <w:sz w:val="24"/>
                <w:highlight w:val="none"/>
                <w:u w:val="single"/>
              </w:rPr>
              <w:tab/>
            </w:r>
            <w:r>
              <w:rPr>
                <w:rFonts w:hint="eastAsia"/>
                <w:color w:val="auto"/>
                <w:spacing w:val="-3"/>
                <w:sz w:val="24"/>
                <w:highlight w:val="none"/>
              </w:rPr>
              <w:t>仟</w:t>
            </w:r>
            <w:r>
              <w:rPr>
                <w:rFonts w:hint="eastAsia"/>
                <w:color w:val="auto"/>
                <w:spacing w:val="-3"/>
                <w:sz w:val="24"/>
                <w:highlight w:val="none"/>
                <w:u w:val="single"/>
              </w:rPr>
              <w:tab/>
            </w:r>
            <w:r>
              <w:rPr>
                <w:rFonts w:hint="eastAsia"/>
                <w:color w:val="auto"/>
                <w:sz w:val="24"/>
                <w:highlight w:val="none"/>
              </w:rPr>
              <w:t>佰</w:t>
            </w:r>
            <w:r>
              <w:rPr>
                <w:rFonts w:hint="eastAsia"/>
                <w:color w:val="auto"/>
                <w:sz w:val="24"/>
                <w:highlight w:val="none"/>
                <w:u w:val="single"/>
              </w:rPr>
              <w:tab/>
            </w:r>
            <w:r>
              <w:rPr>
                <w:rFonts w:hint="eastAsia"/>
                <w:color w:val="auto"/>
                <w:sz w:val="24"/>
                <w:highlight w:val="none"/>
              </w:rPr>
              <w:t>拾</w:t>
            </w:r>
            <w:r>
              <w:rPr>
                <w:rFonts w:hint="eastAsia"/>
                <w:color w:val="auto"/>
                <w:sz w:val="24"/>
                <w:highlight w:val="none"/>
                <w:u w:val="single"/>
              </w:rPr>
              <w:tab/>
            </w:r>
            <w:r>
              <w:rPr>
                <w:rFonts w:hint="eastAsia"/>
                <w:color w:val="auto"/>
                <w:sz w:val="24"/>
                <w:highlight w:val="none"/>
              </w:rPr>
              <w:t>元整</w:t>
            </w:r>
          </w:p>
        </w:tc>
        <w:tc>
          <w:tcPr>
            <w:tcW w:w="1409" w:type="dxa"/>
          </w:tcPr>
          <w:p w14:paraId="1F5AFC82">
            <w:pPr>
              <w:pStyle w:val="37"/>
              <w:rPr>
                <w:color w:val="auto"/>
                <w:sz w:val="24"/>
                <w:highlight w:val="none"/>
              </w:rPr>
            </w:pPr>
          </w:p>
        </w:tc>
      </w:tr>
      <w:tr w14:paraId="535ACC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35D21000">
            <w:pPr>
              <w:pStyle w:val="37"/>
              <w:spacing w:before="17"/>
              <w:ind w:left="9"/>
              <w:jc w:val="center"/>
              <w:rPr>
                <w:color w:val="auto"/>
                <w:sz w:val="28"/>
                <w:highlight w:val="none"/>
              </w:rPr>
            </w:pPr>
          </w:p>
        </w:tc>
        <w:tc>
          <w:tcPr>
            <w:tcW w:w="5860" w:type="dxa"/>
          </w:tcPr>
          <w:p w14:paraId="45DA1939">
            <w:pPr>
              <w:pStyle w:val="37"/>
              <w:spacing w:before="17"/>
              <w:ind w:left="9"/>
              <w:jc w:val="center"/>
              <w:rPr>
                <w:color w:val="auto"/>
                <w:sz w:val="28"/>
                <w:highlight w:val="none"/>
              </w:rPr>
            </w:pPr>
          </w:p>
        </w:tc>
        <w:tc>
          <w:tcPr>
            <w:tcW w:w="1409" w:type="dxa"/>
          </w:tcPr>
          <w:p w14:paraId="50E87EAA">
            <w:pPr>
              <w:pStyle w:val="37"/>
              <w:rPr>
                <w:color w:val="auto"/>
                <w:sz w:val="24"/>
                <w:highlight w:val="none"/>
              </w:rPr>
            </w:pPr>
          </w:p>
        </w:tc>
      </w:tr>
      <w:tr w14:paraId="1868098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686D235E">
            <w:pPr>
              <w:pStyle w:val="37"/>
              <w:rPr>
                <w:color w:val="auto"/>
                <w:sz w:val="24"/>
                <w:highlight w:val="none"/>
              </w:rPr>
            </w:pPr>
          </w:p>
        </w:tc>
        <w:tc>
          <w:tcPr>
            <w:tcW w:w="5860" w:type="dxa"/>
          </w:tcPr>
          <w:p w14:paraId="1B0D50BF">
            <w:pPr>
              <w:pStyle w:val="37"/>
              <w:rPr>
                <w:color w:val="auto"/>
                <w:sz w:val="24"/>
                <w:highlight w:val="none"/>
              </w:rPr>
            </w:pPr>
          </w:p>
        </w:tc>
        <w:tc>
          <w:tcPr>
            <w:tcW w:w="1409" w:type="dxa"/>
          </w:tcPr>
          <w:p w14:paraId="1765B128">
            <w:pPr>
              <w:pStyle w:val="37"/>
              <w:rPr>
                <w:color w:val="auto"/>
                <w:sz w:val="24"/>
                <w:highlight w:val="none"/>
              </w:rPr>
            </w:pPr>
          </w:p>
        </w:tc>
      </w:tr>
      <w:tr w14:paraId="27BC998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0F390CAF">
            <w:pPr>
              <w:pStyle w:val="37"/>
              <w:rPr>
                <w:color w:val="auto"/>
                <w:sz w:val="24"/>
                <w:highlight w:val="none"/>
              </w:rPr>
            </w:pPr>
          </w:p>
        </w:tc>
        <w:tc>
          <w:tcPr>
            <w:tcW w:w="5860" w:type="dxa"/>
          </w:tcPr>
          <w:p w14:paraId="112651F2">
            <w:pPr>
              <w:pStyle w:val="37"/>
              <w:rPr>
                <w:color w:val="auto"/>
                <w:sz w:val="24"/>
                <w:highlight w:val="none"/>
              </w:rPr>
            </w:pPr>
          </w:p>
        </w:tc>
        <w:tc>
          <w:tcPr>
            <w:tcW w:w="1409" w:type="dxa"/>
          </w:tcPr>
          <w:p w14:paraId="26B2AA33">
            <w:pPr>
              <w:pStyle w:val="37"/>
              <w:rPr>
                <w:color w:val="auto"/>
                <w:sz w:val="24"/>
                <w:highlight w:val="none"/>
              </w:rPr>
            </w:pPr>
          </w:p>
        </w:tc>
      </w:tr>
      <w:tr w14:paraId="3ACA220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59AB2468">
            <w:pPr>
              <w:pStyle w:val="37"/>
              <w:rPr>
                <w:color w:val="auto"/>
                <w:sz w:val="24"/>
                <w:highlight w:val="none"/>
              </w:rPr>
            </w:pPr>
          </w:p>
        </w:tc>
        <w:tc>
          <w:tcPr>
            <w:tcW w:w="5860" w:type="dxa"/>
          </w:tcPr>
          <w:p w14:paraId="0EE3AA78">
            <w:pPr>
              <w:pStyle w:val="37"/>
              <w:rPr>
                <w:color w:val="auto"/>
                <w:sz w:val="24"/>
                <w:highlight w:val="none"/>
              </w:rPr>
            </w:pPr>
          </w:p>
        </w:tc>
        <w:tc>
          <w:tcPr>
            <w:tcW w:w="1409" w:type="dxa"/>
          </w:tcPr>
          <w:p w14:paraId="5A60BAD1">
            <w:pPr>
              <w:pStyle w:val="37"/>
              <w:rPr>
                <w:color w:val="auto"/>
                <w:sz w:val="24"/>
                <w:highlight w:val="none"/>
              </w:rPr>
            </w:pPr>
          </w:p>
        </w:tc>
      </w:tr>
      <w:tr w14:paraId="5C3B6E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2261B74C">
            <w:pPr>
              <w:pStyle w:val="37"/>
              <w:rPr>
                <w:color w:val="auto"/>
                <w:sz w:val="24"/>
                <w:highlight w:val="none"/>
              </w:rPr>
            </w:pPr>
          </w:p>
        </w:tc>
        <w:tc>
          <w:tcPr>
            <w:tcW w:w="5860" w:type="dxa"/>
          </w:tcPr>
          <w:p w14:paraId="040B2191">
            <w:pPr>
              <w:pStyle w:val="37"/>
              <w:rPr>
                <w:color w:val="auto"/>
                <w:sz w:val="24"/>
                <w:highlight w:val="none"/>
              </w:rPr>
            </w:pPr>
          </w:p>
        </w:tc>
        <w:tc>
          <w:tcPr>
            <w:tcW w:w="1409" w:type="dxa"/>
          </w:tcPr>
          <w:p w14:paraId="339CE873">
            <w:pPr>
              <w:pStyle w:val="37"/>
              <w:rPr>
                <w:color w:val="auto"/>
                <w:sz w:val="24"/>
                <w:highlight w:val="none"/>
              </w:rPr>
            </w:pPr>
          </w:p>
        </w:tc>
      </w:tr>
      <w:tr w14:paraId="67D64A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3" w:hRule="atLeast"/>
        </w:trPr>
        <w:tc>
          <w:tcPr>
            <w:tcW w:w="1596" w:type="dxa"/>
          </w:tcPr>
          <w:p w14:paraId="205D85D8">
            <w:pPr>
              <w:pStyle w:val="37"/>
              <w:rPr>
                <w:color w:val="auto"/>
                <w:sz w:val="24"/>
                <w:highlight w:val="none"/>
              </w:rPr>
            </w:pPr>
          </w:p>
        </w:tc>
        <w:tc>
          <w:tcPr>
            <w:tcW w:w="5860" w:type="dxa"/>
          </w:tcPr>
          <w:p w14:paraId="531B042F">
            <w:pPr>
              <w:pStyle w:val="37"/>
              <w:rPr>
                <w:color w:val="auto"/>
                <w:sz w:val="24"/>
                <w:highlight w:val="none"/>
              </w:rPr>
            </w:pPr>
          </w:p>
        </w:tc>
        <w:tc>
          <w:tcPr>
            <w:tcW w:w="1409" w:type="dxa"/>
          </w:tcPr>
          <w:p w14:paraId="76787FE1">
            <w:pPr>
              <w:pStyle w:val="37"/>
              <w:rPr>
                <w:color w:val="auto"/>
                <w:sz w:val="24"/>
                <w:highlight w:val="none"/>
              </w:rPr>
            </w:pPr>
          </w:p>
        </w:tc>
      </w:tr>
    </w:tbl>
    <w:p w14:paraId="02DB56D6">
      <w:pPr>
        <w:pStyle w:val="7"/>
        <w:rPr>
          <w:b/>
          <w:color w:val="auto"/>
          <w:sz w:val="20"/>
          <w:highlight w:val="none"/>
        </w:rPr>
      </w:pPr>
    </w:p>
    <w:p w14:paraId="2C42E4A9">
      <w:pPr>
        <w:pStyle w:val="7"/>
        <w:spacing w:before="4"/>
        <w:rPr>
          <w:b/>
          <w:color w:val="auto"/>
          <w:sz w:val="20"/>
          <w:highlight w:val="none"/>
        </w:rPr>
      </w:pPr>
    </w:p>
    <w:p w14:paraId="6E6892D4">
      <w:pPr>
        <w:pStyle w:val="7"/>
        <w:tabs>
          <w:tab w:val="left" w:pos="5198"/>
        </w:tabs>
        <w:spacing w:before="66" w:line="417" w:lineRule="auto"/>
        <w:ind w:left="698" w:right="1727" w:hanging="58"/>
        <w:rPr>
          <w:rFonts w:hint="eastAsia"/>
          <w:color w:val="auto"/>
          <w:highlight w:val="none"/>
        </w:rPr>
      </w:pPr>
      <w:r>
        <w:rPr>
          <w:rFonts w:hint="eastAsia"/>
          <w:color w:val="auto"/>
          <w:highlight w:val="none"/>
        </w:rPr>
        <w:t>谈判供应商全称</w:t>
      </w:r>
      <w:r>
        <w:rPr>
          <w:rFonts w:hint="eastAsia"/>
          <w:color w:val="auto"/>
          <w:spacing w:val="-3"/>
          <w:highlight w:val="none"/>
        </w:rPr>
        <w:t>（</w:t>
      </w:r>
      <w:r>
        <w:rPr>
          <w:rFonts w:hint="eastAsia"/>
          <w:color w:val="auto"/>
          <w:highlight w:val="none"/>
          <w:u w:val="single"/>
          <w:lang w:val="en-US" w:eastAsia="zh-CN"/>
        </w:rPr>
        <w:t>电子</w:t>
      </w:r>
      <w:r>
        <w:rPr>
          <w:rFonts w:hint="eastAsia"/>
          <w:color w:val="auto"/>
          <w:highlight w:val="none"/>
          <w:u w:val="single"/>
        </w:rPr>
        <w:t>公章</w:t>
      </w:r>
      <w:r>
        <w:rPr>
          <w:rFonts w:hint="eastAsia"/>
          <w:color w:val="auto"/>
          <w:highlight w:val="none"/>
        </w:rPr>
        <w:t>）：</w:t>
      </w:r>
    </w:p>
    <w:p w14:paraId="367C3BEA">
      <w:pPr>
        <w:pStyle w:val="7"/>
        <w:tabs>
          <w:tab w:val="left" w:pos="5198"/>
        </w:tabs>
        <w:spacing w:before="66" w:line="417" w:lineRule="auto"/>
        <w:ind w:left="698" w:right="1727" w:hanging="58"/>
        <w:rPr>
          <w:rFonts w:hint="eastAsia"/>
          <w:color w:val="auto"/>
          <w:spacing w:val="-9"/>
          <w:highlight w:val="none"/>
        </w:rPr>
      </w:pPr>
      <w:r>
        <w:rPr>
          <w:rFonts w:hint="eastAsia"/>
          <w:color w:val="auto"/>
          <w:highlight w:val="none"/>
        </w:rPr>
        <w:t>被授权人和法人：（签字</w:t>
      </w:r>
      <w:r>
        <w:rPr>
          <w:rFonts w:hint="eastAsia"/>
          <w:color w:val="auto"/>
          <w:spacing w:val="-9"/>
          <w:highlight w:val="none"/>
        </w:rPr>
        <w:t>）：</w:t>
      </w:r>
    </w:p>
    <w:p w14:paraId="3D64C8C9">
      <w:pPr>
        <w:pStyle w:val="7"/>
        <w:tabs>
          <w:tab w:val="left" w:pos="5198"/>
        </w:tabs>
        <w:spacing w:before="66" w:line="417" w:lineRule="auto"/>
        <w:ind w:left="698" w:right="1727" w:hanging="58"/>
        <w:rPr>
          <w:color w:val="auto"/>
          <w:highlight w:val="none"/>
        </w:rPr>
      </w:pPr>
      <w:r>
        <w:rPr>
          <w:rFonts w:hint="eastAsia"/>
          <w:color w:val="auto"/>
          <w:highlight w:val="none"/>
        </w:rPr>
        <w:t>1、报价总计包括本项目交付使用前的全部费用；</w:t>
      </w:r>
    </w:p>
    <w:p w14:paraId="40FCB700">
      <w:pPr>
        <w:pStyle w:val="7"/>
        <w:spacing w:line="305" w:lineRule="exact"/>
        <w:ind w:left="779"/>
        <w:rPr>
          <w:color w:val="auto"/>
          <w:highlight w:val="none"/>
        </w:rPr>
      </w:pPr>
      <w:r>
        <w:rPr>
          <w:rFonts w:hint="eastAsia"/>
          <w:color w:val="auto"/>
          <w:highlight w:val="none"/>
        </w:rPr>
        <w:t>2、</w:t>
      </w:r>
      <w:r>
        <w:rPr>
          <w:rFonts w:hint="eastAsia"/>
          <w:color w:val="auto"/>
          <w:highlight w:val="none"/>
          <w:u w:val="single"/>
        </w:rPr>
        <w:t>谈判价格一览表格式不得自行改动</w:t>
      </w:r>
      <w:r>
        <w:rPr>
          <w:rFonts w:hint="eastAsia"/>
          <w:color w:val="auto"/>
          <w:highlight w:val="none"/>
        </w:rPr>
        <w:t>；</w:t>
      </w:r>
    </w:p>
    <w:p w14:paraId="14ADF76E">
      <w:pPr>
        <w:spacing w:line="305" w:lineRule="exact"/>
        <w:rPr>
          <w:color w:val="auto"/>
          <w:highlight w:val="none"/>
        </w:rPr>
        <w:sectPr>
          <w:type w:val="continuous"/>
          <w:pgSz w:w="11850" w:h="16790"/>
          <w:pgMar w:top="1600" w:right="1180" w:bottom="920" w:left="1580" w:header="720" w:footer="720" w:gutter="0"/>
          <w:cols w:space="720" w:num="1"/>
        </w:sectPr>
      </w:pPr>
    </w:p>
    <w:p w14:paraId="773B0A63">
      <w:pPr>
        <w:spacing w:before="38"/>
        <w:ind w:left="218"/>
        <w:rPr>
          <w:b/>
          <w:color w:val="auto"/>
          <w:sz w:val="28"/>
          <w:highlight w:val="none"/>
        </w:rPr>
      </w:pPr>
      <w:r>
        <w:rPr>
          <w:rFonts w:hint="eastAsia"/>
          <w:b/>
          <w:color w:val="auto"/>
          <w:sz w:val="28"/>
          <w:highlight w:val="none"/>
        </w:rPr>
        <w:t>附件三：</w:t>
      </w:r>
    </w:p>
    <w:p w14:paraId="4D7FF0FF">
      <w:pPr>
        <w:pStyle w:val="7"/>
        <w:rPr>
          <w:b/>
          <w:color w:val="auto"/>
          <w:sz w:val="20"/>
          <w:highlight w:val="none"/>
        </w:rPr>
      </w:pPr>
    </w:p>
    <w:p w14:paraId="29CDBD51">
      <w:pPr>
        <w:pStyle w:val="7"/>
        <w:rPr>
          <w:b/>
          <w:color w:val="auto"/>
          <w:sz w:val="20"/>
          <w:highlight w:val="none"/>
        </w:rPr>
      </w:pPr>
    </w:p>
    <w:p w14:paraId="05E722FB">
      <w:pPr>
        <w:pStyle w:val="7"/>
        <w:spacing w:before="8"/>
        <w:rPr>
          <w:b/>
          <w:color w:val="auto"/>
          <w:sz w:val="15"/>
          <w:highlight w:val="none"/>
        </w:rPr>
      </w:pPr>
    </w:p>
    <w:p w14:paraId="41D8FAD9">
      <w:pPr>
        <w:pStyle w:val="7"/>
        <w:rPr>
          <w:b/>
          <w:color w:val="auto"/>
          <w:sz w:val="20"/>
          <w:highlight w:val="none"/>
        </w:rPr>
      </w:pPr>
    </w:p>
    <w:p w14:paraId="60369B66">
      <w:pPr>
        <w:pStyle w:val="7"/>
        <w:rPr>
          <w:b/>
          <w:color w:val="auto"/>
          <w:sz w:val="20"/>
          <w:highlight w:val="none"/>
        </w:rPr>
      </w:pPr>
    </w:p>
    <w:p w14:paraId="2384C816">
      <w:pPr>
        <w:pStyle w:val="7"/>
        <w:rPr>
          <w:b/>
          <w:color w:val="auto"/>
          <w:sz w:val="20"/>
          <w:highlight w:val="none"/>
        </w:rPr>
      </w:pPr>
    </w:p>
    <w:p w14:paraId="3796D9C8">
      <w:pPr>
        <w:pStyle w:val="7"/>
        <w:rPr>
          <w:b/>
          <w:color w:val="auto"/>
          <w:sz w:val="20"/>
          <w:highlight w:val="none"/>
        </w:rPr>
      </w:pPr>
    </w:p>
    <w:p w14:paraId="71727D97">
      <w:pPr>
        <w:pStyle w:val="7"/>
        <w:rPr>
          <w:b/>
          <w:color w:val="auto"/>
          <w:sz w:val="20"/>
          <w:highlight w:val="none"/>
        </w:rPr>
      </w:pPr>
    </w:p>
    <w:p w14:paraId="4F7C65E4">
      <w:pPr>
        <w:pStyle w:val="7"/>
        <w:rPr>
          <w:b/>
          <w:color w:val="auto"/>
          <w:sz w:val="20"/>
          <w:highlight w:val="none"/>
        </w:rPr>
      </w:pPr>
    </w:p>
    <w:p w14:paraId="4BFED3A6">
      <w:pPr>
        <w:pStyle w:val="7"/>
        <w:rPr>
          <w:b/>
          <w:color w:val="auto"/>
          <w:sz w:val="20"/>
          <w:highlight w:val="none"/>
        </w:rPr>
      </w:pPr>
    </w:p>
    <w:p w14:paraId="5EA2585D">
      <w:pPr>
        <w:pStyle w:val="7"/>
        <w:rPr>
          <w:b/>
          <w:color w:val="auto"/>
          <w:sz w:val="20"/>
          <w:highlight w:val="none"/>
        </w:rPr>
      </w:pPr>
    </w:p>
    <w:p w14:paraId="39B8A4C3">
      <w:pPr>
        <w:pStyle w:val="7"/>
        <w:rPr>
          <w:b/>
          <w:color w:val="auto"/>
          <w:sz w:val="20"/>
          <w:highlight w:val="none"/>
        </w:rPr>
      </w:pPr>
    </w:p>
    <w:p w14:paraId="26196CF0">
      <w:pPr>
        <w:pStyle w:val="7"/>
        <w:rPr>
          <w:b/>
          <w:color w:val="auto"/>
          <w:sz w:val="20"/>
          <w:highlight w:val="none"/>
        </w:rPr>
      </w:pPr>
    </w:p>
    <w:p w14:paraId="2DBBB728">
      <w:pPr>
        <w:pStyle w:val="7"/>
        <w:rPr>
          <w:b/>
          <w:color w:val="auto"/>
          <w:sz w:val="20"/>
          <w:highlight w:val="none"/>
        </w:rPr>
      </w:pPr>
    </w:p>
    <w:p w14:paraId="67016B6C">
      <w:pPr>
        <w:spacing w:before="172"/>
        <w:ind w:left="592" w:right="985"/>
        <w:jc w:val="center"/>
        <w:rPr>
          <w:b/>
          <w:color w:val="auto"/>
          <w:sz w:val="44"/>
          <w:highlight w:val="none"/>
        </w:rPr>
      </w:pPr>
      <w:r>
        <w:rPr>
          <w:rFonts w:hint="eastAsia"/>
          <w:b/>
          <w:color w:val="auto"/>
          <w:sz w:val="44"/>
          <w:highlight w:val="none"/>
        </w:rPr>
        <w:t>优惠条件及服务承诺</w:t>
      </w:r>
    </w:p>
    <w:p w14:paraId="6C65E06D">
      <w:pPr>
        <w:jc w:val="center"/>
        <w:rPr>
          <w:color w:val="auto"/>
          <w:sz w:val="44"/>
          <w:highlight w:val="none"/>
        </w:rPr>
        <w:sectPr>
          <w:pgSz w:w="11850" w:h="16790"/>
          <w:pgMar w:top="1400" w:right="1180" w:bottom="920" w:left="1580" w:header="0" w:footer="721" w:gutter="0"/>
          <w:cols w:space="720" w:num="1"/>
        </w:sectPr>
      </w:pPr>
    </w:p>
    <w:p w14:paraId="76DFA102">
      <w:pPr>
        <w:pStyle w:val="7"/>
        <w:rPr>
          <w:b/>
          <w:color w:val="auto"/>
          <w:sz w:val="20"/>
          <w:highlight w:val="none"/>
        </w:rPr>
      </w:pPr>
    </w:p>
    <w:p w14:paraId="1477FC55">
      <w:pPr>
        <w:pStyle w:val="7"/>
        <w:spacing w:before="12"/>
        <w:rPr>
          <w:b/>
          <w:color w:val="auto"/>
          <w:highlight w:val="none"/>
        </w:rPr>
      </w:pPr>
    </w:p>
    <w:p w14:paraId="20D0CC3C">
      <w:pPr>
        <w:spacing w:before="61"/>
        <w:ind w:left="218"/>
        <w:rPr>
          <w:b/>
          <w:color w:val="auto"/>
          <w:sz w:val="28"/>
          <w:highlight w:val="none"/>
        </w:rPr>
      </w:pPr>
      <w:r>
        <w:rPr>
          <w:rFonts w:hint="eastAsia"/>
          <w:b/>
          <w:color w:val="auto"/>
          <w:sz w:val="28"/>
          <w:highlight w:val="none"/>
        </w:rPr>
        <w:t>附件四：</w:t>
      </w:r>
    </w:p>
    <w:p w14:paraId="52326C2D">
      <w:pPr>
        <w:pStyle w:val="7"/>
        <w:rPr>
          <w:b/>
          <w:color w:val="auto"/>
          <w:sz w:val="20"/>
          <w:highlight w:val="none"/>
        </w:rPr>
      </w:pPr>
    </w:p>
    <w:p w14:paraId="0D9AF2A8">
      <w:pPr>
        <w:pStyle w:val="7"/>
        <w:rPr>
          <w:b/>
          <w:color w:val="auto"/>
          <w:sz w:val="20"/>
          <w:highlight w:val="none"/>
        </w:rPr>
      </w:pPr>
    </w:p>
    <w:p w14:paraId="49D398DE">
      <w:pPr>
        <w:pStyle w:val="7"/>
        <w:rPr>
          <w:b/>
          <w:color w:val="auto"/>
          <w:sz w:val="20"/>
          <w:highlight w:val="none"/>
        </w:rPr>
      </w:pPr>
    </w:p>
    <w:p w14:paraId="351568AE">
      <w:pPr>
        <w:pStyle w:val="7"/>
        <w:rPr>
          <w:b/>
          <w:color w:val="auto"/>
          <w:sz w:val="20"/>
          <w:highlight w:val="none"/>
        </w:rPr>
      </w:pPr>
    </w:p>
    <w:p w14:paraId="72F529D2">
      <w:pPr>
        <w:pStyle w:val="7"/>
        <w:rPr>
          <w:b/>
          <w:color w:val="auto"/>
          <w:sz w:val="20"/>
          <w:highlight w:val="none"/>
        </w:rPr>
      </w:pPr>
    </w:p>
    <w:p w14:paraId="7C36D25B">
      <w:pPr>
        <w:pStyle w:val="7"/>
        <w:rPr>
          <w:b/>
          <w:color w:val="auto"/>
          <w:sz w:val="20"/>
          <w:highlight w:val="none"/>
        </w:rPr>
      </w:pPr>
    </w:p>
    <w:p w14:paraId="46F4BBBE">
      <w:pPr>
        <w:pStyle w:val="7"/>
        <w:rPr>
          <w:b/>
          <w:color w:val="auto"/>
          <w:sz w:val="20"/>
          <w:highlight w:val="none"/>
        </w:rPr>
      </w:pPr>
    </w:p>
    <w:p w14:paraId="38D933A6">
      <w:pPr>
        <w:pStyle w:val="7"/>
        <w:rPr>
          <w:b/>
          <w:color w:val="auto"/>
          <w:sz w:val="20"/>
          <w:highlight w:val="none"/>
        </w:rPr>
      </w:pPr>
    </w:p>
    <w:p w14:paraId="45D4E095">
      <w:pPr>
        <w:pStyle w:val="7"/>
        <w:rPr>
          <w:b/>
          <w:color w:val="auto"/>
          <w:sz w:val="20"/>
          <w:highlight w:val="none"/>
        </w:rPr>
      </w:pPr>
    </w:p>
    <w:p w14:paraId="65D3DEB5">
      <w:pPr>
        <w:spacing w:before="185"/>
        <w:ind w:left="592" w:right="985"/>
        <w:jc w:val="center"/>
        <w:rPr>
          <w:b/>
          <w:color w:val="auto"/>
          <w:sz w:val="44"/>
          <w:highlight w:val="none"/>
        </w:rPr>
      </w:pPr>
      <w:r>
        <w:rPr>
          <w:rFonts w:hint="eastAsia"/>
          <w:b/>
          <w:color w:val="auto"/>
          <w:sz w:val="44"/>
          <w:highlight w:val="none"/>
        </w:rPr>
        <w:t>施工图预算书</w:t>
      </w:r>
    </w:p>
    <w:p w14:paraId="6224F14A">
      <w:pPr>
        <w:pStyle w:val="7"/>
        <w:spacing w:before="4"/>
        <w:rPr>
          <w:b/>
          <w:color w:val="auto"/>
          <w:sz w:val="47"/>
          <w:highlight w:val="none"/>
        </w:rPr>
      </w:pPr>
    </w:p>
    <w:p w14:paraId="65F36F83">
      <w:pPr>
        <w:ind w:left="592" w:right="987"/>
        <w:jc w:val="center"/>
        <w:rPr>
          <w:b/>
          <w:color w:val="auto"/>
          <w:sz w:val="30"/>
          <w:highlight w:val="none"/>
        </w:rPr>
      </w:pPr>
      <w:r>
        <w:rPr>
          <w:rFonts w:hint="eastAsia"/>
          <w:b/>
          <w:color w:val="auto"/>
          <w:sz w:val="30"/>
          <w:highlight w:val="none"/>
        </w:rPr>
        <w:t>（其格式按定额管理部门的规定）</w:t>
      </w:r>
    </w:p>
    <w:p w14:paraId="2464D976">
      <w:pPr>
        <w:jc w:val="center"/>
        <w:rPr>
          <w:color w:val="auto"/>
          <w:sz w:val="30"/>
          <w:highlight w:val="none"/>
        </w:rPr>
        <w:sectPr>
          <w:pgSz w:w="11850" w:h="16790"/>
          <w:pgMar w:top="1600" w:right="1180" w:bottom="920" w:left="1580" w:header="0" w:footer="721" w:gutter="0"/>
          <w:cols w:space="720" w:num="1"/>
        </w:sectPr>
      </w:pPr>
    </w:p>
    <w:p w14:paraId="5428724A">
      <w:pPr>
        <w:spacing w:before="38"/>
        <w:ind w:left="218"/>
        <w:rPr>
          <w:b/>
          <w:color w:val="auto"/>
          <w:sz w:val="28"/>
          <w:highlight w:val="none"/>
        </w:rPr>
      </w:pPr>
      <w:r>
        <w:rPr>
          <w:rFonts w:hint="eastAsia"/>
          <w:b/>
          <w:color w:val="auto"/>
          <w:sz w:val="28"/>
          <w:highlight w:val="none"/>
        </w:rPr>
        <w:t>附件五：</w:t>
      </w:r>
    </w:p>
    <w:p w14:paraId="40E50261">
      <w:pPr>
        <w:pStyle w:val="7"/>
        <w:rPr>
          <w:b/>
          <w:color w:val="auto"/>
          <w:sz w:val="20"/>
          <w:highlight w:val="none"/>
        </w:rPr>
      </w:pPr>
    </w:p>
    <w:p w14:paraId="795AB4FD">
      <w:pPr>
        <w:pStyle w:val="7"/>
        <w:rPr>
          <w:b/>
          <w:color w:val="auto"/>
          <w:sz w:val="20"/>
          <w:highlight w:val="none"/>
        </w:rPr>
      </w:pPr>
    </w:p>
    <w:p w14:paraId="3F315F6D">
      <w:pPr>
        <w:pStyle w:val="7"/>
        <w:spacing w:before="8"/>
        <w:rPr>
          <w:b/>
          <w:color w:val="auto"/>
          <w:sz w:val="15"/>
          <w:highlight w:val="none"/>
        </w:rPr>
      </w:pPr>
    </w:p>
    <w:p w14:paraId="2A4502CA">
      <w:pPr>
        <w:spacing w:before="55"/>
        <w:ind w:left="592" w:right="985"/>
        <w:jc w:val="center"/>
        <w:rPr>
          <w:b/>
          <w:color w:val="auto"/>
          <w:sz w:val="32"/>
          <w:highlight w:val="none"/>
        </w:rPr>
      </w:pPr>
      <w:r>
        <w:rPr>
          <w:rFonts w:hint="eastAsia"/>
          <w:b/>
          <w:color w:val="auto"/>
          <w:sz w:val="32"/>
          <w:highlight w:val="none"/>
        </w:rPr>
        <w:t>施工组织设计</w:t>
      </w:r>
    </w:p>
    <w:p w14:paraId="7A082471">
      <w:pPr>
        <w:pStyle w:val="7"/>
        <w:spacing w:before="3"/>
        <w:rPr>
          <w:b/>
          <w:color w:val="auto"/>
          <w:sz w:val="41"/>
          <w:highlight w:val="none"/>
        </w:rPr>
      </w:pPr>
    </w:p>
    <w:p w14:paraId="1253B388">
      <w:pPr>
        <w:pStyle w:val="7"/>
        <w:spacing w:before="1" w:line="364" w:lineRule="auto"/>
        <w:ind w:left="218" w:right="612" w:firstLine="479"/>
        <w:jc w:val="both"/>
        <w:rPr>
          <w:color w:val="auto"/>
          <w:highlight w:val="none"/>
        </w:rPr>
      </w:pPr>
      <w:r>
        <w:rPr>
          <w:rFonts w:hint="eastAsia"/>
          <w:color w:val="auto"/>
          <w:highlight w:val="none"/>
        </w:rPr>
        <w:t>1</w:t>
      </w:r>
      <w:r>
        <w:rPr>
          <w:rFonts w:hint="eastAsia"/>
          <w:color w:val="auto"/>
          <w:spacing w:val="-5"/>
          <w:highlight w:val="none"/>
        </w:rPr>
        <w:t>、谈判供应商应编制施工组织设计，编制时应采用文字并结合图形表形说</w:t>
      </w:r>
      <w:r>
        <w:rPr>
          <w:rFonts w:hint="eastAsia"/>
          <w:color w:val="auto"/>
          <w:highlight w:val="none"/>
        </w:rPr>
        <w:t>明各分布分项工程的施工方法；拟投入的主要施工设备情况、劳动力计划等；结合工程特点提出切实可行的工程质量、安全生产、文明施工、工程进度、技术组织措施，同时应对关键工序、复杂环节重点提出相应的技术措施，如雨季施工技术措施，减少扰民噪音、降低环境污染技术措施、地下管线及其他地上地下设施的保护加固措施等。</w:t>
      </w:r>
    </w:p>
    <w:p w14:paraId="06C20094">
      <w:pPr>
        <w:pStyle w:val="7"/>
        <w:spacing w:before="16"/>
        <w:ind w:left="698"/>
        <w:rPr>
          <w:color w:val="auto"/>
          <w:highlight w:val="none"/>
        </w:rPr>
      </w:pPr>
      <w:r>
        <w:rPr>
          <w:rFonts w:hint="eastAsia"/>
          <w:color w:val="auto"/>
          <w:highlight w:val="none"/>
        </w:rPr>
        <w:t>2、施工组织设计除采用文字表达外应附下列图表，图表及格式要求附后。</w:t>
      </w:r>
    </w:p>
    <w:p w14:paraId="3D4F4817">
      <w:pPr>
        <w:pStyle w:val="36"/>
        <w:numPr>
          <w:ilvl w:val="0"/>
          <w:numId w:val="22"/>
        </w:numPr>
        <w:tabs>
          <w:tab w:val="left" w:pos="1299"/>
        </w:tabs>
        <w:spacing w:before="179"/>
        <w:rPr>
          <w:color w:val="auto"/>
          <w:sz w:val="24"/>
          <w:highlight w:val="none"/>
        </w:rPr>
      </w:pPr>
      <w:r>
        <w:rPr>
          <w:rFonts w:hint="eastAsia"/>
          <w:color w:val="auto"/>
          <w:sz w:val="24"/>
          <w:highlight w:val="none"/>
        </w:rPr>
        <w:t>劳动力计划表</w:t>
      </w:r>
    </w:p>
    <w:p w14:paraId="1DBCE9AC">
      <w:pPr>
        <w:pStyle w:val="36"/>
        <w:numPr>
          <w:ilvl w:val="0"/>
          <w:numId w:val="22"/>
        </w:numPr>
        <w:tabs>
          <w:tab w:val="left" w:pos="1299"/>
        </w:tabs>
        <w:spacing w:before="178"/>
        <w:rPr>
          <w:color w:val="auto"/>
          <w:sz w:val="24"/>
          <w:highlight w:val="none"/>
        </w:rPr>
      </w:pPr>
      <w:r>
        <w:rPr>
          <w:rFonts w:hint="eastAsia"/>
          <w:color w:val="auto"/>
          <w:sz w:val="24"/>
          <w:highlight w:val="none"/>
        </w:rPr>
        <w:t>计划开、竣工日期和施工进度表</w:t>
      </w:r>
    </w:p>
    <w:p w14:paraId="0179BC79">
      <w:pPr>
        <w:rPr>
          <w:color w:val="auto"/>
          <w:sz w:val="24"/>
          <w:highlight w:val="none"/>
        </w:rPr>
        <w:sectPr>
          <w:pgSz w:w="11850" w:h="16790"/>
          <w:pgMar w:top="1400" w:right="1180" w:bottom="920" w:left="1580" w:header="0" w:footer="721" w:gutter="0"/>
          <w:cols w:space="720" w:num="1"/>
        </w:sectPr>
      </w:pPr>
    </w:p>
    <w:p w14:paraId="1892A4A3">
      <w:pPr>
        <w:pStyle w:val="7"/>
        <w:spacing w:before="1"/>
        <w:rPr>
          <w:color w:val="auto"/>
          <w:sz w:val="25"/>
          <w:highlight w:val="none"/>
        </w:rPr>
      </w:pPr>
    </w:p>
    <w:p w14:paraId="33E52EC8">
      <w:pPr>
        <w:spacing w:before="61"/>
        <w:ind w:left="218"/>
        <w:rPr>
          <w:b/>
          <w:color w:val="auto"/>
          <w:sz w:val="28"/>
          <w:highlight w:val="none"/>
        </w:rPr>
      </w:pPr>
      <w:r>
        <w:rPr>
          <w:rFonts w:hint="eastAsia"/>
          <w:b/>
          <w:color w:val="auto"/>
          <w:sz w:val="28"/>
          <w:highlight w:val="none"/>
        </w:rPr>
        <w:t>附件六：</w:t>
      </w:r>
    </w:p>
    <w:p w14:paraId="68C6E8C8">
      <w:pPr>
        <w:pStyle w:val="7"/>
        <w:spacing w:before="6"/>
        <w:rPr>
          <w:b/>
          <w:color w:val="auto"/>
          <w:sz w:val="20"/>
          <w:highlight w:val="none"/>
        </w:rPr>
      </w:pPr>
    </w:p>
    <w:p w14:paraId="67CE563D">
      <w:pPr>
        <w:spacing w:before="54"/>
        <w:ind w:left="592" w:right="985"/>
        <w:jc w:val="center"/>
        <w:rPr>
          <w:b/>
          <w:color w:val="auto"/>
          <w:sz w:val="32"/>
          <w:highlight w:val="none"/>
        </w:rPr>
      </w:pPr>
      <w:r>
        <w:rPr>
          <w:rFonts w:hint="eastAsia"/>
          <w:b/>
          <w:color w:val="auto"/>
          <w:sz w:val="32"/>
          <w:highlight w:val="none"/>
        </w:rPr>
        <w:t>劳动力计划表</w:t>
      </w:r>
    </w:p>
    <w:p w14:paraId="2648A7EE">
      <w:pPr>
        <w:pStyle w:val="7"/>
        <w:rPr>
          <w:b/>
          <w:color w:val="auto"/>
          <w:sz w:val="32"/>
          <w:highlight w:val="none"/>
        </w:rPr>
      </w:pPr>
    </w:p>
    <w:p w14:paraId="682347ED">
      <w:pPr>
        <w:pStyle w:val="7"/>
        <w:spacing w:before="9"/>
        <w:rPr>
          <w:b/>
          <w:color w:val="auto"/>
          <w:sz w:val="29"/>
          <w:highlight w:val="none"/>
        </w:rPr>
      </w:pPr>
    </w:p>
    <w:p w14:paraId="65A3180D">
      <w:pPr>
        <w:pStyle w:val="7"/>
        <w:tabs>
          <w:tab w:val="left" w:pos="6959"/>
        </w:tabs>
        <w:spacing w:before="1" w:after="43"/>
        <w:ind w:right="405"/>
        <w:jc w:val="center"/>
        <w:rPr>
          <w:color w:val="auto"/>
          <w:highlight w:val="none"/>
        </w:rPr>
      </w:pPr>
      <w:r>
        <w:rPr>
          <w:rFonts w:hint="eastAsia"/>
          <w:color w:val="auto"/>
          <w:highlight w:val="none"/>
        </w:rPr>
        <w:t>项目名称：</w:t>
      </w:r>
      <w:r>
        <w:rPr>
          <w:rFonts w:hint="eastAsia"/>
          <w:color w:val="auto"/>
          <w:highlight w:val="none"/>
        </w:rPr>
        <w:tab/>
      </w:r>
      <w:r>
        <w:rPr>
          <w:rFonts w:hint="eastAsia"/>
          <w:color w:val="auto"/>
          <w:highlight w:val="none"/>
        </w:rPr>
        <w:t>单位：人</w:t>
      </w:r>
    </w:p>
    <w:tbl>
      <w:tblPr>
        <w:tblStyle w:val="18"/>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118"/>
        <w:gridCol w:w="1102"/>
        <w:gridCol w:w="1106"/>
        <w:gridCol w:w="1109"/>
        <w:gridCol w:w="1106"/>
        <w:gridCol w:w="1106"/>
        <w:gridCol w:w="1107"/>
        <w:gridCol w:w="1109"/>
      </w:tblGrid>
      <w:tr w14:paraId="310F86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118" w:type="dxa"/>
            <w:vMerge w:val="restart"/>
          </w:tcPr>
          <w:p w14:paraId="00D3F580">
            <w:pPr>
              <w:pStyle w:val="37"/>
              <w:rPr>
                <w:color w:val="auto"/>
                <w:sz w:val="35"/>
                <w:highlight w:val="none"/>
              </w:rPr>
            </w:pPr>
          </w:p>
          <w:p w14:paraId="4ABFF81B">
            <w:pPr>
              <w:pStyle w:val="37"/>
              <w:ind w:left="316"/>
              <w:rPr>
                <w:color w:val="auto"/>
                <w:sz w:val="24"/>
                <w:highlight w:val="none"/>
              </w:rPr>
            </w:pPr>
            <w:r>
              <w:rPr>
                <w:rFonts w:hint="eastAsia"/>
                <w:color w:val="auto"/>
                <w:sz w:val="24"/>
                <w:highlight w:val="none"/>
              </w:rPr>
              <w:t>工种</w:t>
            </w:r>
          </w:p>
        </w:tc>
        <w:tc>
          <w:tcPr>
            <w:tcW w:w="7745" w:type="dxa"/>
            <w:gridSpan w:val="7"/>
          </w:tcPr>
          <w:p w14:paraId="2C52F878">
            <w:pPr>
              <w:pStyle w:val="37"/>
              <w:spacing w:before="208"/>
              <w:ind w:left="2169" w:right="2165"/>
              <w:jc w:val="center"/>
              <w:rPr>
                <w:color w:val="auto"/>
                <w:sz w:val="24"/>
                <w:highlight w:val="none"/>
              </w:rPr>
            </w:pPr>
            <w:r>
              <w:rPr>
                <w:rFonts w:hint="eastAsia"/>
                <w:color w:val="auto"/>
                <w:sz w:val="24"/>
                <w:highlight w:val="none"/>
              </w:rPr>
              <w:t>按工程施工阶段投入劳动力情况</w:t>
            </w:r>
          </w:p>
        </w:tc>
      </w:tr>
      <w:tr w14:paraId="7A98AC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118" w:type="dxa"/>
            <w:vMerge w:val="continue"/>
            <w:tcBorders>
              <w:top w:val="nil"/>
            </w:tcBorders>
          </w:tcPr>
          <w:p w14:paraId="375C28F5">
            <w:pPr>
              <w:rPr>
                <w:color w:val="auto"/>
                <w:sz w:val="2"/>
                <w:szCs w:val="2"/>
                <w:highlight w:val="none"/>
              </w:rPr>
            </w:pPr>
          </w:p>
        </w:tc>
        <w:tc>
          <w:tcPr>
            <w:tcW w:w="1102" w:type="dxa"/>
          </w:tcPr>
          <w:p w14:paraId="241D90A5">
            <w:pPr>
              <w:pStyle w:val="37"/>
              <w:rPr>
                <w:color w:val="auto"/>
                <w:sz w:val="24"/>
                <w:highlight w:val="none"/>
              </w:rPr>
            </w:pPr>
          </w:p>
        </w:tc>
        <w:tc>
          <w:tcPr>
            <w:tcW w:w="1106" w:type="dxa"/>
          </w:tcPr>
          <w:p w14:paraId="56DDE447">
            <w:pPr>
              <w:pStyle w:val="37"/>
              <w:rPr>
                <w:color w:val="auto"/>
                <w:sz w:val="24"/>
                <w:highlight w:val="none"/>
              </w:rPr>
            </w:pPr>
          </w:p>
        </w:tc>
        <w:tc>
          <w:tcPr>
            <w:tcW w:w="1109" w:type="dxa"/>
          </w:tcPr>
          <w:p w14:paraId="34F24048">
            <w:pPr>
              <w:pStyle w:val="37"/>
              <w:rPr>
                <w:color w:val="auto"/>
                <w:sz w:val="24"/>
                <w:highlight w:val="none"/>
              </w:rPr>
            </w:pPr>
          </w:p>
        </w:tc>
        <w:tc>
          <w:tcPr>
            <w:tcW w:w="1106" w:type="dxa"/>
          </w:tcPr>
          <w:p w14:paraId="5278A017">
            <w:pPr>
              <w:pStyle w:val="37"/>
              <w:rPr>
                <w:color w:val="auto"/>
                <w:sz w:val="24"/>
                <w:highlight w:val="none"/>
              </w:rPr>
            </w:pPr>
          </w:p>
        </w:tc>
        <w:tc>
          <w:tcPr>
            <w:tcW w:w="1106" w:type="dxa"/>
          </w:tcPr>
          <w:p w14:paraId="0C15100F">
            <w:pPr>
              <w:pStyle w:val="37"/>
              <w:rPr>
                <w:color w:val="auto"/>
                <w:sz w:val="24"/>
                <w:highlight w:val="none"/>
              </w:rPr>
            </w:pPr>
          </w:p>
        </w:tc>
        <w:tc>
          <w:tcPr>
            <w:tcW w:w="1107" w:type="dxa"/>
          </w:tcPr>
          <w:p w14:paraId="04D91A17">
            <w:pPr>
              <w:pStyle w:val="37"/>
              <w:rPr>
                <w:color w:val="auto"/>
                <w:sz w:val="24"/>
                <w:highlight w:val="none"/>
              </w:rPr>
            </w:pPr>
          </w:p>
        </w:tc>
        <w:tc>
          <w:tcPr>
            <w:tcW w:w="1109" w:type="dxa"/>
          </w:tcPr>
          <w:p w14:paraId="7AF93DBD">
            <w:pPr>
              <w:pStyle w:val="37"/>
              <w:rPr>
                <w:color w:val="auto"/>
                <w:sz w:val="24"/>
                <w:highlight w:val="none"/>
              </w:rPr>
            </w:pPr>
          </w:p>
        </w:tc>
      </w:tr>
      <w:tr w14:paraId="27AA433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82" w:hRule="atLeast"/>
        </w:trPr>
        <w:tc>
          <w:tcPr>
            <w:tcW w:w="1118" w:type="dxa"/>
          </w:tcPr>
          <w:p w14:paraId="189ECD25">
            <w:pPr>
              <w:pStyle w:val="37"/>
              <w:rPr>
                <w:color w:val="auto"/>
                <w:sz w:val="24"/>
                <w:highlight w:val="none"/>
              </w:rPr>
            </w:pPr>
          </w:p>
        </w:tc>
        <w:tc>
          <w:tcPr>
            <w:tcW w:w="1102" w:type="dxa"/>
          </w:tcPr>
          <w:p w14:paraId="0C4A1C69">
            <w:pPr>
              <w:pStyle w:val="37"/>
              <w:rPr>
                <w:color w:val="auto"/>
                <w:sz w:val="24"/>
                <w:highlight w:val="none"/>
              </w:rPr>
            </w:pPr>
          </w:p>
        </w:tc>
        <w:tc>
          <w:tcPr>
            <w:tcW w:w="1106" w:type="dxa"/>
          </w:tcPr>
          <w:p w14:paraId="0E4DBE4D">
            <w:pPr>
              <w:pStyle w:val="37"/>
              <w:rPr>
                <w:color w:val="auto"/>
                <w:sz w:val="24"/>
                <w:highlight w:val="none"/>
              </w:rPr>
            </w:pPr>
          </w:p>
        </w:tc>
        <w:tc>
          <w:tcPr>
            <w:tcW w:w="1109" w:type="dxa"/>
          </w:tcPr>
          <w:p w14:paraId="535E2D52">
            <w:pPr>
              <w:pStyle w:val="37"/>
              <w:rPr>
                <w:color w:val="auto"/>
                <w:sz w:val="24"/>
                <w:highlight w:val="none"/>
              </w:rPr>
            </w:pPr>
          </w:p>
        </w:tc>
        <w:tc>
          <w:tcPr>
            <w:tcW w:w="1106" w:type="dxa"/>
          </w:tcPr>
          <w:p w14:paraId="743D915E">
            <w:pPr>
              <w:pStyle w:val="37"/>
              <w:rPr>
                <w:color w:val="auto"/>
                <w:sz w:val="24"/>
                <w:highlight w:val="none"/>
              </w:rPr>
            </w:pPr>
          </w:p>
        </w:tc>
        <w:tc>
          <w:tcPr>
            <w:tcW w:w="1106" w:type="dxa"/>
          </w:tcPr>
          <w:p w14:paraId="6DAF6B72">
            <w:pPr>
              <w:pStyle w:val="37"/>
              <w:rPr>
                <w:color w:val="auto"/>
                <w:sz w:val="24"/>
                <w:highlight w:val="none"/>
              </w:rPr>
            </w:pPr>
          </w:p>
        </w:tc>
        <w:tc>
          <w:tcPr>
            <w:tcW w:w="1107" w:type="dxa"/>
          </w:tcPr>
          <w:p w14:paraId="444522F8">
            <w:pPr>
              <w:pStyle w:val="37"/>
              <w:rPr>
                <w:color w:val="auto"/>
                <w:sz w:val="24"/>
                <w:highlight w:val="none"/>
              </w:rPr>
            </w:pPr>
          </w:p>
        </w:tc>
        <w:tc>
          <w:tcPr>
            <w:tcW w:w="1109" w:type="dxa"/>
          </w:tcPr>
          <w:p w14:paraId="062B30D5">
            <w:pPr>
              <w:pStyle w:val="37"/>
              <w:rPr>
                <w:color w:val="auto"/>
                <w:sz w:val="24"/>
                <w:highlight w:val="none"/>
              </w:rPr>
            </w:pPr>
          </w:p>
        </w:tc>
      </w:tr>
    </w:tbl>
    <w:p w14:paraId="3502918E">
      <w:pPr>
        <w:pStyle w:val="7"/>
        <w:spacing w:before="209" w:line="436" w:lineRule="auto"/>
        <w:ind w:left="789" w:right="1308" w:hanging="572"/>
        <w:rPr>
          <w:color w:val="auto"/>
          <w:highlight w:val="none"/>
        </w:rPr>
      </w:pPr>
      <w:r>
        <w:rPr>
          <w:rFonts w:hint="eastAsia"/>
          <w:color w:val="auto"/>
          <w:highlight w:val="none"/>
        </w:rPr>
        <w:t>注：1、谈判供应商按所列格式提交包括分包人在内的估计劳动力计划表2、本计划表是以每班 8 小时工作制为基础编制的</w:t>
      </w:r>
    </w:p>
    <w:p w14:paraId="6FDE8619">
      <w:pPr>
        <w:spacing w:line="436" w:lineRule="auto"/>
        <w:rPr>
          <w:color w:val="auto"/>
          <w:highlight w:val="none"/>
        </w:rPr>
        <w:sectPr>
          <w:pgSz w:w="11850" w:h="16790"/>
          <w:pgMar w:top="1600" w:right="1180" w:bottom="920" w:left="1580" w:header="0" w:footer="721" w:gutter="0"/>
          <w:cols w:space="720" w:num="1"/>
        </w:sectPr>
      </w:pPr>
    </w:p>
    <w:p w14:paraId="4DF1B86F">
      <w:pPr>
        <w:pStyle w:val="7"/>
        <w:rPr>
          <w:color w:val="auto"/>
          <w:sz w:val="20"/>
          <w:highlight w:val="none"/>
        </w:rPr>
      </w:pPr>
    </w:p>
    <w:p w14:paraId="5D3E48BD">
      <w:pPr>
        <w:pStyle w:val="7"/>
        <w:rPr>
          <w:color w:val="auto"/>
          <w:sz w:val="20"/>
          <w:highlight w:val="none"/>
        </w:rPr>
      </w:pPr>
    </w:p>
    <w:p w14:paraId="3C817D01">
      <w:pPr>
        <w:pStyle w:val="7"/>
        <w:rPr>
          <w:color w:val="auto"/>
          <w:sz w:val="20"/>
          <w:highlight w:val="none"/>
        </w:rPr>
      </w:pPr>
    </w:p>
    <w:p w14:paraId="4DD27F2F">
      <w:pPr>
        <w:spacing w:before="190"/>
        <w:ind w:left="218"/>
        <w:rPr>
          <w:b/>
          <w:color w:val="auto"/>
          <w:sz w:val="28"/>
          <w:highlight w:val="none"/>
        </w:rPr>
      </w:pPr>
      <w:r>
        <w:rPr>
          <w:rFonts w:hint="eastAsia"/>
          <w:b/>
          <w:color w:val="auto"/>
          <w:sz w:val="28"/>
          <w:highlight w:val="none"/>
        </w:rPr>
        <w:t>附件七：</w:t>
      </w:r>
    </w:p>
    <w:p w14:paraId="09F74A80">
      <w:pPr>
        <w:pStyle w:val="7"/>
        <w:rPr>
          <w:b/>
          <w:color w:val="auto"/>
          <w:sz w:val="20"/>
          <w:highlight w:val="none"/>
        </w:rPr>
      </w:pPr>
    </w:p>
    <w:p w14:paraId="601EABE4">
      <w:pPr>
        <w:pStyle w:val="7"/>
        <w:rPr>
          <w:b/>
          <w:color w:val="auto"/>
          <w:sz w:val="20"/>
          <w:highlight w:val="none"/>
        </w:rPr>
      </w:pPr>
    </w:p>
    <w:p w14:paraId="256D592C">
      <w:pPr>
        <w:pStyle w:val="7"/>
        <w:spacing w:before="1"/>
        <w:rPr>
          <w:b/>
          <w:color w:val="auto"/>
          <w:highlight w:val="none"/>
        </w:rPr>
      </w:pPr>
    </w:p>
    <w:p w14:paraId="36E9E488">
      <w:pPr>
        <w:spacing w:before="54"/>
        <w:ind w:left="592" w:right="987"/>
        <w:jc w:val="center"/>
        <w:rPr>
          <w:b/>
          <w:color w:val="auto"/>
          <w:sz w:val="32"/>
          <w:highlight w:val="none"/>
        </w:rPr>
      </w:pPr>
      <w:r>
        <w:rPr>
          <w:rFonts w:hint="eastAsia"/>
          <w:b/>
          <w:color w:val="auto"/>
          <w:sz w:val="32"/>
          <w:highlight w:val="none"/>
        </w:rPr>
        <w:t>计划开、竣工日期和施工进度表</w:t>
      </w:r>
    </w:p>
    <w:p w14:paraId="43676A0B">
      <w:pPr>
        <w:pStyle w:val="7"/>
        <w:rPr>
          <w:b/>
          <w:color w:val="auto"/>
          <w:sz w:val="47"/>
          <w:highlight w:val="none"/>
        </w:rPr>
      </w:pPr>
    </w:p>
    <w:p w14:paraId="4F5200F3">
      <w:pPr>
        <w:pStyle w:val="7"/>
        <w:spacing w:line="364" w:lineRule="auto"/>
        <w:ind w:left="218" w:right="612" w:firstLine="479"/>
        <w:jc w:val="both"/>
        <w:rPr>
          <w:color w:val="auto"/>
          <w:highlight w:val="none"/>
        </w:rPr>
      </w:pPr>
      <w:r>
        <w:rPr>
          <w:rFonts w:hint="eastAsia"/>
          <w:color w:val="auto"/>
          <w:highlight w:val="none"/>
        </w:rPr>
        <w:t>1</w:t>
      </w:r>
      <w:r>
        <w:rPr>
          <w:rFonts w:hint="eastAsia"/>
          <w:color w:val="auto"/>
          <w:spacing w:val="-5"/>
          <w:highlight w:val="none"/>
        </w:rPr>
        <w:t>、谈判供应商应提交的施工进度网络图或施工进度表，说明按谈判文件要</w:t>
      </w:r>
      <w:r>
        <w:rPr>
          <w:rFonts w:hint="eastAsia"/>
          <w:color w:val="auto"/>
          <w:highlight w:val="none"/>
        </w:rPr>
        <w:t>求的工期进行的各个关键日期，成交的谈判供应商还应按合同条件有关条款的要求提交详细的施工进度计划。</w:t>
      </w:r>
    </w:p>
    <w:p w14:paraId="196A1FFF">
      <w:pPr>
        <w:pStyle w:val="7"/>
        <w:spacing w:before="16" w:line="364" w:lineRule="auto"/>
        <w:ind w:left="218" w:right="563" w:firstLine="479"/>
        <w:rPr>
          <w:color w:val="auto"/>
          <w:highlight w:val="none"/>
        </w:rPr>
      </w:pPr>
      <w:r>
        <w:rPr>
          <w:rFonts w:hint="eastAsia"/>
          <w:color w:val="auto"/>
          <w:highlight w:val="none"/>
        </w:rPr>
        <w:t>2、施工进度表可采用网络图（或横线图）表示，说明计划开工日期和各分项工程的完工日期。</w:t>
      </w:r>
    </w:p>
    <w:p w14:paraId="217A3DB8">
      <w:pPr>
        <w:pStyle w:val="7"/>
        <w:spacing w:before="18"/>
        <w:ind w:left="698"/>
        <w:rPr>
          <w:color w:val="auto"/>
          <w:highlight w:val="none"/>
        </w:rPr>
      </w:pPr>
      <w:r>
        <w:rPr>
          <w:rFonts w:hint="eastAsia"/>
          <w:color w:val="auto"/>
          <w:highlight w:val="none"/>
        </w:rPr>
        <w:t>3、施工进度计划与施工组织相适应。</w:t>
      </w:r>
    </w:p>
    <w:p w14:paraId="5BF2AEC4">
      <w:pPr>
        <w:rPr>
          <w:color w:val="auto"/>
          <w:highlight w:val="none"/>
        </w:rPr>
        <w:sectPr>
          <w:pgSz w:w="11850" w:h="16790"/>
          <w:pgMar w:top="1600" w:right="1180" w:bottom="920" w:left="1580" w:header="0" w:footer="721" w:gutter="0"/>
          <w:cols w:space="720" w:num="1"/>
        </w:sectPr>
      </w:pPr>
    </w:p>
    <w:p w14:paraId="4D511336">
      <w:pPr>
        <w:pStyle w:val="7"/>
        <w:rPr>
          <w:color w:val="auto"/>
          <w:sz w:val="20"/>
          <w:highlight w:val="none"/>
        </w:rPr>
      </w:pPr>
    </w:p>
    <w:p w14:paraId="5848EFB6">
      <w:pPr>
        <w:spacing w:before="190"/>
        <w:ind w:left="218"/>
        <w:rPr>
          <w:b/>
          <w:color w:val="auto"/>
          <w:sz w:val="28"/>
          <w:highlight w:val="none"/>
        </w:rPr>
      </w:pPr>
      <w:r>
        <w:rPr>
          <w:rFonts w:hint="eastAsia"/>
          <w:b/>
          <w:color w:val="auto"/>
          <w:sz w:val="28"/>
          <w:highlight w:val="none"/>
        </w:rPr>
        <w:t>附件八：</w:t>
      </w:r>
    </w:p>
    <w:p w14:paraId="4C1BA700">
      <w:pPr>
        <w:pStyle w:val="7"/>
        <w:spacing w:before="5"/>
        <w:rPr>
          <w:b/>
          <w:color w:val="auto"/>
          <w:sz w:val="20"/>
          <w:highlight w:val="none"/>
        </w:rPr>
      </w:pPr>
    </w:p>
    <w:p w14:paraId="54233A5C">
      <w:pPr>
        <w:spacing w:before="55"/>
        <w:ind w:left="592" w:right="987"/>
        <w:jc w:val="center"/>
        <w:rPr>
          <w:b/>
          <w:color w:val="auto"/>
          <w:sz w:val="32"/>
          <w:highlight w:val="none"/>
        </w:rPr>
      </w:pPr>
      <w:r>
        <w:rPr>
          <w:rFonts w:hint="eastAsia"/>
          <w:b/>
          <w:color w:val="auto"/>
          <w:sz w:val="32"/>
          <w:highlight w:val="none"/>
        </w:rPr>
        <w:t>项目管理机构配备情况表</w:t>
      </w:r>
    </w:p>
    <w:p w14:paraId="0ADE7A50">
      <w:pPr>
        <w:pStyle w:val="7"/>
        <w:spacing w:before="9"/>
        <w:rPr>
          <w:b/>
          <w:color w:val="auto"/>
          <w:sz w:val="12"/>
          <w:highlight w:val="none"/>
        </w:rPr>
      </w:pPr>
    </w:p>
    <w:p w14:paraId="6D97A5F5">
      <w:pPr>
        <w:pStyle w:val="7"/>
        <w:spacing w:before="66" w:after="44"/>
        <w:ind w:left="218"/>
        <w:rPr>
          <w:color w:val="auto"/>
          <w:highlight w:val="none"/>
        </w:rPr>
      </w:pPr>
      <w:r>
        <w:rPr>
          <w:rFonts w:hint="eastAsia"/>
          <w:color w:val="auto"/>
          <w:highlight w:val="none"/>
        </w:rPr>
        <w:t>项目名称：</w:t>
      </w:r>
    </w:p>
    <w:tbl>
      <w:tblPr>
        <w:tblStyle w:val="18"/>
        <w:tblW w:w="8867"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86"/>
        <w:gridCol w:w="886"/>
        <w:gridCol w:w="887"/>
        <w:gridCol w:w="886"/>
        <w:gridCol w:w="886"/>
        <w:gridCol w:w="886"/>
        <w:gridCol w:w="888"/>
        <w:gridCol w:w="886"/>
        <w:gridCol w:w="888"/>
        <w:gridCol w:w="888"/>
      </w:tblGrid>
      <w:tr w14:paraId="31ADD1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9" w:hRule="atLeast"/>
        </w:trPr>
        <w:tc>
          <w:tcPr>
            <w:tcW w:w="886" w:type="dxa"/>
            <w:vMerge w:val="restart"/>
          </w:tcPr>
          <w:p w14:paraId="17726386">
            <w:pPr>
              <w:pStyle w:val="37"/>
              <w:spacing w:before="5"/>
              <w:rPr>
                <w:color w:val="auto"/>
                <w:sz w:val="23"/>
                <w:highlight w:val="none"/>
              </w:rPr>
            </w:pPr>
          </w:p>
          <w:p w14:paraId="120FEF30">
            <w:pPr>
              <w:pStyle w:val="37"/>
              <w:ind w:left="141"/>
              <w:rPr>
                <w:color w:val="auto"/>
                <w:sz w:val="24"/>
                <w:highlight w:val="none"/>
              </w:rPr>
            </w:pPr>
            <w:r>
              <w:rPr>
                <w:rFonts w:hint="eastAsia"/>
                <w:color w:val="auto"/>
                <w:sz w:val="24"/>
                <w:highlight w:val="none"/>
              </w:rPr>
              <w:t>职务</w:t>
            </w:r>
          </w:p>
        </w:tc>
        <w:tc>
          <w:tcPr>
            <w:tcW w:w="886" w:type="dxa"/>
            <w:vMerge w:val="restart"/>
          </w:tcPr>
          <w:p w14:paraId="183594B0">
            <w:pPr>
              <w:pStyle w:val="37"/>
              <w:spacing w:before="5"/>
              <w:rPr>
                <w:color w:val="auto"/>
                <w:sz w:val="23"/>
                <w:highlight w:val="none"/>
              </w:rPr>
            </w:pPr>
          </w:p>
          <w:p w14:paraId="4958619C">
            <w:pPr>
              <w:pStyle w:val="37"/>
              <w:ind w:left="140"/>
              <w:rPr>
                <w:color w:val="auto"/>
                <w:sz w:val="24"/>
                <w:highlight w:val="none"/>
              </w:rPr>
            </w:pPr>
            <w:r>
              <w:rPr>
                <w:rFonts w:hint="eastAsia"/>
                <w:color w:val="auto"/>
                <w:sz w:val="24"/>
                <w:highlight w:val="none"/>
              </w:rPr>
              <w:t>姓名</w:t>
            </w:r>
          </w:p>
        </w:tc>
        <w:tc>
          <w:tcPr>
            <w:tcW w:w="887" w:type="dxa"/>
            <w:vMerge w:val="restart"/>
          </w:tcPr>
          <w:p w14:paraId="3ADF1827">
            <w:pPr>
              <w:pStyle w:val="37"/>
              <w:spacing w:before="5"/>
              <w:rPr>
                <w:color w:val="auto"/>
                <w:sz w:val="23"/>
                <w:highlight w:val="none"/>
              </w:rPr>
            </w:pPr>
          </w:p>
          <w:p w14:paraId="6064B29B">
            <w:pPr>
              <w:pStyle w:val="37"/>
              <w:ind w:left="138"/>
              <w:rPr>
                <w:color w:val="auto"/>
                <w:sz w:val="24"/>
                <w:highlight w:val="none"/>
              </w:rPr>
            </w:pPr>
            <w:r>
              <w:rPr>
                <w:rFonts w:hint="eastAsia"/>
                <w:color w:val="auto"/>
                <w:sz w:val="24"/>
                <w:highlight w:val="none"/>
              </w:rPr>
              <w:t>职称</w:t>
            </w:r>
          </w:p>
        </w:tc>
        <w:tc>
          <w:tcPr>
            <w:tcW w:w="4432" w:type="dxa"/>
            <w:gridSpan w:val="5"/>
          </w:tcPr>
          <w:p w14:paraId="16FDAAFB">
            <w:pPr>
              <w:pStyle w:val="37"/>
              <w:spacing w:before="179"/>
              <w:ind w:left="1130"/>
              <w:rPr>
                <w:color w:val="auto"/>
                <w:sz w:val="24"/>
                <w:highlight w:val="none"/>
              </w:rPr>
            </w:pPr>
            <w:r>
              <w:rPr>
                <w:rFonts w:hint="eastAsia"/>
                <w:color w:val="auto"/>
                <w:sz w:val="24"/>
                <w:highlight w:val="none"/>
              </w:rPr>
              <w:t>执业或职业资格证明</w:t>
            </w:r>
          </w:p>
        </w:tc>
        <w:tc>
          <w:tcPr>
            <w:tcW w:w="1776" w:type="dxa"/>
            <w:gridSpan w:val="2"/>
          </w:tcPr>
          <w:p w14:paraId="24C27173">
            <w:pPr>
              <w:pStyle w:val="37"/>
              <w:spacing w:line="304" w:lineRule="exact"/>
              <w:ind w:left="263" w:right="263"/>
              <w:jc w:val="center"/>
              <w:rPr>
                <w:color w:val="auto"/>
                <w:sz w:val="24"/>
                <w:highlight w:val="none"/>
              </w:rPr>
            </w:pPr>
            <w:r>
              <w:rPr>
                <w:rFonts w:hint="eastAsia"/>
                <w:color w:val="auto"/>
                <w:sz w:val="24"/>
                <w:highlight w:val="none"/>
              </w:rPr>
              <w:t>已承担在建</w:t>
            </w:r>
          </w:p>
          <w:p w14:paraId="30E7C013">
            <w:pPr>
              <w:pStyle w:val="37"/>
              <w:spacing w:line="276" w:lineRule="exact"/>
              <w:ind w:left="263" w:right="263"/>
              <w:jc w:val="center"/>
              <w:rPr>
                <w:color w:val="auto"/>
                <w:sz w:val="24"/>
                <w:highlight w:val="none"/>
              </w:rPr>
            </w:pPr>
            <w:r>
              <w:rPr>
                <w:rFonts w:hint="eastAsia"/>
                <w:color w:val="auto"/>
                <w:sz w:val="24"/>
                <w:highlight w:val="none"/>
              </w:rPr>
              <w:t>工程情况</w:t>
            </w:r>
          </w:p>
        </w:tc>
      </w:tr>
      <w:tr w14:paraId="743793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42" w:hRule="atLeast"/>
        </w:trPr>
        <w:tc>
          <w:tcPr>
            <w:tcW w:w="886" w:type="dxa"/>
            <w:vMerge w:val="continue"/>
            <w:tcBorders>
              <w:top w:val="nil"/>
            </w:tcBorders>
          </w:tcPr>
          <w:p w14:paraId="7721CA15">
            <w:pPr>
              <w:rPr>
                <w:color w:val="auto"/>
                <w:sz w:val="2"/>
                <w:szCs w:val="2"/>
                <w:highlight w:val="none"/>
              </w:rPr>
            </w:pPr>
          </w:p>
        </w:tc>
        <w:tc>
          <w:tcPr>
            <w:tcW w:w="886" w:type="dxa"/>
            <w:vMerge w:val="continue"/>
            <w:tcBorders>
              <w:top w:val="nil"/>
            </w:tcBorders>
          </w:tcPr>
          <w:p w14:paraId="5140B3B1">
            <w:pPr>
              <w:rPr>
                <w:color w:val="auto"/>
                <w:sz w:val="2"/>
                <w:szCs w:val="2"/>
                <w:highlight w:val="none"/>
              </w:rPr>
            </w:pPr>
          </w:p>
        </w:tc>
        <w:tc>
          <w:tcPr>
            <w:tcW w:w="887" w:type="dxa"/>
            <w:vMerge w:val="continue"/>
            <w:tcBorders>
              <w:top w:val="nil"/>
            </w:tcBorders>
          </w:tcPr>
          <w:p w14:paraId="71B3F3A7">
            <w:pPr>
              <w:rPr>
                <w:color w:val="auto"/>
                <w:sz w:val="2"/>
                <w:szCs w:val="2"/>
                <w:highlight w:val="none"/>
              </w:rPr>
            </w:pPr>
          </w:p>
        </w:tc>
        <w:tc>
          <w:tcPr>
            <w:tcW w:w="886" w:type="dxa"/>
          </w:tcPr>
          <w:p w14:paraId="2AEC06D3">
            <w:pPr>
              <w:pStyle w:val="37"/>
              <w:spacing w:before="7" w:line="218" w:lineRule="auto"/>
              <w:ind w:left="197" w:right="196"/>
              <w:rPr>
                <w:color w:val="auto"/>
                <w:sz w:val="24"/>
                <w:highlight w:val="none"/>
              </w:rPr>
            </w:pPr>
            <w:r>
              <w:rPr>
                <w:rFonts w:hint="eastAsia"/>
                <w:color w:val="auto"/>
                <w:sz w:val="24"/>
                <w:highlight w:val="none"/>
              </w:rPr>
              <w:t>证书名称</w:t>
            </w:r>
          </w:p>
        </w:tc>
        <w:tc>
          <w:tcPr>
            <w:tcW w:w="886" w:type="dxa"/>
          </w:tcPr>
          <w:p w14:paraId="441352D1">
            <w:pPr>
              <w:pStyle w:val="37"/>
              <w:spacing w:before="166"/>
              <w:ind w:left="199"/>
              <w:rPr>
                <w:color w:val="auto"/>
                <w:sz w:val="24"/>
                <w:highlight w:val="none"/>
              </w:rPr>
            </w:pPr>
            <w:r>
              <w:rPr>
                <w:rFonts w:hint="eastAsia"/>
                <w:color w:val="auto"/>
                <w:sz w:val="24"/>
                <w:highlight w:val="none"/>
              </w:rPr>
              <w:t>级别</w:t>
            </w:r>
          </w:p>
        </w:tc>
        <w:tc>
          <w:tcPr>
            <w:tcW w:w="886" w:type="dxa"/>
          </w:tcPr>
          <w:p w14:paraId="1FCA0AB2">
            <w:pPr>
              <w:pStyle w:val="37"/>
              <w:spacing w:before="211"/>
              <w:ind w:left="199"/>
              <w:rPr>
                <w:color w:val="auto"/>
                <w:sz w:val="24"/>
                <w:highlight w:val="none"/>
              </w:rPr>
            </w:pPr>
            <w:r>
              <w:rPr>
                <w:rFonts w:hint="eastAsia"/>
                <w:color w:val="auto"/>
                <w:sz w:val="24"/>
                <w:highlight w:val="none"/>
              </w:rPr>
              <w:t>证号</w:t>
            </w:r>
          </w:p>
        </w:tc>
        <w:tc>
          <w:tcPr>
            <w:tcW w:w="888" w:type="dxa"/>
          </w:tcPr>
          <w:p w14:paraId="7A5F002D">
            <w:pPr>
              <w:pStyle w:val="37"/>
              <w:spacing w:before="211"/>
              <w:ind w:left="201"/>
              <w:rPr>
                <w:color w:val="auto"/>
                <w:sz w:val="24"/>
                <w:highlight w:val="none"/>
              </w:rPr>
            </w:pPr>
            <w:r>
              <w:rPr>
                <w:rFonts w:hint="eastAsia"/>
                <w:color w:val="auto"/>
                <w:sz w:val="24"/>
                <w:highlight w:val="none"/>
              </w:rPr>
              <w:t>专业</w:t>
            </w:r>
          </w:p>
        </w:tc>
        <w:tc>
          <w:tcPr>
            <w:tcW w:w="886" w:type="dxa"/>
          </w:tcPr>
          <w:p w14:paraId="09049F4A">
            <w:pPr>
              <w:pStyle w:val="37"/>
              <w:spacing w:before="7" w:line="218" w:lineRule="auto"/>
              <w:ind w:left="198" w:right="195"/>
              <w:jc w:val="center"/>
              <w:rPr>
                <w:color w:val="auto"/>
                <w:sz w:val="24"/>
                <w:highlight w:val="none"/>
              </w:rPr>
            </w:pPr>
            <w:r>
              <w:rPr>
                <w:rFonts w:hint="eastAsia"/>
                <w:color w:val="auto"/>
                <w:sz w:val="24"/>
                <w:highlight w:val="none"/>
              </w:rPr>
              <w:t>原服务单</w:t>
            </w:r>
          </w:p>
          <w:p w14:paraId="216226FD">
            <w:pPr>
              <w:pStyle w:val="37"/>
              <w:spacing w:line="255" w:lineRule="exact"/>
              <w:ind w:left="1"/>
              <w:jc w:val="center"/>
              <w:rPr>
                <w:color w:val="auto"/>
                <w:sz w:val="24"/>
                <w:highlight w:val="none"/>
              </w:rPr>
            </w:pPr>
            <w:r>
              <w:rPr>
                <w:rFonts w:hint="eastAsia"/>
                <w:color w:val="auto"/>
                <w:sz w:val="24"/>
                <w:highlight w:val="none"/>
              </w:rPr>
              <w:t>位</w:t>
            </w:r>
          </w:p>
        </w:tc>
        <w:tc>
          <w:tcPr>
            <w:tcW w:w="888" w:type="dxa"/>
          </w:tcPr>
          <w:p w14:paraId="42A6EF0E">
            <w:pPr>
              <w:pStyle w:val="37"/>
              <w:spacing w:before="187" w:line="218" w:lineRule="auto"/>
              <w:ind w:left="321" w:right="194" w:hanging="120"/>
              <w:rPr>
                <w:color w:val="auto"/>
                <w:sz w:val="24"/>
                <w:highlight w:val="none"/>
              </w:rPr>
            </w:pPr>
            <w:r>
              <w:rPr>
                <w:rFonts w:hint="eastAsia"/>
                <w:color w:val="auto"/>
                <w:sz w:val="24"/>
                <w:highlight w:val="none"/>
              </w:rPr>
              <w:t>项目数</w:t>
            </w:r>
          </w:p>
        </w:tc>
        <w:tc>
          <w:tcPr>
            <w:tcW w:w="888" w:type="dxa"/>
          </w:tcPr>
          <w:p w14:paraId="4270842F">
            <w:pPr>
              <w:pStyle w:val="37"/>
              <w:spacing w:before="7" w:line="218" w:lineRule="auto"/>
              <w:ind w:left="201" w:right="194"/>
              <w:rPr>
                <w:color w:val="auto"/>
                <w:sz w:val="24"/>
                <w:highlight w:val="none"/>
              </w:rPr>
            </w:pPr>
            <w:r>
              <w:rPr>
                <w:rFonts w:hint="eastAsia"/>
                <w:color w:val="auto"/>
                <w:spacing w:val="-9"/>
                <w:sz w:val="24"/>
                <w:highlight w:val="none"/>
              </w:rPr>
              <w:t>主要项目</w:t>
            </w:r>
          </w:p>
          <w:p w14:paraId="600621FC">
            <w:pPr>
              <w:pStyle w:val="37"/>
              <w:spacing w:line="255" w:lineRule="exact"/>
              <w:ind w:left="201"/>
              <w:rPr>
                <w:color w:val="auto"/>
                <w:sz w:val="24"/>
                <w:highlight w:val="none"/>
              </w:rPr>
            </w:pPr>
            <w:r>
              <w:rPr>
                <w:rFonts w:hint="eastAsia"/>
                <w:color w:val="auto"/>
                <w:sz w:val="24"/>
                <w:highlight w:val="none"/>
              </w:rPr>
              <w:t>名称</w:t>
            </w:r>
          </w:p>
        </w:tc>
      </w:tr>
      <w:tr w14:paraId="46A94B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279" w:hRule="atLeast"/>
        </w:trPr>
        <w:tc>
          <w:tcPr>
            <w:tcW w:w="886" w:type="dxa"/>
          </w:tcPr>
          <w:p w14:paraId="37E919AB">
            <w:pPr>
              <w:pStyle w:val="37"/>
              <w:rPr>
                <w:color w:val="auto"/>
                <w:sz w:val="24"/>
                <w:highlight w:val="none"/>
              </w:rPr>
            </w:pPr>
          </w:p>
        </w:tc>
        <w:tc>
          <w:tcPr>
            <w:tcW w:w="886" w:type="dxa"/>
          </w:tcPr>
          <w:p w14:paraId="1912A79F">
            <w:pPr>
              <w:pStyle w:val="37"/>
              <w:rPr>
                <w:color w:val="auto"/>
                <w:sz w:val="24"/>
                <w:highlight w:val="none"/>
              </w:rPr>
            </w:pPr>
          </w:p>
        </w:tc>
        <w:tc>
          <w:tcPr>
            <w:tcW w:w="887" w:type="dxa"/>
          </w:tcPr>
          <w:p w14:paraId="1FF00307">
            <w:pPr>
              <w:pStyle w:val="37"/>
              <w:rPr>
                <w:color w:val="auto"/>
                <w:sz w:val="24"/>
                <w:highlight w:val="none"/>
              </w:rPr>
            </w:pPr>
          </w:p>
        </w:tc>
        <w:tc>
          <w:tcPr>
            <w:tcW w:w="886" w:type="dxa"/>
          </w:tcPr>
          <w:p w14:paraId="18FC7E04">
            <w:pPr>
              <w:pStyle w:val="37"/>
              <w:rPr>
                <w:color w:val="auto"/>
                <w:sz w:val="24"/>
                <w:highlight w:val="none"/>
              </w:rPr>
            </w:pPr>
          </w:p>
        </w:tc>
        <w:tc>
          <w:tcPr>
            <w:tcW w:w="886" w:type="dxa"/>
          </w:tcPr>
          <w:p w14:paraId="550AEC11">
            <w:pPr>
              <w:pStyle w:val="37"/>
              <w:rPr>
                <w:color w:val="auto"/>
                <w:sz w:val="24"/>
                <w:highlight w:val="none"/>
              </w:rPr>
            </w:pPr>
          </w:p>
        </w:tc>
        <w:tc>
          <w:tcPr>
            <w:tcW w:w="886" w:type="dxa"/>
          </w:tcPr>
          <w:p w14:paraId="2AC17939">
            <w:pPr>
              <w:pStyle w:val="37"/>
              <w:rPr>
                <w:color w:val="auto"/>
                <w:sz w:val="24"/>
                <w:highlight w:val="none"/>
              </w:rPr>
            </w:pPr>
          </w:p>
        </w:tc>
        <w:tc>
          <w:tcPr>
            <w:tcW w:w="888" w:type="dxa"/>
          </w:tcPr>
          <w:p w14:paraId="5095F8BA">
            <w:pPr>
              <w:pStyle w:val="37"/>
              <w:rPr>
                <w:color w:val="auto"/>
                <w:sz w:val="24"/>
                <w:highlight w:val="none"/>
              </w:rPr>
            </w:pPr>
          </w:p>
        </w:tc>
        <w:tc>
          <w:tcPr>
            <w:tcW w:w="886" w:type="dxa"/>
          </w:tcPr>
          <w:p w14:paraId="4F8E45B6">
            <w:pPr>
              <w:pStyle w:val="37"/>
              <w:rPr>
                <w:color w:val="auto"/>
                <w:sz w:val="24"/>
                <w:highlight w:val="none"/>
              </w:rPr>
            </w:pPr>
          </w:p>
        </w:tc>
        <w:tc>
          <w:tcPr>
            <w:tcW w:w="888" w:type="dxa"/>
          </w:tcPr>
          <w:p w14:paraId="29362973">
            <w:pPr>
              <w:pStyle w:val="37"/>
              <w:rPr>
                <w:color w:val="auto"/>
                <w:sz w:val="24"/>
                <w:highlight w:val="none"/>
              </w:rPr>
            </w:pPr>
          </w:p>
        </w:tc>
        <w:tc>
          <w:tcPr>
            <w:tcW w:w="888" w:type="dxa"/>
          </w:tcPr>
          <w:p w14:paraId="20FD5B4D">
            <w:pPr>
              <w:pStyle w:val="37"/>
              <w:rPr>
                <w:color w:val="auto"/>
                <w:sz w:val="24"/>
                <w:highlight w:val="none"/>
              </w:rPr>
            </w:pPr>
          </w:p>
        </w:tc>
      </w:tr>
      <w:tr w14:paraId="0E1C24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19" w:hRule="atLeast"/>
        </w:trPr>
        <w:tc>
          <w:tcPr>
            <w:tcW w:w="8867" w:type="dxa"/>
            <w:gridSpan w:val="10"/>
          </w:tcPr>
          <w:p w14:paraId="44EC696D">
            <w:pPr>
              <w:pStyle w:val="37"/>
              <w:spacing w:before="112"/>
              <w:ind w:left="107" w:firstLine="359"/>
              <w:rPr>
                <w:color w:val="auto"/>
                <w:sz w:val="24"/>
                <w:highlight w:val="none"/>
              </w:rPr>
            </w:pPr>
            <w:r>
              <w:rPr>
                <w:rFonts w:hint="eastAsia"/>
                <w:color w:val="auto"/>
                <w:spacing w:val="-9"/>
                <w:sz w:val="24"/>
                <w:highlight w:val="none"/>
              </w:rPr>
              <w:t>一旦我单位成交，将实行建造师负责制。并配备上述项目管理机构。我方保证上</w:t>
            </w:r>
          </w:p>
          <w:p w14:paraId="37A647B8">
            <w:pPr>
              <w:pStyle w:val="37"/>
              <w:spacing w:before="2" w:line="440" w:lineRule="atLeast"/>
              <w:ind w:left="107" w:right="99"/>
              <w:rPr>
                <w:color w:val="auto"/>
                <w:sz w:val="24"/>
                <w:highlight w:val="none"/>
              </w:rPr>
            </w:pPr>
            <w:r>
              <w:rPr>
                <w:rFonts w:hint="eastAsia"/>
                <w:color w:val="auto"/>
                <w:sz w:val="24"/>
                <w:highlight w:val="none"/>
              </w:rPr>
              <w:t>述填报内容真实，愿按有关规定接受处理。项目管理班子机构设置、职责分工等情况另附资料说明。</w:t>
            </w:r>
          </w:p>
        </w:tc>
      </w:tr>
    </w:tbl>
    <w:p w14:paraId="134CA32C">
      <w:pPr>
        <w:spacing w:line="440" w:lineRule="atLeast"/>
        <w:rPr>
          <w:color w:val="auto"/>
          <w:sz w:val="24"/>
          <w:highlight w:val="none"/>
        </w:rPr>
        <w:sectPr>
          <w:pgSz w:w="11850" w:h="16790"/>
          <w:pgMar w:top="1600" w:right="1180" w:bottom="920" w:left="1580" w:header="0" w:footer="721" w:gutter="0"/>
          <w:cols w:space="720" w:num="1"/>
        </w:sectPr>
      </w:pPr>
    </w:p>
    <w:p w14:paraId="25F5E7FA">
      <w:pPr>
        <w:spacing w:before="48"/>
        <w:ind w:left="218"/>
        <w:rPr>
          <w:b/>
          <w:color w:val="auto"/>
          <w:sz w:val="28"/>
          <w:highlight w:val="none"/>
        </w:rPr>
      </w:pPr>
      <w:r>
        <w:rPr>
          <w:rFonts w:hint="eastAsia"/>
          <w:b/>
          <w:color w:val="auto"/>
          <w:sz w:val="28"/>
          <w:highlight w:val="none"/>
        </w:rPr>
        <w:t>附件九：</w:t>
      </w:r>
    </w:p>
    <w:p w14:paraId="016DD4CE">
      <w:pPr>
        <w:pStyle w:val="7"/>
        <w:rPr>
          <w:b/>
          <w:color w:val="auto"/>
          <w:sz w:val="20"/>
          <w:highlight w:val="none"/>
        </w:rPr>
      </w:pPr>
    </w:p>
    <w:p w14:paraId="492FB639">
      <w:pPr>
        <w:pStyle w:val="7"/>
        <w:rPr>
          <w:b/>
          <w:color w:val="auto"/>
          <w:sz w:val="20"/>
          <w:highlight w:val="none"/>
        </w:rPr>
      </w:pPr>
    </w:p>
    <w:p w14:paraId="5F34D437">
      <w:pPr>
        <w:spacing w:before="210"/>
        <w:ind w:left="588" w:right="987"/>
        <w:jc w:val="center"/>
        <w:rPr>
          <w:b/>
          <w:color w:val="auto"/>
          <w:sz w:val="32"/>
          <w:highlight w:val="none"/>
        </w:rPr>
      </w:pPr>
      <w:r>
        <w:rPr>
          <w:rFonts w:hint="eastAsia"/>
          <w:b/>
          <w:color w:val="auto"/>
          <w:sz w:val="32"/>
          <w:highlight w:val="none"/>
        </w:rPr>
        <w:t>项目技术负责人简历表</w:t>
      </w:r>
    </w:p>
    <w:p w14:paraId="14A3F3F0">
      <w:pPr>
        <w:pStyle w:val="7"/>
        <w:spacing w:before="9"/>
        <w:rPr>
          <w:b/>
          <w:color w:val="auto"/>
          <w:sz w:val="12"/>
          <w:highlight w:val="none"/>
        </w:rPr>
      </w:pPr>
    </w:p>
    <w:p w14:paraId="1499EA0F">
      <w:pPr>
        <w:pStyle w:val="7"/>
        <w:spacing w:before="66" w:after="43"/>
        <w:ind w:left="218"/>
        <w:rPr>
          <w:color w:val="auto"/>
          <w:highlight w:val="none"/>
        </w:rPr>
      </w:pPr>
      <w:r>
        <w:rPr>
          <w:rFonts w:hint="eastAsia"/>
          <w:color w:val="auto"/>
          <w:highlight w:val="none"/>
        </w:rPr>
        <w:t>项目名称：</w:t>
      </w:r>
    </w:p>
    <w:tbl>
      <w:tblPr>
        <w:tblStyle w:val="18"/>
        <w:tblW w:w="8863" w:type="dxa"/>
        <w:tblInd w:w="11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476"/>
        <w:gridCol w:w="1474"/>
        <w:gridCol w:w="1325"/>
        <w:gridCol w:w="154"/>
        <w:gridCol w:w="1483"/>
        <w:gridCol w:w="1476"/>
        <w:gridCol w:w="1475"/>
      </w:tblGrid>
      <w:tr w14:paraId="6AEEC4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14:paraId="6C19D185">
            <w:pPr>
              <w:pStyle w:val="37"/>
              <w:tabs>
                <w:tab w:val="left" w:pos="486"/>
              </w:tabs>
              <w:spacing w:before="211"/>
              <w:ind w:left="7"/>
              <w:jc w:val="center"/>
              <w:rPr>
                <w:color w:val="auto"/>
                <w:sz w:val="24"/>
                <w:highlight w:val="none"/>
              </w:rPr>
            </w:pPr>
            <w:r>
              <w:rPr>
                <w:rFonts w:hint="eastAsia"/>
                <w:color w:val="auto"/>
                <w:sz w:val="24"/>
                <w:highlight w:val="none"/>
              </w:rPr>
              <w:t>姓</w:t>
            </w:r>
            <w:r>
              <w:rPr>
                <w:rFonts w:hint="eastAsia"/>
                <w:color w:val="auto"/>
                <w:sz w:val="24"/>
                <w:highlight w:val="none"/>
              </w:rPr>
              <w:tab/>
            </w:r>
            <w:r>
              <w:rPr>
                <w:rFonts w:hint="eastAsia"/>
                <w:color w:val="auto"/>
                <w:sz w:val="24"/>
                <w:highlight w:val="none"/>
              </w:rPr>
              <w:t>名</w:t>
            </w:r>
          </w:p>
        </w:tc>
        <w:tc>
          <w:tcPr>
            <w:tcW w:w="1474" w:type="dxa"/>
          </w:tcPr>
          <w:p w14:paraId="1ABD7A55">
            <w:pPr>
              <w:pStyle w:val="37"/>
              <w:rPr>
                <w:color w:val="auto"/>
                <w:sz w:val="24"/>
                <w:highlight w:val="none"/>
              </w:rPr>
            </w:pPr>
          </w:p>
        </w:tc>
        <w:tc>
          <w:tcPr>
            <w:tcW w:w="1479" w:type="dxa"/>
            <w:gridSpan w:val="2"/>
          </w:tcPr>
          <w:p w14:paraId="19CDA091">
            <w:pPr>
              <w:pStyle w:val="37"/>
              <w:tabs>
                <w:tab w:val="left" w:pos="856"/>
              </w:tabs>
              <w:spacing w:before="211"/>
              <w:ind w:left="376"/>
              <w:rPr>
                <w:color w:val="auto"/>
                <w:sz w:val="24"/>
                <w:highlight w:val="none"/>
              </w:rPr>
            </w:pPr>
            <w:r>
              <w:rPr>
                <w:rFonts w:hint="eastAsia"/>
                <w:color w:val="auto"/>
                <w:sz w:val="24"/>
                <w:highlight w:val="none"/>
              </w:rPr>
              <w:t>性</w:t>
            </w:r>
            <w:r>
              <w:rPr>
                <w:rFonts w:hint="eastAsia"/>
                <w:color w:val="auto"/>
                <w:sz w:val="24"/>
                <w:highlight w:val="none"/>
              </w:rPr>
              <w:tab/>
            </w:r>
            <w:r>
              <w:rPr>
                <w:rFonts w:hint="eastAsia"/>
                <w:color w:val="auto"/>
                <w:sz w:val="24"/>
                <w:highlight w:val="none"/>
              </w:rPr>
              <w:t>别</w:t>
            </w:r>
          </w:p>
        </w:tc>
        <w:tc>
          <w:tcPr>
            <w:tcW w:w="1483" w:type="dxa"/>
          </w:tcPr>
          <w:p w14:paraId="738CE4E4">
            <w:pPr>
              <w:pStyle w:val="37"/>
              <w:rPr>
                <w:color w:val="auto"/>
                <w:sz w:val="24"/>
                <w:highlight w:val="none"/>
              </w:rPr>
            </w:pPr>
          </w:p>
        </w:tc>
        <w:tc>
          <w:tcPr>
            <w:tcW w:w="1476" w:type="dxa"/>
          </w:tcPr>
          <w:p w14:paraId="22EB6EAB">
            <w:pPr>
              <w:pStyle w:val="37"/>
              <w:spacing w:before="211"/>
              <w:ind w:left="7"/>
              <w:jc w:val="center"/>
              <w:rPr>
                <w:color w:val="auto"/>
                <w:sz w:val="24"/>
                <w:highlight w:val="none"/>
              </w:rPr>
            </w:pPr>
            <w:r>
              <w:rPr>
                <w:rFonts w:hint="eastAsia"/>
                <w:color w:val="auto"/>
                <w:sz w:val="24"/>
                <w:highlight w:val="none"/>
              </w:rPr>
              <w:t>年龄</w:t>
            </w:r>
          </w:p>
        </w:tc>
        <w:tc>
          <w:tcPr>
            <w:tcW w:w="1475" w:type="dxa"/>
          </w:tcPr>
          <w:p w14:paraId="6B0996DA">
            <w:pPr>
              <w:pStyle w:val="37"/>
              <w:rPr>
                <w:color w:val="auto"/>
                <w:sz w:val="24"/>
                <w:highlight w:val="none"/>
              </w:rPr>
            </w:pPr>
          </w:p>
        </w:tc>
      </w:tr>
      <w:tr w14:paraId="51C13A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14:paraId="42159152">
            <w:pPr>
              <w:pStyle w:val="37"/>
              <w:rPr>
                <w:color w:val="auto"/>
                <w:sz w:val="24"/>
                <w:highlight w:val="none"/>
              </w:rPr>
            </w:pPr>
          </w:p>
        </w:tc>
        <w:tc>
          <w:tcPr>
            <w:tcW w:w="1474" w:type="dxa"/>
          </w:tcPr>
          <w:p w14:paraId="09A4E692">
            <w:pPr>
              <w:pStyle w:val="37"/>
              <w:rPr>
                <w:color w:val="auto"/>
                <w:sz w:val="24"/>
                <w:highlight w:val="none"/>
              </w:rPr>
            </w:pPr>
          </w:p>
        </w:tc>
        <w:tc>
          <w:tcPr>
            <w:tcW w:w="1479" w:type="dxa"/>
            <w:gridSpan w:val="2"/>
          </w:tcPr>
          <w:p w14:paraId="03F1FA7B">
            <w:pPr>
              <w:pStyle w:val="37"/>
              <w:rPr>
                <w:color w:val="auto"/>
                <w:sz w:val="24"/>
                <w:highlight w:val="none"/>
              </w:rPr>
            </w:pPr>
          </w:p>
        </w:tc>
        <w:tc>
          <w:tcPr>
            <w:tcW w:w="1483" w:type="dxa"/>
          </w:tcPr>
          <w:p w14:paraId="422EB500">
            <w:pPr>
              <w:pStyle w:val="37"/>
              <w:rPr>
                <w:color w:val="auto"/>
                <w:sz w:val="24"/>
                <w:highlight w:val="none"/>
              </w:rPr>
            </w:pPr>
          </w:p>
        </w:tc>
        <w:tc>
          <w:tcPr>
            <w:tcW w:w="1476" w:type="dxa"/>
          </w:tcPr>
          <w:p w14:paraId="47E535C7">
            <w:pPr>
              <w:pStyle w:val="37"/>
              <w:rPr>
                <w:color w:val="auto"/>
                <w:sz w:val="24"/>
                <w:highlight w:val="none"/>
              </w:rPr>
            </w:pPr>
          </w:p>
        </w:tc>
        <w:tc>
          <w:tcPr>
            <w:tcW w:w="1475" w:type="dxa"/>
          </w:tcPr>
          <w:p w14:paraId="7A87D972">
            <w:pPr>
              <w:pStyle w:val="37"/>
              <w:rPr>
                <w:color w:val="auto"/>
                <w:sz w:val="24"/>
                <w:highlight w:val="none"/>
              </w:rPr>
            </w:pPr>
          </w:p>
        </w:tc>
      </w:tr>
      <w:tr w14:paraId="43836B5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1476" w:type="dxa"/>
          </w:tcPr>
          <w:p w14:paraId="5EE004D3">
            <w:pPr>
              <w:pStyle w:val="37"/>
              <w:tabs>
                <w:tab w:val="left" w:pos="486"/>
              </w:tabs>
              <w:spacing w:before="211"/>
              <w:ind w:left="7"/>
              <w:jc w:val="center"/>
              <w:rPr>
                <w:color w:val="auto"/>
                <w:sz w:val="24"/>
                <w:highlight w:val="none"/>
              </w:rPr>
            </w:pPr>
            <w:r>
              <w:rPr>
                <w:rFonts w:hint="eastAsia"/>
                <w:color w:val="auto"/>
                <w:sz w:val="24"/>
                <w:highlight w:val="none"/>
              </w:rPr>
              <w:t>职</w:t>
            </w:r>
            <w:r>
              <w:rPr>
                <w:rFonts w:hint="eastAsia"/>
                <w:color w:val="auto"/>
                <w:sz w:val="24"/>
                <w:highlight w:val="none"/>
              </w:rPr>
              <w:tab/>
            </w:r>
            <w:r>
              <w:rPr>
                <w:rFonts w:hint="eastAsia"/>
                <w:color w:val="auto"/>
                <w:sz w:val="24"/>
                <w:highlight w:val="none"/>
              </w:rPr>
              <w:t>务</w:t>
            </w:r>
          </w:p>
        </w:tc>
        <w:tc>
          <w:tcPr>
            <w:tcW w:w="1474" w:type="dxa"/>
          </w:tcPr>
          <w:p w14:paraId="6671FC63">
            <w:pPr>
              <w:pStyle w:val="37"/>
              <w:rPr>
                <w:color w:val="auto"/>
                <w:sz w:val="24"/>
                <w:highlight w:val="none"/>
              </w:rPr>
            </w:pPr>
          </w:p>
        </w:tc>
        <w:tc>
          <w:tcPr>
            <w:tcW w:w="1479" w:type="dxa"/>
            <w:gridSpan w:val="2"/>
          </w:tcPr>
          <w:p w14:paraId="38BDBFCF">
            <w:pPr>
              <w:pStyle w:val="37"/>
              <w:tabs>
                <w:tab w:val="left" w:pos="856"/>
              </w:tabs>
              <w:spacing w:before="211"/>
              <w:ind w:left="376"/>
              <w:rPr>
                <w:color w:val="auto"/>
                <w:sz w:val="24"/>
                <w:highlight w:val="none"/>
              </w:rPr>
            </w:pPr>
            <w:r>
              <w:rPr>
                <w:rFonts w:hint="eastAsia"/>
                <w:color w:val="auto"/>
                <w:sz w:val="24"/>
                <w:highlight w:val="none"/>
              </w:rPr>
              <w:t>职</w:t>
            </w:r>
            <w:r>
              <w:rPr>
                <w:rFonts w:hint="eastAsia"/>
                <w:color w:val="auto"/>
                <w:sz w:val="24"/>
                <w:highlight w:val="none"/>
              </w:rPr>
              <w:tab/>
            </w:r>
            <w:r>
              <w:rPr>
                <w:rFonts w:hint="eastAsia"/>
                <w:color w:val="auto"/>
                <w:sz w:val="24"/>
                <w:highlight w:val="none"/>
              </w:rPr>
              <w:t>称</w:t>
            </w:r>
          </w:p>
        </w:tc>
        <w:tc>
          <w:tcPr>
            <w:tcW w:w="1483" w:type="dxa"/>
          </w:tcPr>
          <w:p w14:paraId="18CE7977">
            <w:pPr>
              <w:pStyle w:val="37"/>
              <w:rPr>
                <w:color w:val="auto"/>
                <w:sz w:val="24"/>
                <w:highlight w:val="none"/>
              </w:rPr>
            </w:pPr>
          </w:p>
        </w:tc>
        <w:tc>
          <w:tcPr>
            <w:tcW w:w="1476" w:type="dxa"/>
          </w:tcPr>
          <w:p w14:paraId="1AD61201">
            <w:pPr>
              <w:pStyle w:val="37"/>
              <w:tabs>
                <w:tab w:val="left" w:pos="488"/>
              </w:tabs>
              <w:spacing w:before="211"/>
              <w:ind w:left="8"/>
              <w:jc w:val="center"/>
              <w:rPr>
                <w:color w:val="auto"/>
                <w:sz w:val="24"/>
                <w:highlight w:val="none"/>
              </w:rPr>
            </w:pPr>
            <w:r>
              <w:rPr>
                <w:rFonts w:hint="eastAsia"/>
                <w:color w:val="auto"/>
                <w:sz w:val="24"/>
                <w:highlight w:val="none"/>
              </w:rPr>
              <w:t>学</w:t>
            </w:r>
            <w:r>
              <w:rPr>
                <w:rFonts w:hint="eastAsia"/>
                <w:color w:val="auto"/>
                <w:sz w:val="24"/>
                <w:highlight w:val="none"/>
              </w:rPr>
              <w:tab/>
            </w:r>
            <w:r>
              <w:rPr>
                <w:rFonts w:hint="eastAsia"/>
                <w:color w:val="auto"/>
                <w:sz w:val="24"/>
                <w:highlight w:val="none"/>
              </w:rPr>
              <w:t>历</w:t>
            </w:r>
          </w:p>
        </w:tc>
        <w:tc>
          <w:tcPr>
            <w:tcW w:w="1475" w:type="dxa"/>
          </w:tcPr>
          <w:p w14:paraId="48A19D8E">
            <w:pPr>
              <w:pStyle w:val="37"/>
              <w:rPr>
                <w:color w:val="auto"/>
                <w:sz w:val="24"/>
                <w:highlight w:val="none"/>
              </w:rPr>
            </w:pPr>
          </w:p>
        </w:tc>
      </w:tr>
      <w:tr w14:paraId="60B40C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8" w:hRule="atLeast"/>
        </w:trPr>
        <w:tc>
          <w:tcPr>
            <w:tcW w:w="1476" w:type="dxa"/>
          </w:tcPr>
          <w:p w14:paraId="1023E0F7">
            <w:pPr>
              <w:pStyle w:val="37"/>
              <w:spacing w:before="31"/>
              <w:ind w:left="7"/>
              <w:jc w:val="center"/>
              <w:rPr>
                <w:color w:val="auto"/>
                <w:sz w:val="24"/>
                <w:highlight w:val="none"/>
              </w:rPr>
            </w:pPr>
            <w:r>
              <w:rPr>
                <w:rFonts w:hint="eastAsia"/>
                <w:color w:val="auto"/>
                <w:sz w:val="24"/>
                <w:highlight w:val="none"/>
              </w:rPr>
              <w:t>参加工作</w:t>
            </w:r>
          </w:p>
          <w:p w14:paraId="19625B42">
            <w:pPr>
              <w:pStyle w:val="37"/>
              <w:spacing w:before="33" w:line="287" w:lineRule="exact"/>
              <w:ind w:left="7"/>
              <w:jc w:val="center"/>
              <w:rPr>
                <w:color w:val="auto"/>
                <w:sz w:val="24"/>
                <w:highlight w:val="none"/>
              </w:rPr>
            </w:pPr>
            <w:r>
              <w:rPr>
                <w:rFonts w:hint="eastAsia"/>
                <w:color w:val="auto"/>
                <w:sz w:val="24"/>
                <w:highlight w:val="none"/>
              </w:rPr>
              <w:t>时间</w:t>
            </w:r>
          </w:p>
        </w:tc>
        <w:tc>
          <w:tcPr>
            <w:tcW w:w="2953" w:type="dxa"/>
            <w:gridSpan w:val="3"/>
          </w:tcPr>
          <w:p w14:paraId="2E17C885">
            <w:pPr>
              <w:pStyle w:val="37"/>
              <w:rPr>
                <w:color w:val="auto"/>
                <w:sz w:val="24"/>
                <w:highlight w:val="none"/>
              </w:rPr>
            </w:pPr>
          </w:p>
        </w:tc>
        <w:tc>
          <w:tcPr>
            <w:tcW w:w="1483" w:type="dxa"/>
          </w:tcPr>
          <w:p w14:paraId="03446AA6">
            <w:pPr>
              <w:pStyle w:val="37"/>
              <w:spacing w:before="31"/>
              <w:ind w:left="118" w:right="114"/>
              <w:jc w:val="center"/>
              <w:rPr>
                <w:color w:val="auto"/>
                <w:sz w:val="24"/>
                <w:highlight w:val="none"/>
              </w:rPr>
            </w:pPr>
            <w:r>
              <w:rPr>
                <w:rFonts w:hint="eastAsia"/>
                <w:color w:val="auto"/>
                <w:sz w:val="24"/>
                <w:highlight w:val="none"/>
              </w:rPr>
              <w:t>担任技术负</w:t>
            </w:r>
          </w:p>
          <w:p w14:paraId="0A7ADA92">
            <w:pPr>
              <w:pStyle w:val="37"/>
              <w:spacing w:before="33" w:line="287" w:lineRule="exact"/>
              <w:ind w:left="118" w:right="114"/>
              <w:jc w:val="center"/>
              <w:rPr>
                <w:color w:val="auto"/>
                <w:sz w:val="24"/>
                <w:highlight w:val="none"/>
              </w:rPr>
            </w:pPr>
            <w:r>
              <w:rPr>
                <w:rFonts w:hint="eastAsia"/>
                <w:color w:val="auto"/>
                <w:sz w:val="24"/>
                <w:highlight w:val="none"/>
              </w:rPr>
              <w:t>责人年限</w:t>
            </w:r>
          </w:p>
        </w:tc>
        <w:tc>
          <w:tcPr>
            <w:tcW w:w="2951" w:type="dxa"/>
            <w:gridSpan w:val="2"/>
          </w:tcPr>
          <w:p w14:paraId="329C1CB7">
            <w:pPr>
              <w:pStyle w:val="37"/>
              <w:rPr>
                <w:color w:val="auto"/>
                <w:sz w:val="24"/>
                <w:highlight w:val="none"/>
              </w:rPr>
            </w:pPr>
          </w:p>
        </w:tc>
      </w:tr>
      <w:tr w14:paraId="0C85E7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1" w:hRule="atLeast"/>
        </w:trPr>
        <w:tc>
          <w:tcPr>
            <w:tcW w:w="8863" w:type="dxa"/>
            <w:gridSpan w:val="7"/>
          </w:tcPr>
          <w:p w14:paraId="36D922AE">
            <w:pPr>
              <w:pStyle w:val="37"/>
              <w:spacing w:before="211"/>
              <w:ind w:left="3090" w:right="3082"/>
              <w:jc w:val="center"/>
              <w:rPr>
                <w:color w:val="auto"/>
                <w:sz w:val="24"/>
                <w:highlight w:val="none"/>
              </w:rPr>
            </w:pPr>
            <w:r>
              <w:rPr>
                <w:rFonts w:hint="eastAsia"/>
                <w:color w:val="auto"/>
                <w:sz w:val="24"/>
                <w:highlight w:val="none"/>
              </w:rPr>
              <w:t>在建和已完工程项目情况</w:t>
            </w:r>
          </w:p>
        </w:tc>
      </w:tr>
      <w:tr w14:paraId="09F83F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58" w:hRule="atLeast"/>
        </w:trPr>
        <w:tc>
          <w:tcPr>
            <w:tcW w:w="1476" w:type="dxa"/>
          </w:tcPr>
          <w:p w14:paraId="27A3B735">
            <w:pPr>
              <w:pStyle w:val="37"/>
              <w:spacing w:before="208"/>
              <w:ind w:left="7"/>
              <w:jc w:val="center"/>
              <w:rPr>
                <w:color w:val="auto"/>
                <w:sz w:val="24"/>
                <w:highlight w:val="none"/>
              </w:rPr>
            </w:pPr>
            <w:r>
              <w:rPr>
                <w:rFonts w:hint="eastAsia"/>
                <w:color w:val="auto"/>
                <w:sz w:val="24"/>
                <w:highlight w:val="none"/>
              </w:rPr>
              <w:t>建设单位</w:t>
            </w:r>
          </w:p>
        </w:tc>
        <w:tc>
          <w:tcPr>
            <w:tcW w:w="1474" w:type="dxa"/>
          </w:tcPr>
          <w:p w14:paraId="63485EBF">
            <w:pPr>
              <w:pStyle w:val="37"/>
              <w:spacing w:before="208"/>
              <w:ind w:left="254"/>
              <w:rPr>
                <w:color w:val="auto"/>
                <w:sz w:val="24"/>
                <w:highlight w:val="none"/>
              </w:rPr>
            </w:pPr>
            <w:r>
              <w:rPr>
                <w:rFonts w:hint="eastAsia"/>
                <w:color w:val="auto"/>
                <w:sz w:val="24"/>
                <w:highlight w:val="none"/>
              </w:rPr>
              <w:t>项目名称</w:t>
            </w:r>
          </w:p>
        </w:tc>
        <w:tc>
          <w:tcPr>
            <w:tcW w:w="1325" w:type="dxa"/>
          </w:tcPr>
          <w:p w14:paraId="4E1DEDEF">
            <w:pPr>
              <w:pStyle w:val="37"/>
              <w:spacing w:before="208"/>
              <w:ind w:left="182"/>
              <w:rPr>
                <w:color w:val="auto"/>
                <w:sz w:val="24"/>
                <w:highlight w:val="none"/>
              </w:rPr>
            </w:pPr>
            <w:r>
              <w:rPr>
                <w:rFonts w:hint="eastAsia"/>
                <w:color w:val="auto"/>
                <w:sz w:val="24"/>
                <w:highlight w:val="none"/>
              </w:rPr>
              <w:t>建设规模</w:t>
            </w:r>
          </w:p>
        </w:tc>
        <w:tc>
          <w:tcPr>
            <w:tcW w:w="1637" w:type="dxa"/>
            <w:gridSpan w:val="2"/>
          </w:tcPr>
          <w:p w14:paraId="27284A64">
            <w:pPr>
              <w:pStyle w:val="37"/>
              <w:spacing w:before="208"/>
              <w:ind w:left="108"/>
              <w:rPr>
                <w:color w:val="auto"/>
                <w:sz w:val="24"/>
                <w:highlight w:val="none"/>
              </w:rPr>
            </w:pPr>
            <w:r>
              <w:rPr>
                <w:rFonts w:hint="eastAsia"/>
                <w:color w:val="auto"/>
                <w:sz w:val="24"/>
                <w:highlight w:val="none"/>
              </w:rPr>
              <w:t>开、竣工日期</w:t>
            </w:r>
          </w:p>
        </w:tc>
        <w:tc>
          <w:tcPr>
            <w:tcW w:w="1476" w:type="dxa"/>
          </w:tcPr>
          <w:p w14:paraId="42795D36">
            <w:pPr>
              <w:pStyle w:val="37"/>
              <w:spacing w:before="208"/>
              <w:ind w:left="7"/>
              <w:jc w:val="center"/>
              <w:rPr>
                <w:color w:val="auto"/>
                <w:sz w:val="24"/>
                <w:highlight w:val="none"/>
              </w:rPr>
            </w:pPr>
            <w:r>
              <w:rPr>
                <w:rFonts w:hint="eastAsia"/>
                <w:color w:val="auto"/>
                <w:sz w:val="24"/>
                <w:highlight w:val="none"/>
              </w:rPr>
              <w:t>在建或已完</w:t>
            </w:r>
          </w:p>
        </w:tc>
        <w:tc>
          <w:tcPr>
            <w:tcW w:w="1475" w:type="dxa"/>
          </w:tcPr>
          <w:p w14:paraId="6EB683CD">
            <w:pPr>
              <w:pStyle w:val="37"/>
              <w:spacing w:before="208"/>
              <w:ind w:left="257"/>
              <w:rPr>
                <w:color w:val="auto"/>
                <w:sz w:val="24"/>
                <w:highlight w:val="none"/>
              </w:rPr>
            </w:pPr>
            <w:r>
              <w:rPr>
                <w:rFonts w:hint="eastAsia"/>
                <w:color w:val="auto"/>
                <w:sz w:val="24"/>
                <w:highlight w:val="none"/>
              </w:rPr>
              <w:t>工程质量</w:t>
            </w:r>
          </w:p>
        </w:tc>
      </w:tr>
      <w:tr w14:paraId="7865ED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61" w:hRule="atLeast"/>
        </w:trPr>
        <w:tc>
          <w:tcPr>
            <w:tcW w:w="1476" w:type="dxa"/>
          </w:tcPr>
          <w:p w14:paraId="0C41275B">
            <w:pPr>
              <w:pStyle w:val="37"/>
              <w:rPr>
                <w:color w:val="auto"/>
                <w:sz w:val="24"/>
                <w:highlight w:val="none"/>
              </w:rPr>
            </w:pPr>
          </w:p>
        </w:tc>
        <w:tc>
          <w:tcPr>
            <w:tcW w:w="1474" w:type="dxa"/>
          </w:tcPr>
          <w:p w14:paraId="20B9D4E3">
            <w:pPr>
              <w:pStyle w:val="37"/>
              <w:rPr>
                <w:color w:val="auto"/>
                <w:sz w:val="24"/>
                <w:highlight w:val="none"/>
              </w:rPr>
            </w:pPr>
          </w:p>
        </w:tc>
        <w:tc>
          <w:tcPr>
            <w:tcW w:w="1325" w:type="dxa"/>
          </w:tcPr>
          <w:p w14:paraId="4BA08D8C">
            <w:pPr>
              <w:pStyle w:val="37"/>
              <w:rPr>
                <w:color w:val="auto"/>
                <w:sz w:val="24"/>
                <w:highlight w:val="none"/>
              </w:rPr>
            </w:pPr>
          </w:p>
        </w:tc>
        <w:tc>
          <w:tcPr>
            <w:tcW w:w="1637" w:type="dxa"/>
            <w:gridSpan w:val="2"/>
          </w:tcPr>
          <w:p w14:paraId="06AEA14B">
            <w:pPr>
              <w:pStyle w:val="37"/>
              <w:rPr>
                <w:color w:val="auto"/>
                <w:sz w:val="24"/>
                <w:highlight w:val="none"/>
              </w:rPr>
            </w:pPr>
          </w:p>
        </w:tc>
        <w:tc>
          <w:tcPr>
            <w:tcW w:w="1476" w:type="dxa"/>
          </w:tcPr>
          <w:p w14:paraId="0A303B6D">
            <w:pPr>
              <w:pStyle w:val="37"/>
              <w:rPr>
                <w:color w:val="auto"/>
                <w:sz w:val="24"/>
                <w:highlight w:val="none"/>
              </w:rPr>
            </w:pPr>
          </w:p>
        </w:tc>
        <w:tc>
          <w:tcPr>
            <w:tcW w:w="1475" w:type="dxa"/>
          </w:tcPr>
          <w:p w14:paraId="0666725A">
            <w:pPr>
              <w:pStyle w:val="37"/>
              <w:rPr>
                <w:color w:val="auto"/>
                <w:sz w:val="24"/>
                <w:highlight w:val="none"/>
              </w:rPr>
            </w:pPr>
          </w:p>
        </w:tc>
      </w:tr>
    </w:tbl>
    <w:p w14:paraId="52F52FD6">
      <w:pPr>
        <w:rPr>
          <w:color w:val="auto"/>
          <w:sz w:val="24"/>
          <w:highlight w:val="none"/>
        </w:rPr>
        <w:sectPr>
          <w:pgSz w:w="11850" w:h="16790"/>
          <w:pgMar w:top="1560" w:right="1180" w:bottom="920" w:left="1580" w:header="0" w:footer="721" w:gutter="0"/>
          <w:cols w:space="720" w:num="1"/>
        </w:sectPr>
      </w:pPr>
    </w:p>
    <w:p w14:paraId="3B61E7F8">
      <w:pPr>
        <w:spacing w:before="38"/>
        <w:ind w:left="218"/>
        <w:rPr>
          <w:b/>
          <w:color w:val="auto"/>
          <w:sz w:val="28"/>
          <w:highlight w:val="none"/>
        </w:rPr>
      </w:pPr>
      <w:r>
        <w:rPr>
          <w:rFonts w:hint="eastAsia"/>
          <w:b/>
          <w:color w:val="auto"/>
          <w:sz w:val="28"/>
          <w:highlight w:val="none"/>
        </w:rPr>
        <w:t>附件十：</w:t>
      </w:r>
    </w:p>
    <w:p w14:paraId="22366607">
      <w:pPr>
        <w:pStyle w:val="7"/>
        <w:rPr>
          <w:b/>
          <w:color w:val="auto"/>
          <w:sz w:val="20"/>
          <w:highlight w:val="none"/>
        </w:rPr>
      </w:pPr>
    </w:p>
    <w:p w14:paraId="6AC99AE2">
      <w:pPr>
        <w:pStyle w:val="7"/>
        <w:rPr>
          <w:b/>
          <w:color w:val="auto"/>
          <w:sz w:val="20"/>
          <w:highlight w:val="none"/>
        </w:rPr>
      </w:pPr>
    </w:p>
    <w:p w14:paraId="1B2705D9">
      <w:pPr>
        <w:pStyle w:val="7"/>
        <w:spacing w:before="12"/>
        <w:rPr>
          <w:b/>
          <w:color w:val="auto"/>
          <w:sz w:val="22"/>
          <w:highlight w:val="none"/>
        </w:rPr>
      </w:pPr>
    </w:p>
    <w:p w14:paraId="25CD7496">
      <w:pPr>
        <w:spacing w:before="55"/>
        <w:ind w:left="588" w:right="987"/>
        <w:jc w:val="center"/>
        <w:rPr>
          <w:b/>
          <w:color w:val="auto"/>
          <w:sz w:val="32"/>
          <w:highlight w:val="none"/>
        </w:rPr>
      </w:pPr>
      <w:r>
        <w:rPr>
          <w:rFonts w:hint="eastAsia"/>
          <w:b/>
          <w:color w:val="auto"/>
          <w:sz w:val="32"/>
          <w:highlight w:val="none"/>
        </w:rPr>
        <w:t>项目管理机构配备情况辅助说明资料</w:t>
      </w:r>
    </w:p>
    <w:p w14:paraId="69AEA6B6">
      <w:pPr>
        <w:pStyle w:val="7"/>
        <w:spacing w:before="9"/>
        <w:rPr>
          <w:b/>
          <w:color w:val="auto"/>
          <w:sz w:val="12"/>
          <w:highlight w:val="none"/>
        </w:rPr>
      </w:pPr>
    </w:p>
    <w:p w14:paraId="72F21DEA">
      <w:pPr>
        <w:pStyle w:val="7"/>
        <w:spacing w:before="66"/>
        <w:ind w:left="218"/>
        <w:rPr>
          <w:color w:val="auto"/>
          <w:highlight w:val="none"/>
        </w:rPr>
      </w:pPr>
      <w:r>
        <w:rPr>
          <w:rFonts w:hint="eastAsia"/>
          <w:color w:val="auto"/>
          <w:highlight w:val="none"/>
        </w:rPr>
        <w:t>项目名称：</w:t>
      </w:r>
    </w:p>
    <w:p w14:paraId="628D20B0">
      <w:pPr>
        <w:pStyle w:val="7"/>
        <w:keepNext w:val="0"/>
        <w:keepLines w:val="0"/>
        <w:pageBreakBefore w:val="0"/>
        <w:widowControl w:val="0"/>
        <w:kinsoku/>
        <w:wordWrap/>
        <w:overflowPunct/>
        <w:topLinePunct w:val="0"/>
        <w:autoSpaceDE w:val="0"/>
        <w:autoSpaceDN w:val="0"/>
        <w:bidi w:val="0"/>
        <w:adjustRightInd w:val="0"/>
        <w:snapToGrid w:val="0"/>
        <w:spacing w:before="10"/>
        <w:textAlignment w:val="auto"/>
        <w:rPr>
          <w:color w:val="auto"/>
          <w:sz w:val="8"/>
          <w:highlight w:val="none"/>
        </w:rPr>
      </w:pPr>
      <w:r>
        <w:rPr>
          <w:color w:val="auto"/>
          <w:highlight w:val="none"/>
          <w:lang w:val="en-US" w:bidi="ar-SA"/>
        </w:rPr>
        <mc:AlternateContent>
          <mc:Choice Requires="wpg">
            <w:drawing>
              <wp:anchor distT="0" distB="0" distL="114300" distR="114300" simplePos="0" relativeHeight="251660288" behindDoc="1" locked="0" layoutInCell="1" allowOverlap="1">
                <wp:simplePos x="0" y="0"/>
                <wp:positionH relativeFrom="page">
                  <wp:posOffset>1863090</wp:posOffset>
                </wp:positionH>
                <wp:positionV relativeFrom="paragraph">
                  <wp:posOffset>172085</wp:posOffset>
                </wp:positionV>
                <wp:extent cx="4728845" cy="4364990"/>
                <wp:effectExtent l="1905" t="1905" r="12700" b="14605"/>
                <wp:wrapTopAndBottom/>
                <wp:docPr id="4" name="Group 2"/>
                <wp:cNvGraphicFramePr/>
                <a:graphic xmlns:a="http://schemas.openxmlformats.org/drawingml/2006/main">
                  <a:graphicData uri="http://schemas.microsoft.com/office/word/2010/wordprocessingGroup">
                    <wpg:wgp>
                      <wpg:cNvGrpSpPr/>
                      <wpg:grpSpPr>
                        <a:xfrm>
                          <a:off x="0" y="0"/>
                          <a:ext cx="4728845" cy="4364990"/>
                          <a:chOff x="1685" y="419"/>
                          <a:chExt cx="8875" cy="8421"/>
                        </a:xfrm>
                        <a:effectLst/>
                      </wpg:grpSpPr>
                      <wps:wsp>
                        <wps:cNvPr id="5" name="Rectangle 3"/>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6" name="Rectangle 4"/>
                        <wps:cNvSpPr>
                          <a:spLocks noChangeArrowheads="1"/>
                        </wps:cNvSpPr>
                        <wps:spPr bwMode="auto">
                          <a:xfrm>
                            <a:off x="1685"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7" name="Line 5"/>
                        <wps:cNvCnPr/>
                        <wps:spPr bwMode="auto">
                          <a:xfrm>
                            <a:off x="1695" y="424"/>
                            <a:ext cx="8855" cy="0"/>
                          </a:xfrm>
                          <a:prstGeom prst="line">
                            <a:avLst/>
                          </a:prstGeom>
                          <a:noFill/>
                          <a:ln w="6096">
                            <a:solidFill>
                              <a:srgbClr val="000000"/>
                            </a:solidFill>
                            <a:round/>
                          </a:ln>
                          <a:effectLst/>
                        </wps:spPr>
                        <wps:bodyPr/>
                      </wps:wsp>
                      <wps:wsp>
                        <wps:cNvPr id="8" name="Rectangle 6"/>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9" name="Rectangle 7"/>
                        <wps:cNvSpPr>
                          <a:spLocks noChangeArrowheads="1"/>
                        </wps:cNvSpPr>
                        <wps:spPr bwMode="auto">
                          <a:xfrm>
                            <a:off x="10550" y="418"/>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0" name="Line 8"/>
                        <wps:cNvCnPr/>
                        <wps:spPr bwMode="auto">
                          <a:xfrm>
                            <a:off x="1690" y="429"/>
                            <a:ext cx="0" cy="8401"/>
                          </a:xfrm>
                          <a:prstGeom prst="line">
                            <a:avLst/>
                          </a:prstGeom>
                          <a:noFill/>
                          <a:ln w="6096">
                            <a:solidFill>
                              <a:srgbClr val="000000"/>
                            </a:solidFill>
                            <a:round/>
                          </a:ln>
                          <a:effectLst/>
                        </wps:spPr>
                        <wps:bodyPr/>
                      </wps:wsp>
                      <wps:wsp>
                        <wps:cNvPr id="11" name="Rectangle 9"/>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2" name="Rectangle 10"/>
                        <wps:cNvSpPr>
                          <a:spLocks noChangeArrowheads="1"/>
                        </wps:cNvSpPr>
                        <wps:spPr bwMode="auto">
                          <a:xfrm>
                            <a:off x="1685"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3" name="Line 11"/>
                        <wps:cNvCnPr/>
                        <wps:spPr bwMode="auto">
                          <a:xfrm>
                            <a:off x="1695" y="8835"/>
                            <a:ext cx="8855" cy="0"/>
                          </a:xfrm>
                          <a:prstGeom prst="line">
                            <a:avLst/>
                          </a:prstGeom>
                          <a:noFill/>
                          <a:ln w="6096">
                            <a:solidFill>
                              <a:srgbClr val="000000"/>
                            </a:solidFill>
                            <a:round/>
                          </a:ln>
                          <a:effectLst/>
                        </wps:spPr>
                        <wps:bodyPr/>
                      </wps:wsp>
                      <wps:wsp>
                        <wps:cNvPr id="14" name="Line 12"/>
                        <wps:cNvCnPr/>
                        <wps:spPr bwMode="auto">
                          <a:xfrm>
                            <a:off x="10555" y="429"/>
                            <a:ext cx="0" cy="8401"/>
                          </a:xfrm>
                          <a:prstGeom prst="line">
                            <a:avLst/>
                          </a:prstGeom>
                          <a:noFill/>
                          <a:ln w="6096">
                            <a:solidFill>
                              <a:srgbClr val="000000"/>
                            </a:solidFill>
                            <a:round/>
                          </a:ln>
                          <a:effectLst/>
                        </wps:spPr>
                        <wps:bodyPr/>
                      </wps:wsp>
                      <wps:wsp>
                        <wps:cNvPr id="15" name="Rectangle 13"/>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s:wsp>
                        <wps:cNvPr id="16" name="Rectangle 14"/>
                        <wps:cNvSpPr>
                          <a:spLocks noChangeArrowheads="1"/>
                        </wps:cNvSpPr>
                        <wps:spPr bwMode="auto">
                          <a:xfrm>
                            <a:off x="10550" y="8830"/>
                            <a:ext cx="10" cy="10"/>
                          </a:xfrm>
                          <a:prstGeom prst="rect">
                            <a:avLst/>
                          </a:prstGeom>
                          <a:solidFill>
                            <a:srgbClr val="000000"/>
                          </a:solidFill>
                          <a:ln>
                            <a:noFill/>
                          </a:ln>
                          <a:effectLst/>
                        </wps:spPr>
                        <wps:bodyPr rot="0" vert="horz" wrap="square" lIns="91440" tIns="45720" rIns="91440" bIns="45720" anchor="t" anchorCtr="0" upright="1">
                          <a:noAutofit/>
                        </wps:bodyPr>
                      </wps:wsp>
                    </wpg:wgp>
                  </a:graphicData>
                </a:graphic>
              </wp:anchor>
            </w:drawing>
          </mc:Choice>
          <mc:Fallback>
            <w:pict>
              <v:group id="Group 2" o:spid="_x0000_s1026" o:spt="203" style="position:absolute;left:0pt;margin-left:146.7pt;margin-top:13.55pt;height:343.7pt;width:372.35pt;mso-position-horizontal-relative:page;mso-wrap-distance-bottom:0pt;mso-wrap-distance-top:0pt;z-index:-251656192;mso-width-relative:page;mso-height-relative:page;" coordorigin="1685,419" coordsize="8875,8421" o:gfxdata="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&#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">
                <o:lock v:ext="edit" aspectratio="f"/>
                <v:rect id="Rectangle 3" o:spid="_x0000_s1026" o:spt="1" style="position:absolute;left:1685;top:418;height:10;width:10;" fillcolor="#000000" filled="t" stroked="f" coordsize="21600,21600" o:gfxdata="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DwUEpC8AAAA&#10;2gAAAA8AAAAAAAAAAQAgAAAAIgAAAGRycy9kb3ducmV2LnhtbFBLAQIUABQAAAAIAIdO4kAzLwWe&#10;OwAAADkAAAAQAAAAAAAAAAEAIAAAAAsBAABkcnMvc2hhcGV4bWwueG1sUEsFBgAAAAAGAAYAWwEA&#10;ALUDAAAAAA==&#10;">
                  <v:fill on="t" focussize="0,0"/>
                  <v:stroke on="f"/>
                  <v:imagedata o:title=""/>
                  <o:lock v:ext="edit" aspectratio="f"/>
                </v:rect>
                <v:rect id="Rectangle 4" o:spid="_x0000_s1026" o:spt="1" style="position:absolute;left:1685;top:418;height:10;width:10;" fillcolor="#000000" filled="t" stroked="f" coordsize="21600,21600" o:gfxdata="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MxoznvQAA&#10;ANoAAAAPAAAAAAAAAAEAIAAAACIAAABkcnMvZG93bnJldi54bWxQSwECFAAUAAAACACHTuJAMy8F&#10;njsAAAA5AAAAEAAAAAAAAAABACAAAAAMAQAAZHJzL3NoYXBleG1sLnhtbFBLBQYAAAAABgAGAFsB&#10;AAC2AwAAAAA=&#10;">
                  <v:fill on="t" focussize="0,0"/>
                  <v:stroke on="f"/>
                  <v:imagedata o:title=""/>
                  <o:lock v:ext="edit" aspectratio="f"/>
                </v:rect>
                <v:line id="Line 5" o:spid="_x0000_s1026" o:spt="20" style="position:absolute;left:1695;top:424;height:0;width:8855;" filled="f" stroked="t" coordsize="21600,21600" o:gfxdata="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oy1fmvQAA&#10;ANoAAAAPAAAAAAAAAAEAIAAAACIAAABkcnMvZG93bnJldi54bWxQSwECFAAUAAAACACHTuJAMy8F&#10;njsAAAA5AAAAEAAAAAAAAAABACAAAAAMAQAAZHJzL3NoYXBleG1sLnhtbFBLBQYAAAAABgAGAFsB&#10;AAC2AwAAAAA=&#10;">
                  <v:fill on="f" focussize="0,0"/>
                  <v:stroke weight="0.48pt" color="#000000" joinstyle="round"/>
                  <v:imagedata o:title=""/>
                  <o:lock v:ext="edit" aspectratio="f"/>
                </v:line>
                <v:rect id="Rectangle 6" o:spid="_x0000_s1026" o:spt="1" style="position:absolute;left:10550;top:418;height:10;width:10;" fillcolor="#000000" filled="t" stroked="f" coordsize="21600,21600" o:gfxdata="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NIVvQ65AAAA2gAA&#10;AA8AAAAAAAAAAQAgAAAAIgAAAGRycy9kb3ducmV2LnhtbFBLAQIUABQAAAAIAIdO4kAzLwWeOwAA&#10;ADkAAAAQAAAAAAAAAAEAIAAAAAgBAABkcnMvc2hhcGV4bWwueG1sUEsFBgAAAAAGAAYAWwEAALID&#10;AAAAAA==&#10;">
                  <v:fill on="t" focussize="0,0"/>
                  <v:stroke on="f"/>
                  <v:imagedata o:title=""/>
                  <o:lock v:ext="edit" aspectratio="f"/>
                </v:rect>
                <v:rect id="Rectangle 7" o:spid="_x0000_s1026" o:spt="1" style="position:absolute;left:10550;top:418;height:10;width:10;" fillcolor="#000000" filled="t" stroked="f" coordsize="21600,21600" o:gfxdata="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vVkYlb4A&#10;AADaAAAADwAAAAAAAAABACAAAAAiAAAAZHJzL2Rvd25yZXYueG1sUEsBAhQAFAAAAAgAh07iQDMv&#10;BZ47AAAAOQAAABAAAAAAAAAAAQAgAAAADQEAAGRycy9zaGFwZXhtbC54bWxQSwUGAAAAAAYABgBb&#10;AQAAtwMAAAAA&#10;">
                  <v:fill on="t" focussize="0,0"/>
                  <v:stroke on="f"/>
                  <v:imagedata o:title=""/>
                  <o:lock v:ext="edit" aspectratio="f"/>
                </v:rect>
                <v:line id="Line 8" o:spid="_x0000_s1026" o:spt="20" style="position:absolute;left:1690;top:429;height:8401;width:0;" filled="f" stroked="t" coordsize="21600,21600" o:gfxdata="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7iNF74A&#10;AADbAAAADwAAAAAAAAABACAAAAAiAAAAZHJzL2Rvd25yZXYueG1sUEsBAhQAFAAAAAgAh07iQDMv&#10;BZ47AAAAOQAAABAAAAAAAAAAAQAgAAAADQEAAGRycy9zaGFwZXhtbC54bWxQSwUGAAAAAAYABgBb&#10;AQAAtwMAAAAA&#10;">
                  <v:fill on="f" focussize="0,0"/>
                  <v:stroke weight="0.48pt" color="#000000" joinstyle="round"/>
                  <v:imagedata o:title=""/>
                  <o:lock v:ext="edit" aspectratio="f"/>
                </v:line>
                <v:rect id="Rectangle 9" o:spid="_x0000_s1026" o:spt="1" style="position:absolute;left:1685;top:8830;height:10;width:10;" fillcolor="#000000" filled="t" stroked="f" coordsize="21600,21600" o:gfxdata="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nQ2Pa8AAAA&#10;2wAAAA8AAAAAAAAAAQAgAAAAIgAAAGRycy9kb3ducmV2LnhtbFBLAQIUABQAAAAIAIdO4kAzLwWe&#10;OwAAADkAAAAQAAAAAAAAAAEAIAAAAAsBAABkcnMvc2hhcGV4bWwueG1sUEsFBgAAAAAGAAYAWwEA&#10;ALUDAAAAAA==&#10;">
                  <v:fill on="t" focussize="0,0"/>
                  <v:stroke on="f"/>
                  <v:imagedata o:title=""/>
                  <o:lock v:ext="edit" aspectratio="f"/>
                </v:rect>
                <v:rect id="Rectangle 10" o:spid="_x0000_s1026" o:spt="1" style="position:absolute;left:1685;top:8830;height:10;width:10;" fillcolor="#000000" filled="t" stroked="f" coordsize="21600,21600" o:gfxdata="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kCRoG8AAAA&#10;2wAAAA8AAAAAAAAAAQAgAAAAIgAAAGRycy9kb3ducmV2LnhtbFBLAQIUABQAAAAIAIdO4kAzLwWe&#10;OwAAADkAAAAQAAAAAAAAAAEAIAAAAAsBAABkcnMvc2hhcGV4bWwueG1sUEsFBgAAAAAGAAYAWwEA&#10;ALUDAAAAAA==&#10;">
                  <v:fill on="t" focussize="0,0"/>
                  <v:stroke on="f"/>
                  <v:imagedata o:title=""/>
                  <o:lock v:ext="edit" aspectratio="f"/>
                </v:rect>
                <v:line id="Line 11" o:spid="_x0000_s1026" o:spt="20" style="position:absolute;left:1695;top:8835;height:0;width:8855;" filled="f" stroked="t" coordsize="21600,21600" o:gfxdata="UEsDBAoAAAAAAIdO4kAAAAAAAAAAAAAAAAAEAAAAZHJzL1BLAwQUAAAACACHTuJAr2oTYLsAAADb&#10;AAAADwAAAGRycy9kb3ducmV2LnhtbEVPTYvCMBC9C/6HMII3TVVw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r2oTY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line id="Line 12" o:spid="_x0000_s1026" o:spt="20" style="position:absolute;left:10555;top:429;height:8401;width:0;" filled="f" stroked="t" coordsize="21600,21600" o:gfxdata="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IIOLFLsAAADb&#10;AAAADwAAAAAAAAABACAAAAAiAAAAZHJzL2Rvd25yZXYueG1sUEsBAhQAFAAAAAgAh07iQDMvBZ47&#10;AAAAOQAAABAAAAAAAAAAAQAgAAAACgEAAGRycy9zaGFwZXhtbC54bWxQSwUGAAAAAAYABgBbAQAA&#10;tAMAAAAA&#10;">
                  <v:fill on="f" focussize="0,0"/>
                  <v:stroke weight="0.48pt" color="#000000" joinstyle="round"/>
                  <v:imagedata o:title=""/>
                  <o:lock v:ext="edit" aspectratio="f"/>
                </v:line>
                <v:rect id="Rectangle 13" o:spid="_x0000_s1026" o:spt="1" style="position:absolute;left:10550;top:8830;height:10;width:10;" fillcolor="#000000" filled="t" stroked="f" coordsize="21600,21600" o:gfxdata="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puve9bsAAADb&#10;AAAADwAAAAAAAAABACAAAAAiAAAAZHJzL2Rvd25yZXYueG1sUEsBAhQAFAAAAAgAh07iQDMvBZ47&#10;AAAAOQAAABAAAAAAAAAAAQAgAAAACgEAAGRycy9zaGFwZXhtbC54bWxQSwUGAAAAAAYABgBbAQAA&#10;tAMAAAAA&#10;">
                  <v:fill on="t" focussize="0,0"/>
                  <v:stroke on="f"/>
                  <v:imagedata o:title=""/>
                  <o:lock v:ext="edit" aspectratio="f"/>
                </v:rect>
                <v:rect id="Rectangle 14" o:spid="_x0000_s1026" o:spt="1" style="position:absolute;left:10550;top:8830;height:10;width:10;" fillcolor="#000000" filled="t" stroked="f" coordsize="21600,21600" o:gfxdata="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FY5QIK8AAAA&#10;2wAAAA8AAAAAAAAAAQAgAAAAIgAAAGRycy9kb3ducmV2LnhtbFBLAQIUABQAAAAIAIdO4kAzLwWe&#10;OwAAADkAAAAQAAAAAAAAAAEAIAAAAAsBAABkcnMvc2hhcGV4bWwueG1sUEsFBgAAAAAGAAYAWwEA&#10;ALUDAAAAAA==&#10;">
                  <v:fill on="t" focussize="0,0"/>
                  <v:stroke on="f"/>
                  <v:imagedata o:title=""/>
                  <o:lock v:ext="edit" aspectratio="f"/>
                </v:rect>
                <w10:wrap type="topAndBottom"/>
              </v:group>
            </w:pict>
          </mc:Fallback>
        </mc:AlternateContent>
      </w:r>
    </w:p>
    <w:p w14:paraId="6D67F6C9">
      <w:pPr>
        <w:pStyle w:val="7"/>
        <w:spacing w:before="67" w:line="436" w:lineRule="auto"/>
        <w:ind w:left="218" w:right="611" w:firstLine="120"/>
        <w:rPr>
          <w:color w:val="auto"/>
          <w:highlight w:val="none"/>
        </w:rPr>
      </w:pPr>
      <w:r>
        <w:rPr>
          <w:rFonts w:hint="eastAsia"/>
          <w:color w:val="auto"/>
          <w:highlight w:val="none"/>
        </w:rPr>
        <w:t>注：1、辅助说明资料主要包括管理机构和机构设置、职责分工有关复印资料及投标人认为有必要提供的资料。格式不做统一规定。</w:t>
      </w:r>
    </w:p>
    <w:p w14:paraId="2254D658">
      <w:pPr>
        <w:pStyle w:val="7"/>
        <w:spacing w:before="1"/>
        <w:ind w:left="818"/>
        <w:rPr>
          <w:color w:val="auto"/>
          <w:highlight w:val="none"/>
        </w:rPr>
      </w:pPr>
      <w:r>
        <w:rPr>
          <w:rFonts w:hint="eastAsia"/>
          <w:color w:val="auto"/>
          <w:highlight w:val="none"/>
        </w:rPr>
        <w:t>2、项目管理机构配备情况说明资料另附（与本投标文件一起装订）</w:t>
      </w:r>
    </w:p>
    <w:p w14:paraId="0FE44C07">
      <w:pPr>
        <w:rPr>
          <w:color w:val="auto"/>
          <w:highlight w:val="none"/>
        </w:rPr>
        <w:sectPr>
          <w:pgSz w:w="11850" w:h="16790"/>
          <w:pgMar w:top="1400" w:right="1180" w:bottom="920" w:left="1580" w:header="0" w:footer="721" w:gutter="0"/>
          <w:cols w:space="720" w:num="1"/>
        </w:sectPr>
      </w:pPr>
    </w:p>
    <w:p w14:paraId="55DCED25">
      <w:pPr>
        <w:spacing w:before="40"/>
        <w:ind w:left="218"/>
        <w:rPr>
          <w:b/>
          <w:color w:val="auto"/>
          <w:sz w:val="28"/>
          <w:highlight w:val="none"/>
        </w:rPr>
      </w:pPr>
      <w:r>
        <w:rPr>
          <w:rFonts w:hint="eastAsia"/>
          <w:b/>
          <w:color w:val="auto"/>
          <w:sz w:val="28"/>
          <w:highlight w:val="none"/>
        </w:rPr>
        <w:t>附件十一：</w:t>
      </w:r>
    </w:p>
    <w:p w14:paraId="751E3DEB">
      <w:pPr>
        <w:pStyle w:val="7"/>
        <w:spacing w:before="4"/>
        <w:rPr>
          <w:b/>
          <w:color w:val="auto"/>
          <w:sz w:val="31"/>
          <w:highlight w:val="none"/>
        </w:rPr>
      </w:pPr>
      <w:r>
        <w:rPr>
          <w:rFonts w:hint="eastAsia"/>
          <w:color w:val="auto"/>
          <w:highlight w:val="none"/>
        </w:rPr>
        <w:br w:type="column"/>
      </w:r>
    </w:p>
    <w:p w14:paraId="16EF0D92">
      <w:pPr>
        <w:ind w:left="218"/>
        <w:rPr>
          <w:b/>
          <w:color w:val="auto"/>
          <w:sz w:val="32"/>
          <w:highlight w:val="none"/>
        </w:rPr>
      </w:pPr>
      <w:r>
        <w:rPr>
          <w:rFonts w:hint="eastAsia"/>
          <w:b/>
          <w:color w:val="auto"/>
          <w:sz w:val="32"/>
          <w:highlight w:val="none"/>
        </w:rPr>
        <w:t>关于资格的声明函</w:t>
      </w:r>
    </w:p>
    <w:p w14:paraId="101828D4">
      <w:pPr>
        <w:rPr>
          <w:color w:val="auto"/>
          <w:sz w:val="32"/>
          <w:highlight w:val="none"/>
        </w:rPr>
        <w:sectPr>
          <w:pgSz w:w="11850" w:h="16790"/>
          <w:pgMar w:top="1400" w:right="1180" w:bottom="920" w:left="1580" w:header="0" w:footer="721" w:gutter="0"/>
          <w:cols w:equalWidth="0" w:num="2">
            <w:col w:w="1665" w:space="1177"/>
            <w:col w:w="6248"/>
          </w:cols>
        </w:sectPr>
      </w:pPr>
    </w:p>
    <w:p w14:paraId="1F7046AC">
      <w:pPr>
        <w:pStyle w:val="7"/>
        <w:spacing w:before="9"/>
        <w:rPr>
          <w:b/>
          <w:color w:val="auto"/>
          <w:sz w:val="23"/>
          <w:highlight w:val="none"/>
        </w:rPr>
      </w:pPr>
    </w:p>
    <w:p w14:paraId="714C027B">
      <w:pPr>
        <w:pStyle w:val="7"/>
        <w:spacing w:before="67"/>
        <w:ind w:left="218"/>
        <w:rPr>
          <w:color w:val="auto"/>
          <w:highlight w:val="none"/>
        </w:rPr>
      </w:pPr>
      <w:r>
        <w:rPr>
          <w:rFonts w:hint="eastAsia"/>
          <w:color w:val="auto"/>
          <w:highlight w:val="none"/>
        </w:rPr>
        <w:t>周口市公共资源交易中心（政府采购中心）：</w:t>
      </w:r>
    </w:p>
    <w:p w14:paraId="0C3F6DCF">
      <w:pPr>
        <w:pStyle w:val="7"/>
        <w:spacing w:before="4"/>
        <w:rPr>
          <w:color w:val="auto"/>
          <w:sz w:val="27"/>
          <w:highlight w:val="none"/>
        </w:rPr>
      </w:pPr>
    </w:p>
    <w:p w14:paraId="62CF6AB1">
      <w:pPr>
        <w:pStyle w:val="7"/>
        <w:tabs>
          <w:tab w:val="left" w:pos="3218"/>
        </w:tabs>
        <w:ind w:left="698"/>
        <w:rPr>
          <w:color w:val="auto"/>
          <w:highlight w:val="none"/>
        </w:rPr>
      </w:pPr>
      <w:r>
        <w:rPr>
          <w:rFonts w:hint="eastAsia"/>
          <w:color w:val="auto"/>
          <w:highlight w:val="none"/>
        </w:rPr>
        <w:t>关于贵方的</w:t>
      </w:r>
      <w:r>
        <w:rPr>
          <w:rFonts w:hint="eastAsia"/>
          <w:color w:val="auto"/>
          <w:highlight w:val="none"/>
          <w:u w:val="single"/>
        </w:rPr>
        <w:tab/>
      </w:r>
      <w:r>
        <w:rPr>
          <w:rFonts w:hint="eastAsia"/>
          <w:color w:val="auto"/>
          <w:highlight w:val="none"/>
        </w:rPr>
        <w:t>项目招标邀请</w:t>
      </w:r>
      <w:r>
        <w:rPr>
          <w:rFonts w:hint="eastAsia"/>
          <w:color w:val="auto"/>
          <w:spacing w:val="-12"/>
          <w:highlight w:val="none"/>
        </w:rPr>
        <w:t>，</w:t>
      </w:r>
      <w:r>
        <w:rPr>
          <w:rFonts w:hint="eastAsia"/>
          <w:color w:val="auto"/>
          <w:highlight w:val="none"/>
        </w:rPr>
        <w:t>本签字人</w:t>
      </w:r>
      <w:r>
        <w:rPr>
          <w:rFonts w:hint="eastAsia"/>
          <w:color w:val="auto"/>
          <w:highlight w:val="none"/>
          <w:u w:val="single"/>
          <w:lang w:val="en-US" w:eastAsia="zh-CN"/>
        </w:rPr>
        <w:t xml:space="preserve">       </w:t>
      </w:r>
      <w:r>
        <w:rPr>
          <w:rFonts w:hint="eastAsia"/>
          <w:color w:val="auto"/>
          <w:highlight w:val="none"/>
        </w:rPr>
        <w:t>愿意参加投标</w:t>
      </w:r>
      <w:r>
        <w:rPr>
          <w:rFonts w:hint="eastAsia"/>
          <w:color w:val="auto"/>
          <w:spacing w:val="-12"/>
          <w:highlight w:val="none"/>
        </w:rPr>
        <w:t>，</w:t>
      </w:r>
      <w:r>
        <w:rPr>
          <w:rFonts w:hint="eastAsia"/>
          <w:color w:val="auto"/>
          <w:highlight w:val="none"/>
        </w:rPr>
        <w:t>提供谈判</w:t>
      </w:r>
    </w:p>
    <w:p w14:paraId="17AF02FF">
      <w:pPr>
        <w:pStyle w:val="7"/>
        <w:spacing w:before="12"/>
        <w:rPr>
          <w:color w:val="auto"/>
          <w:sz w:val="12"/>
          <w:highlight w:val="none"/>
        </w:rPr>
      </w:pPr>
    </w:p>
    <w:p w14:paraId="28AA9117">
      <w:pPr>
        <w:pStyle w:val="7"/>
        <w:spacing w:before="67" w:line="271" w:lineRule="auto"/>
        <w:ind w:left="758" w:right="1188" w:hanging="540"/>
        <w:rPr>
          <w:color w:val="auto"/>
          <w:highlight w:val="none"/>
        </w:rPr>
      </w:pPr>
      <w:r>
        <w:rPr>
          <w:rFonts w:hint="eastAsia"/>
          <w:color w:val="auto"/>
          <w:highlight w:val="none"/>
        </w:rPr>
        <w:t>项目所需的工程维修改造服务，并声明提交的下列文件是准确和真实的。1、企业法人营业执照。</w:t>
      </w:r>
    </w:p>
    <w:p w14:paraId="425D7451">
      <w:pPr>
        <w:pStyle w:val="7"/>
        <w:spacing w:before="121"/>
        <w:ind w:left="758"/>
        <w:rPr>
          <w:color w:val="auto"/>
          <w:highlight w:val="none"/>
        </w:rPr>
      </w:pPr>
      <w:r>
        <w:rPr>
          <w:rFonts w:hint="eastAsia"/>
          <w:color w:val="auto"/>
          <w:highlight w:val="none"/>
        </w:rPr>
        <w:t>2、税务登记证（多证合一的不需要提供）。</w:t>
      </w:r>
    </w:p>
    <w:p w14:paraId="6261D14A">
      <w:pPr>
        <w:pStyle w:val="7"/>
        <w:spacing w:before="158"/>
        <w:ind w:left="758"/>
        <w:rPr>
          <w:color w:val="auto"/>
          <w:highlight w:val="none"/>
        </w:rPr>
      </w:pPr>
      <w:r>
        <w:rPr>
          <w:rFonts w:hint="eastAsia"/>
          <w:color w:val="auto"/>
          <w:highlight w:val="none"/>
        </w:rPr>
        <w:t>3、组织机构代码证（多证合一的不需要提供）。</w:t>
      </w:r>
    </w:p>
    <w:p w14:paraId="70905537">
      <w:pPr>
        <w:pStyle w:val="7"/>
        <w:spacing w:before="161"/>
        <w:ind w:left="758"/>
        <w:rPr>
          <w:color w:val="auto"/>
          <w:highlight w:val="none"/>
        </w:rPr>
      </w:pPr>
      <w:r>
        <w:rPr>
          <w:rFonts w:hint="eastAsia"/>
          <w:color w:val="auto"/>
          <w:highlight w:val="none"/>
        </w:rPr>
        <w:t>4、法定代表人授权委托书。</w:t>
      </w:r>
    </w:p>
    <w:p w14:paraId="493A6C00">
      <w:pPr>
        <w:pStyle w:val="7"/>
        <w:spacing w:before="158"/>
        <w:ind w:left="758"/>
        <w:rPr>
          <w:color w:val="auto"/>
          <w:highlight w:val="none"/>
        </w:rPr>
      </w:pPr>
      <w:r>
        <w:rPr>
          <w:rFonts w:hint="eastAsia"/>
          <w:color w:val="auto"/>
          <w:highlight w:val="none"/>
        </w:rPr>
        <w:t>5、委托代理人身份证。</w:t>
      </w:r>
    </w:p>
    <w:p w14:paraId="1AB4C315">
      <w:pPr>
        <w:pStyle w:val="7"/>
        <w:spacing w:before="161"/>
        <w:ind w:left="758"/>
        <w:rPr>
          <w:color w:val="auto"/>
          <w:highlight w:val="none"/>
        </w:rPr>
      </w:pPr>
      <w:r>
        <w:rPr>
          <w:rFonts w:hint="eastAsia"/>
          <w:color w:val="auto"/>
          <w:highlight w:val="none"/>
        </w:rPr>
        <w:t>6、其它证明文件或证件。</w:t>
      </w:r>
    </w:p>
    <w:p w14:paraId="3AF705B9">
      <w:pPr>
        <w:pStyle w:val="7"/>
        <w:spacing w:before="158"/>
        <w:ind w:left="758"/>
        <w:rPr>
          <w:color w:val="auto"/>
          <w:highlight w:val="none"/>
        </w:rPr>
      </w:pPr>
      <w:r>
        <w:rPr>
          <w:rFonts w:hint="eastAsia"/>
          <w:color w:val="auto"/>
          <w:highlight w:val="none"/>
        </w:rPr>
        <w:t>本签字人确认资格文件中的说明是真实的、准确的。</w:t>
      </w:r>
    </w:p>
    <w:p w14:paraId="73BAFBFE">
      <w:pPr>
        <w:pStyle w:val="7"/>
        <w:rPr>
          <w:color w:val="auto"/>
          <w:highlight w:val="none"/>
        </w:rPr>
      </w:pPr>
    </w:p>
    <w:p w14:paraId="68101876">
      <w:pPr>
        <w:pStyle w:val="7"/>
        <w:rPr>
          <w:color w:val="auto"/>
          <w:highlight w:val="none"/>
        </w:rPr>
      </w:pPr>
    </w:p>
    <w:p w14:paraId="678F241C">
      <w:pPr>
        <w:pStyle w:val="7"/>
        <w:tabs>
          <w:tab w:val="left" w:pos="5018"/>
        </w:tabs>
        <w:spacing w:before="167"/>
        <w:ind w:left="698"/>
        <w:rPr>
          <w:color w:val="auto"/>
          <w:highlight w:val="none"/>
        </w:rPr>
      </w:pPr>
      <w:r>
        <w:rPr>
          <w:rFonts w:hint="eastAsia"/>
          <w:color w:val="auto"/>
          <w:highlight w:val="none"/>
        </w:rPr>
        <w:t>单位名称：（</w:t>
      </w:r>
      <w:r>
        <w:rPr>
          <w:rFonts w:hint="eastAsia"/>
          <w:color w:val="auto"/>
          <w:highlight w:val="none"/>
          <w:u w:val="single"/>
          <w:lang w:val="en-US" w:eastAsia="zh-CN"/>
        </w:rPr>
        <w:t>电子</w:t>
      </w:r>
      <w:r>
        <w:rPr>
          <w:rFonts w:hint="eastAsia"/>
          <w:color w:val="auto"/>
          <w:highlight w:val="none"/>
          <w:u w:val="single"/>
        </w:rPr>
        <w:t>公章</w:t>
      </w:r>
      <w:r>
        <w:rPr>
          <w:rFonts w:hint="eastAsia"/>
          <w:color w:val="auto"/>
          <w:highlight w:val="none"/>
        </w:rPr>
        <w:t>）</w:t>
      </w:r>
      <w:r>
        <w:rPr>
          <w:rFonts w:hint="eastAsia"/>
          <w:color w:val="auto"/>
          <w:highlight w:val="none"/>
        </w:rPr>
        <w:tab/>
      </w:r>
      <w:r>
        <w:rPr>
          <w:rFonts w:hint="eastAsia"/>
          <w:color w:val="auto"/>
          <w:highlight w:val="none"/>
        </w:rPr>
        <w:t>法定代表人（签字）：</w:t>
      </w:r>
    </w:p>
    <w:p w14:paraId="3A16F6CE">
      <w:pPr>
        <w:pStyle w:val="7"/>
        <w:tabs>
          <w:tab w:val="left" w:pos="4958"/>
        </w:tabs>
        <w:spacing w:before="161"/>
        <w:ind w:left="758"/>
        <w:rPr>
          <w:color w:val="auto"/>
          <w:highlight w:val="none"/>
        </w:rPr>
      </w:pPr>
      <w:r>
        <w:rPr>
          <w:rFonts w:hint="eastAsia"/>
          <w:color w:val="auto"/>
          <w:highlight w:val="none"/>
        </w:rPr>
        <w:t>地址：</w:t>
      </w:r>
      <w:r>
        <w:rPr>
          <w:rFonts w:hint="eastAsia"/>
          <w:color w:val="auto"/>
          <w:highlight w:val="none"/>
        </w:rPr>
        <w:tab/>
      </w:r>
      <w:r>
        <w:rPr>
          <w:rFonts w:hint="eastAsia"/>
          <w:color w:val="auto"/>
          <w:highlight w:val="none"/>
        </w:rPr>
        <w:t>邮政编码：</w:t>
      </w:r>
    </w:p>
    <w:p w14:paraId="463510EB">
      <w:pPr>
        <w:pStyle w:val="7"/>
        <w:tabs>
          <w:tab w:val="left" w:pos="4958"/>
          <w:tab w:val="left" w:pos="5078"/>
        </w:tabs>
        <w:spacing w:before="158" w:line="364" w:lineRule="auto"/>
        <w:ind w:left="758" w:right="3287"/>
        <w:rPr>
          <w:rFonts w:hint="eastAsia"/>
          <w:color w:val="auto"/>
          <w:highlight w:val="none"/>
        </w:rPr>
      </w:pPr>
      <w:r>
        <w:rPr>
          <w:rFonts w:hint="eastAsia"/>
          <w:color w:val="auto"/>
          <w:highlight w:val="none"/>
        </w:rPr>
        <w:t>签字人姓名、职务（印刷体）：</w:t>
      </w:r>
      <w:r>
        <w:rPr>
          <w:rFonts w:hint="eastAsia"/>
          <w:color w:val="auto"/>
          <w:highlight w:val="none"/>
        </w:rPr>
        <w:tab/>
      </w:r>
      <w:r>
        <w:rPr>
          <w:rFonts w:hint="eastAsia"/>
          <w:color w:val="auto"/>
          <w:highlight w:val="none"/>
        </w:rPr>
        <w:tab/>
      </w:r>
    </w:p>
    <w:p w14:paraId="6A156CFE">
      <w:pPr>
        <w:pStyle w:val="7"/>
        <w:tabs>
          <w:tab w:val="left" w:pos="4958"/>
          <w:tab w:val="left" w:pos="5078"/>
        </w:tabs>
        <w:spacing w:before="158" w:line="364" w:lineRule="auto"/>
        <w:ind w:left="758" w:right="3287"/>
        <w:rPr>
          <w:color w:val="auto"/>
          <w:highlight w:val="none"/>
        </w:rPr>
      </w:pPr>
      <w:r>
        <w:rPr>
          <w:rFonts w:hint="eastAsia"/>
          <w:color w:val="auto"/>
          <w:highlight w:val="none"/>
        </w:rPr>
        <w:t>电话：</w:t>
      </w:r>
      <w:r>
        <w:rPr>
          <w:rFonts w:hint="eastAsia"/>
          <w:color w:val="auto"/>
          <w:highlight w:val="none"/>
        </w:rPr>
        <w:tab/>
      </w:r>
      <w:r>
        <w:rPr>
          <w:rFonts w:hint="eastAsia"/>
          <w:color w:val="auto"/>
          <w:highlight w:val="none"/>
        </w:rPr>
        <w:t>传真：</w:t>
      </w:r>
    </w:p>
    <w:p w14:paraId="35384B3E">
      <w:pPr>
        <w:pStyle w:val="7"/>
        <w:spacing w:line="306" w:lineRule="exact"/>
        <w:ind w:left="758"/>
        <w:rPr>
          <w:color w:val="auto"/>
          <w:highlight w:val="none"/>
        </w:rPr>
      </w:pPr>
      <w:r>
        <w:rPr>
          <w:rFonts w:hint="eastAsia"/>
          <w:color w:val="auto"/>
          <w:highlight w:val="none"/>
        </w:rPr>
        <w:t>日期：</w:t>
      </w:r>
    </w:p>
    <w:p w14:paraId="12ABF5EA">
      <w:pPr>
        <w:spacing w:line="306" w:lineRule="exact"/>
        <w:rPr>
          <w:color w:val="auto"/>
          <w:highlight w:val="none"/>
        </w:rPr>
        <w:sectPr>
          <w:type w:val="continuous"/>
          <w:pgSz w:w="11850" w:h="16790"/>
          <w:pgMar w:top="1600" w:right="1180" w:bottom="920" w:left="1580" w:header="720" w:footer="720" w:gutter="0"/>
          <w:cols w:space="720" w:num="1"/>
        </w:sectPr>
      </w:pPr>
    </w:p>
    <w:p w14:paraId="289C029D">
      <w:pPr>
        <w:spacing w:before="40"/>
        <w:ind w:left="218"/>
        <w:rPr>
          <w:b/>
          <w:color w:val="auto"/>
          <w:sz w:val="28"/>
          <w:highlight w:val="none"/>
        </w:rPr>
      </w:pPr>
      <w:r>
        <w:rPr>
          <w:rFonts w:hint="eastAsia"/>
          <w:b/>
          <w:color w:val="auto"/>
          <w:sz w:val="28"/>
          <w:highlight w:val="none"/>
        </w:rPr>
        <w:t>附件十二：</w:t>
      </w:r>
    </w:p>
    <w:p w14:paraId="48AE9753">
      <w:pPr>
        <w:pStyle w:val="7"/>
        <w:spacing w:before="5"/>
        <w:rPr>
          <w:b/>
          <w:color w:val="auto"/>
          <w:highlight w:val="none"/>
        </w:rPr>
      </w:pPr>
    </w:p>
    <w:p w14:paraId="6E3617A5">
      <w:pPr>
        <w:spacing w:before="54"/>
        <w:ind w:left="592" w:right="985"/>
        <w:jc w:val="center"/>
        <w:rPr>
          <w:b/>
          <w:color w:val="auto"/>
          <w:sz w:val="32"/>
          <w:highlight w:val="none"/>
        </w:rPr>
      </w:pPr>
      <w:r>
        <w:rPr>
          <w:rFonts w:hint="eastAsia"/>
          <w:b/>
          <w:color w:val="auto"/>
          <w:sz w:val="32"/>
          <w:highlight w:val="none"/>
        </w:rPr>
        <w:t>授权委托书</w:t>
      </w:r>
    </w:p>
    <w:p w14:paraId="62C071DE">
      <w:pPr>
        <w:pStyle w:val="7"/>
        <w:spacing w:before="9"/>
        <w:rPr>
          <w:b/>
          <w:color w:val="auto"/>
          <w:sz w:val="32"/>
          <w:highlight w:val="none"/>
        </w:rPr>
      </w:pPr>
    </w:p>
    <w:p w14:paraId="5B7A9241">
      <w:pPr>
        <w:pStyle w:val="7"/>
        <w:tabs>
          <w:tab w:val="left" w:pos="6393"/>
        </w:tabs>
        <w:ind w:left="218"/>
        <w:rPr>
          <w:color w:val="auto"/>
          <w:highlight w:val="none"/>
        </w:rPr>
      </w:pPr>
      <w:r>
        <w:rPr>
          <w:rFonts w:hint="eastAsia"/>
          <w:color w:val="auto"/>
          <w:spacing w:val="-1"/>
          <w:highlight w:val="none"/>
        </w:rPr>
        <w:t>委</w:t>
      </w:r>
      <w:r>
        <w:rPr>
          <w:rFonts w:hint="eastAsia"/>
          <w:color w:val="auto"/>
          <w:highlight w:val="none"/>
        </w:rPr>
        <w:t>托单位：</w:t>
      </w:r>
      <w:r>
        <w:rPr>
          <w:rFonts w:hint="eastAsia"/>
          <w:color w:val="auto"/>
          <w:highlight w:val="none"/>
          <w:u w:val="single"/>
        </w:rPr>
        <w:tab/>
      </w:r>
    </w:p>
    <w:p w14:paraId="7EFAA1A0">
      <w:pPr>
        <w:pStyle w:val="7"/>
        <w:spacing w:before="1"/>
        <w:rPr>
          <w:color w:val="auto"/>
          <w:sz w:val="21"/>
          <w:highlight w:val="none"/>
        </w:rPr>
      </w:pPr>
    </w:p>
    <w:p w14:paraId="6A67318F">
      <w:pPr>
        <w:pStyle w:val="7"/>
        <w:tabs>
          <w:tab w:val="left" w:pos="937"/>
          <w:tab w:val="left" w:pos="6033"/>
          <w:tab w:val="left" w:pos="8530"/>
        </w:tabs>
        <w:spacing w:before="74"/>
        <w:ind w:left="218"/>
        <w:rPr>
          <w:color w:val="auto"/>
          <w:highlight w:val="none"/>
        </w:rPr>
      </w:pPr>
      <w:r>
        <w:rPr>
          <w:rFonts w:hint="eastAsia"/>
          <w:color w:val="auto"/>
          <w:highlight w:val="none"/>
        </w:rPr>
        <w:t>地</w:t>
      </w:r>
      <w:r>
        <w:rPr>
          <w:rFonts w:hint="eastAsia"/>
          <w:color w:val="auto"/>
          <w:highlight w:val="none"/>
        </w:rPr>
        <w:tab/>
      </w:r>
      <w:r>
        <w:rPr>
          <w:rFonts w:hint="eastAsia"/>
          <w:color w:val="auto"/>
          <w:highlight w:val="none"/>
        </w:rPr>
        <w:t>址：</w:t>
      </w:r>
      <w:r>
        <w:rPr>
          <w:rFonts w:hint="eastAsia"/>
          <w:color w:val="auto"/>
          <w:highlight w:val="none"/>
          <w:u w:val="single"/>
        </w:rPr>
        <w:tab/>
      </w:r>
      <w:r>
        <w:rPr>
          <w:rFonts w:hint="eastAsia"/>
          <w:color w:val="auto"/>
          <w:highlight w:val="none"/>
        </w:rPr>
        <w:t>法定代表人：</w:t>
      </w:r>
      <w:r>
        <w:rPr>
          <w:rFonts w:hint="eastAsia"/>
          <w:color w:val="auto"/>
          <w:highlight w:val="none"/>
          <w:u w:val="single"/>
        </w:rPr>
        <w:tab/>
      </w:r>
    </w:p>
    <w:p w14:paraId="1F51FE03">
      <w:pPr>
        <w:pStyle w:val="7"/>
        <w:spacing w:before="10"/>
        <w:rPr>
          <w:color w:val="auto"/>
          <w:sz w:val="20"/>
          <w:highlight w:val="none"/>
        </w:rPr>
      </w:pPr>
    </w:p>
    <w:p w14:paraId="44EE5975">
      <w:pPr>
        <w:pStyle w:val="7"/>
        <w:tabs>
          <w:tab w:val="left" w:pos="3249"/>
          <w:tab w:val="left" w:pos="3489"/>
          <w:tab w:val="left" w:pos="4721"/>
          <w:tab w:val="left" w:pos="6792"/>
          <w:tab w:val="left" w:pos="7513"/>
          <w:tab w:val="left" w:pos="8233"/>
        </w:tabs>
        <w:spacing w:before="74"/>
        <w:ind w:left="218"/>
        <w:rPr>
          <w:color w:val="auto"/>
          <w:highlight w:val="none"/>
        </w:rPr>
      </w:pPr>
      <w:r>
        <w:rPr>
          <w:rFonts w:hint="eastAsia"/>
          <w:color w:val="auto"/>
          <w:highlight w:val="none"/>
        </w:rPr>
        <w:t>受托人姓名</w:t>
      </w:r>
      <w:r>
        <w:rPr>
          <w:rFonts w:hint="eastAsia"/>
          <w:color w:val="auto"/>
          <w:highlight w:val="none"/>
          <w:u w:val="single"/>
        </w:rPr>
        <w:t>：</w:t>
      </w:r>
      <w:r>
        <w:rPr>
          <w:rFonts w:hint="eastAsia"/>
          <w:color w:val="auto"/>
          <w:highlight w:val="none"/>
          <w:u w:val="single"/>
        </w:rPr>
        <w:tab/>
      </w:r>
      <w:r>
        <w:rPr>
          <w:rFonts w:hint="eastAsia"/>
          <w:color w:val="auto"/>
          <w:highlight w:val="none"/>
        </w:rPr>
        <w:tab/>
      </w:r>
      <w:r>
        <w:rPr>
          <w:rFonts w:hint="eastAsia"/>
          <w:color w:val="auto"/>
          <w:highlight w:val="none"/>
        </w:rPr>
        <w:t>性别</w:t>
      </w:r>
      <w:r>
        <w:rPr>
          <w:rFonts w:hint="eastAsia"/>
          <w:color w:val="auto"/>
          <w:highlight w:val="none"/>
          <w:u w:val="single"/>
        </w:rPr>
        <w:t>：</w:t>
      </w:r>
      <w:r>
        <w:rPr>
          <w:rFonts w:hint="eastAsia"/>
          <w:color w:val="auto"/>
          <w:highlight w:val="none"/>
          <w:u w:val="single"/>
        </w:rPr>
        <w:tab/>
      </w:r>
      <w:r>
        <w:rPr>
          <w:rFonts w:hint="eastAsia"/>
          <w:color w:val="auto"/>
          <w:highlight w:val="none"/>
        </w:rPr>
        <w:t>出生日期</w:t>
      </w:r>
      <w:r>
        <w:rPr>
          <w:rFonts w:hint="eastAsia"/>
          <w:color w:val="auto"/>
          <w:highlight w:val="none"/>
          <w:u w:val="single"/>
        </w:rPr>
        <w:t>：</w:t>
      </w:r>
      <w:r>
        <w:rPr>
          <w:rFonts w:hint="eastAsia"/>
          <w:color w:val="auto"/>
          <w:highlight w:val="none"/>
          <w:u w:val="single"/>
        </w:rPr>
        <w:tab/>
      </w:r>
      <w:r>
        <w:rPr>
          <w:rFonts w:hint="eastAsia"/>
          <w:color w:val="auto"/>
          <w:highlight w:val="none"/>
        </w:rPr>
        <w:t>年</w:t>
      </w:r>
      <w:r>
        <w:rPr>
          <w:rFonts w:hint="eastAsia"/>
          <w:color w:val="auto"/>
          <w:highlight w:val="none"/>
          <w:u w:val="single"/>
        </w:rPr>
        <w:tab/>
      </w:r>
      <w:r>
        <w:rPr>
          <w:rFonts w:hint="eastAsia"/>
          <w:color w:val="auto"/>
          <w:highlight w:val="none"/>
        </w:rPr>
        <w:t>月</w:t>
      </w:r>
      <w:r>
        <w:rPr>
          <w:rFonts w:hint="eastAsia"/>
          <w:color w:val="auto"/>
          <w:highlight w:val="none"/>
          <w:u w:val="single"/>
        </w:rPr>
        <w:tab/>
      </w:r>
      <w:r>
        <w:rPr>
          <w:rFonts w:hint="eastAsia"/>
          <w:color w:val="auto"/>
          <w:highlight w:val="none"/>
        </w:rPr>
        <w:t>日</w:t>
      </w:r>
    </w:p>
    <w:p w14:paraId="4AE4464D">
      <w:pPr>
        <w:pStyle w:val="7"/>
        <w:rPr>
          <w:color w:val="auto"/>
          <w:sz w:val="19"/>
          <w:highlight w:val="none"/>
        </w:rPr>
      </w:pPr>
    </w:p>
    <w:p w14:paraId="36EA6DB9">
      <w:pPr>
        <w:pStyle w:val="7"/>
        <w:tabs>
          <w:tab w:val="left" w:pos="5433"/>
          <w:tab w:val="left" w:pos="8530"/>
        </w:tabs>
        <w:spacing w:before="74"/>
        <w:ind w:left="218"/>
        <w:rPr>
          <w:color w:val="auto"/>
          <w:highlight w:val="none"/>
        </w:rPr>
      </w:pPr>
      <w:r>
        <w:rPr>
          <w:rFonts w:hint="eastAsia"/>
          <w:color w:val="auto"/>
          <w:highlight w:val="none"/>
        </w:rPr>
        <w:t>所在单位：</w:t>
      </w:r>
      <w:r>
        <w:rPr>
          <w:rFonts w:hint="eastAsia"/>
          <w:color w:val="auto"/>
          <w:highlight w:val="none"/>
          <w:u w:val="single"/>
        </w:rPr>
        <w:tab/>
      </w:r>
      <w:r>
        <w:rPr>
          <w:rFonts w:hint="eastAsia"/>
          <w:color w:val="auto"/>
          <w:highlight w:val="none"/>
        </w:rPr>
        <w:t>职务：</w:t>
      </w:r>
      <w:r>
        <w:rPr>
          <w:rFonts w:hint="eastAsia"/>
          <w:color w:val="auto"/>
          <w:highlight w:val="none"/>
          <w:u w:val="single"/>
        </w:rPr>
        <w:tab/>
      </w:r>
    </w:p>
    <w:p w14:paraId="73C05F55">
      <w:pPr>
        <w:pStyle w:val="7"/>
        <w:spacing w:before="10"/>
        <w:rPr>
          <w:color w:val="auto"/>
          <w:sz w:val="20"/>
          <w:highlight w:val="none"/>
        </w:rPr>
      </w:pPr>
    </w:p>
    <w:p w14:paraId="63BC85F6">
      <w:pPr>
        <w:pStyle w:val="7"/>
        <w:tabs>
          <w:tab w:val="left" w:pos="4113"/>
          <w:tab w:val="left" w:pos="5378"/>
          <w:tab w:val="left" w:pos="8530"/>
        </w:tabs>
        <w:spacing w:before="74" w:line="256" w:lineRule="auto"/>
        <w:ind w:left="698" w:right="556" w:hanging="480"/>
        <w:rPr>
          <w:color w:val="auto"/>
          <w:highlight w:val="none"/>
        </w:rPr>
      </w:pPr>
      <w:r>
        <w:rPr>
          <w:rFonts w:hint="eastAsia"/>
          <w:color w:val="auto"/>
          <w:highlight w:val="none"/>
        </w:rPr>
        <w:t>身份证：</w:t>
      </w:r>
      <w:r>
        <w:rPr>
          <w:rFonts w:hint="eastAsia"/>
          <w:color w:val="auto"/>
          <w:highlight w:val="none"/>
          <w:u w:val="single"/>
        </w:rPr>
        <w:tab/>
      </w:r>
      <w:r>
        <w:rPr>
          <w:rFonts w:hint="eastAsia"/>
          <w:color w:val="auto"/>
          <w:highlight w:val="none"/>
        </w:rPr>
        <w:t>现住：</w:t>
      </w:r>
      <w:r>
        <w:rPr>
          <w:rFonts w:hint="eastAsia"/>
          <w:color w:val="auto"/>
          <w:highlight w:val="none"/>
          <w:u w:val="single"/>
        </w:rPr>
        <w:tab/>
      </w:r>
      <w:r>
        <w:rPr>
          <w:rFonts w:hint="eastAsia"/>
          <w:color w:val="auto"/>
          <w:highlight w:val="none"/>
          <w:u w:val="single"/>
        </w:rPr>
        <w:tab/>
      </w:r>
      <w:r>
        <w:rPr>
          <w:rFonts w:hint="eastAsia"/>
          <w:color w:val="auto"/>
          <w:highlight w:val="none"/>
        </w:rPr>
        <w:t>兹委托受托人代表我单位参加</w:t>
      </w:r>
      <w:r>
        <w:rPr>
          <w:rFonts w:hint="eastAsia"/>
          <w:color w:val="auto"/>
          <w:highlight w:val="none"/>
          <w:u w:val="single"/>
        </w:rPr>
        <w:tab/>
      </w:r>
      <w:r>
        <w:rPr>
          <w:rFonts w:hint="eastAsia"/>
          <w:color w:val="auto"/>
          <w:highlight w:val="none"/>
          <w:u w:val="single"/>
        </w:rPr>
        <w:tab/>
      </w:r>
      <w:r>
        <w:rPr>
          <w:rFonts w:hint="eastAsia"/>
          <w:color w:val="auto"/>
          <w:highlight w:val="none"/>
        </w:rPr>
        <w:t>项目谈判事宜</w:t>
      </w:r>
      <w:r>
        <w:rPr>
          <w:rFonts w:hint="eastAsia"/>
          <w:color w:val="auto"/>
          <w:spacing w:val="-24"/>
          <w:highlight w:val="none"/>
        </w:rPr>
        <w:t>，</w:t>
      </w:r>
      <w:r>
        <w:rPr>
          <w:rFonts w:hint="eastAsia"/>
          <w:color w:val="auto"/>
          <w:highlight w:val="none"/>
        </w:rPr>
        <w:t>并授权其全权</w:t>
      </w:r>
    </w:p>
    <w:p w14:paraId="0153A936">
      <w:pPr>
        <w:pStyle w:val="7"/>
        <w:spacing w:line="297" w:lineRule="exact"/>
        <w:ind w:left="218"/>
        <w:rPr>
          <w:color w:val="auto"/>
          <w:highlight w:val="none"/>
        </w:rPr>
      </w:pPr>
      <w:r>
        <w:rPr>
          <w:rFonts w:hint="eastAsia"/>
          <w:color w:val="auto"/>
          <w:highlight w:val="none"/>
        </w:rPr>
        <w:t>办理以下事宜：</w:t>
      </w:r>
    </w:p>
    <w:p w14:paraId="26F48562">
      <w:pPr>
        <w:pStyle w:val="7"/>
        <w:spacing w:before="12"/>
        <w:ind w:left="698"/>
        <w:rPr>
          <w:color w:val="auto"/>
          <w:highlight w:val="none"/>
        </w:rPr>
      </w:pPr>
      <w:r>
        <w:rPr>
          <w:rFonts w:hint="eastAsia"/>
          <w:color w:val="auto"/>
          <w:highlight w:val="none"/>
        </w:rPr>
        <w:t>1、参加谈判活动。</w:t>
      </w:r>
    </w:p>
    <w:p w14:paraId="55CA06AC">
      <w:pPr>
        <w:pStyle w:val="7"/>
        <w:spacing w:before="14"/>
        <w:ind w:left="698"/>
        <w:rPr>
          <w:color w:val="auto"/>
          <w:highlight w:val="none"/>
        </w:rPr>
      </w:pPr>
      <w:r>
        <w:rPr>
          <w:rFonts w:hint="eastAsia"/>
          <w:color w:val="auto"/>
          <w:highlight w:val="none"/>
        </w:rPr>
        <w:t>2、出席谈判会议。</w:t>
      </w:r>
    </w:p>
    <w:p w14:paraId="6F34EC92">
      <w:pPr>
        <w:pStyle w:val="7"/>
        <w:spacing w:before="12"/>
        <w:ind w:left="698"/>
        <w:rPr>
          <w:color w:val="auto"/>
          <w:highlight w:val="none"/>
        </w:rPr>
      </w:pPr>
      <w:r>
        <w:rPr>
          <w:rFonts w:hint="eastAsia"/>
          <w:color w:val="auto"/>
          <w:highlight w:val="none"/>
        </w:rPr>
        <w:t>3、确定谈判采购的最终报价。</w:t>
      </w:r>
    </w:p>
    <w:p w14:paraId="19E871C7">
      <w:pPr>
        <w:pStyle w:val="7"/>
        <w:spacing w:before="11"/>
        <w:ind w:left="698"/>
        <w:rPr>
          <w:color w:val="auto"/>
          <w:highlight w:val="none"/>
        </w:rPr>
      </w:pPr>
      <w:r>
        <w:rPr>
          <w:rFonts w:hint="eastAsia"/>
          <w:color w:val="auto"/>
          <w:highlight w:val="none"/>
        </w:rPr>
        <w:t>4、签订与成交事宜有关的合同。</w:t>
      </w:r>
    </w:p>
    <w:p w14:paraId="6079151B">
      <w:pPr>
        <w:pStyle w:val="7"/>
        <w:spacing w:before="14" w:line="249" w:lineRule="auto"/>
        <w:ind w:left="698" w:right="588"/>
        <w:rPr>
          <w:color w:val="auto"/>
          <w:highlight w:val="none"/>
        </w:rPr>
      </w:pPr>
      <w:r>
        <w:rPr>
          <w:rFonts w:hint="eastAsia"/>
          <w:color w:val="auto"/>
          <w:highlight w:val="none"/>
        </w:rPr>
        <w:t>5、负责合同的履行、服务以及在合同履行过程中有关事宜的洽谈和处理。受托人在办理上述事宜过程中以其自己的名义签署的所有文件我单位均予</w:t>
      </w:r>
    </w:p>
    <w:p w14:paraId="621D25D0">
      <w:pPr>
        <w:pStyle w:val="7"/>
        <w:spacing w:line="307" w:lineRule="exact"/>
        <w:ind w:left="218"/>
        <w:rPr>
          <w:color w:val="auto"/>
          <w:highlight w:val="none"/>
        </w:rPr>
      </w:pPr>
      <w:r>
        <w:rPr>
          <w:rFonts w:hint="eastAsia"/>
          <w:color w:val="auto"/>
          <w:highlight w:val="none"/>
        </w:rPr>
        <w:t>以承认。</w:t>
      </w:r>
    </w:p>
    <w:p w14:paraId="22A96443">
      <w:pPr>
        <w:pStyle w:val="7"/>
        <w:spacing w:before="15"/>
        <w:ind w:left="698"/>
        <w:rPr>
          <w:color w:val="auto"/>
          <w:highlight w:val="none"/>
        </w:rPr>
      </w:pPr>
      <w:r>
        <w:rPr>
          <w:rFonts w:hint="eastAsia"/>
          <w:color w:val="auto"/>
          <w:highlight w:val="none"/>
        </w:rPr>
        <w:t>受托人无转委托权。</w:t>
      </w:r>
    </w:p>
    <w:p w14:paraId="2ECF6A21">
      <w:pPr>
        <w:pStyle w:val="7"/>
        <w:tabs>
          <w:tab w:val="left" w:pos="2498"/>
          <w:tab w:val="left" w:pos="4298"/>
        </w:tabs>
        <w:spacing w:before="11" w:line="480" w:lineRule="auto"/>
        <w:ind w:left="698" w:right="4548"/>
        <w:rPr>
          <w:color w:val="auto"/>
          <w:highlight w:val="none"/>
        </w:rPr>
      </w:pPr>
      <w:r>
        <w:rPr>
          <w:rFonts w:hint="eastAsia"/>
          <w:color w:val="auto"/>
          <w:highlight w:val="none"/>
        </w:rPr>
        <w:t>委托期限：至上述事宜处理完毕止</w:t>
      </w:r>
      <w:r>
        <w:rPr>
          <w:rFonts w:hint="eastAsia"/>
          <w:color w:val="auto"/>
          <w:spacing w:val="-18"/>
          <w:highlight w:val="none"/>
        </w:rPr>
        <w:t>。</w:t>
      </w:r>
      <w:r>
        <w:rPr>
          <w:rFonts w:hint="eastAsia"/>
          <w:color w:val="auto"/>
          <w:highlight w:val="none"/>
        </w:rPr>
        <w:t>委托单位：</w:t>
      </w:r>
      <w:r>
        <w:rPr>
          <w:rFonts w:hint="eastAsia"/>
          <w:color w:val="auto"/>
          <w:highlight w:val="none"/>
          <w:u w:val="single"/>
        </w:rPr>
        <w:tab/>
      </w:r>
      <w:r>
        <w:rPr>
          <w:rFonts w:hint="eastAsia"/>
          <w:color w:val="auto"/>
          <w:highlight w:val="none"/>
          <w:u w:val="single"/>
        </w:rPr>
        <w:t>（</w:t>
      </w:r>
      <w:r>
        <w:rPr>
          <w:rFonts w:hint="eastAsia"/>
          <w:color w:val="auto"/>
          <w:highlight w:val="none"/>
          <w:u w:val="single"/>
          <w:lang w:val="en-US" w:eastAsia="zh-CN"/>
        </w:rPr>
        <w:t>电子</w:t>
      </w:r>
      <w:r>
        <w:rPr>
          <w:rFonts w:hint="eastAsia"/>
          <w:color w:val="auto"/>
          <w:highlight w:val="none"/>
          <w:u w:val="single"/>
        </w:rPr>
        <w:t>公章）</w:t>
      </w:r>
      <w:r>
        <w:rPr>
          <w:rFonts w:hint="eastAsia"/>
          <w:color w:val="auto"/>
          <w:highlight w:val="none"/>
          <w:u w:val="single"/>
        </w:rPr>
        <w:tab/>
      </w:r>
    </w:p>
    <w:p w14:paraId="7C16FF56">
      <w:pPr>
        <w:pStyle w:val="7"/>
        <w:tabs>
          <w:tab w:val="left" w:pos="2498"/>
          <w:tab w:val="left" w:pos="4298"/>
        </w:tabs>
        <w:spacing w:before="6"/>
        <w:ind w:left="698"/>
        <w:rPr>
          <w:color w:val="auto"/>
          <w:highlight w:val="none"/>
        </w:rPr>
      </w:pPr>
      <w:r>
        <w:rPr>
          <w:rFonts w:hint="eastAsia"/>
          <w:color w:val="auto"/>
          <w:highlight w:val="none"/>
        </w:rPr>
        <w:t>法定代表人：</w:t>
      </w:r>
      <w:r>
        <w:rPr>
          <w:rFonts w:hint="eastAsia"/>
          <w:color w:val="auto"/>
          <w:highlight w:val="none"/>
          <w:u w:val="single"/>
        </w:rPr>
        <w:tab/>
      </w:r>
      <w:r>
        <w:rPr>
          <w:rFonts w:hint="eastAsia"/>
          <w:color w:val="auto"/>
          <w:highlight w:val="none"/>
          <w:u w:val="single"/>
        </w:rPr>
        <w:t>（</w:t>
      </w:r>
      <w:r>
        <w:rPr>
          <w:rFonts w:hint="eastAsia"/>
          <w:color w:val="auto"/>
          <w:highlight w:val="none"/>
          <w:u w:val="single"/>
          <w:lang w:val="en-US" w:eastAsia="zh-CN"/>
        </w:rPr>
        <w:t>电子</w:t>
      </w:r>
      <w:r>
        <w:rPr>
          <w:rFonts w:hint="eastAsia"/>
          <w:color w:val="auto"/>
          <w:highlight w:val="none"/>
          <w:u w:val="single"/>
        </w:rPr>
        <w:t>签字）</w:t>
      </w:r>
      <w:r>
        <w:rPr>
          <w:rFonts w:hint="eastAsia"/>
          <w:color w:val="auto"/>
          <w:highlight w:val="none"/>
          <w:u w:val="single"/>
        </w:rPr>
        <w:tab/>
      </w:r>
    </w:p>
    <w:p w14:paraId="72D3CEAC">
      <w:pPr>
        <w:pStyle w:val="7"/>
        <w:rPr>
          <w:color w:val="auto"/>
          <w:sz w:val="20"/>
          <w:highlight w:val="none"/>
        </w:rPr>
      </w:pPr>
    </w:p>
    <w:p w14:paraId="5749DECA">
      <w:pPr>
        <w:pStyle w:val="7"/>
        <w:rPr>
          <w:color w:val="auto"/>
          <w:sz w:val="20"/>
          <w:highlight w:val="none"/>
        </w:rPr>
      </w:pPr>
    </w:p>
    <w:p w14:paraId="0638E65F">
      <w:pPr>
        <w:pStyle w:val="7"/>
        <w:spacing w:before="2"/>
        <w:rPr>
          <w:color w:val="auto"/>
          <w:sz w:val="27"/>
          <w:highlight w:val="none"/>
        </w:rPr>
      </w:pPr>
    </w:p>
    <w:p w14:paraId="7EB8337B">
      <w:pPr>
        <w:pStyle w:val="7"/>
        <w:tabs>
          <w:tab w:val="left" w:pos="817"/>
          <w:tab w:val="left" w:pos="1537"/>
          <w:tab w:val="left" w:pos="2258"/>
        </w:tabs>
        <w:spacing w:before="67"/>
        <w:ind w:left="218"/>
        <w:rPr>
          <w:color w:val="auto"/>
          <w:highlight w:val="none"/>
        </w:rPr>
      </w:pPr>
      <w:r>
        <w:rPr>
          <w:rFonts w:hint="eastAsia"/>
          <w:color w:val="auto"/>
          <w:highlight w:val="none"/>
          <w:u w:val="single"/>
        </w:rPr>
        <w:tab/>
      </w:r>
      <w:r>
        <w:rPr>
          <w:rFonts w:hint="eastAsia"/>
          <w:color w:val="auto"/>
          <w:highlight w:val="none"/>
        </w:rPr>
        <w:t>年</w:t>
      </w:r>
      <w:r>
        <w:rPr>
          <w:rFonts w:hint="eastAsia"/>
          <w:color w:val="auto"/>
          <w:highlight w:val="none"/>
          <w:u w:val="single"/>
        </w:rPr>
        <w:tab/>
      </w:r>
      <w:r>
        <w:rPr>
          <w:rFonts w:hint="eastAsia"/>
          <w:color w:val="auto"/>
          <w:highlight w:val="none"/>
        </w:rPr>
        <w:t>月</w:t>
      </w:r>
      <w:r>
        <w:rPr>
          <w:rFonts w:hint="eastAsia"/>
          <w:color w:val="auto"/>
          <w:highlight w:val="none"/>
          <w:u w:val="single"/>
        </w:rPr>
        <w:tab/>
      </w:r>
      <w:r>
        <w:rPr>
          <w:rFonts w:hint="eastAsia"/>
          <w:color w:val="auto"/>
          <w:highlight w:val="none"/>
        </w:rPr>
        <w:t>日</w:t>
      </w:r>
    </w:p>
    <w:p w14:paraId="140EB675">
      <w:pPr>
        <w:rPr>
          <w:color w:val="auto"/>
          <w:highlight w:val="none"/>
        </w:rPr>
        <w:sectPr>
          <w:pgSz w:w="11850" w:h="16790"/>
          <w:pgMar w:top="1400" w:right="1180" w:bottom="920" w:left="1580" w:header="0" w:footer="721" w:gutter="0"/>
          <w:cols w:space="720" w:num="1"/>
        </w:sectPr>
      </w:pPr>
    </w:p>
    <w:p w14:paraId="4F7EFDC4">
      <w:pPr>
        <w:spacing w:before="40"/>
        <w:ind w:left="218"/>
        <w:rPr>
          <w:b/>
          <w:color w:val="auto"/>
          <w:sz w:val="28"/>
          <w:highlight w:val="none"/>
        </w:rPr>
      </w:pPr>
      <w:r>
        <w:rPr>
          <w:rFonts w:hint="eastAsia"/>
          <w:b/>
          <w:color w:val="auto"/>
          <w:sz w:val="28"/>
          <w:highlight w:val="none"/>
        </w:rPr>
        <w:t>附件十三:</w:t>
      </w:r>
    </w:p>
    <w:p w14:paraId="24BCDE78">
      <w:pPr>
        <w:spacing w:line="380" w:lineRule="exact"/>
        <w:jc w:val="center"/>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中小企业声明函（工程、服务）</w:t>
      </w:r>
    </w:p>
    <w:p w14:paraId="203DC3D9">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宋体" w:hAnsi="宋体" w:eastAsia="宋体" w:cs="宋体"/>
          <w:color w:val="auto"/>
          <w:sz w:val="24"/>
          <w:szCs w:val="24"/>
          <w:highlight w:val="none"/>
          <w:lang w:val="zh-CN" w:eastAsia="zh-CN" w:bidi="zh-CN"/>
        </w:rPr>
      </w:pPr>
    </w:p>
    <w:p w14:paraId="36FC5F1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本公司（联合体）郑重声明，根据《政府采购促进中小企业发展管理办法》（财库﹝2020﹞46号）的规定，本公司（联合体）参加（单位名称）的（项目名称）采购活动，工程的施工单位全部为符合政策要求的中小企业（或者：服务全部由符合政策要求的中小企业承接）。相关企业（含联合 体中的中小企业、签订分包意向协议的中小企业）的具体情 况如下：</w:t>
      </w:r>
    </w:p>
    <w:p w14:paraId="19B42896">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en-US" w:eastAsia="zh-CN" w:bidi="zh-CN"/>
        </w:rPr>
        <w:t>1.</w:t>
      </w:r>
      <w:r>
        <w:rPr>
          <w:rFonts w:hint="eastAsia" w:ascii="宋体" w:hAnsi="宋体" w:eastAsia="宋体" w:cs="宋体"/>
          <w:color w:val="auto"/>
          <w:sz w:val="24"/>
          <w:szCs w:val="24"/>
          <w:highlight w:val="none"/>
          <w:lang w:val="zh-CN" w:eastAsia="zh-CN" w:bidi="zh-CN"/>
        </w:rPr>
        <w:t>（标的名称），属于（采购文件中明确的所属行业）； 承建（承接）企业为（企业名称），从业人员</w:t>
      </w:r>
      <w:r>
        <w:rPr>
          <w:rFonts w:hint="eastAsia" w:ascii="宋体" w:hAnsi="宋体" w:eastAsia="宋体" w:cs="宋体"/>
          <w:color w:val="auto"/>
          <w:sz w:val="24"/>
          <w:szCs w:val="24"/>
          <w:highlight w:val="none"/>
          <w:lang w:val="en-US" w:eastAsia="zh-CN" w:bidi="zh-CN"/>
        </w:rPr>
        <w:t xml:space="preserve">   </w:t>
      </w:r>
      <w:r>
        <w:rPr>
          <w:rFonts w:hint="eastAsia" w:ascii="宋体" w:hAnsi="宋体" w:eastAsia="宋体" w:cs="宋体"/>
          <w:color w:val="auto"/>
          <w:sz w:val="24"/>
          <w:szCs w:val="24"/>
          <w:highlight w:val="none"/>
          <w:lang w:val="zh-CN" w:eastAsia="zh-CN" w:bidi="zh-CN"/>
        </w:rPr>
        <w:t>人，营业收入为</w:t>
      </w:r>
      <w:r>
        <w:rPr>
          <w:rFonts w:hint="eastAsia" w:ascii="宋体" w:hAnsi="宋体" w:eastAsia="宋体" w:cs="宋体"/>
          <w:color w:val="auto"/>
          <w:sz w:val="24"/>
          <w:szCs w:val="24"/>
          <w:highlight w:val="none"/>
          <w:lang w:val="en-US" w:eastAsia="zh-CN" w:bidi="zh-CN"/>
        </w:rPr>
        <w:t xml:space="preserve">   </w:t>
      </w:r>
      <w:r>
        <w:rPr>
          <w:rFonts w:hint="eastAsia" w:ascii="宋体" w:hAnsi="宋体" w:eastAsia="宋体" w:cs="宋体"/>
          <w:color w:val="auto"/>
          <w:sz w:val="24"/>
          <w:szCs w:val="24"/>
          <w:highlight w:val="none"/>
          <w:lang w:val="zh-CN" w:eastAsia="zh-CN" w:bidi="zh-CN"/>
        </w:rPr>
        <w:t>万元，资产总额为</w:t>
      </w:r>
      <w:r>
        <w:rPr>
          <w:rFonts w:hint="eastAsia" w:ascii="宋体" w:hAnsi="宋体" w:eastAsia="宋体" w:cs="宋体"/>
          <w:color w:val="auto"/>
          <w:sz w:val="24"/>
          <w:szCs w:val="24"/>
          <w:highlight w:val="none"/>
          <w:lang w:val="en-US" w:eastAsia="zh-CN" w:bidi="zh-CN"/>
        </w:rPr>
        <w:t xml:space="preserve">   </w:t>
      </w:r>
      <w:r>
        <w:rPr>
          <w:rFonts w:hint="eastAsia" w:ascii="宋体" w:hAnsi="宋体" w:eastAsia="宋体" w:cs="宋体"/>
          <w:color w:val="auto"/>
          <w:sz w:val="24"/>
          <w:szCs w:val="24"/>
          <w:highlight w:val="none"/>
          <w:lang w:val="zh-CN" w:eastAsia="zh-CN" w:bidi="zh-CN"/>
        </w:rPr>
        <w:t xml:space="preserve">万元1，属于（中型企业、小型企业、微型企业）； </w:t>
      </w:r>
    </w:p>
    <w:p w14:paraId="32FAD285">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en-US" w:eastAsia="zh-CN" w:bidi="zh-CN"/>
        </w:rPr>
        <w:t>2.</w:t>
      </w:r>
      <w:r>
        <w:rPr>
          <w:rFonts w:hint="eastAsia" w:ascii="宋体" w:hAnsi="宋体" w:eastAsia="宋体" w:cs="宋体"/>
          <w:color w:val="auto"/>
          <w:sz w:val="24"/>
          <w:szCs w:val="24"/>
          <w:highlight w:val="none"/>
          <w:lang w:val="zh-CN" w:eastAsia="zh-CN" w:bidi="zh-CN"/>
        </w:rPr>
        <w:t>（标的名称），属于（采购文件中明确的所属行业）； 承建（承接）企业为（企业名称），从业人员</w:t>
      </w:r>
      <w:r>
        <w:rPr>
          <w:rFonts w:hint="eastAsia" w:ascii="宋体" w:hAnsi="宋体" w:eastAsia="宋体" w:cs="宋体"/>
          <w:color w:val="auto"/>
          <w:sz w:val="24"/>
          <w:szCs w:val="24"/>
          <w:highlight w:val="none"/>
          <w:lang w:val="en-US" w:eastAsia="zh-CN" w:bidi="zh-CN"/>
        </w:rPr>
        <w:t xml:space="preserve">   </w:t>
      </w:r>
      <w:r>
        <w:rPr>
          <w:rFonts w:hint="eastAsia" w:ascii="宋体" w:hAnsi="宋体" w:eastAsia="宋体" w:cs="宋体"/>
          <w:color w:val="auto"/>
          <w:sz w:val="24"/>
          <w:szCs w:val="24"/>
          <w:highlight w:val="none"/>
          <w:lang w:val="zh-CN" w:eastAsia="zh-CN" w:bidi="zh-CN"/>
        </w:rPr>
        <w:t xml:space="preserve"> 人，营业收入为</w:t>
      </w:r>
      <w:r>
        <w:rPr>
          <w:rFonts w:hint="eastAsia" w:ascii="宋体" w:hAnsi="宋体" w:eastAsia="宋体" w:cs="宋体"/>
          <w:color w:val="auto"/>
          <w:sz w:val="24"/>
          <w:szCs w:val="24"/>
          <w:highlight w:val="none"/>
          <w:lang w:val="en-US" w:eastAsia="zh-CN" w:bidi="zh-CN"/>
        </w:rPr>
        <w:t xml:space="preserve">   </w:t>
      </w:r>
      <w:r>
        <w:rPr>
          <w:rFonts w:hint="eastAsia" w:ascii="宋体" w:hAnsi="宋体" w:eastAsia="宋体" w:cs="宋体"/>
          <w:color w:val="auto"/>
          <w:sz w:val="24"/>
          <w:szCs w:val="24"/>
          <w:highlight w:val="none"/>
          <w:lang w:val="zh-CN" w:eastAsia="zh-CN" w:bidi="zh-CN"/>
        </w:rPr>
        <w:t>万元，资产总额为</w:t>
      </w:r>
      <w:r>
        <w:rPr>
          <w:rFonts w:hint="eastAsia" w:ascii="宋体" w:hAnsi="宋体" w:eastAsia="宋体" w:cs="宋体"/>
          <w:color w:val="auto"/>
          <w:sz w:val="24"/>
          <w:szCs w:val="24"/>
          <w:highlight w:val="none"/>
          <w:lang w:val="en-US" w:eastAsia="zh-CN" w:bidi="zh-CN"/>
        </w:rPr>
        <w:t xml:space="preserve">    </w:t>
      </w:r>
      <w:r>
        <w:rPr>
          <w:rFonts w:hint="eastAsia" w:ascii="宋体" w:hAnsi="宋体" w:eastAsia="宋体" w:cs="宋体"/>
          <w:color w:val="auto"/>
          <w:sz w:val="24"/>
          <w:szCs w:val="24"/>
          <w:highlight w:val="none"/>
          <w:lang w:val="zh-CN" w:eastAsia="zh-CN" w:bidi="zh-CN"/>
        </w:rPr>
        <w:t>万元，属于（中型企业、 小型企业、微型企业）； ……</w:t>
      </w:r>
    </w:p>
    <w:p w14:paraId="23AC8A6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以上企业，不属于大企业的分支机构，不存在控股股东 为大企业的情形，也不存在与大企业的负责人为同一人的情形。</w:t>
      </w:r>
    </w:p>
    <w:p w14:paraId="1FE681B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 xml:space="preserve">本企业对上述声明内容的真实性负责。如有虚假，将依 法承担相应责任。 </w:t>
      </w:r>
    </w:p>
    <w:p w14:paraId="0FD6958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 xml:space="preserve">企业名称（盖章）： </w:t>
      </w:r>
    </w:p>
    <w:p w14:paraId="50ECC34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color w:val="auto"/>
          <w:sz w:val="24"/>
          <w:szCs w:val="24"/>
          <w:highlight w:val="none"/>
          <w:lang w:val="zh-CN" w:eastAsia="zh-CN" w:bidi="zh-CN"/>
        </w:rPr>
      </w:pPr>
      <w:r>
        <w:rPr>
          <w:rFonts w:hint="eastAsia" w:ascii="宋体" w:hAnsi="宋体" w:eastAsia="宋体" w:cs="宋体"/>
          <w:color w:val="auto"/>
          <w:sz w:val="24"/>
          <w:szCs w:val="24"/>
          <w:highlight w:val="none"/>
          <w:lang w:val="zh-CN" w:eastAsia="zh-CN" w:bidi="zh-CN"/>
        </w:rPr>
        <w:t xml:space="preserve">日 期： </w:t>
      </w:r>
    </w:p>
    <w:p w14:paraId="041C04C8">
      <w:pPr>
        <w:pStyle w:val="6"/>
        <w:rPr>
          <w:rFonts w:hint="eastAsia" w:ascii="宋体" w:hAnsi="宋体" w:eastAsia="宋体" w:cs="宋体"/>
          <w:color w:val="auto"/>
          <w:sz w:val="24"/>
          <w:szCs w:val="24"/>
          <w:highlight w:val="none"/>
          <w:lang w:val="en-US" w:eastAsia="zh-CN" w:bidi="zh-CN"/>
        </w:rPr>
      </w:pPr>
    </w:p>
    <w:p w14:paraId="2C875F9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bidi="zh-CN"/>
        </w:rPr>
      </w:pPr>
      <w:r>
        <w:rPr>
          <w:rFonts w:hint="eastAsia" w:ascii="宋体" w:hAnsi="宋体" w:eastAsia="宋体" w:cs="宋体"/>
          <w:color w:val="auto"/>
          <w:sz w:val="21"/>
          <w:szCs w:val="21"/>
          <w:highlight w:val="none"/>
          <w:lang w:val="en-US" w:eastAsia="zh-CN" w:bidi="zh-CN"/>
        </w:rPr>
        <w:t>注：1.从业人员、营业收入、资产总额填报上一年度数据，无上一年度数据的新成立企业可不填报。</w:t>
      </w:r>
    </w:p>
    <w:p w14:paraId="1B8C5A62">
      <w:pPr>
        <w:keepNext w:val="0"/>
        <w:keepLines w:val="0"/>
        <w:pageBreakBefore w:val="0"/>
        <w:widowControl w:val="0"/>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1"/>
          <w:szCs w:val="21"/>
          <w:highlight w:val="none"/>
          <w:lang w:val="en-US" w:eastAsia="zh-CN" w:bidi="zh-CN"/>
        </w:rPr>
      </w:pPr>
      <w:r>
        <w:rPr>
          <w:rFonts w:hint="eastAsia" w:ascii="宋体" w:hAnsi="宋体" w:eastAsia="宋体" w:cs="宋体"/>
          <w:color w:val="auto"/>
          <w:sz w:val="21"/>
          <w:szCs w:val="21"/>
          <w:highlight w:val="none"/>
          <w:lang w:val="en-US" w:eastAsia="zh-CN" w:bidi="zh-CN"/>
        </w:rPr>
        <w:t>2.本项目如是只面向中小企业采购的应当必须提供。</w:t>
      </w:r>
    </w:p>
    <w:p w14:paraId="24163C5E">
      <w:pPr>
        <w:pStyle w:val="7"/>
        <w:rPr>
          <w:rFonts w:hint="eastAsia" w:ascii="宋体" w:hAnsi="宋体" w:eastAsia="宋体" w:cs="宋体"/>
          <w:color w:val="auto"/>
          <w:sz w:val="24"/>
          <w:szCs w:val="24"/>
          <w:highlight w:val="none"/>
          <w:lang w:val="zh-CN" w:eastAsia="zh-CN" w:bidi="zh-CN"/>
        </w:rPr>
      </w:pPr>
    </w:p>
    <w:p w14:paraId="3CA59CEF">
      <w:pPr>
        <w:rPr>
          <w:rFonts w:hint="eastAsia"/>
          <w:color w:val="auto"/>
          <w:highlight w:val="none"/>
          <w:lang w:val="zh-CN" w:eastAsia="zh-CN"/>
        </w:rPr>
      </w:pPr>
    </w:p>
    <w:p w14:paraId="4332E409">
      <w:pPr>
        <w:rPr>
          <w:b/>
          <w:color w:val="auto"/>
          <w:sz w:val="28"/>
          <w:highlight w:val="none"/>
        </w:rPr>
      </w:pPr>
    </w:p>
    <w:p w14:paraId="21F70ADF">
      <w:pPr>
        <w:pStyle w:val="34"/>
        <w:rPr>
          <w:b/>
          <w:color w:val="auto"/>
          <w:sz w:val="28"/>
          <w:highlight w:val="none"/>
        </w:rPr>
      </w:pPr>
    </w:p>
    <w:p w14:paraId="1B7978D4">
      <w:pPr>
        <w:pStyle w:val="6"/>
        <w:rPr>
          <w:b/>
          <w:color w:val="auto"/>
          <w:sz w:val="28"/>
          <w:highlight w:val="none"/>
        </w:rPr>
      </w:pPr>
    </w:p>
    <w:p w14:paraId="256DC557">
      <w:pPr>
        <w:rPr>
          <w:b/>
          <w:color w:val="auto"/>
          <w:sz w:val="28"/>
          <w:highlight w:val="none"/>
        </w:rPr>
      </w:pPr>
    </w:p>
    <w:p w14:paraId="4FAAD0C6">
      <w:pPr>
        <w:pStyle w:val="34"/>
        <w:rPr>
          <w:color w:val="auto"/>
          <w:highlight w:val="none"/>
        </w:rPr>
      </w:pPr>
    </w:p>
    <w:p w14:paraId="7070AC24">
      <w:pPr>
        <w:pStyle w:val="6"/>
        <w:rPr>
          <w:color w:val="auto"/>
          <w:highlight w:val="none"/>
        </w:rPr>
      </w:pPr>
    </w:p>
    <w:p w14:paraId="785AF4CA">
      <w:pPr>
        <w:rPr>
          <w:color w:val="auto"/>
          <w:highlight w:val="none"/>
        </w:rPr>
      </w:pPr>
    </w:p>
    <w:p w14:paraId="26C29692">
      <w:pPr>
        <w:pStyle w:val="34"/>
        <w:rPr>
          <w:color w:val="auto"/>
          <w:highlight w:val="none"/>
        </w:rPr>
      </w:pPr>
    </w:p>
    <w:p w14:paraId="44A90BA5">
      <w:pPr>
        <w:pStyle w:val="6"/>
        <w:rPr>
          <w:color w:val="auto"/>
          <w:highlight w:val="none"/>
        </w:rPr>
      </w:pPr>
    </w:p>
    <w:p w14:paraId="52890F64">
      <w:pPr>
        <w:pStyle w:val="7"/>
        <w:rPr>
          <w:b/>
          <w:color w:val="auto"/>
          <w:sz w:val="29"/>
          <w:highlight w:val="none"/>
        </w:rPr>
      </w:pPr>
    </w:p>
    <w:p w14:paraId="63D765AA">
      <w:pPr>
        <w:rPr>
          <w:rFonts w:hint="eastAsia"/>
          <w:b/>
          <w:color w:val="auto"/>
          <w:sz w:val="28"/>
          <w:highlight w:val="none"/>
        </w:rPr>
      </w:pPr>
      <w:r>
        <w:rPr>
          <w:rFonts w:hint="eastAsia"/>
          <w:b/>
          <w:color w:val="auto"/>
          <w:sz w:val="28"/>
          <w:highlight w:val="none"/>
        </w:rPr>
        <w:br w:type="page"/>
      </w:r>
    </w:p>
    <w:p w14:paraId="3810DA98">
      <w:pPr>
        <w:spacing w:before="40"/>
        <w:ind w:left="218"/>
        <w:rPr>
          <w:rFonts w:hint="eastAsia"/>
          <w:b/>
          <w:bCs/>
          <w:color w:val="auto"/>
          <w:sz w:val="28"/>
          <w:highlight w:val="none"/>
        </w:rPr>
      </w:pPr>
      <w:r>
        <w:rPr>
          <w:rFonts w:hint="eastAsia"/>
          <w:b/>
          <w:color w:val="auto"/>
          <w:sz w:val="28"/>
          <w:highlight w:val="none"/>
        </w:rPr>
        <w:t>附件十</w:t>
      </w:r>
      <w:r>
        <w:rPr>
          <w:rFonts w:hint="eastAsia"/>
          <w:b/>
          <w:color w:val="auto"/>
          <w:sz w:val="28"/>
          <w:highlight w:val="none"/>
          <w:lang w:val="en-US" w:eastAsia="zh-CN"/>
        </w:rPr>
        <w:t>四</w:t>
      </w:r>
      <w:r>
        <w:rPr>
          <w:rFonts w:hint="eastAsia"/>
          <w:b/>
          <w:color w:val="auto"/>
          <w:sz w:val="28"/>
          <w:highlight w:val="none"/>
        </w:rPr>
        <w:t>:</w:t>
      </w:r>
      <w:r>
        <w:rPr>
          <w:rFonts w:hint="eastAsia"/>
          <w:b/>
          <w:bCs/>
          <w:color w:val="auto"/>
          <w:sz w:val="28"/>
          <w:highlight w:val="none"/>
        </w:rPr>
        <w:t>其它相关资料</w:t>
      </w:r>
    </w:p>
    <w:p w14:paraId="5416E7F4">
      <w:pPr>
        <w:bidi w:val="0"/>
        <w:rPr>
          <w:rFonts w:hint="eastAsia"/>
          <w:color w:val="auto"/>
          <w:highlight w:val="none"/>
        </w:rPr>
      </w:pPr>
    </w:p>
    <w:p w14:paraId="33F2630F">
      <w:pPr>
        <w:rPr>
          <w:rFonts w:hint="eastAsia" w:ascii="宋体" w:hAnsi="宋体" w:eastAsia="宋体" w:cs="宋体"/>
          <w:b/>
          <w:color w:val="auto"/>
          <w:sz w:val="28"/>
          <w:highlight w:val="none"/>
        </w:rPr>
      </w:pPr>
      <w:r>
        <w:rPr>
          <w:rFonts w:hint="eastAsia" w:ascii="宋体" w:hAnsi="宋体" w:eastAsia="宋体" w:cs="宋体"/>
          <w:b/>
          <w:color w:val="auto"/>
          <w:sz w:val="28"/>
          <w:highlight w:val="none"/>
        </w:rPr>
        <w:br w:type="page"/>
      </w:r>
    </w:p>
    <w:p w14:paraId="32229065">
      <w:pPr>
        <w:keepNext w:val="0"/>
        <w:keepLines w:val="0"/>
        <w:pageBreakBefore w:val="0"/>
        <w:widowControl w:val="0"/>
        <w:kinsoku/>
        <w:wordWrap/>
        <w:overflowPunct/>
        <w:topLinePunct w:val="0"/>
        <w:autoSpaceDE w:val="0"/>
        <w:autoSpaceDN w:val="0"/>
        <w:bidi w:val="0"/>
        <w:adjustRightInd/>
        <w:snapToGrid/>
        <w:spacing w:before="0" w:after="0" w:line="500" w:lineRule="exact"/>
        <w:ind w:right="391" w:firstLine="0"/>
        <w:jc w:val="center"/>
        <w:textAlignment w:val="auto"/>
        <w:outlineLvl w:val="9"/>
        <w:rPr>
          <w:rFonts w:hint="eastAsia" w:ascii="宋体" w:hAnsi="宋体" w:eastAsia="宋体" w:cs="宋体"/>
          <w:b/>
          <w:color w:val="auto"/>
          <w:sz w:val="28"/>
          <w:highlight w:val="none"/>
          <w:lang w:val="en-US"/>
        </w:rPr>
      </w:pPr>
      <w:bookmarkStart w:id="36" w:name="_Toc10911"/>
      <w:r>
        <w:rPr>
          <w:rFonts w:hint="eastAsia" w:ascii="宋体" w:hAnsi="宋体" w:eastAsia="宋体" w:cs="宋体"/>
          <w:b/>
          <w:color w:val="auto"/>
          <w:sz w:val="28"/>
          <w:highlight w:val="none"/>
        </w:rPr>
        <w:t>十</w:t>
      </w:r>
      <w:r>
        <w:rPr>
          <w:rFonts w:hint="eastAsia" w:ascii="宋体" w:hAnsi="宋体" w:eastAsia="宋体" w:cs="宋体"/>
          <w:b/>
          <w:color w:val="auto"/>
          <w:sz w:val="28"/>
          <w:highlight w:val="none"/>
          <w:lang w:val="en-US" w:eastAsia="zh-CN"/>
        </w:rPr>
        <w:t>五</w:t>
      </w:r>
      <w:r>
        <w:rPr>
          <w:rFonts w:hint="eastAsia" w:ascii="宋体" w:hAnsi="宋体" w:eastAsia="宋体" w:cs="宋体"/>
          <w:b/>
          <w:color w:val="auto"/>
          <w:sz w:val="28"/>
          <w:highlight w:val="none"/>
        </w:rPr>
        <w:t>:</w:t>
      </w:r>
      <w:r>
        <w:rPr>
          <w:rFonts w:hint="eastAsia" w:ascii="宋体" w:hAnsi="宋体" w:eastAsia="宋体" w:cs="宋体"/>
          <w:b/>
          <w:color w:val="auto"/>
          <w:sz w:val="28"/>
          <w:highlight w:val="none"/>
          <w:lang w:val="en-US"/>
        </w:rPr>
        <w:t>周口市政府采购合同（工程类）标准文本</w:t>
      </w:r>
      <w:bookmarkEnd w:id="36"/>
    </w:p>
    <w:p w14:paraId="526C26BC">
      <w:pPr>
        <w:ind w:firstLine="880" w:firstLineChars="200"/>
        <w:jc w:val="center"/>
        <w:rPr>
          <w:rFonts w:hint="eastAsia" w:ascii="方正小标宋简体" w:hAnsi="黑体" w:eastAsia="方正小标宋简体" w:cs="黑体"/>
          <w:color w:val="auto"/>
          <w:sz w:val="44"/>
          <w:szCs w:val="44"/>
          <w:highlight w:val="none"/>
          <w:lang w:val="en-US"/>
        </w:rPr>
      </w:pPr>
    </w:p>
    <w:p w14:paraId="29579D87">
      <w:pPr>
        <w:pStyle w:val="43"/>
        <w:spacing w:beforeLines="0" w:afterLines="0"/>
        <w:ind w:left="0" w:firstLine="640" w:firstLineChars="200"/>
        <w:jc w:val="both"/>
        <w:rPr>
          <w:rFonts w:hint="eastAsia" w:ascii="黑体" w:hAnsi="黑体" w:eastAsia="黑体" w:cs="黑体"/>
          <w:color w:val="auto"/>
          <w:sz w:val="32"/>
          <w:szCs w:val="32"/>
          <w:highlight w:val="none"/>
          <w:lang w:val="en-US"/>
        </w:rPr>
      </w:pPr>
    </w:p>
    <w:p w14:paraId="4ABDC1B7">
      <w:pPr>
        <w:pStyle w:val="43"/>
        <w:spacing w:beforeLines="0" w:afterLines="0"/>
        <w:ind w:left="0" w:firstLine="640" w:firstLineChars="200"/>
        <w:jc w:val="both"/>
        <w:rPr>
          <w:rFonts w:hint="eastAsia" w:ascii="黑体" w:hAnsi="黑体" w:eastAsia="黑体" w:cs="黑体"/>
          <w:color w:val="auto"/>
          <w:sz w:val="32"/>
          <w:szCs w:val="32"/>
          <w:highlight w:val="none"/>
          <w:lang w:val="en-US"/>
        </w:rPr>
      </w:pPr>
    </w:p>
    <w:p w14:paraId="10AC957E">
      <w:pPr>
        <w:pStyle w:val="43"/>
        <w:spacing w:beforeLines="0" w:afterLines="0"/>
        <w:ind w:left="0" w:firstLine="640" w:firstLineChars="200"/>
        <w:jc w:val="both"/>
        <w:rPr>
          <w:rFonts w:hint="eastAsia" w:ascii="黑体" w:hAnsi="黑体" w:eastAsia="黑体" w:cs="黑体"/>
          <w:color w:val="auto"/>
          <w:sz w:val="32"/>
          <w:szCs w:val="32"/>
          <w:highlight w:val="none"/>
          <w:lang w:val="en-US"/>
        </w:rPr>
      </w:pPr>
    </w:p>
    <w:p w14:paraId="680F75EF">
      <w:pPr>
        <w:pStyle w:val="43"/>
        <w:spacing w:beforeLines="0" w:afterLines="0"/>
        <w:ind w:left="0" w:firstLine="600" w:firstLineChars="200"/>
        <w:jc w:val="both"/>
        <w:rPr>
          <w:rFonts w:ascii="黑体" w:hAnsi="黑体" w:eastAsia="黑体" w:cs="黑体"/>
          <w:color w:val="auto"/>
          <w:sz w:val="30"/>
          <w:szCs w:val="30"/>
          <w:highlight w:val="none"/>
          <w:lang w:val="en-US"/>
        </w:rPr>
      </w:pPr>
    </w:p>
    <w:p w14:paraId="2B5F62E5">
      <w:pPr>
        <w:pStyle w:val="43"/>
        <w:spacing w:beforeLines="0" w:afterLines="0"/>
        <w:ind w:left="0" w:firstLine="600" w:firstLineChars="200"/>
        <w:jc w:val="both"/>
        <w:rPr>
          <w:rFonts w:ascii="黑体" w:hAnsi="黑体" w:eastAsia="黑体" w:cs="黑体"/>
          <w:color w:val="auto"/>
          <w:sz w:val="30"/>
          <w:szCs w:val="30"/>
          <w:highlight w:val="none"/>
          <w:lang w:val="en-US"/>
        </w:rPr>
      </w:pPr>
    </w:p>
    <w:p w14:paraId="3AFB6322">
      <w:pPr>
        <w:pStyle w:val="43"/>
        <w:spacing w:beforeLines="0" w:afterLines="0"/>
        <w:ind w:left="0" w:firstLine="600" w:firstLineChars="200"/>
        <w:jc w:val="both"/>
        <w:rPr>
          <w:rFonts w:ascii="黑体" w:hAnsi="黑体" w:eastAsia="黑体" w:cs="黑体"/>
          <w:color w:val="auto"/>
          <w:sz w:val="30"/>
          <w:szCs w:val="30"/>
          <w:highlight w:val="none"/>
          <w:lang w:val="en-US"/>
        </w:rPr>
      </w:pPr>
    </w:p>
    <w:p w14:paraId="6D04E385">
      <w:pPr>
        <w:pStyle w:val="43"/>
        <w:spacing w:beforeLines="0" w:afterLines="0"/>
        <w:ind w:left="0" w:firstLine="60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政府采购项目名称：</w:t>
      </w:r>
    </w:p>
    <w:p w14:paraId="4F71D6F1">
      <w:pPr>
        <w:pStyle w:val="43"/>
        <w:spacing w:beforeLines="0" w:afterLines="0"/>
        <w:ind w:left="0" w:firstLine="60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政府采购项目编号：</w:t>
      </w:r>
    </w:p>
    <w:p w14:paraId="091C5317">
      <w:pPr>
        <w:pStyle w:val="43"/>
        <w:spacing w:beforeLines="0" w:afterLines="0"/>
        <w:ind w:left="0" w:firstLine="60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采      购    人：</w:t>
      </w:r>
    </w:p>
    <w:p w14:paraId="42D1D4C0">
      <w:pPr>
        <w:pStyle w:val="43"/>
        <w:spacing w:beforeLines="0" w:afterLines="0"/>
        <w:ind w:left="0" w:firstLine="60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供      应    商：</w:t>
      </w:r>
    </w:p>
    <w:p w14:paraId="401DFC13">
      <w:pPr>
        <w:pStyle w:val="43"/>
        <w:spacing w:beforeLines="0" w:afterLines="0"/>
        <w:ind w:left="0" w:firstLine="60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合  同  签 订 地：</w:t>
      </w:r>
    </w:p>
    <w:p w14:paraId="4F100101">
      <w:pPr>
        <w:pStyle w:val="43"/>
        <w:spacing w:beforeLines="0" w:afterLines="0"/>
        <w:ind w:left="0" w:firstLine="600" w:firstLineChars="200"/>
        <w:jc w:val="both"/>
        <w:rPr>
          <w:rFonts w:ascii="黑体" w:hAnsi="黑体" w:eastAsia="黑体" w:cs="黑体"/>
          <w:color w:val="auto"/>
          <w:sz w:val="30"/>
          <w:szCs w:val="30"/>
          <w:highlight w:val="none"/>
          <w:lang w:val="en-US"/>
        </w:rPr>
      </w:pPr>
      <w:r>
        <w:rPr>
          <w:rFonts w:hint="eastAsia" w:ascii="黑体" w:hAnsi="黑体" w:eastAsia="黑体" w:cs="黑体"/>
          <w:color w:val="auto"/>
          <w:sz w:val="30"/>
          <w:szCs w:val="30"/>
          <w:highlight w:val="none"/>
          <w:lang w:val="en-US"/>
        </w:rPr>
        <w:t>合 同 签订 时 间：</w:t>
      </w:r>
    </w:p>
    <w:p w14:paraId="1E835AD5">
      <w:pPr>
        <w:pStyle w:val="43"/>
        <w:spacing w:beforeLines="0" w:afterLines="0"/>
        <w:ind w:left="0" w:firstLine="600" w:firstLineChars="200"/>
        <w:jc w:val="both"/>
        <w:rPr>
          <w:rFonts w:ascii="黑体" w:hAnsi="黑体" w:eastAsia="黑体" w:cs="黑体"/>
          <w:color w:val="auto"/>
          <w:sz w:val="30"/>
          <w:szCs w:val="30"/>
          <w:highlight w:val="none"/>
          <w:lang w:val="en-US"/>
        </w:rPr>
      </w:pPr>
    </w:p>
    <w:p w14:paraId="6B82DF80">
      <w:pPr>
        <w:pStyle w:val="43"/>
        <w:spacing w:beforeLines="0" w:afterLines="0"/>
        <w:ind w:left="0" w:firstLine="600" w:firstLineChars="200"/>
        <w:jc w:val="both"/>
        <w:rPr>
          <w:rFonts w:ascii="黑体" w:hAnsi="黑体" w:eastAsia="黑体" w:cs="黑体"/>
          <w:color w:val="auto"/>
          <w:sz w:val="30"/>
          <w:szCs w:val="30"/>
          <w:highlight w:val="none"/>
          <w:lang w:val="en-US"/>
        </w:rPr>
      </w:pPr>
    </w:p>
    <w:p w14:paraId="2224FCA7">
      <w:pPr>
        <w:pStyle w:val="43"/>
        <w:spacing w:beforeLines="0" w:afterLines="0"/>
        <w:ind w:left="0" w:firstLine="600" w:firstLineChars="200"/>
        <w:jc w:val="both"/>
        <w:rPr>
          <w:rFonts w:ascii="黑体" w:hAnsi="黑体" w:eastAsia="黑体" w:cs="黑体"/>
          <w:color w:val="auto"/>
          <w:sz w:val="30"/>
          <w:szCs w:val="30"/>
          <w:highlight w:val="none"/>
          <w:lang w:val="en-US"/>
        </w:rPr>
      </w:pPr>
    </w:p>
    <w:p w14:paraId="10866281">
      <w:pPr>
        <w:pStyle w:val="43"/>
        <w:spacing w:beforeLines="0" w:afterLines="0"/>
        <w:ind w:left="0"/>
        <w:jc w:val="both"/>
        <w:rPr>
          <w:rFonts w:hint="eastAsia"/>
          <w:color w:val="auto"/>
          <w:sz w:val="30"/>
          <w:szCs w:val="30"/>
          <w:highlight w:val="none"/>
        </w:rPr>
      </w:pPr>
    </w:p>
    <w:p w14:paraId="4285BB2E">
      <w:pPr>
        <w:pStyle w:val="43"/>
        <w:spacing w:beforeLines="0" w:afterLines="0" w:line="440" w:lineRule="exact"/>
        <w:ind w:left="0"/>
        <w:jc w:val="center"/>
        <w:rPr>
          <w:rFonts w:hint="eastAsia" w:ascii="方正小标宋简体" w:eastAsia="方正小标宋简体"/>
          <w:color w:val="auto"/>
          <w:sz w:val="32"/>
          <w:szCs w:val="32"/>
          <w:highlight w:val="none"/>
        </w:rPr>
      </w:pPr>
      <w:r>
        <w:rPr>
          <w:rFonts w:hint="eastAsia" w:ascii="方正小标宋简体" w:eastAsia="方正小标宋简体"/>
          <w:color w:val="auto"/>
          <w:sz w:val="32"/>
          <w:szCs w:val="32"/>
          <w:highlight w:val="none"/>
        </w:rPr>
        <w:t>合同签订指引</w:t>
      </w:r>
    </w:p>
    <w:p w14:paraId="3DA82EC2">
      <w:pPr>
        <w:pStyle w:val="43"/>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rPr>
        <w:t>一、采购人在签订合同时应提供的资料：</w:t>
      </w:r>
    </w:p>
    <w:p w14:paraId="7DB2ACB6">
      <w:pPr>
        <w:pStyle w:val="43"/>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1、该政府采购项目的</w:t>
      </w:r>
      <w:r>
        <w:rPr>
          <w:rFonts w:hint="eastAsia"/>
          <w:color w:val="auto"/>
          <w:sz w:val="21"/>
          <w:szCs w:val="21"/>
          <w:highlight w:val="none"/>
        </w:rPr>
        <w:t>招标采购文件（以网上发布内容为准）；</w:t>
      </w:r>
    </w:p>
    <w:p w14:paraId="0D892855">
      <w:pPr>
        <w:pStyle w:val="43"/>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2、该政府采购项目</w:t>
      </w:r>
      <w:r>
        <w:rPr>
          <w:rFonts w:hint="eastAsia"/>
          <w:color w:val="auto"/>
          <w:sz w:val="21"/>
          <w:szCs w:val="21"/>
          <w:highlight w:val="none"/>
        </w:rPr>
        <w:t>招标文件的澄清和修改内容（公告内容）；</w:t>
      </w:r>
    </w:p>
    <w:p w14:paraId="2D520DA0">
      <w:pPr>
        <w:pStyle w:val="43"/>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3、该政府采购项目评审报告；</w:t>
      </w:r>
    </w:p>
    <w:p w14:paraId="73C8CCA1">
      <w:pPr>
        <w:pStyle w:val="43"/>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4、采购单位法人授权委托书（法人到场并签字的除外）；</w:t>
      </w:r>
    </w:p>
    <w:p w14:paraId="7AB85BCA">
      <w:pPr>
        <w:pStyle w:val="43"/>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5、采购单位被授权人身份证件（法人到场并签字的除外）；</w:t>
      </w:r>
    </w:p>
    <w:p w14:paraId="41BC5A1B">
      <w:pPr>
        <w:pStyle w:val="43"/>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6、采购人和中标供应商（或服务商，下同）约定的其它内容（不得超出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14:paraId="5EA2F528">
      <w:pPr>
        <w:pStyle w:val="43"/>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二、</w:t>
      </w:r>
      <w:r>
        <w:rPr>
          <w:rFonts w:hint="eastAsia"/>
          <w:color w:val="auto"/>
          <w:sz w:val="21"/>
          <w:szCs w:val="21"/>
          <w:highlight w:val="none"/>
        </w:rPr>
        <w:t>供应商在签订合同时应提供的资料：</w:t>
      </w:r>
    </w:p>
    <w:p w14:paraId="6C4AF3B9">
      <w:pPr>
        <w:pStyle w:val="43"/>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1、该政府采购项目的</w:t>
      </w:r>
      <w:r>
        <w:rPr>
          <w:rFonts w:hint="eastAsia"/>
          <w:color w:val="auto"/>
          <w:sz w:val="21"/>
          <w:szCs w:val="21"/>
          <w:highlight w:val="none"/>
        </w:rPr>
        <w:t>投标文件（纸质或</w:t>
      </w:r>
      <w:r>
        <w:rPr>
          <w:rFonts w:hint="eastAsia"/>
          <w:color w:val="auto"/>
          <w:sz w:val="21"/>
          <w:szCs w:val="21"/>
          <w:highlight w:val="none"/>
          <w:lang w:val="en-US"/>
        </w:rPr>
        <w:t>DPF格式的电子</w:t>
      </w:r>
      <w:r>
        <w:rPr>
          <w:rFonts w:hint="eastAsia"/>
          <w:color w:val="auto"/>
          <w:sz w:val="21"/>
          <w:szCs w:val="21"/>
          <w:highlight w:val="none"/>
        </w:rPr>
        <w:t>投标文件）；</w:t>
      </w:r>
    </w:p>
    <w:p w14:paraId="3DE3A987">
      <w:pPr>
        <w:pStyle w:val="43"/>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2、针对该项目评审时评审委员会提出的质询答复（纸质并签章）；</w:t>
      </w:r>
    </w:p>
    <w:p w14:paraId="38D3F5C5">
      <w:pPr>
        <w:pStyle w:val="43"/>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3、该政府采购项目中标通知书；</w:t>
      </w:r>
    </w:p>
    <w:p w14:paraId="6566F732">
      <w:pPr>
        <w:pStyle w:val="43"/>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4、供应商法人授权委托书（法人到场并签字的除外）；</w:t>
      </w:r>
    </w:p>
    <w:p w14:paraId="6316AB20">
      <w:pPr>
        <w:pStyle w:val="43"/>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5、供应商被授权人身份证件（法人到场并签字的除外）；</w:t>
      </w:r>
    </w:p>
    <w:p w14:paraId="53B4EC5D">
      <w:pPr>
        <w:pStyle w:val="43"/>
        <w:spacing w:beforeLines="0" w:afterLines="0" w:line="440" w:lineRule="exact"/>
        <w:ind w:left="0" w:firstLine="420" w:firstLineChars="200"/>
        <w:jc w:val="both"/>
        <w:rPr>
          <w:color w:val="auto"/>
          <w:sz w:val="21"/>
          <w:szCs w:val="21"/>
          <w:highlight w:val="none"/>
          <w:lang w:val="en-US"/>
        </w:rPr>
      </w:pPr>
      <w:r>
        <w:rPr>
          <w:rFonts w:hint="eastAsia"/>
          <w:color w:val="auto"/>
          <w:sz w:val="21"/>
          <w:szCs w:val="21"/>
          <w:highlight w:val="none"/>
          <w:lang w:val="en-US"/>
        </w:rPr>
        <w:t>6、供应商和采购人约定的其它内容（不得超出</w:t>
      </w:r>
      <w:r>
        <w:rPr>
          <w:rFonts w:hint="eastAsia"/>
          <w:color w:val="auto"/>
          <w:sz w:val="21"/>
          <w:szCs w:val="21"/>
          <w:highlight w:val="none"/>
        </w:rPr>
        <w:t>招标采购文件实质性内容</w:t>
      </w:r>
      <w:r>
        <w:rPr>
          <w:rFonts w:hint="eastAsia"/>
          <w:color w:val="auto"/>
          <w:sz w:val="21"/>
          <w:szCs w:val="21"/>
          <w:highlight w:val="none"/>
          <w:lang w:val="en-US"/>
        </w:rPr>
        <w:t>）。</w:t>
      </w:r>
    </w:p>
    <w:p w14:paraId="3F80AA40">
      <w:pPr>
        <w:pStyle w:val="43"/>
        <w:spacing w:beforeLines="0" w:afterLines="0" w:line="440" w:lineRule="exact"/>
        <w:ind w:left="0" w:firstLine="420" w:firstLineChars="200"/>
        <w:jc w:val="both"/>
        <w:rPr>
          <w:color w:val="auto"/>
          <w:sz w:val="30"/>
          <w:szCs w:val="30"/>
          <w:highlight w:val="none"/>
        </w:rPr>
      </w:pPr>
      <w:r>
        <w:rPr>
          <w:rFonts w:hint="eastAsia"/>
          <w:color w:val="auto"/>
          <w:sz w:val="21"/>
          <w:szCs w:val="21"/>
          <w:highlight w:val="none"/>
        </w:rPr>
        <w:t>三、本合同签订后二个工作日内有采购人在“周口市政府采购网”上进行合同公示。</w:t>
      </w:r>
    </w:p>
    <w:p w14:paraId="5585F921">
      <w:pPr>
        <w:pStyle w:val="43"/>
        <w:spacing w:beforeLines="0" w:afterLines="0" w:line="440" w:lineRule="exact"/>
        <w:ind w:left="0"/>
        <w:jc w:val="center"/>
        <w:rPr>
          <w:rFonts w:hint="eastAsia" w:ascii="方正小标宋简体" w:eastAsia="方正小标宋简体"/>
          <w:color w:val="auto"/>
          <w:sz w:val="32"/>
          <w:szCs w:val="32"/>
          <w:highlight w:val="none"/>
        </w:rPr>
      </w:pPr>
      <w:r>
        <w:rPr>
          <w:rFonts w:hint="eastAsia" w:ascii="方正小标宋简体" w:eastAsia="方正小标宋简体"/>
          <w:b/>
          <w:bCs/>
          <w:color w:val="auto"/>
          <w:sz w:val="32"/>
          <w:szCs w:val="32"/>
          <w:highlight w:val="none"/>
        </w:rPr>
        <w:t>供应商履约验收指引</w:t>
      </w:r>
    </w:p>
    <w:p w14:paraId="50557A4A">
      <w:pPr>
        <w:pStyle w:val="43"/>
        <w:spacing w:beforeLines="0" w:afterLines="0" w:line="440" w:lineRule="exact"/>
        <w:ind w:left="0" w:firstLine="420" w:firstLineChars="200"/>
        <w:jc w:val="both"/>
        <w:rPr>
          <w:color w:val="auto"/>
          <w:szCs w:val="27"/>
          <w:highlight w:val="none"/>
        </w:rPr>
      </w:pPr>
      <w:r>
        <w:rPr>
          <w:rFonts w:hint="eastAsia" w:ascii="宋体" w:eastAsia="宋体"/>
          <w:color w:val="auto"/>
          <w:sz w:val="21"/>
          <w:szCs w:val="21"/>
          <w:highlight w:val="none"/>
          <w:lang w:val="en-US"/>
        </w:rPr>
        <w:t>1、供应商不得</w:t>
      </w:r>
      <w:r>
        <w:rPr>
          <w:rFonts w:hint="eastAsia" w:ascii="宋体" w:eastAsia="宋体"/>
          <w:color w:val="auto"/>
          <w:sz w:val="21"/>
          <w:szCs w:val="21"/>
          <w:highlight w:val="none"/>
        </w:rPr>
        <w:t>擅自变更合同标的服务内容；</w:t>
      </w:r>
    </w:p>
    <w:p w14:paraId="1D989622">
      <w:pPr>
        <w:pStyle w:val="43"/>
        <w:spacing w:beforeLines="0" w:afterLines="0" w:line="44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2、</w:t>
      </w:r>
      <w:r>
        <w:rPr>
          <w:rFonts w:hint="eastAsia" w:ascii="宋体" w:eastAsia="宋体"/>
          <w:color w:val="auto"/>
          <w:sz w:val="21"/>
          <w:szCs w:val="21"/>
          <w:highlight w:val="none"/>
        </w:rPr>
        <w:t>不得以次充优，随意降低服务标准和水平；</w:t>
      </w:r>
    </w:p>
    <w:p w14:paraId="69272B0C">
      <w:pPr>
        <w:pStyle w:val="43"/>
        <w:spacing w:beforeLines="0" w:afterLines="0" w:line="44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3、</w:t>
      </w:r>
      <w:r>
        <w:rPr>
          <w:rFonts w:hint="eastAsia" w:ascii="宋体" w:eastAsia="宋体"/>
          <w:color w:val="auto"/>
          <w:sz w:val="21"/>
          <w:szCs w:val="21"/>
          <w:highlight w:val="none"/>
        </w:rPr>
        <w:t>对因客观上采购人采购需求发生变化造成的，应提供采、供双方的纸质备忘录材料；</w:t>
      </w:r>
    </w:p>
    <w:p w14:paraId="7FF15888">
      <w:pPr>
        <w:pStyle w:val="43"/>
        <w:spacing w:beforeLines="0" w:afterLines="0" w:line="440" w:lineRule="exact"/>
        <w:ind w:left="0" w:firstLine="420" w:firstLineChars="200"/>
        <w:jc w:val="both"/>
        <w:rPr>
          <w:color w:val="auto"/>
          <w:sz w:val="21"/>
          <w:szCs w:val="21"/>
          <w:highlight w:val="none"/>
        </w:rPr>
      </w:pPr>
      <w:r>
        <w:rPr>
          <w:rFonts w:hint="eastAsia"/>
          <w:color w:val="auto"/>
          <w:sz w:val="21"/>
          <w:szCs w:val="21"/>
          <w:highlight w:val="none"/>
          <w:lang w:val="en-US"/>
        </w:rPr>
        <w:t>4、在满足</w:t>
      </w:r>
      <w:r>
        <w:rPr>
          <w:rFonts w:hint="eastAsia"/>
          <w:color w:val="auto"/>
          <w:sz w:val="21"/>
          <w:szCs w:val="21"/>
          <w:highlight w:val="none"/>
        </w:rPr>
        <w:t>验收条件</w:t>
      </w:r>
      <w:r>
        <w:rPr>
          <w:rFonts w:hint="eastAsia"/>
          <w:color w:val="auto"/>
          <w:sz w:val="21"/>
          <w:szCs w:val="21"/>
          <w:highlight w:val="none"/>
          <w:lang w:val="en-US"/>
        </w:rPr>
        <w:t>5个工作日</w:t>
      </w:r>
      <w:r>
        <w:rPr>
          <w:rFonts w:hint="eastAsia"/>
          <w:color w:val="auto"/>
          <w:sz w:val="21"/>
          <w:szCs w:val="21"/>
          <w:highlight w:val="none"/>
        </w:rPr>
        <w:t>内通知采购人组织验收；</w:t>
      </w:r>
    </w:p>
    <w:p w14:paraId="4209D93B">
      <w:pPr>
        <w:pStyle w:val="43"/>
        <w:spacing w:beforeLines="0" w:afterLines="0" w:line="440" w:lineRule="exact"/>
        <w:ind w:left="0" w:firstLine="420" w:firstLineChars="200"/>
        <w:jc w:val="both"/>
        <w:rPr>
          <w:rFonts w:ascii="宋体" w:eastAsia="宋体"/>
          <w:color w:val="auto"/>
          <w:sz w:val="21"/>
          <w:szCs w:val="21"/>
          <w:highlight w:val="none"/>
          <w:lang w:val="en-US"/>
        </w:rPr>
      </w:pPr>
      <w:r>
        <w:rPr>
          <w:rFonts w:hint="eastAsia"/>
          <w:color w:val="auto"/>
          <w:sz w:val="21"/>
          <w:szCs w:val="21"/>
          <w:highlight w:val="none"/>
          <w:lang w:val="en-US"/>
        </w:rPr>
        <w:t>5、</w:t>
      </w:r>
      <w:r>
        <w:rPr>
          <w:rFonts w:hint="eastAsia" w:ascii="宋体" w:eastAsia="宋体"/>
          <w:color w:val="auto"/>
          <w:sz w:val="21"/>
          <w:szCs w:val="21"/>
          <w:highlight w:val="none"/>
          <w:lang w:val="en-US"/>
        </w:rPr>
        <w:t>供应商应提供需验收服务的清单、标准、达到的水平等量化资料；</w:t>
      </w:r>
    </w:p>
    <w:p w14:paraId="17029CA2">
      <w:pPr>
        <w:pStyle w:val="43"/>
        <w:spacing w:beforeLines="0" w:afterLines="0" w:line="440" w:lineRule="exact"/>
        <w:ind w:left="0" w:firstLine="420" w:firstLineChars="200"/>
        <w:jc w:val="both"/>
        <w:rPr>
          <w:rFonts w:ascii="宋体" w:eastAsia="宋体"/>
          <w:color w:val="auto"/>
          <w:sz w:val="21"/>
          <w:szCs w:val="21"/>
          <w:highlight w:val="none"/>
        </w:rPr>
      </w:pPr>
      <w:r>
        <w:rPr>
          <w:rFonts w:hint="eastAsia" w:ascii="宋体" w:eastAsia="宋体"/>
          <w:color w:val="auto"/>
          <w:sz w:val="21"/>
          <w:szCs w:val="21"/>
          <w:highlight w:val="none"/>
          <w:lang w:val="en-US"/>
        </w:rPr>
        <w:t>6、采、供</w:t>
      </w:r>
      <w:r>
        <w:rPr>
          <w:rFonts w:hint="eastAsia" w:ascii="宋体" w:eastAsia="宋体"/>
          <w:color w:val="auto"/>
          <w:sz w:val="21"/>
          <w:szCs w:val="21"/>
          <w:highlight w:val="none"/>
        </w:rPr>
        <w:t>双方约定的验收机构及相关人员组成情况。</w:t>
      </w:r>
    </w:p>
    <w:p w14:paraId="146AD7A1">
      <w:pPr>
        <w:pStyle w:val="43"/>
        <w:spacing w:beforeLines="0" w:afterLines="0" w:line="440" w:lineRule="exact"/>
        <w:ind w:left="0" w:firstLine="420" w:firstLineChars="200"/>
        <w:jc w:val="both"/>
        <w:rPr>
          <w:color w:val="auto"/>
          <w:sz w:val="21"/>
          <w:szCs w:val="21"/>
          <w:highlight w:val="none"/>
        </w:rPr>
      </w:pPr>
      <w:r>
        <w:rPr>
          <w:rFonts w:hint="eastAsia" w:ascii="宋体" w:eastAsia="宋体"/>
          <w:color w:val="auto"/>
          <w:sz w:val="21"/>
          <w:szCs w:val="21"/>
          <w:highlight w:val="none"/>
          <w:lang w:val="en-US"/>
        </w:rPr>
        <w:t>7、督促采购人在项目验收结束并达到相关要求后一个工作日内，在</w:t>
      </w:r>
      <w:r>
        <w:rPr>
          <w:rFonts w:hint="eastAsia"/>
          <w:color w:val="auto"/>
          <w:sz w:val="21"/>
          <w:szCs w:val="21"/>
          <w:highlight w:val="none"/>
        </w:rPr>
        <w:t>“周口市政府采购网”上进行“履约验收”公示。</w:t>
      </w:r>
    </w:p>
    <w:p w14:paraId="3BFD3AB5">
      <w:pPr>
        <w:pStyle w:val="43"/>
        <w:spacing w:beforeLines="0" w:afterLines="0" w:line="440" w:lineRule="exact"/>
        <w:ind w:left="0" w:firstLine="420" w:firstLineChars="200"/>
        <w:jc w:val="both"/>
        <w:rPr>
          <w:color w:val="auto"/>
          <w:sz w:val="21"/>
          <w:szCs w:val="21"/>
          <w:highlight w:val="none"/>
        </w:rPr>
      </w:pPr>
    </w:p>
    <w:p w14:paraId="439459BE">
      <w:pPr>
        <w:pStyle w:val="43"/>
        <w:spacing w:beforeLines="0" w:afterLines="0" w:line="60" w:lineRule="auto"/>
        <w:ind w:left="0" w:firstLine="420" w:firstLineChars="200"/>
        <w:jc w:val="both"/>
        <w:rPr>
          <w:color w:val="auto"/>
          <w:sz w:val="21"/>
          <w:szCs w:val="21"/>
          <w:highlight w:val="none"/>
        </w:rPr>
      </w:pPr>
    </w:p>
    <w:p w14:paraId="390E19CD">
      <w:pPr>
        <w:keepNext w:val="0"/>
        <w:keepLines w:val="0"/>
        <w:pageBreakBefore w:val="0"/>
        <w:widowControl w:val="0"/>
        <w:kinsoku/>
        <w:wordWrap/>
        <w:overflowPunct/>
        <w:topLinePunct w:val="0"/>
        <w:autoSpaceDE w:val="0"/>
        <w:autoSpaceDN w:val="0"/>
        <w:bidi w:val="0"/>
        <w:adjustRightInd/>
        <w:snapToGrid/>
        <w:spacing w:before="0" w:after="0" w:line="360" w:lineRule="auto"/>
        <w:ind w:right="391" w:firstLine="0"/>
        <w:textAlignment w:val="auto"/>
        <w:outlineLvl w:val="9"/>
        <w:rPr>
          <w:rFonts w:hint="eastAsia" w:ascii="方正小标宋简体" w:hAnsi="宋体" w:eastAsia="方正小标宋简体"/>
          <w:b w:val="0"/>
          <w:bCs w:val="0"/>
          <w:color w:val="auto"/>
          <w:sz w:val="36"/>
          <w:szCs w:val="36"/>
          <w:highlight w:val="none"/>
        </w:rPr>
      </w:pPr>
      <w:bookmarkStart w:id="37" w:name="_Toc48834555"/>
      <w:r>
        <w:rPr>
          <w:rFonts w:hint="eastAsia" w:ascii="方正小标宋简体" w:hAnsi="宋体" w:eastAsia="方正小标宋简体"/>
          <w:b w:val="0"/>
          <w:bCs w:val="0"/>
          <w:color w:val="auto"/>
          <w:sz w:val="36"/>
          <w:szCs w:val="36"/>
          <w:highlight w:val="none"/>
        </w:rPr>
        <w:t>合同</w:t>
      </w:r>
      <w:bookmarkEnd w:id="37"/>
      <w:r>
        <w:rPr>
          <w:rFonts w:hint="eastAsia" w:ascii="方正小标宋简体" w:hAnsi="宋体" w:eastAsia="方正小标宋简体"/>
          <w:b w:val="0"/>
          <w:bCs w:val="0"/>
          <w:color w:val="auto"/>
          <w:sz w:val="36"/>
          <w:szCs w:val="36"/>
          <w:highlight w:val="none"/>
        </w:rPr>
        <w:t>内容</w:t>
      </w:r>
    </w:p>
    <w:p w14:paraId="2DF9F808">
      <w:pPr>
        <w:ind w:firstLine="440" w:firstLineChars="200"/>
        <w:jc w:val="both"/>
        <w:rPr>
          <w:rFonts w:eastAsia="黑体"/>
          <w:color w:val="auto"/>
          <w:highlight w:val="none"/>
        </w:rPr>
      </w:pPr>
    </w:p>
    <w:p w14:paraId="5D1EFD6C">
      <w:pPr>
        <w:spacing w:line="460" w:lineRule="exact"/>
        <w:jc w:val="center"/>
        <w:rPr>
          <w:rFonts w:ascii="黑体" w:hAnsi="黑体" w:eastAsia="黑体"/>
          <w:color w:val="auto"/>
          <w:sz w:val="32"/>
          <w:szCs w:val="32"/>
          <w:highlight w:val="none"/>
        </w:rPr>
      </w:pPr>
      <w:bookmarkStart w:id="38" w:name="_Toc351203494"/>
      <w:bookmarkStart w:id="39" w:name="_Toc427566452"/>
      <w:bookmarkStart w:id="40" w:name="_Toc428024701"/>
      <w:r>
        <w:rPr>
          <w:rFonts w:hint="eastAsia" w:ascii="黑体" w:hAnsi="黑体" w:eastAsia="黑体"/>
          <w:color w:val="auto"/>
          <w:sz w:val="32"/>
          <w:szCs w:val="32"/>
          <w:highlight w:val="none"/>
        </w:rPr>
        <w:t>第一部分协议书</w:t>
      </w:r>
    </w:p>
    <w:p w14:paraId="65935355">
      <w:pPr>
        <w:spacing w:line="460" w:lineRule="exact"/>
        <w:ind w:firstLine="803" w:firstLineChars="200"/>
        <w:jc w:val="both"/>
        <w:rPr>
          <w:b/>
          <w:color w:val="auto"/>
          <w:sz w:val="40"/>
          <w:szCs w:val="32"/>
          <w:highlight w:val="none"/>
        </w:rPr>
      </w:pPr>
    </w:p>
    <w:p w14:paraId="62EDE6CF">
      <w:pPr>
        <w:spacing w:line="460" w:lineRule="exact"/>
        <w:ind w:firstLine="440" w:firstLineChars="200"/>
        <w:jc w:val="both"/>
        <w:rPr>
          <w:color w:val="auto"/>
          <w:highlight w:val="none"/>
        </w:rPr>
      </w:pPr>
      <w:r>
        <w:rPr>
          <w:rFonts w:hint="eastAsia"/>
          <w:color w:val="auto"/>
          <w:highlight w:val="none"/>
        </w:rPr>
        <w:t>发包人（全称）：</w:t>
      </w:r>
    </w:p>
    <w:p w14:paraId="491593DC">
      <w:pPr>
        <w:spacing w:line="460" w:lineRule="exact"/>
        <w:ind w:firstLine="440" w:firstLineChars="200"/>
        <w:jc w:val="both"/>
        <w:rPr>
          <w:color w:val="auto"/>
          <w:highlight w:val="none"/>
        </w:rPr>
      </w:pPr>
      <w:r>
        <w:rPr>
          <w:rFonts w:hint="eastAsia"/>
          <w:color w:val="auto"/>
          <w:highlight w:val="none"/>
        </w:rPr>
        <w:t>承包人（全称）：</w:t>
      </w:r>
    </w:p>
    <w:p w14:paraId="55073E5D">
      <w:pPr>
        <w:spacing w:line="460" w:lineRule="exact"/>
        <w:ind w:firstLine="440" w:firstLineChars="200"/>
        <w:jc w:val="both"/>
        <w:rPr>
          <w:color w:val="auto"/>
          <w:highlight w:val="none"/>
        </w:rPr>
      </w:pPr>
      <w:r>
        <w:rPr>
          <w:rFonts w:hint="eastAsia"/>
          <w:color w:val="auto"/>
          <w:highlight w:val="none"/>
        </w:rPr>
        <w:t>依照《中华人民共和国合同法》、《中华人民共和国采购法法》《中华人民共和国招标投标法》《中华人民共和国建筑法》及其他有关法律、行政法规，遵循平等、自愿、公平和诚实信用的原则，双方就本建设工程施工事项协商一致，订立本合同。</w:t>
      </w:r>
    </w:p>
    <w:p w14:paraId="41E771D1">
      <w:pPr>
        <w:ind w:firstLine="442" w:firstLineChars="200"/>
        <w:jc w:val="both"/>
        <w:rPr>
          <w:b/>
          <w:color w:val="auto"/>
          <w:highlight w:val="none"/>
        </w:rPr>
      </w:pPr>
      <w:r>
        <w:rPr>
          <w:rFonts w:hint="eastAsia"/>
          <w:b/>
          <w:color w:val="auto"/>
          <w:highlight w:val="none"/>
        </w:rPr>
        <w:t>一、工程概况</w:t>
      </w:r>
    </w:p>
    <w:p w14:paraId="535C33F3">
      <w:pPr>
        <w:spacing w:line="460" w:lineRule="exact"/>
        <w:ind w:firstLine="440" w:firstLineChars="200"/>
        <w:jc w:val="both"/>
        <w:rPr>
          <w:color w:val="auto"/>
          <w:highlight w:val="none"/>
        </w:rPr>
      </w:pPr>
      <w:r>
        <w:rPr>
          <w:rFonts w:hint="eastAsia"/>
          <w:color w:val="auto"/>
          <w:highlight w:val="none"/>
        </w:rPr>
        <w:t>工程名称：</w:t>
      </w:r>
    </w:p>
    <w:p w14:paraId="7D766330">
      <w:pPr>
        <w:ind w:firstLine="440" w:firstLineChars="200"/>
        <w:jc w:val="both"/>
        <w:rPr>
          <w:rFonts w:ascii="仿宋_GB2312" w:hAnsi="黑体" w:eastAsia="仿宋_GB2312"/>
          <w:color w:val="auto"/>
          <w:highlight w:val="none"/>
        </w:rPr>
      </w:pPr>
      <w:r>
        <w:rPr>
          <w:rFonts w:hint="eastAsia"/>
          <w:color w:val="auto"/>
          <w:highlight w:val="none"/>
        </w:rPr>
        <w:t>工程地点：</w:t>
      </w:r>
    </w:p>
    <w:p w14:paraId="33CBE6BE">
      <w:pPr>
        <w:spacing w:line="460" w:lineRule="exact"/>
        <w:ind w:firstLine="440" w:firstLineChars="200"/>
        <w:jc w:val="both"/>
        <w:rPr>
          <w:color w:val="auto"/>
          <w:highlight w:val="none"/>
        </w:rPr>
      </w:pPr>
      <w:r>
        <w:rPr>
          <w:rFonts w:hint="eastAsia"/>
          <w:color w:val="auto"/>
          <w:highlight w:val="none"/>
        </w:rPr>
        <w:t>工程内容：</w:t>
      </w:r>
    </w:p>
    <w:p w14:paraId="665B0E80">
      <w:pPr>
        <w:spacing w:line="460" w:lineRule="exact"/>
        <w:ind w:firstLine="440" w:firstLineChars="200"/>
        <w:jc w:val="both"/>
        <w:rPr>
          <w:color w:val="auto"/>
          <w:highlight w:val="none"/>
        </w:rPr>
      </w:pPr>
      <w:r>
        <w:rPr>
          <w:rFonts w:hint="eastAsia"/>
          <w:color w:val="auto"/>
          <w:highlight w:val="none"/>
        </w:rPr>
        <w:t>工程立项批准文号：</w:t>
      </w:r>
    </w:p>
    <w:p w14:paraId="0BEEA051">
      <w:pPr>
        <w:spacing w:line="460" w:lineRule="exact"/>
        <w:ind w:firstLine="440" w:firstLineChars="200"/>
        <w:jc w:val="both"/>
        <w:rPr>
          <w:color w:val="auto"/>
          <w:highlight w:val="none"/>
        </w:rPr>
      </w:pPr>
      <w:r>
        <w:rPr>
          <w:rFonts w:hint="eastAsia"/>
          <w:color w:val="auto"/>
          <w:highlight w:val="none"/>
        </w:rPr>
        <w:t>资金来源：</w:t>
      </w:r>
    </w:p>
    <w:p w14:paraId="5F0FB170">
      <w:pPr>
        <w:ind w:firstLine="442" w:firstLineChars="200"/>
        <w:jc w:val="both"/>
        <w:rPr>
          <w:b/>
          <w:color w:val="auto"/>
          <w:highlight w:val="none"/>
        </w:rPr>
      </w:pPr>
      <w:r>
        <w:rPr>
          <w:rFonts w:hint="eastAsia"/>
          <w:b/>
          <w:color w:val="auto"/>
          <w:highlight w:val="none"/>
        </w:rPr>
        <w:t>二、工程承包范围</w:t>
      </w:r>
    </w:p>
    <w:p w14:paraId="77974C05">
      <w:pPr>
        <w:spacing w:line="460" w:lineRule="exact"/>
        <w:ind w:firstLine="440" w:firstLineChars="200"/>
        <w:jc w:val="both"/>
        <w:rPr>
          <w:color w:val="auto"/>
          <w:highlight w:val="none"/>
          <w:u w:val="single"/>
        </w:rPr>
      </w:pPr>
      <w:r>
        <w:rPr>
          <w:rFonts w:hint="eastAsia"/>
          <w:color w:val="auto"/>
          <w:highlight w:val="none"/>
        </w:rPr>
        <w:t>承包范围：</w:t>
      </w:r>
      <w:r>
        <w:rPr>
          <w:rFonts w:hint="eastAsia"/>
          <w:color w:val="auto"/>
          <w:highlight w:val="none"/>
          <w:u w:val="single"/>
        </w:rPr>
        <w:t>工程量清单中包含的所有内容</w:t>
      </w:r>
    </w:p>
    <w:p w14:paraId="6062BB60">
      <w:pPr>
        <w:ind w:firstLine="442" w:firstLineChars="200"/>
        <w:jc w:val="both"/>
        <w:rPr>
          <w:b/>
          <w:color w:val="auto"/>
          <w:highlight w:val="none"/>
        </w:rPr>
      </w:pPr>
      <w:r>
        <w:rPr>
          <w:rFonts w:hint="eastAsia"/>
          <w:b/>
          <w:color w:val="auto"/>
          <w:highlight w:val="none"/>
        </w:rPr>
        <w:t>三、合同工期</w:t>
      </w:r>
    </w:p>
    <w:p w14:paraId="0440EC46">
      <w:pPr>
        <w:spacing w:line="460" w:lineRule="exact"/>
        <w:ind w:firstLine="440" w:firstLineChars="200"/>
        <w:jc w:val="both"/>
        <w:rPr>
          <w:color w:val="auto"/>
          <w:highlight w:val="none"/>
        </w:rPr>
      </w:pPr>
      <w:r>
        <w:rPr>
          <w:rFonts w:hint="eastAsia"/>
          <w:color w:val="auto"/>
          <w:highlight w:val="none"/>
        </w:rPr>
        <w:t>开工日期：年月日</w:t>
      </w:r>
    </w:p>
    <w:p w14:paraId="1F39A24E">
      <w:pPr>
        <w:spacing w:line="460" w:lineRule="exact"/>
        <w:ind w:firstLine="440" w:firstLineChars="200"/>
        <w:jc w:val="both"/>
        <w:rPr>
          <w:color w:val="auto"/>
          <w:highlight w:val="none"/>
        </w:rPr>
      </w:pPr>
      <w:r>
        <w:rPr>
          <w:rFonts w:hint="eastAsia"/>
          <w:color w:val="auto"/>
          <w:highlight w:val="none"/>
        </w:rPr>
        <w:t>竣工日期：年月日</w:t>
      </w:r>
    </w:p>
    <w:p w14:paraId="771FFC06">
      <w:pPr>
        <w:spacing w:line="460" w:lineRule="exact"/>
        <w:ind w:firstLine="440" w:firstLineChars="200"/>
        <w:jc w:val="both"/>
        <w:rPr>
          <w:color w:val="auto"/>
          <w:highlight w:val="none"/>
        </w:rPr>
      </w:pPr>
      <w:r>
        <w:rPr>
          <w:rFonts w:hint="eastAsia"/>
          <w:color w:val="auto"/>
          <w:highlight w:val="none"/>
        </w:rPr>
        <w:t>合同工期总日历天数：</w:t>
      </w:r>
      <w:r>
        <w:rPr>
          <w:rFonts w:hint="eastAsia"/>
          <w:color w:val="auto"/>
          <w:highlight w:val="none"/>
          <w:u w:val="single"/>
        </w:rPr>
        <w:t>日历</w:t>
      </w:r>
      <w:r>
        <w:rPr>
          <w:rFonts w:hint="eastAsia"/>
          <w:color w:val="auto"/>
          <w:highlight w:val="none"/>
        </w:rPr>
        <w:t>天（有效工期）</w:t>
      </w:r>
    </w:p>
    <w:p w14:paraId="187DA082">
      <w:pPr>
        <w:ind w:firstLine="442" w:firstLineChars="200"/>
        <w:jc w:val="both"/>
        <w:rPr>
          <w:b/>
          <w:color w:val="auto"/>
          <w:highlight w:val="none"/>
        </w:rPr>
      </w:pPr>
      <w:r>
        <w:rPr>
          <w:rFonts w:hint="eastAsia"/>
          <w:b/>
          <w:color w:val="auto"/>
          <w:highlight w:val="none"/>
        </w:rPr>
        <w:t>四、质量标准</w:t>
      </w:r>
    </w:p>
    <w:p w14:paraId="5F561A10">
      <w:pPr>
        <w:spacing w:line="460" w:lineRule="exact"/>
        <w:ind w:firstLine="440" w:firstLineChars="200"/>
        <w:jc w:val="both"/>
        <w:rPr>
          <w:color w:val="auto"/>
          <w:highlight w:val="none"/>
        </w:rPr>
      </w:pPr>
      <w:r>
        <w:rPr>
          <w:rFonts w:hint="eastAsia"/>
          <w:color w:val="auto"/>
          <w:highlight w:val="none"/>
        </w:rPr>
        <w:t>工程质量标准：</w:t>
      </w:r>
      <w:r>
        <w:rPr>
          <w:rFonts w:hint="eastAsia"/>
          <w:color w:val="auto"/>
          <w:highlight w:val="none"/>
          <w:u w:val="single"/>
        </w:rPr>
        <w:t>合格</w:t>
      </w:r>
    </w:p>
    <w:p w14:paraId="493A6281">
      <w:pPr>
        <w:ind w:firstLine="442" w:firstLineChars="200"/>
        <w:jc w:val="both"/>
        <w:rPr>
          <w:b/>
          <w:color w:val="auto"/>
          <w:highlight w:val="none"/>
        </w:rPr>
      </w:pPr>
      <w:r>
        <w:rPr>
          <w:rFonts w:hint="eastAsia"/>
          <w:b/>
          <w:color w:val="auto"/>
          <w:highlight w:val="none"/>
        </w:rPr>
        <w:t>五、合同价款</w:t>
      </w:r>
    </w:p>
    <w:p w14:paraId="3A6F835A">
      <w:pPr>
        <w:spacing w:line="460" w:lineRule="exact"/>
        <w:ind w:firstLine="440" w:firstLineChars="200"/>
        <w:jc w:val="both"/>
        <w:rPr>
          <w:color w:val="auto"/>
          <w:highlight w:val="none"/>
          <w:u w:val="single"/>
        </w:rPr>
      </w:pPr>
      <w:r>
        <w:rPr>
          <w:rFonts w:hint="eastAsia"/>
          <w:color w:val="auto"/>
          <w:highlight w:val="none"/>
        </w:rPr>
        <w:t xml:space="preserve">金额（大写）：(人民币)  </w:t>
      </w:r>
    </w:p>
    <w:p w14:paraId="689173D8">
      <w:pPr>
        <w:spacing w:line="460" w:lineRule="exact"/>
        <w:ind w:firstLine="440" w:firstLineChars="200"/>
        <w:jc w:val="both"/>
        <w:rPr>
          <w:color w:val="auto"/>
          <w:highlight w:val="none"/>
        </w:rPr>
      </w:pPr>
      <w:r>
        <w:rPr>
          <w:rFonts w:hint="eastAsia" w:ascii="宋体" w:hAnsi="宋体"/>
          <w:color w:val="auto"/>
          <w:highlight w:val="none"/>
        </w:rPr>
        <w:t xml:space="preserve"> ￥：</w:t>
      </w:r>
      <w:r>
        <w:rPr>
          <w:rFonts w:hint="eastAsia"/>
          <w:color w:val="auto"/>
          <w:highlight w:val="none"/>
        </w:rPr>
        <w:t xml:space="preserve">元(人民币)  </w:t>
      </w:r>
    </w:p>
    <w:p w14:paraId="529A1ECF">
      <w:pPr>
        <w:ind w:firstLine="442" w:firstLineChars="200"/>
        <w:jc w:val="both"/>
        <w:rPr>
          <w:b/>
          <w:color w:val="auto"/>
          <w:highlight w:val="none"/>
        </w:rPr>
      </w:pPr>
      <w:r>
        <w:rPr>
          <w:rFonts w:hint="eastAsia"/>
          <w:b/>
          <w:color w:val="auto"/>
          <w:highlight w:val="none"/>
        </w:rPr>
        <w:t>六、组成合同的文件</w:t>
      </w:r>
    </w:p>
    <w:p w14:paraId="733C98A3">
      <w:pPr>
        <w:spacing w:line="460" w:lineRule="exact"/>
        <w:ind w:firstLine="440" w:firstLineChars="200"/>
        <w:jc w:val="both"/>
        <w:rPr>
          <w:rFonts w:ascii="宋体" w:hAnsi="宋体"/>
          <w:color w:val="auto"/>
          <w:highlight w:val="none"/>
        </w:rPr>
      </w:pPr>
      <w:r>
        <w:rPr>
          <w:rFonts w:hint="eastAsia" w:ascii="宋体" w:hAnsi="宋体"/>
          <w:color w:val="auto"/>
          <w:highlight w:val="none"/>
        </w:rPr>
        <w:t>组成本合同的文件包括：</w:t>
      </w:r>
    </w:p>
    <w:p w14:paraId="006AE93E">
      <w:pPr>
        <w:spacing w:line="460" w:lineRule="exact"/>
        <w:ind w:firstLine="440" w:firstLineChars="200"/>
        <w:jc w:val="both"/>
        <w:rPr>
          <w:rFonts w:ascii="宋体" w:hAnsi="宋体"/>
          <w:color w:val="auto"/>
          <w:highlight w:val="none"/>
        </w:rPr>
      </w:pPr>
      <w:r>
        <w:rPr>
          <w:rFonts w:hint="eastAsia" w:ascii="宋体" w:hAnsi="宋体"/>
          <w:color w:val="auto"/>
          <w:highlight w:val="none"/>
        </w:rPr>
        <w:t>1.本合同协议书</w:t>
      </w:r>
    </w:p>
    <w:p w14:paraId="057039E5">
      <w:pPr>
        <w:spacing w:line="460" w:lineRule="exact"/>
        <w:ind w:firstLine="440" w:firstLineChars="200"/>
        <w:jc w:val="both"/>
        <w:rPr>
          <w:color w:val="auto"/>
          <w:highlight w:val="none"/>
        </w:rPr>
      </w:pPr>
      <w:r>
        <w:rPr>
          <w:rFonts w:hint="eastAsia"/>
          <w:color w:val="auto"/>
          <w:highlight w:val="none"/>
        </w:rPr>
        <w:t>2</w:t>
      </w:r>
      <w:r>
        <w:rPr>
          <w:rFonts w:hint="eastAsia" w:ascii="宋体" w:hAnsi="宋体"/>
          <w:color w:val="auto"/>
          <w:highlight w:val="none"/>
        </w:rPr>
        <w:t>.</w:t>
      </w:r>
      <w:r>
        <w:rPr>
          <w:rFonts w:hint="eastAsia"/>
          <w:color w:val="auto"/>
          <w:highlight w:val="none"/>
        </w:rPr>
        <w:t>中标通知书</w:t>
      </w:r>
    </w:p>
    <w:p w14:paraId="0F5C30AD">
      <w:pPr>
        <w:spacing w:line="460" w:lineRule="exact"/>
        <w:ind w:firstLine="440" w:firstLineChars="200"/>
        <w:jc w:val="both"/>
        <w:rPr>
          <w:color w:val="auto"/>
          <w:highlight w:val="none"/>
        </w:rPr>
      </w:pPr>
      <w:r>
        <w:rPr>
          <w:rFonts w:hint="eastAsia"/>
          <w:color w:val="auto"/>
          <w:highlight w:val="none"/>
        </w:rPr>
        <w:t>3</w:t>
      </w:r>
      <w:r>
        <w:rPr>
          <w:rFonts w:hint="eastAsia" w:ascii="宋体" w:hAnsi="宋体"/>
          <w:color w:val="auto"/>
          <w:highlight w:val="none"/>
        </w:rPr>
        <w:t>.</w:t>
      </w:r>
      <w:r>
        <w:rPr>
          <w:rFonts w:hint="eastAsia"/>
          <w:color w:val="auto"/>
          <w:highlight w:val="none"/>
        </w:rPr>
        <w:t>投标书及其附件</w:t>
      </w:r>
    </w:p>
    <w:p w14:paraId="48A95A09">
      <w:pPr>
        <w:spacing w:line="460" w:lineRule="exact"/>
        <w:ind w:firstLine="440" w:firstLineChars="200"/>
        <w:jc w:val="both"/>
        <w:rPr>
          <w:color w:val="auto"/>
          <w:highlight w:val="none"/>
        </w:rPr>
      </w:pPr>
      <w:r>
        <w:rPr>
          <w:rFonts w:hint="eastAsia"/>
          <w:color w:val="auto"/>
          <w:highlight w:val="none"/>
        </w:rPr>
        <w:t>4</w:t>
      </w:r>
      <w:r>
        <w:rPr>
          <w:rFonts w:hint="eastAsia" w:ascii="宋体" w:hAnsi="宋体"/>
          <w:color w:val="auto"/>
          <w:highlight w:val="none"/>
        </w:rPr>
        <w:t>.</w:t>
      </w:r>
      <w:r>
        <w:rPr>
          <w:rFonts w:hint="eastAsia"/>
          <w:color w:val="auto"/>
          <w:highlight w:val="none"/>
        </w:rPr>
        <w:t>本合同专用条款</w:t>
      </w:r>
    </w:p>
    <w:p w14:paraId="15E3F2FC">
      <w:pPr>
        <w:spacing w:line="460" w:lineRule="exact"/>
        <w:ind w:firstLine="440" w:firstLineChars="200"/>
        <w:jc w:val="both"/>
        <w:rPr>
          <w:color w:val="auto"/>
          <w:highlight w:val="none"/>
        </w:rPr>
      </w:pPr>
      <w:r>
        <w:rPr>
          <w:rFonts w:hint="eastAsia"/>
          <w:color w:val="auto"/>
          <w:highlight w:val="none"/>
        </w:rPr>
        <w:t>5</w:t>
      </w:r>
      <w:r>
        <w:rPr>
          <w:rFonts w:hint="eastAsia" w:ascii="宋体" w:hAnsi="宋体"/>
          <w:color w:val="auto"/>
          <w:highlight w:val="none"/>
        </w:rPr>
        <w:t>.</w:t>
      </w:r>
      <w:r>
        <w:rPr>
          <w:rFonts w:hint="eastAsia"/>
          <w:color w:val="auto"/>
          <w:highlight w:val="none"/>
        </w:rPr>
        <w:t>本合同通用条款</w:t>
      </w:r>
    </w:p>
    <w:p w14:paraId="1D0C3478">
      <w:pPr>
        <w:tabs>
          <w:tab w:val="left" w:pos="6345"/>
        </w:tabs>
        <w:spacing w:line="460" w:lineRule="exact"/>
        <w:ind w:firstLine="440" w:firstLineChars="200"/>
        <w:jc w:val="both"/>
        <w:rPr>
          <w:color w:val="auto"/>
          <w:highlight w:val="none"/>
        </w:rPr>
      </w:pPr>
      <w:r>
        <w:rPr>
          <w:rFonts w:hint="eastAsia"/>
          <w:color w:val="auto"/>
          <w:highlight w:val="none"/>
        </w:rPr>
        <w:t>6</w:t>
      </w:r>
      <w:r>
        <w:rPr>
          <w:rFonts w:hint="eastAsia" w:ascii="宋体" w:hAnsi="宋体"/>
          <w:color w:val="auto"/>
          <w:highlight w:val="none"/>
        </w:rPr>
        <w:t>.</w:t>
      </w:r>
      <w:r>
        <w:rPr>
          <w:rFonts w:hint="eastAsia"/>
          <w:color w:val="auto"/>
          <w:highlight w:val="none"/>
        </w:rPr>
        <w:t>标准、规范及有关技术文件</w:t>
      </w:r>
      <w:r>
        <w:rPr>
          <w:color w:val="auto"/>
          <w:highlight w:val="none"/>
        </w:rPr>
        <w:tab/>
      </w:r>
    </w:p>
    <w:p w14:paraId="13A4D4D3">
      <w:pPr>
        <w:spacing w:line="460" w:lineRule="exact"/>
        <w:ind w:firstLine="440" w:firstLineChars="200"/>
        <w:jc w:val="both"/>
        <w:rPr>
          <w:color w:val="auto"/>
          <w:highlight w:val="none"/>
        </w:rPr>
      </w:pPr>
      <w:r>
        <w:rPr>
          <w:rFonts w:hint="eastAsia"/>
          <w:color w:val="auto"/>
          <w:highlight w:val="none"/>
        </w:rPr>
        <w:t>7</w:t>
      </w:r>
      <w:r>
        <w:rPr>
          <w:rFonts w:hint="eastAsia" w:ascii="宋体" w:hAnsi="宋体"/>
          <w:color w:val="auto"/>
          <w:highlight w:val="none"/>
        </w:rPr>
        <w:t>.</w:t>
      </w:r>
      <w:r>
        <w:rPr>
          <w:rFonts w:hint="eastAsia"/>
          <w:color w:val="auto"/>
          <w:highlight w:val="none"/>
        </w:rPr>
        <w:t>图纸（含图纸会审纪要、路灯效果图及技术参数）</w:t>
      </w:r>
    </w:p>
    <w:p w14:paraId="2DF355AF">
      <w:pPr>
        <w:spacing w:line="460" w:lineRule="exact"/>
        <w:ind w:firstLine="440" w:firstLineChars="200"/>
        <w:jc w:val="both"/>
        <w:rPr>
          <w:color w:val="auto"/>
          <w:highlight w:val="none"/>
        </w:rPr>
      </w:pPr>
      <w:r>
        <w:rPr>
          <w:rFonts w:hint="eastAsia"/>
          <w:color w:val="auto"/>
          <w:highlight w:val="none"/>
        </w:rPr>
        <w:t>8</w:t>
      </w:r>
      <w:r>
        <w:rPr>
          <w:rFonts w:hint="eastAsia" w:ascii="宋体" w:hAnsi="宋体"/>
          <w:color w:val="auto"/>
          <w:highlight w:val="none"/>
        </w:rPr>
        <w:t>.</w:t>
      </w:r>
      <w:r>
        <w:rPr>
          <w:rFonts w:hint="eastAsia"/>
          <w:color w:val="auto"/>
          <w:highlight w:val="none"/>
        </w:rPr>
        <w:t>工程量清单</w:t>
      </w:r>
    </w:p>
    <w:p w14:paraId="308F8387">
      <w:pPr>
        <w:spacing w:line="460" w:lineRule="exact"/>
        <w:ind w:firstLine="440" w:firstLineChars="200"/>
        <w:jc w:val="both"/>
        <w:rPr>
          <w:color w:val="auto"/>
          <w:highlight w:val="none"/>
        </w:rPr>
      </w:pPr>
      <w:r>
        <w:rPr>
          <w:rFonts w:hint="eastAsia"/>
          <w:color w:val="auto"/>
          <w:highlight w:val="none"/>
        </w:rPr>
        <w:t>9</w:t>
      </w:r>
      <w:r>
        <w:rPr>
          <w:rFonts w:hint="eastAsia" w:ascii="宋体" w:hAnsi="宋体"/>
          <w:color w:val="auto"/>
          <w:highlight w:val="none"/>
        </w:rPr>
        <w:t>.</w:t>
      </w:r>
      <w:r>
        <w:rPr>
          <w:rFonts w:hint="eastAsia"/>
          <w:color w:val="auto"/>
          <w:highlight w:val="none"/>
        </w:rPr>
        <w:t>工程报价单或预算书</w:t>
      </w:r>
    </w:p>
    <w:p w14:paraId="344B8031">
      <w:pPr>
        <w:spacing w:line="460" w:lineRule="exact"/>
        <w:ind w:firstLine="440" w:firstLineChars="200"/>
        <w:jc w:val="both"/>
        <w:rPr>
          <w:color w:val="auto"/>
          <w:highlight w:val="none"/>
        </w:rPr>
      </w:pPr>
      <w:r>
        <w:rPr>
          <w:rFonts w:hint="eastAsia"/>
          <w:color w:val="auto"/>
          <w:highlight w:val="none"/>
        </w:rPr>
        <w:t>双方有关工程的洽商、变更等书面协议或文件视为本合同的组成部分。</w:t>
      </w:r>
    </w:p>
    <w:p w14:paraId="586CE71C">
      <w:pPr>
        <w:spacing w:line="460" w:lineRule="exact"/>
        <w:ind w:firstLine="442" w:firstLineChars="200"/>
        <w:jc w:val="both"/>
        <w:rPr>
          <w:b/>
          <w:color w:val="auto"/>
          <w:highlight w:val="none"/>
        </w:rPr>
      </w:pPr>
      <w:r>
        <w:rPr>
          <w:rFonts w:hint="eastAsia"/>
          <w:b/>
          <w:color w:val="auto"/>
          <w:highlight w:val="none"/>
        </w:rPr>
        <w:t>七、本协议书中有关词语含义与本合同第二部分《通用条款》中分别赋予它们的定义相同。</w:t>
      </w:r>
    </w:p>
    <w:p w14:paraId="6E85D16C">
      <w:pPr>
        <w:spacing w:line="460" w:lineRule="exact"/>
        <w:ind w:firstLine="442" w:firstLineChars="200"/>
        <w:jc w:val="both"/>
        <w:rPr>
          <w:b/>
          <w:color w:val="auto"/>
          <w:highlight w:val="none"/>
        </w:rPr>
      </w:pPr>
      <w:r>
        <w:rPr>
          <w:rFonts w:hint="eastAsia"/>
          <w:b/>
          <w:color w:val="auto"/>
          <w:highlight w:val="none"/>
        </w:rPr>
        <w:t>八、承包人向发包人承诺按照合同约定进行施工、竣工并在质量保修期内承担工程质量保修责任。</w:t>
      </w:r>
    </w:p>
    <w:p w14:paraId="55256602">
      <w:pPr>
        <w:spacing w:line="460" w:lineRule="exact"/>
        <w:ind w:firstLine="442" w:firstLineChars="200"/>
        <w:jc w:val="both"/>
        <w:rPr>
          <w:b/>
          <w:color w:val="auto"/>
          <w:highlight w:val="none"/>
        </w:rPr>
      </w:pPr>
      <w:r>
        <w:rPr>
          <w:rFonts w:hint="eastAsia"/>
          <w:b/>
          <w:color w:val="auto"/>
          <w:highlight w:val="none"/>
        </w:rPr>
        <w:t>九、发包人向承包人承诺按照合同约定的期限和支付方式支付合同价款及其他应当支付的款项。</w:t>
      </w:r>
    </w:p>
    <w:p w14:paraId="27AA7F95">
      <w:pPr>
        <w:spacing w:line="460" w:lineRule="exact"/>
        <w:ind w:firstLine="442" w:firstLineChars="200"/>
        <w:jc w:val="both"/>
        <w:rPr>
          <w:b/>
          <w:color w:val="auto"/>
          <w:highlight w:val="none"/>
        </w:rPr>
      </w:pPr>
      <w:r>
        <w:rPr>
          <w:rFonts w:hint="eastAsia"/>
          <w:b/>
          <w:color w:val="auto"/>
          <w:highlight w:val="none"/>
        </w:rPr>
        <w:t>十、合同生效</w:t>
      </w:r>
    </w:p>
    <w:p w14:paraId="2FC3F8A6">
      <w:pPr>
        <w:spacing w:line="460" w:lineRule="exact"/>
        <w:ind w:firstLine="440" w:firstLineChars="200"/>
        <w:jc w:val="both"/>
        <w:rPr>
          <w:color w:val="auto"/>
          <w:highlight w:val="none"/>
        </w:rPr>
      </w:pPr>
      <w:r>
        <w:rPr>
          <w:rFonts w:hint="eastAsia"/>
          <w:color w:val="auto"/>
          <w:highlight w:val="none"/>
        </w:rPr>
        <w:t>合同订立时间：年月日</w:t>
      </w:r>
    </w:p>
    <w:p w14:paraId="45FF6494">
      <w:pPr>
        <w:spacing w:line="460" w:lineRule="exact"/>
        <w:ind w:firstLine="440" w:firstLineChars="200"/>
        <w:jc w:val="both"/>
        <w:rPr>
          <w:color w:val="auto"/>
          <w:highlight w:val="none"/>
        </w:rPr>
      </w:pPr>
      <w:r>
        <w:rPr>
          <w:rFonts w:hint="eastAsia"/>
          <w:color w:val="auto"/>
          <w:highlight w:val="none"/>
        </w:rPr>
        <w:t>合同订立地点：</w:t>
      </w:r>
    </w:p>
    <w:p w14:paraId="62ED93CE">
      <w:pPr>
        <w:spacing w:line="460" w:lineRule="exact"/>
        <w:ind w:firstLine="440" w:firstLineChars="200"/>
        <w:jc w:val="both"/>
        <w:rPr>
          <w:color w:val="auto"/>
          <w:highlight w:val="none"/>
        </w:rPr>
      </w:pPr>
      <w:r>
        <w:rPr>
          <w:rFonts w:hint="eastAsia"/>
          <w:color w:val="auto"/>
          <w:highlight w:val="none"/>
        </w:rPr>
        <w:t>本合同双方约定：</w:t>
      </w:r>
      <w:r>
        <w:rPr>
          <w:rFonts w:hint="eastAsia"/>
          <w:color w:val="auto"/>
          <w:highlight w:val="none"/>
          <w:u w:val="single"/>
        </w:rPr>
        <w:t>双方签字盖章后生效</w:t>
      </w:r>
    </w:p>
    <w:p w14:paraId="64D82267">
      <w:pPr>
        <w:spacing w:line="460" w:lineRule="exact"/>
        <w:ind w:firstLine="440" w:firstLineChars="200"/>
        <w:jc w:val="both"/>
        <w:rPr>
          <w:color w:val="auto"/>
          <w:highlight w:val="none"/>
        </w:rPr>
      </w:pPr>
      <w:r>
        <w:rPr>
          <w:rFonts w:hint="eastAsia"/>
          <w:color w:val="auto"/>
          <w:highlight w:val="none"/>
        </w:rPr>
        <w:t>发包人：（公章）承包人：（公章）</w:t>
      </w:r>
    </w:p>
    <w:p w14:paraId="5B96507F">
      <w:pPr>
        <w:spacing w:line="460" w:lineRule="exact"/>
        <w:ind w:firstLine="440" w:firstLineChars="200"/>
        <w:jc w:val="both"/>
        <w:rPr>
          <w:color w:val="auto"/>
          <w:highlight w:val="none"/>
        </w:rPr>
      </w:pPr>
      <w:r>
        <w:rPr>
          <w:rFonts w:hint="eastAsia"/>
          <w:color w:val="auto"/>
          <w:highlight w:val="none"/>
        </w:rPr>
        <w:t>住所：住所：</w:t>
      </w:r>
    </w:p>
    <w:p w14:paraId="336639D5">
      <w:pPr>
        <w:spacing w:line="460" w:lineRule="exact"/>
        <w:ind w:firstLine="440" w:firstLineChars="200"/>
        <w:jc w:val="both"/>
        <w:rPr>
          <w:color w:val="auto"/>
          <w:highlight w:val="none"/>
        </w:rPr>
      </w:pPr>
      <w:r>
        <w:rPr>
          <w:rFonts w:hint="eastAsia"/>
          <w:color w:val="auto"/>
          <w:highlight w:val="none"/>
        </w:rPr>
        <w:t>法定代表人：法定代表人：</w:t>
      </w:r>
    </w:p>
    <w:p w14:paraId="6F8C5DF2">
      <w:pPr>
        <w:spacing w:line="460" w:lineRule="exact"/>
        <w:ind w:firstLine="440" w:firstLineChars="200"/>
        <w:jc w:val="both"/>
        <w:rPr>
          <w:color w:val="auto"/>
          <w:highlight w:val="none"/>
        </w:rPr>
      </w:pPr>
      <w:r>
        <w:rPr>
          <w:rFonts w:hint="eastAsia"/>
          <w:color w:val="auto"/>
          <w:highlight w:val="none"/>
        </w:rPr>
        <w:t>委托代理人：委托代理人：</w:t>
      </w:r>
    </w:p>
    <w:p w14:paraId="5A27434E">
      <w:pPr>
        <w:spacing w:line="460" w:lineRule="exact"/>
        <w:ind w:firstLine="440" w:firstLineChars="200"/>
        <w:jc w:val="both"/>
        <w:rPr>
          <w:color w:val="auto"/>
          <w:highlight w:val="none"/>
        </w:rPr>
      </w:pPr>
      <w:r>
        <w:rPr>
          <w:rFonts w:hint="eastAsia"/>
          <w:color w:val="auto"/>
          <w:highlight w:val="none"/>
        </w:rPr>
        <w:t>电话：电话：</w:t>
      </w:r>
    </w:p>
    <w:p w14:paraId="49964B72">
      <w:pPr>
        <w:spacing w:line="460" w:lineRule="exact"/>
        <w:ind w:firstLine="440" w:firstLineChars="200"/>
        <w:jc w:val="both"/>
        <w:rPr>
          <w:color w:val="auto"/>
          <w:highlight w:val="none"/>
        </w:rPr>
      </w:pPr>
      <w:r>
        <w:rPr>
          <w:rFonts w:hint="eastAsia"/>
          <w:color w:val="auto"/>
          <w:highlight w:val="none"/>
        </w:rPr>
        <w:t>传真：传真：</w:t>
      </w:r>
    </w:p>
    <w:p w14:paraId="24950F6E">
      <w:pPr>
        <w:spacing w:line="460" w:lineRule="exact"/>
        <w:ind w:firstLine="440" w:firstLineChars="200"/>
        <w:jc w:val="both"/>
        <w:rPr>
          <w:color w:val="auto"/>
          <w:highlight w:val="none"/>
        </w:rPr>
      </w:pPr>
      <w:r>
        <w:rPr>
          <w:rFonts w:hint="eastAsia"/>
          <w:color w:val="auto"/>
          <w:highlight w:val="none"/>
        </w:rPr>
        <w:t>开户银行：开户银行：</w:t>
      </w:r>
    </w:p>
    <w:p w14:paraId="39D7DB13">
      <w:pPr>
        <w:spacing w:line="460" w:lineRule="exact"/>
        <w:ind w:firstLine="440" w:firstLineChars="200"/>
        <w:jc w:val="both"/>
        <w:rPr>
          <w:color w:val="auto"/>
          <w:highlight w:val="none"/>
        </w:rPr>
      </w:pPr>
      <w:r>
        <w:rPr>
          <w:rFonts w:hint="eastAsia"/>
          <w:color w:val="auto"/>
          <w:highlight w:val="none"/>
        </w:rPr>
        <w:t>账号：账号：</w:t>
      </w:r>
    </w:p>
    <w:p w14:paraId="61A26B8D">
      <w:pPr>
        <w:spacing w:line="460" w:lineRule="exact"/>
        <w:ind w:firstLine="440" w:firstLineChars="200"/>
        <w:jc w:val="both"/>
        <w:rPr>
          <w:rFonts w:ascii="黑体" w:eastAsia="黑体"/>
          <w:color w:val="auto"/>
          <w:highlight w:val="none"/>
        </w:rPr>
      </w:pPr>
      <w:r>
        <w:rPr>
          <w:rFonts w:hint="eastAsia"/>
          <w:color w:val="auto"/>
          <w:highlight w:val="none"/>
        </w:rPr>
        <w:t>邮政编码：邮政编码：</w:t>
      </w:r>
    </w:p>
    <w:p w14:paraId="1AE16023">
      <w:pPr>
        <w:bidi w:val="0"/>
        <w:rPr>
          <w:color w:val="auto"/>
          <w:highlight w:val="none"/>
        </w:rPr>
      </w:pPr>
    </w:p>
    <w:p w14:paraId="21CE872B">
      <w:pPr>
        <w:keepNext w:val="0"/>
        <w:keepLines w:val="0"/>
        <w:pageBreakBefore w:val="0"/>
        <w:widowControl w:val="0"/>
        <w:kinsoku/>
        <w:wordWrap/>
        <w:overflowPunct/>
        <w:topLinePunct w:val="0"/>
        <w:autoSpaceDE w:val="0"/>
        <w:autoSpaceDN w:val="0"/>
        <w:bidi w:val="0"/>
        <w:adjustRightInd/>
        <w:snapToGrid/>
        <w:ind w:left="215"/>
        <w:jc w:val="center"/>
        <w:textAlignment w:val="auto"/>
        <w:outlineLvl w:val="9"/>
        <w:rPr>
          <w:rFonts w:ascii="黑体" w:eastAsia="黑体"/>
          <w:color w:val="auto"/>
          <w:sz w:val="32"/>
          <w:highlight w:val="none"/>
        </w:rPr>
      </w:pPr>
      <w:bookmarkStart w:id="41" w:name="_Toc48834557"/>
      <w:r>
        <w:rPr>
          <w:rFonts w:hint="eastAsia" w:ascii="黑体" w:eastAsia="黑体"/>
          <w:color w:val="auto"/>
          <w:sz w:val="32"/>
          <w:highlight w:val="none"/>
        </w:rPr>
        <w:t>第二部分 通用合同条款</w:t>
      </w:r>
      <w:bookmarkEnd w:id="38"/>
      <w:bookmarkEnd w:id="39"/>
      <w:bookmarkEnd w:id="40"/>
      <w:bookmarkEnd w:id="41"/>
    </w:p>
    <w:p w14:paraId="04211489">
      <w:pPr>
        <w:jc w:val="center"/>
        <w:rPr>
          <w:rFonts w:ascii="黑体" w:hAnsi="黑体" w:eastAsia="黑体"/>
          <w:bCs/>
          <w:color w:val="auto"/>
          <w:sz w:val="32"/>
          <w:szCs w:val="32"/>
          <w:highlight w:val="none"/>
        </w:rPr>
      </w:pPr>
      <w:r>
        <w:rPr>
          <w:rFonts w:hint="eastAsia" w:ascii="黑体" w:hAnsi="黑体" w:eastAsia="黑体"/>
          <w:bCs/>
          <w:color w:val="auto"/>
          <w:sz w:val="32"/>
          <w:szCs w:val="32"/>
          <w:highlight w:val="none"/>
        </w:rPr>
        <w:t>（根据国家相关示范文本）</w:t>
      </w:r>
    </w:p>
    <w:p w14:paraId="0BC89C2A">
      <w:pPr>
        <w:pStyle w:val="44"/>
        <w:spacing w:before="0" w:beforeAutospacing="0" w:after="0" w:afterAutospacing="0" w:line="360" w:lineRule="auto"/>
        <w:ind w:firstLine="110" w:firstLineChars="50"/>
        <w:jc w:val="both"/>
        <w:rPr>
          <w:color w:val="auto"/>
          <w:highlight w:val="none"/>
        </w:rPr>
      </w:pPr>
    </w:p>
    <w:p w14:paraId="03C37AF1">
      <w:pPr>
        <w:pStyle w:val="44"/>
        <w:spacing w:before="0" w:beforeAutospacing="0" w:after="0" w:afterAutospacing="0" w:line="360" w:lineRule="auto"/>
        <w:ind w:firstLine="440" w:firstLineChars="200"/>
        <w:jc w:val="both"/>
        <w:rPr>
          <w:color w:val="auto"/>
          <w:highlight w:val="none"/>
        </w:rPr>
      </w:pPr>
      <w:r>
        <w:rPr>
          <w:color w:val="auto"/>
          <w:highlight w:val="none"/>
        </w:rPr>
        <w:t>参见建设工程施工合同</w:t>
      </w:r>
    </w:p>
    <w:p w14:paraId="54F7431D">
      <w:pPr>
        <w:pStyle w:val="44"/>
        <w:spacing w:before="0" w:beforeAutospacing="0" w:after="0" w:afterAutospacing="0" w:line="360" w:lineRule="auto"/>
        <w:ind w:firstLine="440" w:firstLineChars="200"/>
        <w:jc w:val="both"/>
        <w:rPr>
          <w:rFonts w:ascii="宋体 ，Arial" w:eastAsia="宋体 ，Arial" w:cs="宋体"/>
          <w:color w:val="auto"/>
          <w:highlight w:val="none"/>
        </w:rPr>
      </w:pPr>
      <w:r>
        <w:rPr>
          <w:color w:val="auto"/>
          <w:highlight w:val="none"/>
        </w:rPr>
        <w:fldChar w:fldCharType="begin"/>
      </w:r>
      <w:r>
        <w:rPr>
          <w:color w:val="auto"/>
          <w:highlight w:val="none"/>
        </w:rPr>
        <w:instrText xml:space="preserve"> HYPERLINK "http://www.mohurd.gov.cn/wjfb/201710/W020171030112646.doc" \t "_blank" </w:instrText>
      </w:r>
      <w:r>
        <w:rPr>
          <w:color w:val="auto"/>
          <w:highlight w:val="none"/>
        </w:rPr>
        <w:fldChar w:fldCharType="separate"/>
      </w:r>
      <w:r>
        <w:rPr>
          <w:rFonts w:ascii="宋体 ，Arial" w:eastAsia="宋体 ，Arial" w:cs="宋体"/>
          <w:color w:val="auto"/>
          <w:highlight w:val="none"/>
        </w:rPr>
        <w:t>建设工程施工合同（示范文本）》（GF-2017-0201）</w:t>
      </w:r>
      <w:r>
        <w:rPr>
          <w:rFonts w:ascii="宋体 ，Arial" w:eastAsia="宋体 ，Arial" w:cs="宋体"/>
          <w:color w:val="auto"/>
          <w:highlight w:val="none"/>
        </w:rPr>
        <w:fldChar w:fldCharType="end"/>
      </w:r>
    </w:p>
    <w:p w14:paraId="2FB6CF9C">
      <w:pPr>
        <w:pStyle w:val="44"/>
        <w:spacing w:before="0" w:beforeAutospacing="0" w:after="0" w:afterAutospacing="0" w:line="360" w:lineRule="auto"/>
        <w:ind w:firstLine="440" w:firstLineChars="200"/>
        <w:jc w:val="both"/>
        <w:rPr>
          <w:rFonts w:hint="default"/>
          <w:color w:val="auto"/>
          <w:highlight w:val="none"/>
        </w:rPr>
      </w:pPr>
      <w:r>
        <w:rPr>
          <w:color w:val="auto"/>
          <w:highlight w:val="none"/>
        </w:rPr>
        <w:t>通用合同条款内容。</w:t>
      </w:r>
    </w:p>
    <w:p w14:paraId="15D404A8">
      <w:pPr>
        <w:spacing w:line="360" w:lineRule="auto"/>
        <w:jc w:val="both"/>
        <w:rPr>
          <w:rFonts w:ascii="黑体" w:eastAsia="黑体"/>
          <w:color w:val="auto"/>
          <w:highlight w:val="none"/>
        </w:rPr>
      </w:pPr>
    </w:p>
    <w:p w14:paraId="4F410CC4">
      <w:pPr>
        <w:keepNext w:val="0"/>
        <w:keepLines w:val="0"/>
        <w:pageBreakBefore w:val="0"/>
        <w:widowControl w:val="0"/>
        <w:kinsoku/>
        <w:wordWrap/>
        <w:overflowPunct/>
        <w:topLinePunct w:val="0"/>
        <w:autoSpaceDE w:val="0"/>
        <w:autoSpaceDN w:val="0"/>
        <w:bidi w:val="0"/>
        <w:adjustRightInd/>
        <w:snapToGrid/>
        <w:ind w:left="215"/>
        <w:jc w:val="center"/>
        <w:textAlignment w:val="auto"/>
        <w:outlineLvl w:val="9"/>
        <w:rPr>
          <w:rFonts w:ascii="黑体" w:hAnsi="黑体" w:eastAsia="黑体"/>
          <w:color w:val="auto"/>
          <w:sz w:val="32"/>
          <w:highlight w:val="none"/>
        </w:rPr>
      </w:pPr>
      <w:bookmarkStart w:id="42" w:name="_Toc48834558"/>
      <w:bookmarkStart w:id="43" w:name="_Toc428024702"/>
      <w:bookmarkStart w:id="44" w:name="_Toc427566453"/>
      <w:r>
        <w:rPr>
          <w:rFonts w:hint="eastAsia" w:ascii="黑体" w:hAnsi="黑体" w:eastAsia="黑体"/>
          <w:color w:val="auto"/>
          <w:sz w:val="32"/>
          <w:highlight w:val="none"/>
        </w:rPr>
        <w:t>第三部分 专用合同条款</w:t>
      </w:r>
      <w:bookmarkEnd w:id="42"/>
      <w:bookmarkEnd w:id="43"/>
      <w:bookmarkEnd w:id="44"/>
    </w:p>
    <w:p w14:paraId="2659B34E">
      <w:pPr>
        <w:jc w:val="center"/>
        <w:rPr>
          <w:rFonts w:ascii="黑体" w:hAnsi="黑体" w:eastAsia="黑体"/>
          <w:color w:val="auto"/>
          <w:sz w:val="32"/>
          <w:szCs w:val="32"/>
          <w:highlight w:val="none"/>
        </w:rPr>
      </w:pPr>
      <w:r>
        <w:rPr>
          <w:rFonts w:hint="eastAsia" w:ascii="黑体" w:hAnsi="黑体" w:eastAsia="黑体"/>
          <w:bCs/>
          <w:color w:val="auto"/>
          <w:sz w:val="32"/>
          <w:szCs w:val="32"/>
          <w:highlight w:val="none"/>
        </w:rPr>
        <w:t>（根据国家相关示范文本）</w:t>
      </w:r>
    </w:p>
    <w:p w14:paraId="44F9FD0F">
      <w:pPr>
        <w:spacing w:line="460" w:lineRule="exact"/>
        <w:jc w:val="both"/>
        <w:rPr>
          <w:b/>
          <w:bCs/>
          <w:color w:val="auto"/>
          <w:highlight w:val="none"/>
        </w:rPr>
      </w:pPr>
    </w:p>
    <w:p w14:paraId="29A73141">
      <w:pPr>
        <w:spacing w:line="400" w:lineRule="exact"/>
        <w:ind w:firstLine="442" w:firstLineChars="200"/>
        <w:jc w:val="both"/>
        <w:rPr>
          <w:rFonts w:hint="eastAsia"/>
          <w:b/>
          <w:color w:val="auto"/>
          <w:highlight w:val="none"/>
        </w:rPr>
      </w:pPr>
      <w:r>
        <w:rPr>
          <w:rFonts w:hint="eastAsia"/>
          <w:b/>
          <w:color w:val="auto"/>
          <w:highlight w:val="none"/>
        </w:rPr>
        <w:t>一、词语定义及合同文件</w:t>
      </w:r>
    </w:p>
    <w:p w14:paraId="46EB6FB6">
      <w:pPr>
        <w:spacing w:line="400" w:lineRule="exact"/>
        <w:ind w:firstLine="442" w:firstLineChars="200"/>
        <w:jc w:val="both"/>
        <w:rPr>
          <w:rFonts w:hint="eastAsia"/>
          <w:b/>
          <w:color w:val="auto"/>
          <w:highlight w:val="none"/>
        </w:rPr>
      </w:pPr>
      <w:r>
        <w:rPr>
          <w:rFonts w:hint="eastAsia"/>
          <w:b/>
          <w:color w:val="auto"/>
          <w:highlight w:val="none"/>
        </w:rPr>
        <w:t>2. 合同文件及解释顺序</w:t>
      </w:r>
    </w:p>
    <w:p w14:paraId="3DC4DD0C">
      <w:pPr>
        <w:spacing w:line="400" w:lineRule="exact"/>
        <w:ind w:firstLine="440" w:firstLineChars="200"/>
        <w:jc w:val="both"/>
        <w:rPr>
          <w:rFonts w:hint="eastAsia"/>
          <w:color w:val="auto"/>
          <w:highlight w:val="none"/>
          <w:u w:val="single"/>
        </w:rPr>
      </w:pPr>
      <w:r>
        <w:rPr>
          <w:rFonts w:hint="eastAsia"/>
          <w:color w:val="auto"/>
          <w:highlight w:val="none"/>
        </w:rPr>
        <w:t>合同文件组成及解释顺序</w:t>
      </w:r>
      <w:r>
        <w:rPr>
          <w:rFonts w:hint="eastAsia"/>
          <w:color w:val="auto"/>
          <w:highlight w:val="none"/>
          <w:u w:val="single"/>
        </w:rPr>
        <w:t>执行通用条款第2. 1、2.2条</w:t>
      </w:r>
    </w:p>
    <w:p w14:paraId="17FDDF0B">
      <w:pPr>
        <w:spacing w:line="400" w:lineRule="exact"/>
        <w:ind w:firstLine="442" w:firstLineChars="200"/>
        <w:jc w:val="both"/>
        <w:rPr>
          <w:rFonts w:hint="eastAsia"/>
          <w:b/>
          <w:color w:val="auto"/>
          <w:highlight w:val="none"/>
        </w:rPr>
      </w:pPr>
      <w:r>
        <w:rPr>
          <w:rFonts w:hint="eastAsia"/>
          <w:b/>
          <w:color w:val="auto"/>
          <w:highlight w:val="none"/>
        </w:rPr>
        <w:t>3．语言文字和适用法律、标准及规范</w:t>
      </w:r>
    </w:p>
    <w:p w14:paraId="62FBC33E">
      <w:pPr>
        <w:spacing w:line="400" w:lineRule="exact"/>
        <w:ind w:firstLine="440" w:firstLineChars="200"/>
        <w:jc w:val="both"/>
        <w:rPr>
          <w:rFonts w:hint="eastAsia"/>
          <w:color w:val="auto"/>
          <w:highlight w:val="none"/>
        </w:rPr>
      </w:pPr>
      <w:r>
        <w:rPr>
          <w:rFonts w:hint="eastAsia"/>
          <w:color w:val="auto"/>
          <w:highlight w:val="none"/>
        </w:rPr>
        <w:t>3.1本合同除使用汉语外，还使用</w:t>
      </w:r>
      <w:r>
        <w:rPr>
          <w:rFonts w:hint="eastAsia" w:ascii="宋体" w:hAnsi="宋体"/>
          <w:color w:val="auto"/>
          <w:highlight w:val="none"/>
          <w:u w:val="single"/>
        </w:rPr>
        <w:t>/</w:t>
      </w:r>
      <w:r>
        <w:rPr>
          <w:rFonts w:hint="eastAsia"/>
          <w:color w:val="auto"/>
          <w:highlight w:val="none"/>
        </w:rPr>
        <w:t>语言文字。</w:t>
      </w:r>
    </w:p>
    <w:p w14:paraId="412A405A">
      <w:pPr>
        <w:spacing w:line="400" w:lineRule="exact"/>
        <w:ind w:firstLine="440" w:firstLineChars="200"/>
        <w:jc w:val="both"/>
        <w:rPr>
          <w:rFonts w:hint="eastAsia"/>
          <w:color w:val="auto"/>
          <w:highlight w:val="none"/>
        </w:rPr>
      </w:pPr>
      <w:r>
        <w:rPr>
          <w:rFonts w:hint="eastAsia"/>
          <w:color w:val="auto"/>
          <w:highlight w:val="none"/>
        </w:rPr>
        <w:t>3.2适用法律和法规</w:t>
      </w:r>
    </w:p>
    <w:p w14:paraId="7431786D">
      <w:pPr>
        <w:spacing w:line="400" w:lineRule="exact"/>
        <w:ind w:firstLine="440" w:firstLineChars="200"/>
        <w:jc w:val="both"/>
        <w:rPr>
          <w:rFonts w:hint="eastAsia"/>
          <w:color w:val="auto"/>
          <w:highlight w:val="none"/>
          <w:u w:val="single"/>
        </w:rPr>
      </w:pPr>
      <w:r>
        <w:rPr>
          <w:rFonts w:hint="eastAsia"/>
          <w:color w:val="auto"/>
          <w:highlight w:val="none"/>
        </w:rPr>
        <w:t>需要明示的法律、行政法规：</w:t>
      </w:r>
      <w:r>
        <w:rPr>
          <w:rFonts w:hint="eastAsia"/>
          <w:color w:val="auto"/>
          <w:highlight w:val="none"/>
          <w:u w:val="single"/>
        </w:rPr>
        <w:t>现行的国家或地方有关市政工程的法律、法规。</w:t>
      </w:r>
    </w:p>
    <w:p w14:paraId="0E5380B5">
      <w:pPr>
        <w:spacing w:line="400" w:lineRule="exact"/>
        <w:ind w:firstLine="440" w:firstLineChars="200"/>
        <w:jc w:val="both"/>
        <w:rPr>
          <w:rFonts w:hint="eastAsia"/>
          <w:color w:val="auto"/>
          <w:highlight w:val="none"/>
        </w:rPr>
      </w:pPr>
      <w:r>
        <w:rPr>
          <w:rFonts w:hint="eastAsia"/>
          <w:color w:val="auto"/>
          <w:highlight w:val="none"/>
        </w:rPr>
        <w:t>3.3适用标准、规范</w:t>
      </w:r>
    </w:p>
    <w:p w14:paraId="0C2C8463">
      <w:pPr>
        <w:spacing w:line="400" w:lineRule="exact"/>
        <w:ind w:firstLine="440" w:firstLineChars="200"/>
        <w:jc w:val="both"/>
        <w:rPr>
          <w:rFonts w:hint="eastAsia"/>
          <w:color w:val="auto"/>
          <w:highlight w:val="none"/>
          <w:u w:val="single"/>
        </w:rPr>
      </w:pPr>
      <w:r>
        <w:rPr>
          <w:rFonts w:hint="eastAsia"/>
          <w:color w:val="auto"/>
          <w:highlight w:val="none"/>
        </w:rPr>
        <w:t>适用标准、规范的名称：</w:t>
      </w:r>
      <w:r>
        <w:rPr>
          <w:rFonts w:hint="eastAsia"/>
          <w:color w:val="auto"/>
          <w:highlight w:val="none"/>
          <w:u w:val="single"/>
        </w:rPr>
        <w:t>除招标文件、工程设计罗列部分外，国家、河南省及周口市现行与本工程建设相关的标准和规范。</w:t>
      </w:r>
    </w:p>
    <w:p w14:paraId="63612748">
      <w:pPr>
        <w:spacing w:line="400" w:lineRule="exact"/>
        <w:ind w:firstLine="440" w:firstLineChars="200"/>
        <w:jc w:val="both"/>
        <w:rPr>
          <w:rFonts w:hint="eastAsia" w:ascii="宋体" w:hAnsi="宋体"/>
          <w:color w:val="auto"/>
          <w:highlight w:val="none"/>
          <w:u w:val="single"/>
        </w:rPr>
      </w:pPr>
      <w:r>
        <w:rPr>
          <w:rFonts w:hint="eastAsia"/>
          <w:color w:val="auto"/>
          <w:highlight w:val="none"/>
        </w:rPr>
        <w:t>发包人提供标准、规范的时间：</w:t>
      </w:r>
      <w:r>
        <w:rPr>
          <w:rFonts w:hint="eastAsia" w:ascii="宋体" w:hAnsi="宋体"/>
          <w:color w:val="auto"/>
          <w:highlight w:val="none"/>
          <w:u w:val="single"/>
        </w:rPr>
        <w:t>/</w:t>
      </w:r>
    </w:p>
    <w:p w14:paraId="4A4FF4D7">
      <w:pPr>
        <w:spacing w:line="400" w:lineRule="exact"/>
        <w:ind w:firstLine="440" w:firstLineChars="200"/>
        <w:jc w:val="both"/>
        <w:rPr>
          <w:rFonts w:hint="eastAsia" w:ascii="宋体" w:hAnsi="宋体"/>
          <w:color w:val="auto"/>
          <w:highlight w:val="none"/>
          <w:u w:val="single"/>
        </w:rPr>
      </w:pPr>
      <w:r>
        <w:rPr>
          <w:rFonts w:hint="eastAsia"/>
          <w:color w:val="auto"/>
          <w:highlight w:val="none"/>
        </w:rPr>
        <w:t>国内没有相应标准、规范时的约定：</w:t>
      </w:r>
      <w:r>
        <w:rPr>
          <w:rFonts w:hint="eastAsia" w:ascii="宋体" w:hAnsi="宋体"/>
          <w:color w:val="auto"/>
          <w:highlight w:val="none"/>
          <w:u w:val="single"/>
        </w:rPr>
        <w:t>由发包人拟派工程师解决。</w:t>
      </w:r>
    </w:p>
    <w:p w14:paraId="021B773A">
      <w:pPr>
        <w:spacing w:line="400" w:lineRule="exact"/>
        <w:ind w:firstLine="442" w:firstLineChars="200"/>
        <w:jc w:val="both"/>
        <w:rPr>
          <w:rFonts w:hint="eastAsia"/>
          <w:b/>
          <w:color w:val="auto"/>
          <w:highlight w:val="none"/>
        </w:rPr>
      </w:pPr>
      <w:r>
        <w:rPr>
          <w:rFonts w:hint="eastAsia"/>
          <w:b/>
          <w:color w:val="auto"/>
          <w:highlight w:val="none"/>
        </w:rPr>
        <w:t>4.图纸</w:t>
      </w:r>
    </w:p>
    <w:p w14:paraId="537FF2DB">
      <w:pPr>
        <w:spacing w:line="400" w:lineRule="exact"/>
        <w:ind w:firstLine="440" w:firstLineChars="200"/>
        <w:jc w:val="both"/>
        <w:rPr>
          <w:rFonts w:hint="eastAsia"/>
          <w:color w:val="auto"/>
          <w:highlight w:val="none"/>
          <w:u w:val="single"/>
        </w:rPr>
      </w:pPr>
      <w:r>
        <w:rPr>
          <w:rFonts w:hint="eastAsia"/>
          <w:color w:val="auto"/>
          <w:highlight w:val="none"/>
        </w:rPr>
        <w:t>4.1发包人向承包人提供图纸日期和套数：</w:t>
      </w:r>
      <w:r>
        <w:rPr>
          <w:rFonts w:hint="eastAsia"/>
          <w:color w:val="auto"/>
          <w:highlight w:val="none"/>
          <w:u w:val="single"/>
        </w:rPr>
        <w:t>合同签订后   天内提供施工图2套</w:t>
      </w:r>
      <w:r>
        <w:rPr>
          <w:rFonts w:hint="eastAsia"/>
          <w:color w:val="auto"/>
          <w:highlight w:val="none"/>
        </w:rPr>
        <w:t>发包人对图纸的保密要求：</w:t>
      </w:r>
      <w:r>
        <w:rPr>
          <w:rFonts w:hint="eastAsia"/>
          <w:color w:val="auto"/>
          <w:highlight w:val="none"/>
          <w:u w:val="single"/>
        </w:rPr>
        <w:t>不准向本工程外的工程提供图纸或图纸复印件</w:t>
      </w:r>
      <w:r>
        <w:rPr>
          <w:rFonts w:hint="eastAsia"/>
          <w:color w:val="auto"/>
          <w:highlight w:val="none"/>
        </w:rPr>
        <w:t>使用国外图纸的要求及费用承担</w:t>
      </w:r>
      <w:r>
        <w:rPr>
          <w:rFonts w:hint="eastAsia"/>
          <w:color w:val="auto"/>
          <w:highlight w:val="none"/>
          <w:u w:val="single"/>
        </w:rPr>
        <w:t xml:space="preserve">：    </w:t>
      </w:r>
    </w:p>
    <w:p w14:paraId="29169486">
      <w:pPr>
        <w:spacing w:line="400" w:lineRule="exact"/>
        <w:ind w:firstLine="442" w:firstLineChars="200"/>
        <w:jc w:val="both"/>
        <w:rPr>
          <w:rFonts w:hint="eastAsia"/>
          <w:b/>
          <w:color w:val="auto"/>
          <w:highlight w:val="none"/>
        </w:rPr>
      </w:pPr>
      <w:r>
        <w:rPr>
          <w:rFonts w:hint="eastAsia"/>
          <w:b/>
          <w:color w:val="auto"/>
          <w:highlight w:val="none"/>
        </w:rPr>
        <w:t>二、双方一般权利和义务</w:t>
      </w:r>
    </w:p>
    <w:p w14:paraId="03C87097">
      <w:pPr>
        <w:spacing w:line="400" w:lineRule="exact"/>
        <w:ind w:firstLine="442" w:firstLineChars="200"/>
        <w:jc w:val="both"/>
        <w:rPr>
          <w:rFonts w:hint="eastAsia"/>
          <w:b/>
          <w:color w:val="auto"/>
          <w:highlight w:val="none"/>
        </w:rPr>
      </w:pPr>
      <w:r>
        <w:rPr>
          <w:rFonts w:hint="eastAsia"/>
          <w:b/>
          <w:color w:val="auto"/>
          <w:highlight w:val="none"/>
        </w:rPr>
        <w:t>5.工程师</w:t>
      </w:r>
    </w:p>
    <w:p w14:paraId="03E1EFA5">
      <w:pPr>
        <w:spacing w:line="400" w:lineRule="exact"/>
        <w:ind w:firstLine="440" w:firstLineChars="200"/>
        <w:jc w:val="both"/>
        <w:rPr>
          <w:rFonts w:hint="eastAsia"/>
          <w:color w:val="auto"/>
          <w:highlight w:val="none"/>
        </w:rPr>
      </w:pPr>
      <w:r>
        <w:rPr>
          <w:rFonts w:hint="eastAsia"/>
          <w:color w:val="auto"/>
          <w:highlight w:val="none"/>
        </w:rPr>
        <w:t>5.2监理单位委派的工程师</w:t>
      </w:r>
    </w:p>
    <w:p w14:paraId="31358862">
      <w:pPr>
        <w:spacing w:line="400" w:lineRule="exact"/>
        <w:ind w:firstLine="440" w:firstLineChars="200"/>
        <w:jc w:val="both"/>
        <w:rPr>
          <w:rFonts w:hint="eastAsia"/>
          <w:color w:val="auto"/>
          <w:highlight w:val="none"/>
          <w:u w:val="single"/>
        </w:rPr>
      </w:pPr>
      <w:r>
        <w:rPr>
          <w:rFonts w:hint="eastAsia"/>
          <w:color w:val="auto"/>
          <w:highlight w:val="none"/>
        </w:rPr>
        <w:t>姓名：职务：</w:t>
      </w:r>
      <w:r>
        <w:rPr>
          <w:rFonts w:hint="eastAsia"/>
          <w:color w:val="auto"/>
          <w:highlight w:val="none"/>
          <w:u w:val="single"/>
        </w:rPr>
        <w:t>总监理工程师</w:t>
      </w:r>
    </w:p>
    <w:p w14:paraId="5FE83E45">
      <w:pPr>
        <w:spacing w:line="400" w:lineRule="exact"/>
        <w:ind w:firstLine="440" w:firstLineChars="200"/>
        <w:jc w:val="both"/>
        <w:rPr>
          <w:rFonts w:hint="eastAsia"/>
          <w:color w:val="auto"/>
          <w:highlight w:val="none"/>
          <w:u w:val="single"/>
        </w:rPr>
      </w:pPr>
      <w:r>
        <w:rPr>
          <w:rFonts w:hint="eastAsia"/>
          <w:color w:val="auto"/>
          <w:highlight w:val="none"/>
        </w:rPr>
        <w:t>发包人委托的职权：</w:t>
      </w:r>
      <w:r>
        <w:rPr>
          <w:rFonts w:hint="eastAsia"/>
          <w:color w:val="auto"/>
          <w:highlight w:val="none"/>
          <w:u w:val="single"/>
        </w:rPr>
        <w:t>施工组织设计及方案审批，质量监督权，工程量签认权，进出厂材料、设备检验及批准使用权，监理合同中赋予的职权。</w:t>
      </w:r>
    </w:p>
    <w:p w14:paraId="43AAFD68">
      <w:pPr>
        <w:spacing w:line="400" w:lineRule="exact"/>
        <w:ind w:firstLine="440" w:firstLineChars="200"/>
        <w:jc w:val="both"/>
        <w:rPr>
          <w:rFonts w:hint="eastAsia"/>
          <w:color w:val="auto"/>
          <w:highlight w:val="none"/>
          <w:u w:val="single"/>
        </w:rPr>
      </w:pPr>
      <w:r>
        <w:rPr>
          <w:rFonts w:hint="eastAsia"/>
          <w:color w:val="auto"/>
          <w:highlight w:val="none"/>
        </w:rPr>
        <w:t>需要取得发包人批准才能行使的职权</w:t>
      </w:r>
      <w:r>
        <w:rPr>
          <w:rFonts w:hint="eastAsia"/>
          <w:color w:val="auto"/>
          <w:highlight w:val="none"/>
          <w:u w:val="single"/>
        </w:rPr>
        <w:t>：发布开（停）工令，工期顺延签认，不称职人员撤换建议权。</w:t>
      </w:r>
    </w:p>
    <w:p w14:paraId="2966B5B4">
      <w:pPr>
        <w:spacing w:line="400" w:lineRule="exact"/>
        <w:ind w:firstLine="440" w:firstLineChars="200"/>
        <w:jc w:val="both"/>
        <w:rPr>
          <w:rFonts w:hint="eastAsia"/>
          <w:color w:val="auto"/>
          <w:highlight w:val="none"/>
        </w:rPr>
      </w:pPr>
      <w:r>
        <w:rPr>
          <w:rFonts w:hint="eastAsia"/>
          <w:color w:val="auto"/>
          <w:highlight w:val="none"/>
        </w:rPr>
        <w:t>5.3发包人派驻的工程师</w:t>
      </w:r>
    </w:p>
    <w:p w14:paraId="0DDB16AF">
      <w:pPr>
        <w:spacing w:line="400" w:lineRule="exact"/>
        <w:ind w:firstLine="440" w:firstLineChars="200"/>
        <w:jc w:val="both"/>
        <w:rPr>
          <w:rFonts w:hint="eastAsia"/>
          <w:color w:val="auto"/>
          <w:highlight w:val="none"/>
          <w:u w:val="single"/>
        </w:rPr>
      </w:pPr>
      <w:r>
        <w:rPr>
          <w:rFonts w:hint="eastAsia"/>
          <w:color w:val="auto"/>
          <w:highlight w:val="none"/>
        </w:rPr>
        <w:t>姓名：职务：</w:t>
      </w:r>
      <w:r>
        <w:rPr>
          <w:rFonts w:hint="eastAsia"/>
          <w:color w:val="auto"/>
          <w:highlight w:val="none"/>
          <w:u w:val="single"/>
        </w:rPr>
        <w:t>工程师</w:t>
      </w:r>
    </w:p>
    <w:p w14:paraId="7A485683">
      <w:pPr>
        <w:spacing w:line="400" w:lineRule="exact"/>
        <w:ind w:firstLine="440" w:firstLineChars="200"/>
        <w:jc w:val="both"/>
        <w:rPr>
          <w:rFonts w:hint="eastAsia"/>
          <w:color w:val="auto"/>
          <w:highlight w:val="none"/>
          <w:u w:val="single"/>
        </w:rPr>
      </w:pPr>
      <w:r>
        <w:rPr>
          <w:rFonts w:hint="eastAsia"/>
          <w:color w:val="auto"/>
          <w:highlight w:val="none"/>
        </w:rPr>
        <w:t>职权：</w:t>
      </w:r>
      <w:r>
        <w:rPr>
          <w:rFonts w:hint="eastAsia"/>
          <w:color w:val="auto"/>
          <w:highlight w:val="none"/>
          <w:u w:val="single"/>
        </w:rPr>
        <w:t>作为发包方代表处理与本工程建设相关的一切事宜。</w:t>
      </w:r>
    </w:p>
    <w:p w14:paraId="029B9A49">
      <w:pPr>
        <w:spacing w:line="400" w:lineRule="exact"/>
        <w:ind w:firstLine="440" w:firstLineChars="200"/>
        <w:jc w:val="both"/>
        <w:rPr>
          <w:color w:val="auto"/>
          <w:highlight w:val="none"/>
          <w:u w:val="single"/>
        </w:rPr>
      </w:pPr>
      <w:r>
        <w:rPr>
          <w:rFonts w:hint="eastAsia"/>
          <w:color w:val="auto"/>
          <w:highlight w:val="none"/>
        </w:rPr>
        <w:t>5.6不实行监理的，工程师的职权：</w:t>
      </w:r>
      <w:r>
        <w:rPr>
          <w:rFonts w:hint="eastAsia" w:ascii="宋体" w:hAnsi="宋体"/>
          <w:color w:val="auto"/>
          <w:highlight w:val="none"/>
          <w:u w:val="single"/>
        </w:rPr>
        <w:t xml:space="preserve">/    </w:t>
      </w:r>
    </w:p>
    <w:p w14:paraId="707BED63">
      <w:pPr>
        <w:spacing w:line="400" w:lineRule="exact"/>
        <w:ind w:firstLine="442" w:firstLineChars="200"/>
        <w:jc w:val="both"/>
        <w:rPr>
          <w:b/>
          <w:color w:val="auto"/>
          <w:highlight w:val="none"/>
        </w:rPr>
      </w:pPr>
      <w:r>
        <w:rPr>
          <w:rFonts w:hint="eastAsia"/>
          <w:b/>
          <w:color w:val="auto"/>
          <w:highlight w:val="none"/>
          <w:lang w:val="en-US"/>
        </w:rPr>
        <w:t>6</w:t>
      </w:r>
      <w:r>
        <w:rPr>
          <w:rFonts w:hint="eastAsia"/>
          <w:b/>
          <w:color w:val="auto"/>
          <w:highlight w:val="none"/>
        </w:rPr>
        <w:t>.项目经理</w:t>
      </w:r>
    </w:p>
    <w:p w14:paraId="3F47C3C6">
      <w:pPr>
        <w:spacing w:line="480" w:lineRule="exact"/>
        <w:ind w:firstLine="440" w:firstLineChars="200"/>
        <w:jc w:val="both"/>
        <w:rPr>
          <w:color w:val="auto"/>
          <w:highlight w:val="none"/>
          <w:u w:val="single"/>
        </w:rPr>
      </w:pPr>
      <w:r>
        <w:rPr>
          <w:rFonts w:hint="eastAsia"/>
          <w:color w:val="auto"/>
          <w:highlight w:val="none"/>
        </w:rPr>
        <w:t>姓名：职务：</w:t>
      </w:r>
      <w:r>
        <w:rPr>
          <w:rFonts w:hint="eastAsia"/>
          <w:color w:val="auto"/>
          <w:highlight w:val="none"/>
          <w:u w:val="single"/>
        </w:rPr>
        <w:t>项目经理</w:t>
      </w:r>
    </w:p>
    <w:p w14:paraId="1BAFCC0C">
      <w:pPr>
        <w:spacing w:line="480" w:lineRule="exact"/>
        <w:ind w:firstLine="442" w:firstLineChars="200"/>
        <w:jc w:val="both"/>
        <w:rPr>
          <w:b/>
          <w:color w:val="auto"/>
          <w:highlight w:val="none"/>
        </w:rPr>
      </w:pPr>
      <w:r>
        <w:rPr>
          <w:rFonts w:hint="eastAsia"/>
          <w:b/>
          <w:color w:val="auto"/>
          <w:highlight w:val="none"/>
          <w:lang w:val="en-US"/>
        </w:rPr>
        <w:t>7</w:t>
      </w:r>
      <w:r>
        <w:rPr>
          <w:rFonts w:hint="eastAsia"/>
          <w:b/>
          <w:color w:val="auto"/>
          <w:highlight w:val="none"/>
        </w:rPr>
        <w:t>.发包人工作</w:t>
      </w:r>
    </w:p>
    <w:p w14:paraId="76C84083">
      <w:pPr>
        <w:spacing w:line="480" w:lineRule="exact"/>
        <w:ind w:firstLine="440" w:firstLineChars="200"/>
        <w:jc w:val="both"/>
        <w:rPr>
          <w:color w:val="auto"/>
          <w:highlight w:val="none"/>
        </w:rPr>
      </w:pPr>
      <w:r>
        <w:rPr>
          <w:rFonts w:hint="eastAsia"/>
          <w:color w:val="auto"/>
          <w:highlight w:val="none"/>
          <w:lang w:val="en-US"/>
        </w:rPr>
        <w:t>7</w:t>
      </w:r>
      <w:r>
        <w:rPr>
          <w:rFonts w:hint="eastAsia"/>
          <w:color w:val="auto"/>
          <w:highlight w:val="none"/>
        </w:rPr>
        <w:t>.1发包人应按约定的时间和要求完成以下工作：</w:t>
      </w:r>
    </w:p>
    <w:p w14:paraId="0F9BC2F1">
      <w:pPr>
        <w:spacing w:line="480" w:lineRule="exact"/>
        <w:ind w:firstLine="440" w:firstLineChars="200"/>
        <w:jc w:val="both"/>
        <w:rPr>
          <w:color w:val="auto"/>
          <w:highlight w:val="none"/>
        </w:rPr>
      </w:pPr>
      <w:r>
        <w:rPr>
          <w:rFonts w:hint="eastAsia"/>
          <w:color w:val="auto"/>
          <w:highlight w:val="none"/>
        </w:rPr>
        <w:t>（1）施工场地具备施工条件的要求及完成的时间：</w:t>
      </w:r>
    </w:p>
    <w:p w14:paraId="73A6C9AF">
      <w:pPr>
        <w:spacing w:line="480" w:lineRule="exact"/>
        <w:ind w:firstLine="440" w:firstLineChars="200"/>
        <w:jc w:val="both"/>
        <w:rPr>
          <w:color w:val="auto"/>
          <w:highlight w:val="none"/>
          <w:u w:val="single"/>
        </w:rPr>
      </w:pPr>
      <w:r>
        <w:rPr>
          <w:rFonts w:hint="eastAsia"/>
          <w:color w:val="auto"/>
          <w:highlight w:val="none"/>
          <w:u w:val="single"/>
        </w:rPr>
        <w:t>已具备开工条件</w:t>
      </w:r>
    </w:p>
    <w:p w14:paraId="7F6C054B">
      <w:pPr>
        <w:spacing w:line="480" w:lineRule="exact"/>
        <w:ind w:firstLine="440" w:firstLineChars="200"/>
        <w:jc w:val="both"/>
        <w:rPr>
          <w:color w:val="auto"/>
          <w:highlight w:val="none"/>
          <w:u w:val="single"/>
        </w:rPr>
      </w:pPr>
      <w:r>
        <w:rPr>
          <w:rFonts w:hint="eastAsia"/>
          <w:color w:val="auto"/>
          <w:highlight w:val="none"/>
        </w:rPr>
        <w:t>（2）将施工所需的水、电、电讯线路接至施工场地的时间、地点和供应要求：</w:t>
      </w:r>
      <w:r>
        <w:rPr>
          <w:rFonts w:hint="eastAsia"/>
          <w:color w:val="auto"/>
          <w:highlight w:val="none"/>
          <w:u w:val="single"/>
        </w:rPr>
        <w:t>已具备</w:t>
      </w:r>
    </w:p>
    <w:p w14:paraId="795CF2B1">
      <w:pPr>
        <w:spacing w:line="480" w:lineRule="exact"/>
        <w:ind w:firstLine="440" w:firstLineChars="200"/>
        <w:jc w:val="both"/>
        <w:rPr>
          <w:color w:val="auto"/>
          <w:highlight w:val="none"/>
        </w:rPr>
      </w:pPr>
      <w:r>
        <w:rPr>
          <w:rFonts w:hint="eastAsia"/>
          <w:color w:val="auto"/>
          <w:highlight w:val="none"/>
        </w:rPr>
        <w:t>（3）施工场地与公共道路的开通时间和要求：</w:t>
      </w:r>
      <w:r>
        <w:rPr>
          <w:rFonts w:hint="eastAsia"/>
          <w:color w:val="auto"/>
          <w:highlight w:val="none"/>
          <w:u w:val="single"/>
        </w:rPr>
        <w:t>已开通</w:t>
      </w:r>
    </w:p>
    <w:p w14:paraId="2C98083F">
      <w:pPr>
        <w:spacing w:line="480" w:lineRule="exact"/>
        <w:ind w:firstLine="440" w:firstLineChars="200"/>
        <w:jc w:val="both"/>
        <w:rPr>
          <w:color w:val="auto"/>
          <w:highlight w:val="none"/>
          <w:u w:val="single"/>
        </w:rPr>
      </w:pPr>
      <w:r>
        <w:rPr>
          <w:rFonts w:hint="eastAsia"/>
          <w:color w:val="auto"/>
          <w:highlight w:val="none"/>
        </w:rPr>
        <w:t>（4）工程地质和地下管线资料的提供时间：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天</w:t>
      </w:r>
    </w:p>
    <w:p w14:paraId="31A55CF7">
      <w:pPr>
        <w:spacing w:line="480" w:lineRule="exact"/>
        <w:ind w:firstLine="440" w:firstLineChars="200"/>
        <w:jc w:val="both"/>
        <w:rPr>
          <w:color w:val="auto"/>
          <w:highlight w:val="none"/>
        </w:rPr>
      </w:pPr>
      <w:r>
        <w:rPr>
          <w:rFonts w:hint="eastAsia"/>
          <w:color w:val="auto"/>
          <w:highlight w:val="none"/>
        </w:rPr>
        <w:t>（5）由发包人办理的施工所需证件、批件的名称和完成时间：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天（因施工单位的原因导致所需证件不能及时办理的，施工单位不得因此要求顺延工期）</w:t>
      </w:r>
    </w:p>
    <w:p w14:paraId="04EDF664">
      <w:pPr>
        <w:spacing w:line="480" w:lineRule="exact"/>
        <w:ind w:firstLine="440" w:firstLineChars="200"/>
        <w:jc w:val="both"/>
        <w:rPr>
          <w:color w:val="auto"/>
          <w:highlight w:val="none"/>
          <w:u w:val="single"/>
        </w:rPr>
      </w:pPr>
      <w:r>
        <w:rPr>
          <w:rFonts w:hint="eastAsia"/>
          <w:color w:val="auto"/>
          <w:highlight w:val="none"/>
        </w:rPr>
        <w:t>（6）水准点与坐标控制点交验要求：</w:t>
      </w:r>
      <w:r>
        <w:rPr>
          <w:rFonts w:hint="eastAsia"/>
          <w:color w:val="auto"/>
          <w:highlight w:val="none"/>
          <w:u w:val="single"/>
        </w:rPr>
        <w:t>按照发包方提供的资料及现场交点进行校验</w:t>
      </w:r>
    </w:p>
    <w:p w14:paraId="0C0C20E6">
      <w:pPr>
        <w:spacing w:line="480" w:lineRule="exact"/>
        <w:ind w:firstLine="440" w:firstLineChars="200"/>
        <w:jc w:val="both"/>
        <w:rPr>
          <w:color w:val="auto"/>
          <w:highlight w:val="none"/>
          <w:u w:val="single"/>
        </w:rPr>
      </w:pPr>
      <w:r>
        <w:rPr>
          <w:rFonts w:hint="eastAsia"/>
          <w:color w:val="auto"/>
          <w:highlight w:val="none"/>
        </w:rPr>
        <w:t>（7）图纸会审和设计交底时间：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天</w:t>
      </w:r>
    </w:p>
    <w:p w14:paraId="5E2DC531">
      <w:pPr>
        <w:spacing w:line="480" w:lineRule="exact"/>
        <w:ind w:firstLine="440" w:firstLineChars="200"/>
        <w:jc w:val="both"/>
        <w:rPr>
          <w:color w:val="auto"/>
          <w:highlight w:val="none"/>
          <w:u w:val="single"/>
        </w:rPr>
      </w:pPr>
      <w:r>
        <w:rPr>
          <w:rFonts w:hint="eastAsia"/>
          <w:color w:val="auto"/>
          <w:highlight w:val="none"/>
        </w:rPr>
        <w:t>（8）协调处理施工场地周围地下管线和邻近建筑物、构筑物（含文物保护建筑）、古树名木的保护：</w:t>
      </w:r>
      <w:r>
        <w:rPr>
          <w:rFonts w:hint="eastAsia"/>
          <w:color w:val="auto"/>
          <w:highlight w:val="none"/>
          <w:u w:val="single"/>
        </w:rPr>
        <w:t>承包方按照发包方要求和有关规定做好保护工作</w:t>
      </w:r>
    </w:p>
    <w:p w14:paraId="6F520617">
      <w:pPr>
        <w:spacing w:line="480" w:lineRule="exact"/>
        <w:ind w:firstLine="440" w:firstLineChars="200"/>
        <w:jc w:val="both"/>
        <w:rPr>
          <w:color w:val="auto"/>
          <w:highlight w:val="none"/>
          <w:u w:val="single"/>
        </w:rPr>
      </w:pPr>
      <w:r>
        <w:rPr>
          <w:rFonts w:hint="eastAsia"/>
          <w:color w:val="auto"/>
          <w:highlight w:val="none"/>
        </w:rPr>
        <w:t>（9）双方约定发包人应做的其他工作：</w:t>
      </w:r>
      <w:r>
        <w:rPr>
          <w:rFonts w:hint="eastAsia"/>
          <w:color w:val="auto"/>
          <w:highlight w:val="none"/>
          <w:u w:val="single"/>
        </w:rPr>
        <w:t>双方协商</w:t>
      </w:r>
    </w:p>
    <w:p w14:paraId="75B36CC1">
      <w:pPr>
        <w:spacing w:line="480" w:lineRule="exact"/>
        <w:ind w:firstLine="440" w:firstLineChars="200"/>
        <w:jc w:val="both"/>
        <w:rPr>
          <w:color w:val="auto"/>
          <w:highlight w:val="none"/>
          <w:u w:val="single"/>
        </w:rPr>
      </w:pPr>
      <w:r>
        <w:rPr>
          <w:rFonts w:hint="eastAsia"/>
          <w:color w:val="auto"/>
          <w:highlight w:val="none"/>
          <w:lang w:val="en-US"/>
        </w:rPr>
        <w:t>7</w:t>
      </w:r>
      <w:r>
        <w:rPr>
          <w:rFonts w:hint="eastAsia"/>
          <w:color w:val="auto"/>
          <w:highlight w:val="none"/>
        </w:rPr>
        <w:t>.2发包人委托承包人办理的工作：</w:t>
      </w:r>
      <w:r>
        <w:rPr>
          <w:rFonts w:hint="eastAsia"/>
          <w:color w:val="auto"/>
          <w:highlight w:val="none"/>
          <w:u w:val="single"/>
        </w:rPr>
        <w:t>承包方协助发包方做好施工期间与周边关系的协调工作。</w:t>
      </w:r>
    </w:p>
    <w:p w14:paraId="348CAB5E">
      <w:pPr>
        <w:spacing w:line="480" w:lineRule="exact"/>
        <w:ind w:firstLine="440" w:firstLineChars="200"/>
        <w:jc w:val="both"/>
        <w:rPr>
          <w:color w:val="auto"/>
          <w:highlight w:val="none"/>
        </w:rPr>
      </w:pPr>
      <w:r>
        <w:rPr>
          <w:rFonts w:hint="eastAsia"/>
          <w:color w:val="auto"/>
          <w:highlight w:val="none"/>
          <w:lang w:val="en-US"/>
        </w:rPr>
        <w:t>8</w:t>
      </w:r>
      <w:r>
        <w:rPr>
          <w:rFonts w:hint="eastAsia"/>
          <w:color w:val="auto"/>
          <w:highlight w:val="none"/>
        </w:rPr>
        <w:t>.承包人工作</w:t>
      </w:r>
    </w:p>
    <w:p w14:paraId="052F602B">
      <w:pPr>
        <w:spacing w:line="480" w:lineRule="exact"/>
        <w:ind w:firstLine="440" w:firstLineChars="200"/>
        <w:jc w:val="both"/>
        <w:rPr>
          <w:color w:val="auto"/>
          <w:highlight w:val="none"/>
        </w:rPr>
      </w:pPr>
      <w:r>
        <w:rPr>
          <w:rFonts w:hint="eastAsia"/>
          <w:color w:val="auto"/>
          <w:highlight w:val="none"/>
          <w:lang w:val="en-US"/>
        </w:rPr>
        <w:t>8</w:t>
      </w:r>
      <w:r>
        <w:rPr>
          <w:rFonts w:hint="eastAsia"/>
          <w:color w:val="auto"/>
          <w:highlight w:val="none"/>
        </w:rPr>
        <w:t>.1承包人应按约定时间和要求，完成以下工作：</w:t>
      </w:r>
    </w:p>
    <w:p w14:paraId="499B99E0">
      <w:pPr>
        <w:spacing w:line="480" w:lineRule="exact"/>
        <w:ind w:firstLine="440" w:firstLineChars="200"/>
        <w:jc w:val="both"/>
        <w:rPr>
          <w:color w:val="auto"/>
          <w:highlight w:val="none"/>
          <w:u w:val="single"/>
        </w:rPr>
      </w:pPr>
      <w:r>
        <w:rPr>
          <w:rFonts w:hint="eastAsia"/>
          <w:color w:val="auto"/>
          <w:highlight w:val="none"/>
        </w:rPr>
        <w:t>（1）需由设计资质等级和业务范围允许的承包人完成的设计文件提交时间：</w:t>
      </w:r>
      <w:r>
        <w:rPr>
          <w:rFonts w:hint="eastAsia"/>
          <w:color w:val="auto"/>
          <w:highlight w:val="none"/>
          <w:u w:val="single"/>
        </w:rPr>
        <w:t>无</w:t>
      </w:r>
    </w:p>
    <w:p w14:paraId="63BB1275">
      <w:pPr>
        <w:spacing w:line="480" w:lineRule="exact"/>
        <w:ind w:firstLine="440" w:firstLineChars="200"/>
        <w:jc w:val="both"/>
        <w:rPr>
          <w:color w:val="auto"/>
          <w:highlight w:val="none"/>
        </w:rPr>
      </w:pPr>
      <w:r>
        <w:rPr>
          <w:rFonts w:hint="eastAsia"/>
          <w:color w:val="auto"/>
          <w:highlight w:val="none"/>
        </w:rPr>
        <w:t>（2）应提供计划、报表的名称及完成时间：</w:t>
      </w:r>
      <w:r>
        <w:rPr>
          <w:rFonts w:hint="eastAsia"/>
          <w:color w:val="auto"/>
          <w:highlight w:val="none"/>
          <w:u w:val="single"/>
        </w:rPr>
        <w:t>开工前</w:t>
      </w:r>
      <w:r>
        <w:rPr>
          <w:rFonts w:hint="eastAsia"/>
          <w:color w:val="auto"/>
          <w:highlight w:val="none"/>
          <w:u w:val="single"/>
          <w:lang w:val="en-US"/>
        </w:rPr>
        <w:t xml:space="preserve"> </w:t>
      </w:r>
      <w:r>
        <w:rPr>
          <w:rFonts w:hint="eastAsia"/>
          <w:color w:val="auto"/>
          <w:highlight w:val="none"/>
          <w:u w:val="single"/>
        </w:rPr>
        <w:t>日提供正式总进度计划表、详细的分部工程施工计划、资金使用计划等一式三份，每月</w:t>
      </w:r>
      <w:r>
        <w:rPr>
          <w:rFonts w:hint="eastAsia"/>
          <w:color w:val="auto"/>
          <w:highlight w:val="none"/>
          <w:u w:val="single"/>
          <w:lang w:val="en-US"/>
        </w:rPr>
        <w:t xml:space="preserve"> </w:t>
      </w:r>
      <w:r>
        <w:rPr>
          <w:rFonts w:hint="eastAsia"/>
          <w:color w:val="auto"/>
          <w:highlight w:val="none"/>
          <w:u w:val="single"/>
        </w:rPr>
        <w:t>日提供当月实际完成工程量，报当月签证、变更和下月施工计划表。以上计划必须经过监理工程师签字认可后报发包人。</w:t>
      </w:r>
    </w:p>
    <w:p w14:paraId="48B7D623">
      <w:pPr>
        <w:spacing w:line="480" w:lineRule="exact"/>
        <w:ind w:firstLine="440" w:firstLineChars="200"/>
        <w:jc w:val="both"/>
        <w:rPr>
          <w:color w:val="auto"/>
          <w:highlight w:val="none"/>
          <w:u w:val="single"/>
        </w:rPr>
      </w:pPr>
      <w:r>
        <w:rPr>
          <w:rFonts w:hint="eastAsia"/>
          <w:color w:val="auto"/>
          <w:highlight w:val="none"/>
        </w:rPr>
        <w:t>（3）承担施工安全保卫工作及非夜间施工照明的责任和要求：</w:t>
      </w:r>
      <w:r>
        <w:rPr>
          <w:rFonts w:hint="eastAsia"/>
          <w:color w:val="auto"/>
          <w:highlight w:val="none"/>
          <w:u w:val="single"/>
        </w:rPr>
        <w:t>负责施工现场的日夜值班保卫及夜间照明，对施工中的安全负全责。</w:t>
      </w:r>
    </w:p>
    <w:p w14:paraId="7274A8EA">
      <w:pPr>
        <w:spacing w:line="480" w:lineRule="exact"/>
        <w:ind w:firstLine="440" w:firstLineChars="200"/>
        <w:jc w:val="both"/>
        <w:rPr>
          <w:color w:val="auto"/>
          <w:highlight w:val="none"/>
          <w:u w:val="single"/>
        </w:rPr>
      </w:pPr>
      <w:r>
        <w:rPr>
          <w:rFonts w:hint="eastAsia"/>
          <w:color w:val="auto"/>
          <w:highlight w:val="none"/>
        </w:rPr>
        <w:t>（4）向发包人提供的办公和生活房屋及设施的要求：</w:t>
      </w:r>
      <w:r>
        <w:rPr>
          <w:rFonts w:hint="eastAsia"/>
          <w:color w:val="auto"/>
          <w:highlight w:val="none"/>
          <w:u w:val="single"/>
        </w:rPr>
        <w:t>双方协商。</w:t>
      </w:r>
    </w:p>
    <w:p w14:paraId="23833A87">
      <w:pPr>
        <w:spacing w:line="480" w:lineRule="exact"/>
        <w:ind w:firstLine="440" w:firstLineChars="200"/>
        <w:jc w:val="both"/>
        <w:rPr>
          <w:color w:val="auto"/>
          <w:highlight w:val="none"/>
          <w:u w:val="single"/>
        </w:rPr>
      </w:pPr>
      <w:r>
        <w:rPr>
          <w:rFonts w:hint="eastAsia"/>
          <w:color w:val="auto"/>
          <w:highlight w:val="none"/>
        </w:rPr>
        <w:t>（5）需承包人办理的有关施工场地交通、环卫和施工噪音管理等手续：</w:t>
      </w:r>
      <w:r>
        <w:rPr>
          <w:rFonts w:hint="eastAsia"/>
          <w:color w:val="auto"/>
          <w:highlight w:val="none"/>
          <w:u w:val="single"/>
        </w:rPr>
        <w:t>由施工单位掌握办理时间，以不影响施工正常进行为原则，并承担因此发生的费用。</w:t>
      </w:r>
    </w:p>
    <w:p w14:paraId="5DF3B4DD">
      <w:pPr>
        <w:spacing w:line="480" w:lineRule="exact"/>
        <w:ind w:firstLine="440" w:firstLineChars="200"/>
        <w:jc w:val="both"/>
        <w:rPr>
          <w:color w:val="auto"/>
          <w:highlight w:val="none"/>
          <w:u w:val="single"/>
        </w:rPr>
      </w:pPr>
      <w:r>
        <w:rPr>
          <w:rFonts w:hint="eastAsia"/>
          <w:color w:val="auto"/>
          <w:highlight w:val="none"/>
        </w:rPr>
        <w:t>（6）已完工程成品保护的特殊要求及费用承担：</w:t>
      </w:r>
      <w:r>
        <w:rPr>
          <w:rFonts w:hint="eastAsia"/>
          <w:color w:val="auto"/>
          <w:highlight w:val="none"/>
          <w:u w:val="single"/>
        </w:rPr>
        <w:t>施工期间的成品保护由承包方负责，质保期满、竣工综合移交验收后由发包方负责。</w:t>
      </w:r>
    </w:p>
    <w:p w14:paraId="49F37AE6">
      <w:pPr>
        <w:spacing w:line="480" w:lineRule="exact"/>
        <w:ind w:firstLine="440" w:firstLineChars="200"/>
        <w:jc w:val="both"/>
        <w:rPr>
          <w:color w:val="auto"/>
          <w:highlight w:val="none"/>
        </w:rPr>
      </w:pPr>
      <w:r>
        <w:rPr>
          <w:rFonts w:hint="eastAsia"/>
          <w:color w:val="auto"/>
          <w:highlight w:val="none"/>
        </w:rPr>
        <w:t>（7）施工场地周围地下管线和邻近建筑物、构筑物（含文物保护建筑）、古树名木的保护要求及费用承担：</w:t>
      </w:r>
    </w:p>
    <w:p w14:paraId="686754BB">
      <w:pPr>
        <w:spacing w:line="480" w:lineRule="exact"/>
        <w:ind w:firstLine="440" w:firstLineChars="200"/>
        <w:jc w:val="both"/>
        <w:rPr>
          <w:color w:val="auto"/>
          <w:highlight w:val="none"/>
        </w:rPr>
      </w:pPr>
      <w:r>
        <w:rPr>
          <w:rFonts w:hint="eastAsia"/>
          <w:color w:val="auto"/>
          <w:highlight w:val="none"/>
        </w:rPr>
        <w:t>（8）施工场地清洁卫生的要求：</w:t>
      </w:r>
    </w:p>
    <w:p w14:paraId="756D0D75">
      <w:pPr>
        <w:spacing w:line="480" w:lineRule="exact"/>
        <w:ind w:firstLine="440" w:firstLineChars="200"/>
        <w:jc w:val="both"/>
        <w:rPr>
          <w:color w:val="auto"/>
          <w:highlight w:val="none"/>
        </w:rPr>
      </w:pPr>
      <w:r>
        <w:rPr>
          <w:rFonts w:hint="eastAsia"/>
          <w:color w:val="auto"/>
          <w:highlight w:val="none"/>
        </w:rPr>
        <w:t>（9）双方约定承包人应做的其他工作：</w:t>
      </w:r>
    </w:p>
    <w:p w14:paraId="76FE023B">
      <w:pPr>
        <w:ind w:firstLine="442" w:firstLineChars="200"/>
        <w:jc w:val="both"/>
        <w:rPr>
          <w:b/>
          <w:color w:val="auto"/>
          <w:highlight w:val="none"/>
        </w:rPr>
      </w:pPr>
      <w:r>
        <w:rPr>
          <w:rFonts w:hint="eastAsia"/>
          <w:b/>
          <w:color w:val="auto"/>
          <w:highlight w:val="none"/>
        </w:rPr>
        <w:t>三、施工组织设计和工期</w:t>
      </w:r>
    </w:p>
    <w:p w14:paraId="4F91742D">
      <w:pPr>
        <w:spacing w:line="480" w:lineRule="exact"/>
        <w:ind w:firstLine="442" w:firstLineChars="200"/>
        <w:jc w:val="both"/>
        <w:rPr>
          <w:b/>
          <w:color w:val="auto"/>
          <w:highlight w:val="none"/>
        </w:rPr>
      </w:pPr>
      <w:r>
        <w:rPr>
          <w:rFonts w:hint="eastAsia"/>
          <w:b/>
          <w:color w:val="auto"/>
          <w:highlight w:val="none"/>
          <w:lang w:val="en-US"/>
        </w:rPr>
        <w:t>9</w:t>
      </w:r>
      <w:r>
        <w:rPr>
          <w:rFonts w:hint="eastAsia"/>
          <w:b/>
          <w:color w:val="auto"/>
          <w:highlight w:val="none"/>
        </w:rPr>
        <w:t>.进度计划</w:t>
      </w:r>
    </w:p>
    <w:p w14:paraId="71B32A6A">
      <w:pPr>
        <w:spacing w:line="480" w:lineRule="exact"/>
        <w:ind w:firstLine="440" w:firstLineChars="200"/>
        <w:jc w:val="both"/>
        <w:rPr>
          <w:color w:val="auto"/>
          <w:highlight w:val="none"/>
        </w:rPr>
      </w:pPr>
      <w:r>
        <w:rPr>
          <w:rFonts w:hint="eastAsia"/>
          <w:color w:val="auto"/>
          <w:highlight w:val="none"/>
          <w:lang w:val="en-US"/>
        </w:rPr>
        <w:t>9</w:t>
      </w:r>
      <w:r>
        <w:rPr>
          <w:rFonts w:hint="eastAsia"/>
          <w:color w:val="auto"/>
          <w:highlight w:val="none"/>
        </w:rPr>
        <w:t>.1承包人提供施工组织设计（施工方案）和进度计划的时间：</w:t>
      </w:r>
    </w:p>
    <w:p w14:paraId="299D4AC0">
      <w:pPr>
        <w:spacing w:line="400" w:lineRule="exact"/>
        <w:ind w:firstLine="440" w:firstLineChars="200"/>
        <w:jc w:val="both"/>
        <w:rPr>
          <w:color w:val="auto"/>
          <w:highlight w:val="none"/>
          <w:u w:val="single"/>
        </w:rPr>
      </w:pPr>
      <w:r>
        <w:rPr>
          <w:rFonts w:hint="eastAsia"/>
          <w:color w:val="auto"/>
          <w:highlight w:val="none"/>
          <w:u w:val="single"/>
        </w:rPr>
        <w:t>实施前</w:t>
      </w:r>
      <w:r>
        <w:rPr>
          <w:rFonts w:hint="eastAsia"/>
          <w:color w:val="auto"/>
          <w:highlight w:val="none"/>
          <w:u w:val="single"/>
          <w:lang w:val="en-US"/>
        </w:rPr>
        <w:t xml:space="preserve"> </w:t>
      </w:r>
      <w:r>
        <w:rPr>
          <w:rFonts w:hint="eastAsia"/>
          <w:color w:val="auto"/>
          <w:highlight w:val="none"/>
          <w:u w:val="single"/>
        </w:rPr>
        <w:t>天提交施工组织设计（施工方案）和进度计划（含时标网络计划）</w:t>
      </w:r>
    </w:p>
    <w:p w14:paraId="6CC0A59F">
      <w:pPr>
        <w:spacing w:line="400" w:lineRule="exact"/>
        <w:ind w:firstLine="440" w:firstLineChars="200"/>
        <w:jc w:val="both"/>
        <w:rPr>
          <w:color w:val="auto"/>
          <w:highlight w:val="none"/>
          <w:u w:val="single"/>
        </w:rPr>
      </w:pPr>
      <w:r>
        <w:rPr>
          <w:rFonts w:hint="eastAsia"/>
          <w:color w:val="auto"/>
          <w:highlight w:val="none"/>
        </w:rPr>
        <w:t>工程师确认的时间</w:t>
      </w:r>
      <w:r>
        <w:rPr>
          <w:rFonts w:hint="eastAsia"/>
          <w:color w:val="auto"/>
          <w:highlight w:val="none"/>
          <w:u w:val="single"/>
        </w:rPr>
        <w:t>：收到后</w:t>
      </w:r>
      <w:r>
        <w:rPr>
          <w:rFonts w:hint="eastAsia"/>
          <w:color w:val="auto"/>
          <w:highlight w:val="none"/>
          <w:u w:val="single"/>
          <w:lang w:val="en-US"/>
        </w:rPr>
        <w:t xml:space="preserve"> </w:t>
      </w:r>
      <w:r>
        <w:rPr>
          <w:rFonts w:hint="eastAsia"/>
          <w:color w:val="auto"/>
          <w:highlight w:val="none"/>
          <w:u w:val="single"/>
        </w:rPr>
        <w:t>个工作日</w:t>
      </w:r>
    </w:p>
    <w:p w14:paraId="78C1186B">
      <w:pPr>
        <w:spacing w:line="400" w:lineRule="exact"/>
        <w:ind w:firstLine="440" w:firstLineChars="200"/>
        <w:jc w:val="both"/>
        <w:rPr>
          <w:color w:val="auto"/>
          <w:highlight w:val="none"/>
          <w:u w:val="single"/>
        </w:rPr>
      </w:pPr>
      <w:r>
        <w:rPr>
          <w:rFonts w:hint="eastAsia"/>
          <w:color w:val="auto"/>
          <w:highlight w:val="none"/>
          <w:lang w:val="en-US"/>
        </w:rPr>
        <w:t>9</w:t>
      </w:r>
      <w:r>
        <w:rPr>
          <w:rFonts w:hint="eastAsia"/>
          <w:color w:val="auto"/>
          <w:highlight w:val="none"/>
        </w:rPr>
        <w:t>.2群体工程中有关进度计划的要求：</w:t>
      </w:r>
      <w:r>
        <w:rPr>
          <w:rFonts w:hint="eastAsia"/>
          <w:color w:val="auto"/>
          <w:highlight w:val="none"/>
          <w:u w:val="single"/>
        </w:rPr>
        <w:t>无</w:t>
      </w:r>
    </w:p>
    <w:p w14:paraId="6E4006F3">
      <w:pPr>
        <w:spacing w:line="400" w:lineRule="exact"/>
        <w:ind w:firstLine="440" w:firstLineChars="200"/>
        <w:jc w:val="both"/>
        <w:rPr>
          <w:color w:val="auto"/>
          <w:highlight w:val="none"/>
        </w:rPr>
      </w:pPr>
      <w:r>
        <w:rPr>
          <w:rFonts w:hint="eastAsia"/>
          <w:color w:val="auto"/>
          <w:highlight w:val="none"/>
        </w:rPr>
        <w:t>13.工期延误</w:t>
      </w:r>
    </w:p>
    <w:p w14:paraId="6DF1A898">
      <w:pPr>
        <w:spacing w:line="400" w:lineRule="exact"/>
        <w:ind w:firstLine="440" w:firstLineChars="200"/>
        <w:jc w:val="both"/>
        <w:rPr>
          <w:color w:val="auto"/>
          <w:highlight w:val="none"/>
        </w:rPr>
      </w:pPr>
      <w:r>
        <w:rPr>
          <w:rFonts w:hint="eastAsia"/>
          <w:color w:val="auto"/>
          <w:highlight w:val="none"/>
        </w:rPr>
        <w:t>13.1双方约定工期顺延的其他情况：</w:t>
      </w:r>
    </w:p>
    <w:p w14:paraId="6E76B29A">
      <w:pPr>
        <w:spacing w:line="400" w:lineRule="exact"/>
        <w:ind w:firstLine="442" w:firstLineChars="200"/>
        <w:jc w:val="both"/>
        <w:rPr>
          <w:b/>
          <w:color w:val="auto"/>
          <w:highlight w:val="none"/>
        </w:rPr>
      </w:pPr>
      <w:r>
        <w:rPr>
          <w:rFonts w:hint="eastAsia"/>
          <w:b/>
          <w:color w:val="auto"/>
          <w:highlight w:val="none"/>
        </w:rPr>
        <w:t>四、质量与验收</w:t>
      </w:r>
    </w:p>
    <w:p w14:paraId="221927BB">
      <w:pPr>
        <w:spacing w:line="400" w:lineRule="exact"/>
        <w:ind w:firstLine="440" w:firstLineChars="200"/>
        <w:jc w:val="both"/>
        <w:rPr>
          <w:color w:val="auto"/>
          <w:highlight w:val="none"/>
        </w:rPr>
      </w:pPr>
      <w:r>
        <w:rPr>
          <w:rFonts w:hint="eastAsia"/>
          <w:color w:val="auto"/>
          <w:highlight w:val="none"/>
        </w:rPr>
        <w:t>17.隐蔽工程和中间验收</w:t>
      </w:r>
    </w:p>
    <w:p w14:paraId="33B93E6B">
      <w:pPr>
        <w:spacing w:line="400" w:lineRule="exact"/>
        <w:ind w:firstLine="440" w:firstLineChars="200"/>
        <w:jc w:val="both"/>
        <w:rPr>
          <w:color w:val="auto"/>
          <w:highlight w:val="none"/>
        </w:rPr>
      </w:pPr>
      <w:r>
        <w:rPr>
          <w:rFonts w:hint="eastAsia"/>
          <w:color w:val="auto"/>
          <w:highlight w:val="none"/>
        </w:rPr>
        <w:t>17.1双约定中间验收部位：</w:t>
      </w:r>
    </w:p>
    <w:p w14:paraId="18A6B7E4">
      <w:pPr>
        <w:spacing w:line="400" w:lineRule="exact"/>
        <w:ind w:firstLine="440" w:firstLineChars="200"/>
        <w:jc w:val="both"/>
        <w:rPr>
          <w:color w:val="auto"/>
          <w:highlight w:val="none"/>
        </w:rPr>
      </w:pPr>
      <w:r>
        <w:rPr>
          <w:rFonts w:hint="eastAsia"/>
          <w:color w:val="auto"/>
          <w:highlight w:val="none"/>
        </w:rPr>
        <w:t>19.工程试车</w:t>
      </w:r>
    </w:p>
    <w:p w14:paraId="0DCF664A">
      <w:pPr>
        <w:spacing w:line="400" w:lineRule="exact"/>
        <w:ind w:firstLine="440" w:firstLineChars="200"/>
        <w:jc w:val="both"/>
        <w:rPr>
          <w:color w:val="auto"/>
          <w:highlight w:val="none"/>
          <w:u w:val="single"/>
        </w:rPr>
      </w:pPr>
      <w:r>
        <w:rPr>
          <w:rFonts w:hint="eastAsia"/>
          <w:color w:val="auto"/>
          <w:highlight w:val="none"/>
        </w:rPr>
        <w:t>19.5试车费用地承担：</w:t>
      </w:r>
      <w:r>
        <w:rPr>
          <w:rFonts w:hint="eastAsia" w:ascii="宋体" w:hAnsi="宋体"/>
          <w:color w:val="auto"/>
          <w:highlight w:val="none"/>
          <w:u w:val="single"/>
        </w:rPr>
        <w:t>无</w:t>
      </w:r>
    </w:p>
    <w:p w14:paraId="4B011EEC">
      <w:pPr>
        <w:spacing w:line="400" w:lineRule="exact"/>
        <w:ind w:firstLine="442" w:firstLineChars="200"/>
        <w:jc w:val="both"/>
        <w:rPr>
          <w:b/>
          <w:color w:val="auto"/>
          <w:highlight w:val="none"/>
        </w:rPr>
      </w:pPr>
      <w:r>
        <w:rPr>
          <w:rFonts w:hint="eastAsia"/>
          <w:b/>
          <w:color w:val="auto"/>
          <w:highlight w:val="none"/>
        </w:rPr>
        <w:t>五、安全施工：</w:t>
      </w:r>
    </w:p>
    <w:p w14:paraId="0F01874B">
      <w:pPr>
        <w:spacing w:line="400" w:lineRule="exact"/>
        <w:ind w:firstLine="440" w:firstLineChars="200"/>
        <w:jc w:val="both"/>
        <w:rPr>
          <w:color w:val="auto"/>
          <w:highlight w:val="none"/>
        </w:rPr>
      </w:pPr>
      <w:r>
        <w:rPr>
          <w:rFonts w:hint="eastAsia"/>
          <w:color w:val="auto"/>
          <w:highlight w:val="none"/>
        </w:rPr>
        <w:t>遵照国家、建设部、河南省及周口市现行有关规定执行。</w:t>
      </w:r>
    </w:p>
    <w:p w14:paraId="3D387A97">
      <w:pPr>
        <w:spacing w:line="400" w:lineRule="exact"/>
        <w:ind w:firstLine="442" w:firstLineChars="200"/>
        <w:jc w:val="both"/>
        <w:rPr>
          <w:b/>
          <w:color w:val="auto"/>
          <w:highlight w:val="none"/>
        </w:rPr>
      </w:pPr>
      <w:r>
        <w:rPr>
          <w:rFonts w:hint="eastAsia"/>
          <w:b/>
          <w:color w:val="auto"/>
          <w:highlight w:val="none"/>
        </w:rPr>
        <w:t>六、合同价款及调整</w:t>
      </w:r>
    </w:p>
    <w:p w14:paraId="6A92B813">
      <w:pPr>
        <w:spacing w:line="400" w:lineRule="exact"/>
        <w:ind w:firstLine="442" w:firstLineChars="200"/>
        <w:jc w:val="both"/>
        <w:rPr>
          <w:b/>
          <w:color w:val="auto"/>
          <w:highlight w:val="none"/>
        </w:rPr>
      </w:pPr>
      <w:r>
        <w:rPr>
          <w:rFonts w:hint="eastAsia"/>
          <w:b/>
          <w:color w:val="auto"/>
          <w:highlight w:val="none"/>
        </w:rPr>
        <w:t>23. 合同价款及调整</w:t>
      </w:r>
    </w:p>
    <w:p w14:paraId="69A62C0F">
      <w:pPr>
        <w:spacing w:line="400" w:lineRule="exact"/>
        <w:ind w:firstLine="440" w:firstLineChars="200"/>
        <w:jc w:val="both"/>
        <w:rPr>
          <w:color w:val="auto"/>
          <w:highlight w:val="none"/>
        </w:rPr>
      </w:pPr>
      <w:r>
        <w:rPr>
          <w:rFonts w:hint="eastAsia"/>
          <w:color w:val="auto"/>
          <w:highlight w:val="none"/>
        </w:rPr>
        <w:t>23.2本合同价款采用</w:t>
      </w:r>
      <w:r>
        <w:rPr>
          <w:rFonts w:hint="eastAsia"/>
          <w:color w:val="auto"/>
          <w:highlight w:val="none"/>
          <w:u w:val="single"/>
        </w:rPr>
        <w:t>（1）</w:t>
      </w:r>
      <w:r>
        <w:rPr>
          <w:rFonts w:hint="eastAsia"/>
          <w:color w:val="auto"/>
          <w:highlight w:val="none"/>
        </w:rPr>
        <w:t>方式确定。</w:t>
      </w:r>
    </w:p>
    <w:p w14:paraId="53BF9988">
      <w:pPr>
        <w:spacing w:line="400" w:lineRule="exact"/>
        <w:ind w:firstLine="440" w:firstLineChars="200"/>
        <w:jc w:val="both"/>
        <w:rPr>
          <w:color w:val="auto"/>
          <w:highlight w:val="none"/>
          <w:u w:val="single"/>
        </w:rPr>
      </w:pPr>
      <w:r>
        <w:rPr>
          <w:rFonts w:hint="eastAsia"/>
          <w:color w:val="auto"/>
          <w:highlight w:val="none"/>
        </w:rPr>
        <w:t>（1）采用固定价格合同，合同价款中包括：</w:t>
      </w:r>
    </w:p>
    <w:p w14:paraId="5BBD2CB2">
      <w:pPr>
        <w:spacing w:line="400" w:lineRule="exact"/>
        <w:ind w:firstLine="440" w:firstLineChars="200"/>
        <w:jc w:val="both"/>
        <w:rPr>
          <w:color w:val="auto"/>
          <w:highlight w:val="none"/>
        </w:rPr>
      </w:pPr>
      <w:r>
        <w:rPr>
          <w:rFonts w:hint="eastAsia"/>
          <w:color w:val="auto"/>
          <w:highlight w:val="none"/>
        </w:rPr>
        <w:t>除下列原因外合同的固定总价均不得改变：</w:t>
      </w:r>
    </w:p>
    <w:p w14:paraId="5266ACEA">
      <w:pPr>
        <w:snapToGrid w:val="0"/>
        <w:spacing w:line="400" w:lineRule="exact"/>
        <w:ind w:firstLine="440" w:firstLineChars="200"/>
        <w:jc w:val="both"/>
        <w:rPr>
          <w:color w:val="auto"/>
          <w:highlight w:val="none"/>
        </w:rPr>
      </w:pPr>
      <w:r>
        <w:rPr>
          <w:rFonts w:hint="eastAsia"/>
          <w:color w:val="auto"/>
          <w:highlight w:val="none"/>
        </w:rPr>
        <w:t>①甲方有效签证确认的设计变更、现场签证；合同中已有适用于变更工程的价格，按合同已有的价格变更合同价款；合同中只有类似于变更工程的价格，可以参照类似价格变更合同价款。</w:t>
      </w:r>
    </w:p>
    <w:p w14:paraId="7DD554AE">
      <w:pPr>
        <w:snapToGrid w:val="0"/>
        <w:spacing w:line="400" w:lineRule="exact"/>
        <w:ind w:firstLine="440" w:firstLineChars="200"/>
        <w:jc w:val="both"/>
        <w:rPr>
          <w:color w:val="auto"/>
          <w:highlight w:val="none"/>
        </w:rPr>
      </w:pPr>
      <w:r>
        <w:rPr>
          <w:rFonts w:hint="eastAsia"/>
          <w:color w:val="auto"/>
          <w:highlight w:val="none"/>
        </w:rPr>
        <w:t>②如果直接取消某分部分项工程量清单项目，则该项目价款不予支付。</w:t>
      </w:r>
    </w:p>
    <w:p w14:paraId="07B6B197">
      <w:pPr>
        <w:snapToGrid w:val="0"/>
        <w:spacing w:line="400" w:lineRule="exact"/>
        <w:ind w:firstLine="440" w:firstLineChars="200"/>
        <w:jc w:val="both"/>
        <w:rPr>
          <w:color w:val="auto"/>
          <w:highlight w:val="none"/>
        </w:rPr>
      </w:pPr>
      <w:r>
        <w:rPr>
          <w:rFonts w:hint="eastAsia"/>
          <w:color w:val="auto"/>
          <w:highlight w:val="none"/>
        </w:rPr>
        <w:t>③措施费均为税后的包干价，不因设计变更而调增。</w:t>
      </w:r>
    </w:p>
    <w:p w14:paraId="33ABE8B6">
      <w:pPr>
        <w:spacing w:line="400" w:lineRule="exact"/>
        <w:ind w:firstLine="440" w:firstLineChars="200"/>
        <w:jc w:val="both"/>
        <w:rPr>
          <w:color w:val="auto"/>
          <w:highlight w:val="none"/>
          <w:u w:val="single"/>
        </w:rPr>
      </w:pPr>
      <w:r>
        <w:rPr>
          <w:rFonts w:hint="eastAsia"/>
          <w:color w:val="auto"/>
          <w:highlight w:val="none"/>
        </w:rPr>
        <w:t>（2）采用可调价格合同，合同价款调整方法：</w:t>
      </w:r>
    </w:p>
    <w:p w14:paraId="17A0EBBF">
      <w:pPr>
        <w:spacing w:line="400" w:lineRule="exact"/>
        <w:ind w:firstLine="440" w:firstLineChars="200"/>
        <w:jc w:val="both"/>
        <w:rPr>
          <w:color w:val="auto"/>
          <w:highlight w:val="none"/>
          <w:u w:val="single"/>
        </w:rPr>
      </w:pPr>
      <w:r>
        <w:rPr>
          <w:rFonts w:hint="eastAsia"/>
          <w:color w:val="auto"/>
          <w:highlight w:val="none"/>
        </w:rPr>
        <w:t>（3）采用成本加酬金合同，有关成本和酬金的约定：</w:t>
      </w:r>
    </w:p>
    <w:p w14:paraId="031058F7">
      <w:pPr>
        <w:spacing w:line="400" w:lineRule="exact"/>
        <w:ind w:firstLine="440" w:firstLineChars="200"/>
        <w:jc w:val="both"/>
        <w:rPr>
          <w:color w:val="auto"/>
          <w:highlight w:val="none"/>
          <w:u w:val="single"/>
        </w:rPr>
      </w:pPr>
      <w:r>
        <w:rPr>
          <w:rFonts w:hint="eastAsia"/>
          <w:color w:val="auto"/>
          <w:highlight w:val="none"/>
        </w:rPr>
        <w:t>23.3双方约定合同价款的其他调整因素：</w:t>
      </w:r>
    </w:p>
    <w:p w14:paraId="30E3BACF">
      <w:pPr>
        <w:spacing w:line="400" w:lineRule="exact"/>
        <w:ind w:firstLine="442" w:firstLineChars="200"/>
        <w:jc w:val="both"/>
        <w:rPr>
          <w:b/>
          <w:color w:val="auto"/>
          <w:highlight w:val="none"/>
        </w:rPr>
      </w:pPr>
      <w:r>
        <w:rPr>
          <w:rFonts w:hint="eastAsia"/>
          <w:b/>
          <w:color w:val="auto"/>
          <w:highlight w:val="none"/>
        </w:rPr>
        <w:t>24.工程预付款</w:t>
      </w:r>
    </w:p>
    <w:p w14:paraId="475FF348">
      <w:pPr>
        <w:spacing w:line="400" w:lineRule="exact"/>
        <w:ind w:firstLine="440" w:firstLineChars="200"/>
        <w:jc w:val="both"/>
        <w:rPr>
          <w:color w:val="auto"/>
          <w:highlight w:val="none"/>
          <w:u w:val="single"/>
        </w:rPr>
      </w:pPr>
      <w:r>
        <w:rPr>
          <w:rFonts w:hint="eastAsia"/>
          <w:color w:val="auto"/>
          <w:highlight w:val="none"/>
        </w:rPr>
        <w:t>发包人向承包人预付工程款的时间和金额或占合同价款总额的比例：</w:t>
      </w:r>
    </w:p>
    <w:p w14:paraId="27A7419E">
      <w:pPr>
        <w:spacing w:line="480" w:lineRule="exact"/>
        <w:ind w:firstLine="440" w:firstLineChars="200"/>
        <w:jc w:val="both"/>
        <w:rPr>
          <w:color w:val="auto"/>
          <w:highlight w:val="none"/>
          <w:u w:val="single"/>
        </w:rPr>
      </w:pPr>
      <w:r>
        <w:rPr>
          <w:rFonts w:hint="eastAsia"/>
          <w:color w:val="auto"/>
          <w:highlight w:val="none"/>
        </w:rPr>
        <w:t>扣回工程款的时间、比例：</w:t>
      </w:r>
    </w:p>
    <w:p w14:paraId="7CBEFF4A">
      <w:pPr>
        <w:spacing w:line="480" w:lineRule="exact"/>
        <w:ind w:firstLine="442" w:firstLineChars="200"/>
        <w:jc w:val="both"/>
        <w:rPr>
          <w:b/>
          <w:color w:val="auto"/>
          <w:highlight w:val="none"/>
        </w:rPr>
      </w:pPr>
      <w:r>
        <w:rPr>
          <w:rFonts w:hint="eastAsia"/>
          <w:b/>
          <w:color w:val="auto"/>
          <w:highlight w:val="none"/>
        </w:rPr>
        <w:t>25.工程量确认</w:t>
      </w:r>
    </w:p>
    <w:p w14:paraId="5748C2F0">
      <w:pPr>
        <w:spacing w:line="480" w:lineRule="exact"/>
        <w:ind w:firstLine="440" w:firstLineChars="200"/>
        <w:jc w:val="both"/>
        <w:rPr>
          <w:color w:val="auto"/>
          <w:highlight w:val="none"/>
          <w:u w:val="single"/>
        </w:rPr>
      </w:pPr>
      <w:r>
        <w:rPr>
          <w:rFonts w:hint="eastAsia"/>
          <w:color w:val="auto"/>
          <w:highlight w:val="none"/>
        </w:rPr>
        <w:t>25.1承包人向工程师提交已完工程量报告的时间：</w:t>
      </w:r>
      <w:r>
        <w:rPr>
          <w:rFonts w:hint="eastAsia"/>
          <w:color w:val="auto"/>
          <w:highlight w:val="none"/>
          <w:u w:val="single"/>
        </w:rPr>
        <w:t>每月</w:t>
      </w:r>
      <w:r>
        <w:rPr>
          <w:rFonts w:hint="eastAsia"/>
          <w:color w:val="auto"/>
          <w:highlight w:val="none"/>
          <w:u w:val="single"/>
          <w:lang w:val="en-US"/>
        </w:rPr>
        <w:t xml:space="preserve"> </w:t>
      </w:r>
      <w:r>
        <w:rPr>
          <w:rFonts w:hint="eastAsia"/>
          <w:color w:val="auto"/>
          <w:highlight w:val="none"/>
          <w:u w:val="single"/>
        </w:rPr>
        <w:t>日前提供当月已完工程量报表三份，监理工程师在收到后</w:t>
      </w:r>
      <w:r>
        <w:rPr>
          <w:rFonts w:hint="eastAsia"/>
          <w:color w:val="auto"/>
          <w:highlight w:val="none"/>
          <w:u w:val="single"/>
          <w:lang w:val="en-US"/>
        </w:rPr>
        <w:t xml:space="preserve"> </w:t>
      </w:r>
      <w:r>
        <w:rPr>
          <w:rFonts w:hint="eastAsia"/>
          <w:color w:val="auto"/>
          <w:highlight w:val="none"/>
          <w:u w:val="single"/>
        </w:rPr>
        <w:t>个工作日内审查完毕并报发包人审核，发包人在收到后</w:t>
      </w:r>
      <w:r>
        <w:rPr>
          <w:rFonts w:hint="eastAsia"/>
          <w:color w:val="auto"/>
          <w:highlight w:val="none"/>
          <w:u w:val="single"/>
          <w:lang w:val="en-US"/>
        </w:rPr>
        <w:t xml:space="preserve"> </w:t>
      </w:r>
      <w:r>
        <w:rPr>
          <w:rFonts w:hint="eastAsia"/>
          <w:color w:val="auto"/>
          <w:highlight w:val="none"/>
          <w:u w:val="single"/>
        </w:rPr>
        <w:t>天内审核完毕。</w:t>
      </w:r>
    </w:p>
    <w:p w14:paraId="5EE448DC">
      <w:pPr>
        <w:spacing w:line="480" w:lineRule="exact"/>
        <w:ind w:firstLine="442" w:firstLineChars="200"/>
        <w:jc w:val="both"/>
        <w:rPr>
          <w:b/>
          <w:color w:val="auto"/>
          <w:highlight w:val="none"/>
        </w:rPr>
      </w:pPr>
      <w:r>
        <w:rPr>
          <w:rFonts w:hint="eastAsia"/>
          <w:b/>
          <w:color w:val="auto"/>
          <w:highlight w:val="none"/>
        </w:rPr>
        <w:t>26. 工程款支付</w:t>
      </w:r>
    </w:p>
    <w:p w14:paraId="3E4A9CAD">
      <w:pPr>
        <w:spacing w:line="480" w:lineRule="exact"/>
        <w:ind w:firstLine="440" w:firstLineChars="200"/>
        <w:jc w:val="both"/>
        <w:rPr>
          <w:color w:val="auto"/>
          <w:highlight w:val="none"/>
          <w:u w:val="single"/>
        </w:rPr>
      </w:pPr>
      <w:r>
        <w:rPr>
          <w:rFonts w:hint="eastAsia"/>
          <w:color w:val="auto"/>
          <w:highlight w:val="none"/>
          <w:u w:val="single"/>
        </w:rPr>
        <w:t>双方约定的工程款（进度款）支付的方式和时间：中标后双方协商。</w:t>
      </w:r>
    </w:p>
    <w:p w14:paraId="562F234E">
      <w:pPr>
        <w:ind w:firstLine="442" w:firstLineChars="200"/>
        <w:jc w:val="both"/>
        <w:rPr>
          <w:b/>
          <w:color w:val="auto"/>
          <w:highlight w:val="none"/>
        </w:rPr>
      </w:pPr>
      <w:r>
        <w:rPr>
          <w:rFonts w:hint="eastAsia"/>
          <w:b/>
          <w:color w:val="auto"/>
          <w:highlight w:val="none"/>
        </w:rPr>
        <w:t>七、材料设备供应</w:t>
      </w:r>
    </w:p>
    <w:p w14:paraId="74ECFAE3">
      <w:pPr>
        <w:spacing w:line="480" w:lineRule="exact"/>
        <w:ind w:firstLine="442" w:firstLineChars="200"/>
        <w:jc w:val="both"/>
        <w:rPr>
          <w:b/>
          <w:color w:val="auto"/>
          <w:highlight w:val="none"/>
        </w:rPr>
      </w:pPr>
      <w:r>
        <w:rPr>
          <w:rFonts w:hint="eastAsia"/>
          <w:b/>
          <w:color w:val="auto"/>
          <w:highlight w:val="none"/>
        </w:rPr>
        <w:t>27.发包人供应材料设备</w:t>
      </w:r>
    </w:p>
    <w:p w14:paraId="176DE7B2">
      <w:pPr>
        <w:spacing w:line="480" w:lineRule="exact"/>
        <w:ind w:firstLine="440" w:firstLineChars="200"/>
        <w:jc w:val="both"/>
        <w:rPr>
          <w:color w:val="auto"/>
          <w:highlight w:val="none"/>
        </w:rPr>
      </w:pPr>
      <w:r>
        <w:rPr>
          <w:rFonts w:hint="eastAsia"/>
          <w:color w:val="auto"/>
          <w:highlight w:val="none"/>
        </w:rPr>
        <w:t>27.4发包人供应的材料设备与一览表不符时，双方约定发包人承担责任如下：</w:t>
      </w:r>
    </w:p>
    <w:p w14:paraId="069EC6B3">
      <w:pPr>
        <w:spacing w:line="480" w:lineRule="exact"/>
        <w:ind w:firstLine="440" w:firstLineChars="200"/>
        <w:jc w:val="both"/>
        <w:rPr>
          <w:color w:val="auto"/>
          <w:highlight w:val="none"/>
          <w:u w:val="single"/>
        </w:rPr>
      </w:pPr>
      <w:r>
        <w:rPr>
          <w:rFonts w:hint="eastAsia"/>
          <w:color w:val="auto"/>
          <w:highlight w:val="none"/>
        </w:rPr>
        <w:t>（1）材料设备单价与一览表不符：</w:t>
      </w:r>
    </w:p>
    <w:p w14:paraId="3A2C3AC3">
      <w:pPr>
        <w:spacing w:line="480" w:lineRule="exact"/>
        <w:ind w:firstLine="440" w:firstLineChars="200"/>
        <w:jc w:val="both"/>
        <w:rPr>
          <w:color w:val="auto"/>
          <w:highlight w:val="none"/>
        </w:rPr>
      </w:pPr>
      <w:r>
        <w:rPr>
          <w:rFonts w:hint="eastAsia"/>
          <w:color w:val="auto"/>
          <w:highlight w:val="none"/>
        </w:rPr>
        <w:t>（2）材料设备的品种、规格、型号、质量等级与一览表不符：</w:t>
      </w:r>
    </w:p>
    <w:p w14:paraId="5347739D">
      <w:pPr>
        <w:spacing w:line="480" w:lineRule="exact"/>
        <w:ind w:firstLine="440" w:firstLineChars="200"/>
        <w:jc w:val="both"/>
        <w:rPr>
          <w:color w:val="auto"/>
          <w:highlight w:val="none"/>
          <w:u w:val="single"/>
        </w:rPr>
      </w:pPr>
      <w:r>
        <w:rPr>
          <w:rFonts w:hint="eastAsia"/>
          <w:color w:val="auto"/>
          <w:highlight w:val="none"/>
        </w:rPr>
        <w:t>（3）承包人可代为调剂串换的材料：</w:t>
      </w:r>
    </w:p>
    <w:p w14:paraId="74D99EBA">
      <w:pPr>
        <w:spacing w:line="480" w:lineRule="exact"/>
        <w:ind w:firstLine="440" w:firstLineChars="200"/>
        <w:jc w:val="both"/>
        <w:rPr>
          <w:color w:val="auto"/>
          <w:highlight w:val="none"/>
          <w:u w:val="single"/>
        </w:rPr>
      </w:pPr>
      <w:r>
        <w:rPr>
          <w:rFonts w:hint="eastAsia"/>
          <w:color w:val="auto"/>
          <w:highlight w:val="none"/>
        </w:rPr>
        <w:t>（4）到货地点与一览表不符：</w:t>
      </w:r>
    </w:p>
    <w:p w14:paraId="202CAFC0">
      <w:pPr>
        <w:spacing w:line="480" w:lineRule="exact"/>
        <w:ind w:firstLine="440" w:firstLineChars="200"/>
        <w:jc w:val="both"/>
        <w:rPr>
          <w:color w:val="auto"/>
          <w:highlight w:val="none"/>
          <w:u w:val="single"/>
        </w:rPr>
      </w:pPr>
      <w:r>
        <w:rPr>
          <w:rFonts w:hint="eastAsia"/>
          <w:color w:val="auto"/>
          <w:highlight w:val="none"/>
        </w:rPr>
        <w:t>（5）供应数量与一览表不符：</w:t>
      </w:r>
    </w:p>
    <w:p w14:paraId="54DB5EF4">
      <w:pPr>
        <w:spacing w:line="480" w:lineRule="exact"/>
        <w:ind w:firstLine="440" w:firstLineChars="200"/>
        <w:jc w:val="both"/>
        <w:rPr>
          <w:color w:val="auto"/>
          <w:highlight w:val="none"/>
        </w:rPr>
      </w:pPr>
      <w:r>
        <w:rPr>
          <w:rFonts w:hint="eastAsia"/>
          <w:color w:val="auto"/>
          <w:highlight w:val="none"/>
        </w:rPr>
        <w:t>（6）到货时间与一览表不符：</w:t>
      </w:r>
    </w:p>
    <w:p w14:paraId="3CA30692">
      <w:pPr>
        <w:spacing w:line="480" w:lineRule="exact"/>
        <w:ind w:firstLine="440" w:firstLineChars="200"/>
        <w:jc w:val="both"/>
        <w:rPr>
          <w:color w:val="auto"/>
          <w:highlight w:val="none"/>
        </w:rPr>
      </w:pPr>
      <w:r>
        <w:rPr>
          <w:rFonts w:hint="eastAsia"/>
          <w:color w:val="auto"/>
          <w:highlight w:val="none"/>
        </w:rPr>
        <w:t>27.6发包人供应材料设备的结算方法：</w:t>
      </w:r>
    </w:p>
    <w:p w14:paraId="437883C8">
      <w:pPr>
        <w:spacing w:line="480" w:lineRule="exact"/>
        <w:ind w:firstLine="442" w:firstLineChars="200"/>
        <w:jc w:val="both"/>
        <w:rPr>
          <w:b/>
          <w:color w:val="auto"/>
          <w:highlight w:val="none"/>
        </w:rPr>
      </w:pPr>
      <w:r>
        <w:rPr>
          <w:rFonts w:hint="eastAsia"/>
          <w:b/>
          <w:color w:val="auto"/>
          <w:highlight w:val="none"/>
        </w:rPr>
        <w:t>28.承包人采购材料设备</w:t>
      </w:r>
    </w:p>
    <w:p w14:paraId="61F45723">
      <w:pPr>
        <w:spacing w:line="480" w:lineRule="exact"/>
        <w:ind w:firstLine="440" w:firstLineChars="200"/>
        <w:jc w:val="both"/>
        <w:rPr>
          <w:color w:val="auto"/>
          <w:highlight w:val="none"/>
        </w:rPr>
      </w:pPr>
      <w:r>
        <w:rPr>
          <w:rFonts w:hint="eastAsia"/>
          <w:color w:val="auto"/>
          <w:highlight w:val="none"/>
        </w:rPr>
        <w:t>28．1承包人采购材料设备的约定：</w:t>
      </w:r>
      <w:r>
        <w:rPr>
          <w:rFonts w:hint="eastAsia"/>
          <w:color w:val="auto"/>
          <w:highlight w:val="none"/>
          <w:u w:val="single"/>
        </w:rPr>
        <w:t>执行通用条款</w:t>
      </w:r>
    </w:p>
    <w:p w14:paraId="67DEA4AE">
      <w:pPr>
        <w:spacing w:line="480" w:lineRule="exact"/>
        <w:ind w:firstLine="442" w:firstLineChars="200"/>
        <w:jc w:val="both"/>
        <w:rPr>
          <w:b/>
          <w:color w:val="auto"/>
          <w:highlight w:val="none"/>
          <w:u w:val="single"/>
        </w:rPr>
      </w:pPr>
      <w:r>
        <w:rPr>
          <w:rFonts w:hint="eastAsia"/>
          <w:b/>
          <w:color w:val="auto"/>
          <w:highlight w:val="none"/>
        </w:rPr>
        <w:t>八、工程变更</w:t>
      </w:r>
      <w:r>
        <w:rPr>
          <w:rFonts w:hint="eastAsia"/>
          <w:color w:val="auto"/>
          <w:highlight w:val="none"/>
          <w:u w:val="single"/>
        </w:rPr>
        <w:t>执行通用条款</w:t>
      </w:r>
    </w:p>
    <w:p w14:paraId="6A76B4E2">
      <w:pPr>
        <w:spacing w:line="480" w:lineRule="exact"/>
        <w:ind w:firstLine="442" w:firstLineChars="200"/>
        <w:jc w:val="both"/>
        <w:rPr>
          <w:b/>
          <w:color w:val="auto"/>
          <w:highlight w:val="none"/>
        </w:rPr>
      </w:pPr>
      <w:r>
        <w:rPr>
          <w:rFonts w:hint="eastAsia"/>
          <w:b/>
          <w:color w:val="auto"/>
          <w:highlight w:val="none"/>
        </w:rPr>
        <w:t>九、竣工验收与结算</w:t>
      </w:r>
    </w:p>
    <w:p w14:paraId="7B82DBDE">
      <w:pPr>
        <w:spacing w:line="480" w:lineRule="exact"/>
        <w:ind w:firstLine="442" w:firstLineChars="200"/>
        <w:jc w:val="both"/>
        <w:rPr>
          <w:b/>
          <w:color w:val="auto"/>
          <w:highlight w:val="none"/>
        </w:rPr>
      </w:pPr>
      <w:r>
        <w:rPr>
          <w:rFonts w:hint="eastAsia"/>
          <w:b/>
          <w:color w:val="auto"/>
          <w:highlight w:val="none"/>
        </w:rPr>
        <w:t>32.竣工验收</w:t>
      </w:r>
    </w:p>
    <w:p w14:paraId="5BCDB86D">
      <w:pPr>
        <w:spacing w:line="480" w:lineRule="exact"/>
        <w:ind w:firstLine="440" w:firstLineChars="200"/>
        <w:jc w:val="both"/>
        <w:rPr>
          <w:color w:val="auto"/>
          <w:highlight w:val="none"/>
        </w:rPr>
      </w:pPr>
      <w:r>
        <w:rPr>
          <w:rFonts w:hint="eastAsia"/>
          <w:color w:val="auto"/>
          <w:highlight w:val="none"/>
        </w:rPr>
        <w:t>32.1承包人提供竣工图的约定：</w:t>
      </w:r>
      <w:r>
        <w:rPr>
          <w:rFonts w:hint="eastAsia"/>
          <w:color w:val="auto"/>
          <w:highlight w:val="none"/>
          <w:u w:val="single"/>
        </w:rPr>
        <w:t>提交竣工报告的同时提交竣工图</w:t>
      </w:r>
      <w:r>
        <w:rPr>
          <w:rFonts w:hint="eastAsia"/>
          <w:color w:val="auto"/>
          <w:highlight w:val="none"/>
          <w:u w:val="single"/>
          <w:lang w:val="en-US"/>
        </w:rPr>
        <w:t xml:space="preserve"> </w:t>
      </w:r>
      <w:r>
        <w:rPr>
          <w:rFonts w:hint="eastAsia"/>
          <w:color w:val="auto"/>
          <w:highlight w:val="none"/>
          <w:u w:val="single"/>
        </w:rPr>
        <w:t>套</w:t>
      </w:r>
    </w:p>
    <w:p w14:paraId="49DED6BE">
      <w:pPr>
        <w:spacing w:line="480" w:lineRule="exact"/>
        <w:ind w:firstLine="440" w:firstLineChars="200"/>
        <w:jc w:val="both"/>
        <w:rPr>
          <w:color w:val="auto"/>
          <w:highlight w:val="none"/>
          <w:u w:val="single"/>
        </w:rPr>
      </w:pPr>
      <w:r>
        <w:rPr>
          <w:rFonts w:hint="eastAsia"/>
          <w:color w:val="auto"/>
          <w:highlight w:val="none"/>
        </w:rPr>
        <w:t>32.6中间交工工程的范围和竣工时间：</w:t>
      </w:r>
      <w:r>
        <w:rPr>
          <w:rFonts w:hint="eastAsia"/>
          <w:color w:val="auto"/>
          <w:highlight w:val="none"/>
          <w:u w:val="single"/>
        </w:rPr>
        <w:t>发包方和承包方协商</w:t>
      </w:r>
    </w:p>
    <w:p w14:paraId="144940E9">
      <w:pPr>
        <w:spacing w:line="480" w:lineRule="exact"/>
        <w:ind w:firstLine="442" w:firstLineChars="200"/>
        <w:jc w:val="both"/>
        <w:rPr>
          <w:b/>
          <w:color w:val="auto"/>
          <w:highlight w:val="none"/>
        </w:rPr>
      </w:pPr>
      <w:r>
        <w:rPr>
          <w:rFonts w:hint="eastAsia"/>
          <w:b/>
          <w:color w:val="auto"/>
          <w:highlight w:val="none"/>
        </w:rPr>
        <w:t>十、违约、索赔和争议</w:t>
      </w:r>
    </w:p>
    <w:p w14:paraId="26E7AA3C">
      <w:pPr>
        <w:spacing w:line="480" w:lineRule="exact"/>
        <w:ind w:firstLine="442" w:firstLineChars="200"/>
        <w:jc w:val="both"/>
        <w:rPr>
          <w:b/>
          <w:color w:val="auto"/>
          <w:highlight w:val="none"/>
        </w:rPr>
      </w:pPr>
      <w:r>
        <w:rPr>
          <w:rFonts w:hint="eastAsia"/>
          <w:b/>
          <w:color w:val="auto"/>
          <w:highlight w:val="none"/>
        </w:rPr>
        <w:t>35.违约</w:t>
      </w:r>
    </w:p>
    <w:p w14:paraId="5C389804">
      <w:pPr>
        <w:spacing w:line="480" w:lineRule="exact"/>
        <w:ind w:firstLine="440" w:firstLineChars="200"/>
        <w:jc w:val="both"/>
        <w:rPr>
          <w:color w:val="auto"/>
          <w:highlight w:val="none"/>
        </w:rPr>
      </w:pPr>
      <w:r>
        <w:rPr>
          <w:rFonts w:hint="eastAsia"/>
          <w:color w:val="auto"/>
          <w:highlight w:val="none"/>
        </w:rPr>
        <w:t>35.1本合同中关于发包人违约的具体责任如下：</w:t>
      </w:r>
    </w:p>
    <w:p w14:paraId="14CE3B06">
      <w:pPr>
        <w:spacing w:line="480" w:lineRule="exact"/>
        <w:ind w:firstLine="440" w:firstLineChars="200"/>
        <w:jc w:val="both"/>
        <w:rPr>
          <w:color w:val="auto"/>
          <w:highlight w:val="none"/>
          <w:u w:val="single"/>
        </w:rPr>
      </w:pPr>
      <w:r>
        <w:rPr>
          <w:rFonts w:hint="eastAsia"/>
          <w:color w:val="auto"/>
          <w:highlight w:val="none"/>
        </w:rPr>
        <w:t>本合同通用条款第24条约定发包人违约应承担的违约责任：</w:t>
      </w:r>
    </w:p>
    <w:p w14:paraId="49EE7DB0">
      <w:pPr>
        <w:spacing w:line="480" w:lineRule="exact"/>
        <w:ind w:firstLine="440" w:firstLineChars="200"/>
        <w:jc w:val="both"/>
        <w:rPr>
          <w:color w:val="auto"/>
          <w:highlight w:val="none"/>
          <w:u w:val="single"/>
        </w:rPr>
      </w:pPr>
      <w:r>
        <w:rPr>
          <w:rFonts w:hint="eastAsia"/>
          <w:color w:val="auto"/>
          <w:highlight w:val="none"/>
        </w:rPr>
        <w:t>本合同通用条款第26.4款约定发包人违约应承担的违约责任：</w:t>
      </w:r>
      <w:r>
        <w:rPr>
          <w:rFonts w:hint="eastAsia"/>
          <w:color w:val="auto"/>
          <w:highlight w:val="none"/>
          <w:u w:val="single"/>
        </w:rPr>
        <w:t xml:space="preserve">    /                    </w:t>
      </w:r>
    </w:p>
    <w:p w14:paraId="460F27E7">
      <w:pPr>
        <w:spacing w:line="480" w:lineRule="exact"/>
        <w:ind w:firstLine="440" w:firstLineChars="200"/>
        <w:jc w:val="both"/>
        <w:rPr>
          <w:color w:val="auto"/>
          <w:highlight w:val="none"/>
          <w:u w:val="single"/>
        </w:rPr>
      </w:pPr>
      <w:r>
        <w:rPr>
          <w:rFonts w:hint="eastAsia"/>
          <w:color w:val="auto"/>
          <w:highlight w:val="none"/>
        </w:rPr>
        <w:t>本合同通用条款第33.3款约定发包人违约应承担的违约责任：</w:t>
      </w:r>
      <w:r>
        <w:rPr>
          <w:rFonts w:hint="eastAsia"/>
          <w:color w:val="auto"/>
          <w:highlight w:val="none"/>
          <w:u w:val="single"/>
        </w:rPr>
        <w:t xml:space="preserve">          /                                      </w:t>
      </w:r>
    </w:p>
    <w:p w14:paraId="110E44E1">
      <w:pPr>
        <w:spacing w:line="480" w:lineRule="exact"/>
        <w:ind w:firstLine="440" w:firstLineChars="200"/>
        <w:jc w:val="both"/>
        <w:rPr>
          <w:color w:val="auto"/>
          <w:highlight w:val="none"/>
          <w:u w:val="single"/>
        </w:rPr>
      </w:pPr>
      <w:r>
        <w:rPr>
          <w:rFonts w:hint="eastAsia"/>
          <w:color w:val="auto"/>
          <w:highlight w:val="none"/>
        </w:rPr>
        <w:t>双方约定的发包人其他违约责任：</w:t>
      </w:r>
      <w:r>
        <w:rPr>
          <w:rFonts w:hint="eastAsia"/>
          <w:color w:val="auto"/>
          <w:highlight w:val="none"/>
          <w:u w:val="single"/>
        </w:rPr>
        <w:t>双方协商解决</w:t>
      </w:r>
    </w:p>
    <w:p w14:paraId="7517D6A3">
      <w:pPr>
        <w:spacing w:line="480" w:lineRule="exact"/>
        <w:ind w:firstLine="440" w:firstLineChars="200"/>
        <w:jc w:val="both"/>
        <w:rPr>
          <w:color w:val="auto"/>
          <w:highlight w:val="none"/>
        </w:rPr>
      </w:pPr>
      <w:r>
        <w:rPr>
          <w:rFonts w:hint="eastAsia"/>
          <w:color w:val="auto"/>
          <w:highlight w:val="none"/>
        </w:rPr>
        <w:t>35.2本合同中关于承包人违约的具体责任如下：</w:t>
      </w:r>
    </w:p>
    <w:p w14:paraId="4BE8151D">
      <w:pPr>
        <w:spacing w:line="480" w:lineRule="exact"/>
        <w:ind w:firstLine="440" w:firstLineChars="200"/>
        <w:jc w:val="both"/>
        <w:rPr>
          <w:color w:val="auto"/>
          <w:highlight w:val="none"/>
          <w:u w:val="single"/>
        </w:rPr>
      </w:pPr>
      <w:r>
        <w:rPr>
          <w:rFonts w:hint="eastAsia"/>
          <w:color w:val="auto"/>
          <w:highlight w:val="none"/>
        </w:rPr>
        <w:t>本合同通用条款第14.2款约定承包人违约应承担的违约责任：</w:t>
      </w:r>
      <w:r>
        <w:rPr>
          <w:rFonts w:hint="eastAsia"/>
          <w:color w:val="auto"/>
          <w:highlight w:val="none"/>
          <w:u w:val="single"/>
        </w:rPr>
        <w:t>承包人不能按约定的竣工日期或监理工程师同意顺延的工期竣工的，每延期一天承包人应向发包人支付合同价款</w:t>
      </w:r>
      <w:r>
        <w:rPr>
          <w:rFonts w:hint="eastAsia"/>
          <w:color w:val="auto"/>
          <w:highlight w:val="none"/>
          <w:u w:val="single"/>
          <w:lang w:val="en-US"/>
        </w:rPr>
        <w:t xml:space="preserve"> </w:t>
      </w:r>
      <w:r>
        <w:rPr>
          <w:rFonts w:hint="eastAsia" w:ascii="宋体" w:hAnsi="宋体"/>
          <w:color w:val="auto"/>
          <w:highlight w:val="none"/>
          <w:u w:val="single"/>
        </w:rPr>
        <w:t>‰</w:t>
      </w:r>
      <w:r>
        <w:rPr>
          <w:rFonts w:hint="eastAsia"/>
          <w:color w:val="auto"/>
          <w:highlight w:val="none"/>
          <w:u w:val="single"/>
        </w:rPr>
        <w:t>的违约金，并承担因此给发包方造成的其它经济损失。</w:t>
      </w:r>
    </w:p>
    <w:p w14:paraId="2DF2F09F">
      <w:pPr>
        <w:spacing w:line="480" w:lineRule="exact"/>
        <w:ind w:firstLine="440" w:firstLineChars="200"/>
        <w:jc w:val="both"/>
        <w:rPr>
          <w:color w:val="auto"/>
          <w:highlight w:val="none"/>
          <w:u w:val="single"/>
        </w:rPr>
      </w:pPr>
      <w:r>
        <w:rPr>
          <w:rFonts w:hint="eastAsia"/>
          <w:color w:val="auto"/>
          <w:highlight w:val="none"/>
        </w:rPr>
        <w:t>本合同通用条款第15.1条约定承包人违约应承担的违约责任：</w:t>
      </w:r>
      <w:r>
        <w:rPr>
          <w:rFonts w:hint="eastAsia"/>
          <w:color w:val="auto"/>
          <w:highlight w:val="none"/>
          <w:u w:val="single"/>
        </w:rPr>
        <w:t>工程质量达不到约定的标准，承包人应承担因此导致的鉴定、检验及返工、拆除重建等费用，工期不予顺延，并向发包人支付合同总价</w:t>
      </w:r>
      <w:r>
        <w:rPr>
          <w:rFonts w:hint="eastAsia"/>
          <w:color w:val="auto"/>
          <w:highlight w:val="none"/>
          <w:u w:val="single"/>
          <w:lang w:val="en-US"/>
        </w:rPr>
        <w:t xml:space="preserve"> </w:t>
      </w:r>
      <w:r>
        <w:rPr>
          <w:rFonts w:hint="eastAsia"/>
          <w:color w:val="auto"/>
          <w:highlight w:val="none"/>
          <w:u w:val="single"/>
        </w:rPr>
        <w:t>%的违约金</w:t>
      </w:r>
    </w:p>
    <w:p w14:paraId="5CFE1112">
      <w:pPr>
        <w:spacing w:line="480" w:lineRule="exact"/>
        <w:ind w:firstLine="440" w:firstLineChars="200"/>
        <w:jc w:val="both"/>
        <w:rPr>
          <w:color w:val="auto"/>
          <w:highlight w:val="none"/>
          <w:u w:val="single"/>
        </w:rPr>
      </w:pPr>
      <w:r>
        <w:rPr>
          <w:rFonts w:hint="eastAsia"/>
          <w:color w:val="auto"/>
          <w:highlight w:val="none"/>
        </w:rPr>
        <w:t>双方约定的承包人其他违约责任：</w:t>
      </w:r>
      <w:r>
        <w:rPr>
          <w:rFonts w:hint="eastAsia"/>
          <w:color w:val="auto"/>
          <w:highlight w:val="none"/>
          <w:u w:val="single"/>
        </w:rPr>
        <w:t>双方协商解决</w:t>
      </w:r>
    </w:p>
    <w:p w14:paraId="5EA3B691">
      <w:pPr>
        <w:spacing w:line="480" w:lineRule="exact"/>
        <w:ind w:firstLine="442" w:firstLineChars="200"/>
        <w:jc w:val="both"/>
        <w:rPr>
          <w:b/>
          <w:color w:val="auto"/>
          <w:highlight w:val="none"/>
        </w:rPr>
      </w:pPr>
      <w:r>
        <w:rPr>
          <w:rFonts w:hint="eastAsia"/>
          <w:b/>
          <w:color w:val="auto"/>
          <w:highlight w:val="none"/>
        </w:rPr>
        <w:t>37.争议</w:t>
      </w:r>
    </w:p>
    <w:p w14:paraId="6BD35527">
      <w:pPr>
        <w:spacing w:line="480" w:lineRule="exact"/>
        <w:ind w:firstLine="440" w:firstLineChars="200"/>
        <w:jc w:val="both"/>
        <w:rPr>
          <w:color w:val="auto"/>
          <w:highlight w:val="none"/>
        </w:rPr>
      </w:pPr>
      <w:r>
        <w:rPr>
          <w:rFonts w:hint="eastAsia"/>
          <w:color w:val="auto"/>
          <w:highlight w:val="none"/>
        </w:rPr>
        <w:t>37.1双方约定，在履行合同过程中产生争议时：</w:t>
      </w:r>
    </w:p>
    <w:p w14:paraId="06F07B84">
      <w:pPr>
        <w:spacing w:line="360" w:lineRule="auto"/>
        <w:ind w:firstLine="440" w:firstLineChars="200"/>
        <w:jc w:val="both"/>
        <w:rPr>
          <w:color w:val="auto"/>
          <w:highlight w:val="none"/>
        </w:rPr>
      </w:pPr>
      <w:r>
        <w:rPr>
          <w:rFonts w:hint="eastAsia"/>
          <w:color w:val="auto"/>
          <w:highlight w:val="none"/>
        </w:rPr>
        <w:t>（</w:t>
      </w:r>
      <w:r>
        <w:rPr>
          <w:rFonts w:hint="eastAsia"/>
          <w:color w:val="auto"/>
          <w:highlight w:val="none"/>
          <w:lang w:val="en-US"/>
        </w:rPr>
        <w:t>1</w:t>
      </w:r>
      <w:r>
        <w:rPr>
          <w:rFonts w:hint="eastAsia"/>
          <w:color w:val="auto"/>
          <w:highlight w:val="none"/>
        </w:rPr>
        <w:t>）</w:t>
      </w:r>
      <w:r>
        <w:rPr>
          <w:color w:val="auto"/>
          <w:highlight w:val="none"/>
        </w:rPr>
        <w:t>按本合同规定应该偿付的违约金、赔偿金、保管保养费和各种经济损失，应当在明确责任后</w:t>
      </w:r>
      <w:r>
        <w:rPr>
          <w:rFonts w:hint="eastAsia"/>
          <w:color w:val="auto"/>
          <w:highlight w:val="none"/>
        </w:rPr>
        <w:t>10</w:t>
      </w:r>
      <w:r>
        <w:rPr>
          <w:color w:val="auto"/>
          <w:highlight w:val="none"/>
        </w:rPr>
        <w:t>天内，按银行规定的结算办法付清，否则按逾期付款处理。但任何一方不得自行扣发货物或扣付货款来充抵。</w:t>
      </w:r>
    </w:p>
    <w:p w14:paraId="3C7BCE9B">
      <w:pPr>
        <w:spacing w:line="360" w:lineRule="auto"/>
        <w:ind w:firstLine="440" w:firstLineChars="200"/>
        <w:jc w:val="both"/>
        <w:rPr>
          <w:color w:val="auto"/>
          <w:highlight w:val="none"/>
        </w:rPr>
      </w:pPr>
      <w:r>
        <w:rPr>
          <w:rFonts w:hint="eastAsia"/>
          <w:color w:val="auto"/>
          <w:highlight w:val="none"/>
        </w:rPr>
        <w:t>（</w:t>
      </w:r>
      <w:r>
        <w:rPr>
          <w:rFonts w:hint="eastAsia"/>
          <w:color w:val="auto"/>
          <w:highlight w:val="none"/>
          <w:lang w:val="en-US"/>
        </w:rPr>
        <w:t>2</w:t>
      </w:r>
      <w:r>
        <w:rPr>
          <w:rFonts w:hint="eastAsia"/>
          <w:color w:val="auto"/>
          <w:highlight w:val="none"/>
        </w:rPr>
        <w:t>）</w:t>
      </w:r>
      <w:r>
        <w:rPr>
          <w:color w:val="auto"/>
          <w:highlight w:val="none"/>
        </w:rPr>
        <w:t>本合同如发生纠纷，当事人双方应当及时协商解决，协商不成时，任何一方均可请</w:t>
      </w:r>
      <w:r>
        <w:rPr>
          <w:rFonts w:hint="eastAsia"/>
          <w:color w:val="auto"/>
          <w:highlight w:val="none"/>
        </w:rPr>
        <w:t>本项目政府采购监督管理部门</w:t>
      </w:r>
      <w:r>
        <w:rPr>
          <w:color w:val="auto"/>
          <w:highlight w:val="none"/>
        </w:rPr>
        <w:t>调解，调解不成，按以下第（</w:t>
      </w:r>
      <w:r>
        <w:rPr>
          <w:rFonts w:hint="eastAsia"/>
          <w:color w:val="auto"/>
          <w:highlight w:val="none"/>
        </w:rPr>
        <w:t xml:space="preserve"> </w:t>
      </w:r>
      <w:r>
        <w:rPr>
          <w:color w:val="auto"/>
          <w:highlight w:val="none"/>
        </w:rPr>
        <w:t>）项方式处理：</w:t>
      </w:r>
      <w:r>
        <w:rPr>
          <w:rFonts w:hint="eastAsia"/>
          <w:color w:val="auto"/>
          <w:highlight w:val="none"/>
        </w:rPr>
        <w:t>①根据《中华人民共和国仲裁法》的规定向</w:t>
      </w:r>
      <w:r>
        <w:rPr>
          <w:rFonts w:hint="eastAsia"/>
          <w:b/>
          <w:bCs/>
          <w:color w:val="auto"/>
          <w:highlight w:val="none"/>
          <w:u w:val="single"/>
        </w:rPr>
        <w:t>周口仲裁委员会</w:t>
      </w:r>
      <w:r>
        <w:rPr>
          <w:rFonts w:hint="eastAsia"/>
          <w:color w:val="auto"/>
          <w:highlight w:val="none"/>
        </w:rPr>
        <w:t>申请仲裁。②</w:t>
      </w:r>
      <w:r>
        <w:rPr>
          <w:color w:val="auto"/>
          <w:highlight w:val="none"/>
        </w:rPr>
        <w:t>向</w:t>
      </w:r>
      <w:r>
        <w:rPr>
          <w:rFonts w:hint="eastAsia"/>
          <w:color w:val="auto"/>
          <w:highlight w:val="none"/>
        </w:rPr>
        <w:t>合同签订地有级别管辖权的</w:t>
      </w:r>
      <w:r>
        <w:rPr>
          <w:color w:val="auto"/>
          <w:highlight w:val="none"/>
        </w:rPr>
        <w:t>人民法院起诉。</w:t>
      </w:r>
    </w:p>
    <w:p w14:paraId="57354AF8">
      <w:pPr>
        <w:spacing w:line="480" w:lineRule="exact"/>
        <w:ind w:firstLine="440" w:firstLineChars="200"/>
        <w:jc w:val="both"/>
        <w:rPr>
          <w:color w:val="auto"/>
          <w:highlight w:val="none"/>
        </w:rPr>
      </w:pPr>
      <w:r>
        <w:rPr>
          <w:rFonts w:hint="eastAsia"/>
          <w:color w:val="auto"/>
          <w:highlight w:val="none"/>
          <w:lang w:val="en-US"/>
        </w:rPr>
        <w:t>（3）甲、乙双方均有权利向本项目具有监管职能的政府采购监督管理部门举报反映对方在合同履约中的违法违纪行为。</w:t>
      </w:r>
    </w:p>
    <w:p w14:paraId="14843F6D">
      <w:pPr>
        <w:spacing w:line="480" w:lineRule="exact"/>
        <w:ind w:firstLine="442" w:firstLineChars="200"/>
        <w:jc w:val="both"/>
        <w:rPr>
          <w:b/>
          <w:color w:val="auto"/>
          <w:highlight w:val="none"/>
        </w:rPr>
      </w:pPr>
      <w:r>
        <w:rPr>
          <w:rFonts w:hint="eastAsia"/>
          <w:b/>
          <w:color w:val="auto"/>
          <w:highlight w:val="none"/>
        </w:rPr>
        <w:t>十一、其他</w:t>
      </w:r>
    </w:p>
    <w:p w14:paraId="43355103">
      <w:pPr>
        <w:spacing w:line="480" w:lineRule="exact"/>
        <w:ind w:firstLine="442" w:firstLineChars="200"/>
        <w:jc w:val="both"/>
        <w:rPr>
          <w:b/>
          <w:color w:val="auto"/>
          <w:highlight w:val="none"/>
        </w:rPr>
      </w:pPr>
      <w:r>
        <w:rPr>
          <w:rFonts w:hint="eastAsia"/>
          <w:b/>
          <w:color w:val="auto"/>
          <w:highlight w:val="none"/>
        </w:rPr>
        <w:t>38. 工程分包</w:t>
      </w:r>
    </w:p>
    <w:p w14:paraId="4D2A7263">
      <w:pPr>
        <w:spacing w:line="480" w:lineRule="exact"/>
        <w:ind w:firstLine="440" w:firstLineChars="200"/>
        <w:jc w:val="both"/>
        <w:rPr>
          <w:color w:val="auto"/>
          <w:highlight w:val="none"/>
          <w:u w:val="single"/>
        </w:rPr>
      </w:pPr>
      <w:r>
        <w:rPr>
          <w:rFonts w:hint="eastAsia"/>
          <w:color w:val="auto"/>
          <w:highlight w:val="none"/>
        </w:rPr>
        <w:t>38.1本工程发包人同意承包人分包的工程：</w:t>
      </w:r>
    </w:p>
    <w:p w14:paraId="0D053B6E">
      <w:pPr>
        <w:spacing w:line="480" w:lineRule="exact"/>
        <w:ind w:firstLine="440" w:firstLineChars="200"/>
        <w:jc w:val="both"/>
        <w:rPr>
          <w:color w:val="auto"/>
          <w:highlight w:val="none"/>
          <w:u w:val="single"/>
        </w:rPr>
      </w:pPr>
      <w:r>
        <w:rPr>
          <w:rFonts w:hint="eastAsia"/>
          <w:color w:val="auto"/>
          <w:highlight w:val="none"/>
        </w:rPr>
        <w:t>分包施工单位为：</w:t>
      </w:r>
      <w:r>
        <w:rPr>
          <w:rFonts w:hint="eastAsia"/>
          <w:color w:val="auto"/>
          <w:highlight w:val="none"/>
          <w:u w:val="single"/>
        </w:rPr>
        <w:t xml:space="preserve">                /                                                         </w:t>
      </w:r>
    </w:p>
    <w:p w14:paraId="077F55BB">
      <w:pPr>
        <w:spacing w:line="480" w:lineRule="exact"/>
        <w:ind w:firstLine="442" w:firstLineChars="200"/>
        <w:jc w:val="both"/>
        <w:rPr>
          <w:b/>
          <w:color w:val="auto"/>
          <w:highlight w:val="none"/>
        </w:rPr>
      </w:pPr>
      <w:r>
        <w:rPr>
          <w:rFonts w:hint="eastAsia"/>
          <w:b/>
          <w:color w:val="auto"/>
          <w:highlight w:val="none"/>
        </w:rPr>
        <w:t>39.不可抗力</w:t>
      </w:r>
    </w:p>
    <w:p w14:paraId="1F2B4251">
      <w:pPr>
        <w:spacing w:line="480" w:lineRule="exact"/>
        <w:ind w:firstLine="440" w:firstLineChars="200"/>
        <w:jc w:val="both"/>
        <w:rPr>
          <w:color w:val="auto"/>
          <w:highlight w:val="none"/>
        </w:rPr>
      </w:pPr>
      <w:r>
        <w:rPr>
          <w:rFonts w:hint="eastAsia"/>
          <w:color w:val="auto"/>
          <w:highlight w:val="none"/>
        </w:rPr>
        <w:t>39.1双方关于不可抗力的约定：</w:t>
      </w:r>
      <w:r>
        <w:rPr>
          <w:rFonts w:hint="eastAsia"/>
          <w:color w:val="auto"/>
          <w:highlight w:val="none"/>
          <w:u w:val="single"/>
        </w:rPr>
        <w:t>执行通用条款</w:t>
      </w:r>
    </w:p>
    <w:p w14:paraId="44BD3996">
      <w:pPr>
        <w:spacing w:line="480" w:lineRule="exact"/>
        <w:ind w:firstLine="442" w:firstLineChars="200"/>
        <w:jc w:val="both"/>
        <w:rPr>
          <w:b/>
          <w:color w:val="auto"/>
          <w:highlight w:val="none"/>
        </w:rPr>
      </w:pPr>
      <w:r>
        <w:rPr>
          <w:rFonts w:hint="eastAsia"/>
          <w:b/>
          <w:color w:val="auto"/>
          <w:highlight w:val="none"/>
        </w:rPr>
        <w:t>40.保险</w:t>
      </w:r>
    </w:p>
    <w:p w14:paraId="252EDB5D">
      <w:pPr>
        <w:spacing w:line="480" w:lineRule="exact"/>
        <w:ind w:firstLine="440" w:firstLineChars="200"/>
        <w:jc w:val="both"/>
        <w:rPr>
          <w:color w:val="auto"/>
          <w:highlight w:val="none"/>
        </w:rPr>
      </w:pPr>
      <w:r>
        <w:rPr>
          <w:rFonts w:hint="eastAsia"/>
          <w:color w:val="auto"/>
          <w:highlight w:val="none"/>
        </w:rPr>
        <w:t>40.6本工程双方约定投保内容如下：</w:t>
      </w:r>
    </w:p>
    <w:p w14:paraId="2EA71667">
      <w:pPr>
        <w:spacing w:line="480" w:lineRule="exact"/>
        <w:ind w:firstLine="440" w:firstLineChars="200"/>
        <w:jc w:val="both"/>
        <w:rPr>
          <w:color w:val="auto"/>
          <w:highlight w:val="none"/>
          <w:u w:val="single"/>
        </w:rPr>
      </w:pPr>
      <w:r>
        <w:rPr>
          <w:rFonts w:hint="eastAsia"/>
          <w:color w:val="auto"/>
          <w:highlight w:val="none"/>
        </w:rPr>
        <w:t>（1）发包人投保内容：</w:t>
      </w:r>
      <w:r>
        <w:rPr>
          <w:rFonts w:hint="eastAsia"/>
          <w:color w:val="auto"/>
          <w:highlight w:val="none"/>
          <w:u w:val="single"/>
        </w:rPr>
        <w:t>执行通用条款</w:t>
      </w:r>
    </w:p>
    <w:p w14:paraId="41654736">
      <w:pPr>
        <w:spacing w:line="480" w:lineRule="exact"/>
        <w:ind w:firstLine="440" w:firstLineChars="200"/>
        <w:jc w:val="both"/>
        <w:rPr>
          <w:color w:val="auto"/>
          <w:highlight w:val="none"/>
          <w:u w:val="single"/>
        </w:rPr>
      </w:pPr>
      <w:r>
        <w:rPr>
          <w:rFonts w:hint="eastAsia"/>
          <w:color w:val="auto"/>
          <w:highlight w:val="none"/>
        </w:rPr>
        <w:t>发包人委托承包人办理的保险事项：</w:t>
      </w:r>
    </w:p>
    <w:p w14:paraId="13FC2E2D">
      <w:pPr>
        <w:spacing w:line="480" w:lineRule="exact"/>
        <w:ind w:firstLine="440" w:firstLineChars="200"/>
        <w:jc w:val="both"/>
        <w:rPr>
          <w:color w:val="auto"/>
          <w:highlight w:val="none"/>
        </w:rPr>
      </w:pPr>
      <w:r>
        <w:rPr>
          <w:rFonts w:hint="eastAsia"/>
          <w:color w:val="auto"/>
          <w:highlight w:val="none"/>
        </w:rPr>
        <w:t>（2）承包人的投保内容：</w:t>
      </w:r>
    </w:p>
    <w:p w14:paraId="58F072D2">
      <w:pPr>
        <w:spacing w:line="480" w:lineRule="exact"/>
        <w:ind w:firstLine="442" w:firstLineChars="200"/>
        <w:jc w:val="both"/>
        <w:rPr>
          <w:b/>
          <w:color w:val="auto"/>
          <w:highlight w:val="none"/>
        </w:rPr>
      </w:pPr>
      <w:r>
        <w:rPr>
          <w:rFonts w:hint="eastAsia"/>
          <w:b/>
          <w:color w:val="auto"/>
          <w:highlight w:val="none"/>
        </w:rPr>
        <w:t>41.担保</w:t>
      </w:r>
    </w:p>
    <w:p w14:paraId="5D9564B6">
      <w:pPr>
        <w:spacing w:line="480" w:lineRule="exact"/>
        <w:ind w:firstLine="440" w:firstLineChars="200"/>
        <w:jc w:val="both"/>
        <w:rPr>
          <w:color w:val="auto"/>
          <w:highlight w:val="none"/>
        </w:rPr>
      </w:pPr>
      <w:r>
        <w:rPr>
          <w:rFonts w:hint="eastAsia"/>
          <w:color w:val="auto"/>
          <w:highlight w:val="none"/>
        </w:rPr>
        <w:t>41.3本工程双方承包人提供履约担保，担保事项如下：</w:t>
      </w:r>
    </w:p>
    <w:p w14:paraId="70709346">
      <w:pPr>
        <w:spacing w:line="480" w:lineRule="exact"/>
        <w:ind w:firstLine="440" w:firstLineChars="200"/>
        <w:jc w:val="both"/>
        <w:rPr>
          <w:color w:val="auto"/>
          <w:highlight w:val="none"/>
        </w:rPr>
      </w:pPr>
      <w:r>
        <w:rPr>
          <w:rFonts w:hint="eastAsia"/>
          <w:color w:val="auto"/>
          <w:highlight w:val="none"/>
        </w:rPr>
        <w:t>（1）发包人向承包人提供履约担保，担保方式为：</w:t>
      </w:r>
      <w:r>
        <w:rPr>
          <w:rFonts w:hint="eastAsia"/>
          <w:color w:val="auto"/>
          <w:highlight w:val="none"/>
          <w:u w:val="single"/>
        </w:rPr>
        <w:t>无</w:t>
      </w:r>
      <w:r>
        <w:rPr>
          <w:rFonts w:hint="eastAsia"/>
          <w:color w:val="auto"/>
          <w:highlight w:val="none"/>
        </w:rPr>
        <w:t>担保合同作为本合同附件。</w:t>
      </w:r>
    </w:p>
    <w:p w14:paraId="13613BD7">
      <w:pPr>
        <w:spacing w:line="480" w:lineRule="exact"/>
        <w:ind w:firstLine="440" w:firstLineChars="200"/>
        <w:jc w:val="both"/>
        <w:rPr>
          <w:color w:val="auto"/>
          <w:highlight w:val="none"/>
          <w:u w:val="single"/>
        </w:rPr>
      </w:pPr>
      <w:r>
        <w:rPr>
          <w:rFonts w:hint="eastAsia"/>
          <w:color w:val="auto"/>
          <w:highlight w:val="none"/>
        </w:rPr>
        <w:t>（2）承包人向发包人提供履约担保，担保方式为：</w:t>
      </w:r>
      <w:r>
        <w:rPr>
          <w:rFonts w:hint="eastAsia"/>
          <w:color w:val="auto"/>
          <w:highlight w:val="none"/>
          <w:u w:val="single"/>
        </w:rPr>
        <w:t>无</w:t>
      </w:r>
      <w:r>
        <w:rPr>
          <w:rFonts w:hint="eastAsia"/>
          <w:color w:val="auto"/>
          <w:highlight w:val="none"/>
        </w:rPr>
        <w:t>担保合同作为本合同附件。</w:t>
      </w:r>
    </w:p>
    <w:p w14:paraId="0D130A3D">
      <w:pPr>
        <w:spacing w:line="480" w:lineRule="exact"/>
        <w:ind w:firstLine="440" w:firstLineChars="200"/>
        <w:jc w:val="both"/>
        <w:rPr>
          <w:color w:val="auto"/>
          <w:highlight w:val="none"/>
          <w:u w:val="single"/>
        </w:rPr>
      </w:pPr>
      <w:r>
        <w:rPr>
          <w:rFonts w:hint="eastAsia"/>
          <w:color w:val="auto"/>
          <w:highlight w:val="none"/>
        </w:rPr>
        <w:t>（3）双方约定的其他担保事项：</w:t>
      </w:r>
    </w:p>
    <w:p w14:paraId="191F20CF">
      <w:pPr>
        <w:spacing w:line="480" w:lineRule="exact"/>
        <w:ind w:firstLine="442" w:firstLineChars="200"/>
        <w:jc w:val="both"/>
        <w:rPr>
          <w:b/>
          <w:color w:val="auto"/>
          <w:highlight w:val="none"/>
        </w:rPr>
      </w:pPr>
      <w:r>
        <w:rPr>
          <w:rFonts w:hint="eastAsia"/>
          <w:b/>
          <w:color w:val="auto"/>
          <w:highlight w:val="none"/>
        </w:rPr>
        <w:t>46.合同份数</w:t>
      </w:r>
    </w:p>
    <w:p w14:paraId="281A3A8C">
      <w:pPr>
        <w:spacing w:line="480" w:lineRule="exact"/>
        <w:ind w:firstLine="440" w:firstLineChars="200"/>
        <w:jc w:val="both"/>
        <w:rPr>
          <w:color w:val="auto"/>
          <w:highlight w:val="none"/>
          <w:u w:val="single"/>
        </w:rPr>
      </w:pPr>
      <w:r>
        <w:rPr>
          <w:rFonts w:hint="eastAsia"/>
          <w:color w:val="auto"/>
          <w:highlight w:val="none"/>
        </w:rPr>
        <w:t>46.1双方约定合同份数：</w:t>
      </w:r>
      <w:r>
        <w:rPr>
          <w:rFonts w:hint="eastAsia"/>
          <w:color w:val="auto"/>
          <w:highlight w:val="none"/>
          <w:u w:val="single"/>
        </w:rPr>
        <w:t>一式陆份，正本贰份，副本肆份。</w:t>
      </w:r>
    </w:p>
    <w:p w14:paraId="2628F32E">
      <w:pPr>
        <w:spacing w:line="480" w:lineRule="exact"/>
        <w:ind w:firstLine="440" w:firstLineChars="200"/>
        <w:jc w:val="both"/>
        <w:rPr>
          <w:color w:val="auto"/>
          <w:highlight w:val="none"/>
        </w:rPr>
      </w:pPr>
      <w:r>
        <w:rPr>
          <w:rFonts w:hint="eastAsia"/>
          <w:color w:val="auto"/>
          <w:highlight w:val="none"/>
        </w:rPr>
        <w:t>47.补充条款</w:t>
      </w:r>
    </w:p>
    <w:p w14:paraId="73C85478">
      <w:pPr>
        <w:spacing w:line="480" w:lineRule="exact"/>
        <w:ind w:firstLine="440" w:firstLineChars="200"/>
        <w:jc w:val="both"/>
        <w:rPr>
          <w:color w:val="auto"/>
          <w:highlight w:val="none"/>
          <w:u w:val="single"/>
        </w:rPr>
      </w:pPr>
      <w:r>
        <w:rPr>
          <w:rFonts w:hint="eastAsia"/>
          <w:color w:val="auto"/>
          <w:highlight w:val="none"/>
          <w:u w:val="single"/>
        </w:rPr>
        <w:t>1、有关工程量清单缺漏项的处理方法：根据实际情况，视情节由发包人、监理人、承包人三方协商解决，并由发包人、监理人、承包人三方核实确定后据实调整。</w:t>
      </w:r>
    </w:p>
    <w:p w14:paraId="781C9A78">
      <w:pPr>
        <w:spacing w:line="480" w:lineRule="exact"/>
        <w:ind w:firstLine="440" w:firstLineChars="200"/>
        <w:jc w:val="both"/>
        <w:rPr>
          <w:color w:val="auto"/>
          <w:highlight w:val="none"/>
          <w:u w:val="single"/>
        </w:rPr>
      </w:pPr>
      <w:r>
        <w:rPr>
          <w:rFonts w:hint="eastAsia"/>
          <w:color w:val="auto"/>
          <w:highlight w:val="none"/>
          <w:u w:val="single"/>
        </w:rPr>
        <w:t>2、承包人派驻施工现场的项目管理机构人员配备必须同投标文件一致。若确有特殊原因需要更换部分人员时，必须以书面形式征得监理工程师及发包人认可。否则，如承包人的本项目管理机构人员配备与投标文件不同时，每发现一人不同（项目经理及技术负责人除外），承包人应向发包人支付</w:t>
      </w:r>
      <w:r>
        <w:rPr>
          <w:rFonts w:hint="eastAsia"/>
          <w:color w:val="auto"/>
          <w:highlight w:val="none"/>
          <w:u w:val="single"/>
          <w:lang w:val="en-US"/>
        </w:rPr>
        <w:t xml:space="preserve">  </w:t>
      </w:r>
      <w:r>
        <w:rPr>
          <w:rFonts w:hint="eastAsia"/>
          <w:color w:val="auto"/>
          <w:highlight w:val="none"/>
          <w:u w:val="single"/>
        </w:rPr>
        <w:t>元违约金，项目经理和技术负责人与投标文件不一致时，每发现一人，承包人应向发包人支付违约金</w:t>
      </w:r>
      <w:r>
        <w:rPr>
          <w:rFonts w:hint="eastAsia"/>
          <w:color w:val="auto"/>
          <w:highlight w:val="none"/>
          <w:u w:val="single"/>
          <w:lang w:val="en-US"/>
        </w:rPr>
        <w:t xml:space="preserve"> </w:t>
      </w:r>
      <w:r>
        <w:rPr>
          <w:rFonts w:hint="eastAsia"/>
          <w:color w:val="auto"/>
          <w:highlight w:val="none"/>
          <w:u w:val="single"/>
        </w:rPr>
        <w:t>元。承包人必须在发包人指定的时间内安排原计划配备人员到场，否则，发包人有权终止合同，承包人赔偿因此给发包人带来的损失。</w:t>
      </w:r>
    </w:p>
    <w:p w14:paraId="111D7EEE">
      <w:pPr>
        <w:spacing w:line="480" w:lineRule="exact"/>
        <w:ind w:firstLine="440" w:firstLineChars="200"/>
        <w:jc w:val="both"/>
        <w:rPr>
          <w:color w:val="auto"/>
          <w:highlight w:val="none"/>
          <w:u w:val="single"/>
        </w:rPr>
      </w:pPr>
      <w:r>
        <w:rPr>
          <w:rFonts w:hint="eastAsia"/>
          <w:color w:val="auto"/>
          <w:highlight w:val="none"/>
          <w:u w:val="single"/>
        </w:rPr>
        <w:t>3、承包人派驻施工现场的项目经理每周应有</w:t>
      </w:r>
      <w:r>
        <w:rPr>
          <w:rFonts w:hint="eastAsia"/>
          <w:color w:val="auto"/>
          <w:highlight w:val="none"/>
          <w:u w:val="single"/>
          <w:lang w:val="en-US"/>
        </w:rPr>
        <w:t xml:space="preserve"> </w:t>
      </w:r>
      <w:r>
        <w:rPr>
          <w:rFonts w:hint="eastAsia"/>
          <w:color w:val="auto"/>
          <w:highlight w:val="none"/>
          <w:u w:val="single"/>
        </w:rPr>
        <w:t>个工作日在施工现场，特殊原因应向监理工程师及发包方派驻工地代表请假，无故不到施工现场或请假但未被批准仍不到施工现场按缺席处理，每发现项目经理或技术负责人一天不到施工现场的，承包方应向发包方支付</w:t>
      </w:r>
      <w:r>
        <w:rPr>
          <w:rFonts w:hint="eastAsia"/>
          <w:color w:val="auto"/>
          <w:highlight w:val="none"/>
          <w:u w:val="single"/>
          <w:lang w:val="en-US"/>
        </w:rPr>
        <w:t xml:space="preserve"> </w:t>
      </w:r>
      <w:r>
        <w:rPr>
          <w:rFonts w:hint="eastAsia"/>
          <w:color w:val="auto"/>
          <w:highlight w:val="none"/>
          <w:u w:val="single"/>
        </w:rPr>
        <w:t>元违约金。</w:t>
      </w:r>
    </w:p>
    <w:p w14:paraId="294C2D23">
      <w:pPr>
        <w:spacing w:line="480" w:lineRule="exact"/>
        <w:ind w:firstLine="440" w:firstLineChars="200"/>
        <w:jc w:val="both"/>
        <w:rPr>
          <w:color w:val="auto"/>
          <w:highlight w:val="none"/>
          <w:u w:val="single"/>
        </w:rPr>
      </w:pPr>
      <w:r>
        <w:rPr>
          <w:rFonts w:hint="eastAsia"/>
          <w:color w:val="auto"/>
          <w:highlight w:val="none"/>
          <w:u w:val="single"/>
        </w:rPr>
        <w:t>4、因发包人拆迁等原因长期不能提供施工场地导致无法组织施工的工程，不影响已完工程的竣工验收和工程款的支付。</w:t>
      </w:r>
    </w:p>
    <w:p w14:paraId="45B8CBEE">
      <w:pPr>
        <w:spacing w:line="480" w:lineRule="exact"/>
        <w:ind w:firstLine="440" w:firstLineChars="200"/>
        <w:jc w:val="both"/>
        <w:rPr>
          <w:color w:val="auto"/>
          <w:highlight w:val="none"/>
          <w:u w:val="single"/>
        </w:rPr>
      </w:pPr>
      <w:r>
        <w:rPr>
          <w:rFonts w:hint="eastAsia"/>
          <w:color w:val="auto"/>
          <w:highlight w:val="none"/>
          <w:u w:val="single"/>
        </w:rPr>
        <w:t>5、人工费按国家和地方有关文件规定执行。</w:t>
      </w:r>
    </w:p>
    <w:p w14:paraId="6A370DB5">
      <w:pPr>
        <w:spacing w:line="480" w:lineRule="exact"/>
        <w:ind w:firstLine="440" w:firstLineChars="200"/>
        <w:jc w:val="both"/>
        <w:rPr>
          <w:color w:val="auto"/>
          <w:highlight w:val="none"/>
          <w:u w:val="single"/>
        </w:rPr>
      </w:pPr>
      <w:r>
        <w:rPr>
          <w:rFonts w:hint="eastAsia"/>
          <w:color w:val="auto"/>
          <w:highlight w:val="none"/>
          <w:u w:val="single"/>
        </w:rPr>
        <w:t>6、施工过程中如遇国家、地方等政策性调整，按规定执行。</w:t>
      </w:r>
    </w:p>
    <w:p w14:paraId="4C5B55BD">
      <w:pPr>
        <w:spacing w:line="440" w:lineRule="exact"/>
        <w:ind w:firstLine="440" w:firstLineChars="200"/>
        <w:jc w:val="both"/>
        <w:rPr>
          <w:color w:val="auto"/>
          <w:highlight w:val="none"/>
          <w:u w:val="single"/>
        </w:rPr>
      </w:pPr>
      <w:r>
        <w:rPr>
          <w:rFonts w:hint="eastAsia"/>
          <w:color w:val="auto"/>
          <w:highlight w:val="none"/>
          <w:u w:val="single"/>
        </w:rPr>
        <w:t>7、在保修期内给水工程的维护和维修，由承包方负责并承担全部费用。</w:t>
      </w:r>
    </w:p>
    <w:p w14:paraId="66935ADC">
      <w:pPr>
        <w:spacing w:line="480" w:lineRule="exact"/>
        <w:ind w:firstLine="440" w:firstLineChars="200"/>
        <w:jc w:val="both"/>
        <w:rPr>
          <w:color w:val="auto"/>
          <w:highlight w:val="none"/>
        </w:rPr>
      </w:pPr>
      <w:r>
        <w:rPr>
          <w:rFonts w:hint="eastAsia"/>
          <w:color w:val="auto"/>
          <w:highlight w:val="none"/>
        </w:rPr>
        <w:t>本合同未尽事宜，双方另行协商，协商内容作为本合同的附件，与本合同具有同等法律效力。</w:t>
      </w:r>
    </w:p>
    <w:p w14:paraId="5EDF4FDA">
      <w:pPr>
        <w:spacing w:line="360" w:lineRule="auto"/>
        <w:ind w:firstLine="440" w:firstLineChars="200"/>
        <w:jc w:val="both"/>
        <w:rPr>
          <w:color w:val="auto"/>
          <w:szCs w:val="21"/>
          <w:highlight w:val="none"/>
          <w:u w:val="single"/>
        </w:rPr>
      </w:pPr>
    </w:p>
    <w:p w14:paraId="2F0C723A">
      <w:pPr>
        <w:spacing w:line="360" w:lineRule="auto"/>
        <w:ind w:firstLine="442" w:firstLineChars="200"/>
        <w:jc w:val="both"/>
        <w:rPr>
          <w:b/>
          <w:color w:val="auto"/>
          <w:szCs w:val="21"/>
          <w:highlight w:val="none"/>
        </w:rPr>
      </w:pPr>
    </w:p>
    <w:p w14:paraId="75FA2154">
      <w:pPr>
        <w:spacing w:line="360" w:lineRule="auto"/>
        <w:ind w:firstLine="442" w:firstLineChars="200"/>
        <w:jc w:val="both"/>
        <w:rPr>
          <w:b/>
          <w:color w:val="auto"/>
          <w:szCs w:val="21"/>
          <w:highlight w:val="none"/>
        </w:rPr>
      </w:pPr>
    </w:p>
    <w:p w14:paraId="28BD795B">
      <w:pPr>
        <w:spacing w:line="360" w:lineRule="auto"/>
        <w:ind w:firstLine="442" w:firstLineChars="200"/>
        <w:jc w:val="both"/>
        <w:rPr>
          <w:b/>
          <w:color w:val="auto"/>
          <w:szCs w:val="21"/>
          <w:highlight w:val="none"/>
        </w:rPr>
      </w:pPr>
    </w:p>
    <w:p w14:paraId="625C8FC4">
      <w:pPr>
        <w:spacing w:line="360" w:lineRule="auto"/>
        <w:ind w:firstLine="442" w:firstLineChars="200"/>
        <w:jc w:val="both"/>
        <w:rPr>
          <w:b/>
          <w:color w:val="auto"/>
          <w:szCs w:val="21"/>
          <w:highlight w:val="none"/>
        </w:rPr>
      </w:pPr>
    </w:p>
    <w:p w14:paraId="3D515231">
      <w:pPr>
        <w:spacing w:line="360" w:lineRule="auto"/>
        <w:ind w:firstLine="442" w:firstLineChars="200"/>
        <w:jc w:val="both"/>
        <w:rPr>
          <w:b/>
          <w:color w:val="auto"/>
          <w:szCs w:val="21"/>
          <w:highlight w:val="none"/>
        </w:rPr>
      </w:pPr>
    </w:p>
    <w:p w14:paraId="673D5859">
      <w:pPr>
        <w:spacing w:line="360" w:lineRule="auto"/>
        <w:ind w:firstLine="442" w:firstLineChars="200"/>
        <w:jc w:val="both"/>
        <w:rPr>
          <w:b/>
          <w:color w:val="auto"/>
          <w:szCs w:val="21"/>
          <w:highlight w:val="none"/>
        </w:rPr>
      </w:pPr>
    </w:p>
    <w:p w14:paraId="37463751">
      <w:pPr>
        <w:spacing w:line="360" w:lineRule="auto"/>
        <w:ind w:firstLine="442" w:firstLineChars="200"/>
        <w:jc w:val="both"/>
        <w:rPr>
          <w:b/>
          <w:color w:val="auto"/>
          <w:szCs w:val="21"/>
          <w:highlight w:val="none"/>
        </w:rPr>
      </w:pPr>
    </w:p>
    <w:p w14:paraId="210FBEBB">
      <w:pPr>
        <w:spacing w:line="360" w:lineRule="auto"/>
        <w:ind w:firstLine="442" w:firstLineChars="200"/>
        <w:jc w:val="both"/>
        <w:rPr>
          <w:b/>
          <w:color w:val="auto"/>
          <w:szCs w:val="21"/>
          <w:highlight w:val="none"/>
        </w:rPr>
      </w:pPr>
    </w:p>
    <w:p w14:paraId="77AD3B65">
      <w:pPr>
        <w:spacing w:line="360" w:lineRule="auto"/>
        <w:ind w:firstLine="442" w:firstLineChars="200"/>
        <w:jc w:val="both"/>
        <w:rPr>
          <w:b/>
          <w:color w:val="auto"/>
          <w:szCs w:val="21"/>
          <w:highlight w:val="none"/>
        </w:rPr>
      </w:pPr>
    </w:p>
    <w:p w14:paraId="3208F50B">
      <w:pPr>
        <w:spacing w:line="360" w:lineRule="auto"/>
        <w:ind w:firstLine="442" w:firstLineChars="200"/>
        <w:jc w:val="both"/>
        <w:rPr>
          <w:b/>
          <w:color w:val="auto"/>
          <w:szCs w:val="21"/>
          <w:highlight w:val="none"/>
        </w:rPr>
      </w:pPr>
    </w:p>
    <w:p w14:paraId="4F4D44C2">
      <w:pPr>
        <w:rPr>
          <w:rFonts w:hint="eastAsia" w:ascii="黑体" w:hAnsi="黑体" w:eastAsia="黑体"/>
          <w:color w:val="auto"/>
          <w:sz w:val="28"/>
          <w:szCs w:val="28"/>
          <w:highlight w:val="none"/>
        </w:rPr>
      </w:pPr>
      <w:r>
        <w:rPr>
          <w:rFonts w:hint="eastAsia" w:ascii="黑体" w:hAnsi="黑体" w:eastAsia="黑体"/>
          <w:color w:val="auto"/>
          <w:sz w:val="28"/>
          <w:szCs w:val="28"/>
          <w:highlight w:val="none"/>
        </w:rPr>
        <w:br w:type="page"/>
      </w:r>
    </w:p>
    <w:p w14:paraId="341C935D">
      <w:pPr>
        <w:spacing w:line="360" w:lineRule="auto"/>
        <w:jc w:val="both"/>
        <w:rPr>
          <w:rFonts w:ascii="黑体" w:hAnsi="黑体" w:eastAsia="黑体"/>
          <w:color w:val="auto"/>
          <w:sz w:val="44"/>
          <w:szCs w:val="44"/>
          <w:highlight w:val="none"/>
        </w:rPr>
      </w:pPr>
      <w:r>
        <w:rPr>
          <w:rFonts w:hint="eastAsia" w:ascii="黑体" w:hAnsi="黑体" w:eastAsia="黑体"/>
          <w:color w:val="auto"/>
          <w:sz w:val="28"/>
          <w:szCs w:val="28"/>
          <w:highlight w:val="none"/>
        </w:rPr>
        <w:t>附件1：</w:t>
      </w:r>
    </w:p>
    <w:p w14:paraId="6E6F2434">
      <w:pPr>
        <w:spacing w:line="360" w:lineRule="auto"/>
        <w:jc w:val="center"/>
        <w:rPr>
          <w:rFonts w:hint="eastAsia" w:ascii="方正小标宋简体" w:eastAsia="方正小标宋简体"/>
          <w:color w:val="auto"/>
          <w:sz w:val="44"/>
          <w:szCs w:val="44"/>
          <w:highlight w:val="none"/>
        </w:rPr>
      </w:pPr>
      <w:r>
        <w:rPr>
          <w:rFonts w:hint="eastAsia" w:ascii="方正小标宋简体" w:eastAsia="方正小标宋简体"/>
          <w:color w:val="auto"/>
          <w:sz w:val="44"/>
          <w:szCs w:val="44"/>
          <w:highlight w:val="none"/>
        </w:rPr>
        <w:t>承包人承揽工程项目一览表</w:t>
      </w:r>
    </w:p>
    <w:tbl>
      <w:tblPr>
        <w:tblStyle w:val="18"/>
        <w:tblW w:w="85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8"/>
        <w:gridCol w:w="900"/>
        <w:gridCol w:w="1319"/>
        <w:gridCol w:w="682"/>
        <w:gridCol w:w="709"/>
        <w:gridCol w:w="877"/>
        <w:gridCol w:w="800"/>
        <w:gridCol w:w="850"/>
        <w:gridCol w:w="709"/>
        <w:gridCol w:w="709"/>
      </w:tblGrid>
      <w:tr w14:paraId="20C30C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3C7F857D">
            <w:pPr>
              <w:spacing w:line="360" w:lineRule="auto"/>
              <w:jc w:val="center"/>
              <w:rPr>
                <w:rFonts w:ascii="宋体" w:hAnsi="宋体"/>
                <w:color w:val="auto"/>
                <w:szCs w:val="21"/>
                <w:highlight w:val="none"/>
              </w:rPr>
            </w:pPr>
            <w:r>
              <w:rPr>
                <w:rFonts w:hint="eastAsia" w:ascii="宋体" w:hAnsi="宋体"/>
                <w:color w:val="auto"/>
                <w:szCs w:val="21"/>
                <w:highlight w:val="none"/>
              </w:rPr>
              <w:t>单位工程名称</w:t>
            </w:r>
          </w:p>
        </w:tc>
        <w:tc>
          <w:tcPr>
            <w:tcW w:w="900" w:type="dxa"/>
            <w:vAlign w:val="center"/>
          </w:tcPr>
          <w:p w14:paraId="2BBFC187">
            <w:pPr>
              <w:spacing w:line="360" w:lineRule="auto"/>
              <w:jc w:val="center"/>
              <w:rPr>
                <w:rFonts w:ascii="宋体" w:hAnsi="宋体"/>
                <w:color w:val="auto"/>
                <w:szCs w:val="21"/>
                <w:highlight w:val="none"/>
              </w:rPr>
            </w:pPr>
            <w:r>
              <w:rPr>
                <w:rFonts w:hint="eastAsia" w:ascii="宋体" w:hAnsi="宋体"/>
                <w:color w:val="auto"/>
                <w:szCs w:val="21"/>
                <w:highlight w:val="none"/>
              </w:rPr>
              <w:t>建设</w:t>
            </w:r>
          </w:p>
          <w:p w14:paraId="621BAD18">
            <w:pPr>
              <w:spacing w:line="360" w:lineRule="auto"/>
              <w:jc w:val="center"/>
              <w:rPr>
                <w:rFonts w:ascii="宋体" w:hAnsi="宋体"/>
                <w:color w:val="auto"/>
                <w:szCs w:val="21"/>
                <w:highlight w:val="none"/>
              </w:rPr>
            </w:pPr>
            <w:r>
              <w:rPr>
                <w:rFonts w:hint="eastAsia" w:ascii="宋体" w:hAnsi="宋体"/>
                <w:color w:val="auto"/>
                <w:szCs w:val="21"/>
                <w:highlight w:val="none"/>
              </w:rPr>
              <w:t>规模</w:t>
            </w:r>
          </w:p>
        </w:tc>
        <w:tc>
          <w:tcPr>
            <w:tcW w:w="1319" w:type="dxa"/>
            <w:vAlign w:val="center"/>
          </w:tcPr>
          <w:p w14:paraId="169F808E">
            <w:pPr>
              <w:spacing w:line="360" w:lineRule="auto"/>
              <w:jc w:val="center"/>
              <w:rPr>
                <w:rFonts w:ascii="宋体" w:hAnsi="宋体"/>
                <w:color w:val="auto"/>
                <w:szCs w:val="21"/>
                <w:highlight w:val="none"/>
              </w:rPr>
            </w:pPr>
            <w:r>
              <w:rPr>
                <w:rFonts w:hint="eastAsia" w:ascii="宋体" w:hAnsi="宋体"/>
                <w:color w:val="auto"/>
                <w:szCs w:val="21"/>
                <w:highlight w:val="none"/>
              </w:rPr>
              <w:t>建筑面积（平方米）</w:t>
            </w:r>
          </w:p>
        </w:tc>
        <w:tc>
          <w:tcPr>
            <w:tcW w:w="682" w:type="dxa"/>
            <w:vAlign w:val="center"/>
          </w:tcPr>
          <w:p w14:paraId="3FDC35C3">
            <w:pPr>
              <w:spacing w:line="360" w:lineRule="auto"/>
              <w:ind w:right="-81" w:rightChars="-37"/>
              <w:jc w:val="center"/>
              <w:rPr>
                <w:rFonts w:ascii="宋体" w:hAnsi="宋体"/>
                <w:color w:val="auto"/>
                <w:szCs w:val="21"/>
                <w:highlight w:val="none"/>
              </w:rPr>
            </w:pPr>
            <w:r>
              <w:rPr>
                <w:rFonts w:hint="eastAsia" w:ascii="宋体" w:hAnsi="宋体"/>
                <w:color w:val="auto"/>
                <w:szCs w:val="21"/>
                <w:highlight w:val="none"/>
              </w:rPr>
              <w:t>结构</w:t>
            </w:r>
          </w:p>
        </w:tc>
        <w:tc>
          <w:tcPr>
            <w:tcW w:w="709" w:type="dxa"/>
            <w:vAlign w:val="center"/>
          </w:tcPr>
          <w:p w14:paraId="589A1F63">
            <w:pPr>
              <w:spacing w:line="360" w:lineRule="auto"/>
              <w:jc w:val="center"/>
              <w:rPr>
                <w:rFonts w:ascii="宋体" w:hAnsi="宋体"/>
                <w:color w:val="auto"/>
                <w:szCs w:val="21"/>
                <w:highlight w:val="none"/>
              </w:rPr>
            </w:pPr>
            <w:r>
              <w:rPr>
                <w:rFonts w:hint="eastAsia" w:ascii="宋体" w:hAnsi="宋体"/>
                <w:color w:val="auto"/>
                <w:szCs w:val="21"/>
                <w:highlight w:val="none"/>
              </w:rPr>
              <w:t>层数</w:t>
            </w:r>
          </w:p>
        </w:tc>
        <w:tc>
          <w:tcPr>
            <w:tcW w:w="877" w:type="dxa"/>
            <w:vAlign w:val="center"/>
          </w:tcPr>
          <w:p w14:paraId="3B34E128">
            <w:pPr>
              <w:spacing w:line="360" w:lineRule="auto"/>
              <w:jc w:val="center"/>
              <w:rPr>
                <w:rFonts w:ascii="宋体" w:hAnsi="宋体"/>
                <w:color w:val="auto"/>
                <w:szCs w:val="21"/>
                <w:highlight w:val="none"/>
              </w:rPr>
            </w:pPr>
            <w:r>
              <w:rPr>
                <w:rFonts w:hint="eastAsia" w:ascii="宋体" w:hAnsi="宋体"/>
                <w:color w:val="auto"/>
                <w:szCs w:val="21"/>
                <w:highlight w:val="none"/>
              </w:rPr>
              <w:t>跨度</w:t>
            </w:r>
          </w:p>
          <w:p w14:paraId="3B082C7B">
            <w:pPr>
              <w:spacing w:line="360" w:lineRule="auto"/>
              <w:jc w:val="center"/>
              <w:rPr>
                <w:rFonts w:ascii="宋体" w:hAnsi="宋体"/>
                <w:color w:val="auto"/>
                <w:szCs w:val="21"/>
                <w:highlight w:val="none"/>
              </w:rPr>
            </w:pPr>
            <w:r>
              <w:rPr>
                <w:rFonts w:hint="eastAsia" w:ascii="宋体" w:hAnsi="宋体"/>
                <w:color w:val="auto"/>
                <w:szCs w:val="21"/>
                <w:highlight w:val="none"/>
              </w:rPr>
              <w:t>（米）</w:t>
            </w:r>
          </w:p>
        </w:tc>
        <w:tc>
          <w:tcPr>
            <w:tcW w:w="800" w:type="dxa"/>
            <w:vAlign w:val="center"/>
          </w:tcPr>
          <w:p w14:paraId="4CAEAEA0">
            <w:pPr>
              <w:spacing w:line="360" w:lineRule="auto"/>
              <w:jc w:val="center"/>
              <w:rPr>
                <w:rFonts w:hint="eastAsia" w:ascii="宋体" w:hAnsi="宋体"/>
                <w:color w:val="auto"/>
                <w:szCs w:val="21"/>
                <w:highlight w:val="none"/>
              </w:rPr>
            </w:pPr>
            <w:r>
              <w:rPr>
                <w:rFonts w:hint="eastAsia" w:ascii="宋体" w:hAnsi="宋体"/>
                <w:color w:val="auto"/>
                <w:szCs w:val="21"/>
                <w:highlight w:val="none"/>
              </w:rPr>
              <w:t>设备</w:t>
            </w:r>
          </w:p>
          <w:p w14:paraId="654ABB8F">
            <w:pPr>
              <w:spacing w:line="360" w:lineRule="auto"/>
              <w:jc w:val="center"/>
              <w:rPr>
                <w:rFonts w:hint="eastAsia" w:ascii="宋体" w:hAnsi="宋体"/>
                <w:color w:val="auto"/>
                <w:szCs w:val="21"/>
                <w:highlight w:val="none"/>
              </w:rPr>
            </w:pPr>
            <w:r>
              <w:rPr>
                <w:rFonts w:hint="eastAsia" w:ascii="宋体" w:hAnsi="宋体"/>
                <w:color w:val="auto"/>
                <w:szCs w:val="21"/>
                <w:highlight w:val="none"/>
              </w:rPr>
              <w:t>安装</w:t>
            </w:r>
          </w:p>
          <w:p w14:paraId="2110EA16">
            <w:pPr>
              <w:spacing w:line="360" w:lineRule="auto"/>
              <w:jc w:val="center"/>
              <w:rPr>
                <w:rFonts w:ascii="宋体" w:hAnsi="宋体"/>
                <w:color w:val="auto"/>
                <w:szCs w:val="21"/>
                <w:highlight w:val="none"/>
              </w:rPr>
            </w:pPr>
            <w:r>
              <w:rPr>
                <w:rFonts w:hint="eastAsia" w:ascii="宋体" w:hAnsi="宋体"/>
                <w:color w:val="auto"/>
                <w:szCs w:val="21"/>
                <w:highlight w:val="none"/>
              </w:rPr>
              <w:t>内容</w:t>
            </w:r>
          </w:p>
        </w:tc>
        <w:tc>
          <w:tcPr>
            <w:tcW w:w="850" w:type="dxa"/>
            <w:vAlign w:val="center"/>
          </w:tcPr>
          <w:p w14:paraId="2FE28B0A">
            <w:pPr>
              <w:spacing w:line="360" w:lineRule="auto"/>
              <w:jc w:val="center"/>
              <w:rPr>
                <w:rFonts w:hint="eastAsia" w:ascii="宋体" w:hAnsi="宋体"/>
                <w:color w:val="auto"/>
                <w:szCs w:val="21"/>
                <w:highlight w:val="none"/>
              </w:rPr>
            </w:pPr>
            <w:r>
              <w:rPr>
                <w:rFonts w:hint="eastAsia" w:ascii="宋体" w:hAnsi="宋体"/>
                <w:color w:val="auto"/>
                <w:szCs w:val="21"/>
                <w:highlight w:val="none"/>
              </w:rPr>
              <w:t>工程</w:t>
            </w:r>
          </w:p>
          <w:p w14:paraId="7795624E">
            <w:pPr>
              <w:spacing w:line="360" w:lineRule="auto"/>
              <w:jc w:val="center"/>
              <w:rPr>
                <w:rFonts w:hint="eastAsia" w:ascii="宋体" w:hAnsi="宋体"/>
                <w:color w:val="auto"/>
                <w:szCs w:val="21"/>
                <w:highlight w:val="none"/>
              </w:rPr>
            </w:pPr>
            <w:r>
              <w:rPr>
                <w:rFonts w:hint="eastAsia" w:ascii="宋体" w:hAnsi="宋体"/>
                <w:color w:val="auto"/>
                <w:szCs w:val="21"/>
                <w:highlight w:val="none"/>
              </w:rPr>
              <w:t>造价</w:t>
            </w:r>
          </w:p>
          <w:p w14:paraId="3E6EA8B1">
            <w:pPr>
              <w:spacing w:line="360" w:lineRule="auto"/>
              <w:jc w:val="center"/>
              <w:rPr>
                <w:rFonts w:ascii="宋体" w:hAnsi="宋体"/>
                <w:color w:val="auto"/>
                <w:szCs w:val="21"/>
                <w:highlight w:val="none"/>
              </w:rPr>
            </w:pPr>
            <w:r>
              <w:rPr>
                <w:rFonts w:hint="eastAsia" w:ascii="宋体" w:hAnsi="宋体"/>
                <w:color w:val="auto"/>
                <w:szCs w:val="21"/>
                <w:highlight w:val="none"/>
              </w:rPr>
              <w:t>（元）</w:t>
            </w:r>
          </w:p>
        </w:tc>
        <w:tc>
          <w:tcPr>
            <w:tcW w:w="709" w:type="dxa"/>
            <w:vAlign w:val="center"/>
          </w:tcPr>
          <w:p w14:paraId="6B75CF2F">
            <w:pPr>
              <w:spacing w:line="360" w:lineRule="auto"/>
              <w:jc w:val="center"/>
              <w:rPr>
                <w:rFonts w:ascii="宋体" w:hAnsi="宋体"/>
                <w:color w:val="auto"/>
                <w:szCs w:val="21"/>
                <w:highlight w:val="none"/>
              </w:rPr>
            </w:pPr>
            <w:r>
              <w:rPr>
                <w:rFonts w:hint="eastAsia" w:ascii="宋体" w:hAnsi="宋体"/>
                <w:color w:val="auto"/>
                <w:szCs w:val="21"/>
                <w:highlight w:val="none"/>
              </w:rPr>
              <w:t>开工</w:t>
            </w:r>
          </w:p>
          <w:p w14:paraId="28953632">
            <w:pPr>
              <w:spacing w:line="360" w:lineRule="auto"/>
              <w:jc w:val="center"/>
              <w:rPr>
                <w:rFonts w:ascii="宋体" w:hAnsi="宋体"/>
                <w:color w:val="auto"/>
                <w:szCs w:val="21"/>
                <w:highlight w:val="none"/>
              </w:rPr>
            </w:pPr>
            <w:r>
              <w:rPr>
                <w:rFonts w:hint="eastAsia" w:ascii="宋体" w:hAnsi="宋体"/>
                <w:color w:val="auto"/>
                <w:szCs w:val="21"/>
                <w:highlight w:val="none"/>
              </w:rPr>
              <w:t>日期</w:t>
            </w:r>
          </w:p>
        </w:tc>
        <w:tc>
          <w:tcPr>
            <w:tcW w:w="709" w:type="dxa"/>
            <w:vAlign w:val="center"/>
          </w:tcPr>
          <w:p w14:paraId="310918EB">
            <w:pPr>
              <w:spacing w:line="360" w:lineRule="auto"/>
              <w:jc w:val="center"/>
              <w:rPr>
                <w:rFonts w:ascii="宋体" w:hAnsi="宋体"/>
                <w:color w:val="auto"/>
                <w:szCs w:val="21"/>
                <w:highlight w:val="none"/>
              </w:rPr>
            </w:pPr>
            <w:r>
              <w:rPr>
                <w:rFonts w:hint="eastAsia" w:ascii="宋体" w:hAnsi="宋体"/>
                <w:color w:val="auto"/>
                <w:szCs w:val="21"/>
                <w:highlight w:val="none"/>
              </w:rPr>
              <w:t>竣工</w:t>
            </w:r>
          </w:p>
          <w:p w14:paraId="0A81C4D7">
            <w:pPr>
              <w:spacing w:line="360" w:lineRule="auto"/>
              <w:jc w:val="center"/>
              <w:rPr>
                <w:rFonts w:ascii="宋体" w:hAnsi="宋体"/>
                <w:color w:val="auto"/>
                <w:szCs w:val="21"/>
                <w:highlight w:val="none"/>
              </w:rPr>
            </w:pPr>
            <w:r>
              <w:rPr>
                <w:rFonts w:hint="eastAsia" w:ascii="宋体" w:hAnsi="宋体"/>
                <w:color w:val="auto"/>
                <w:szCs w:val="21"/>
                <w:highlight w:val="none"/>
              </w:rPr>
              <w:t>日期</w:t>
            </w:r>
          </w:p>
        </w:tc>
      </w:tr>
      <w:tr w14:paraId="772618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C67D395">
            <w:pPr>
              <w:spacing w:line="360" w:lineRule="auto"/>
              <w:ind w:firstLine="440" w:firstLineChars="200"/>
              <w:jc w:val="both"/>
              <w:rPr>
                <w:rFonts w:ascii="宋体" w:hAnsi="宋体"/>
                <w:color w:val="auto"/>
                <w:szCs w:val="21"/>
                <w:highlight w:val="none"/>
              </w:rPr>
            </w:pPr>
          </w:p>
        </w:tc>
        <w:tc>
          <w:tcPr>
            <w:tcW w:w="900" w:type="dxa"/>
            <w:vAlign w:val="center"/>
          </w:tcPr>
          <w:p w14:paraId="091AED37">
            <w:pPr>
              <w:spacing w:line="360" w:lineRule="auto"/>
              <w:ind w:firstLine="440" w:firstLineChars="200"/>
              <w:jc w:val="both"/>
              <w:rPr>
                <w:rFonts w:ascii="宋体" w:hAnsi="宋体"/>
                <w:color w:val="auto"/>
                <w:szCs w:val="21"/>
                <w:highlight w:val="none"/>
              </w:rPr>
            </w:pPr>
          </w:p>
        </w:tc>
        <w:tc>
          <w:tcPr>
            <w:tcW w:w="1319" w:type="dxa"/>
            <w:vAlign w:val="center"/>
          </w:tcPr>
          <w:p w14:paraId="61AF1638">
            <w:pPr>
              <w:spacing w:line="360" w:lineRule="auto"/>
              <w:ind w:firstLine="440" w:firstLineChars="200"/>
              <w:jc w:val="both"/>
              <w:rPr>
                <w:rFonts w:ascii="宋体" w:hAnsi="宋体"/>
                <w:color w:val="auto"/>
                <w:szCs w:val="21"/>
                <w:highlight w:val="none"/>
              </w:rPr>
            </w:pPr>
          </w:p>
        </w:tc>
        <w:tc>
          <w:tcPr>
            <w:tcW w:w="682" w:type="dxa"/>
            <w:vAlign w:val="center"/>
          </w:tcPr>
          <w:p w14:paraId="3C0CEED2">
            <w:pPr>
              <w:spacing w:line="360" w:lineRule="auto"/>
              <w:ind w:firstLine="440" w:firstLineChars="200"/>
              <w:jc w:val="both"/>
              <w:rPr>
                <w:rFonts w:ascii="宋体" w:hAnsi="宋体"/>
                <w:color w:val="auto"/>
                <w:szCs w:val="21"/>
                <w:highlight w:val="none"/>
              </w:rPr>
            </w:pPr>
          </w:p>
        </w:tc>
        <w:tc>
          <w:tcPr>
            <w:tcW w:w="709" w:type="dxa"/>
            <w:vAlign w:val="center"/>
          </w:tcPr>
          <w:p w14:paraId="4CFF8BBF">
            <w:pPr>
              <w:spacing w:line="360" w:lineRule="auto"/>
              <w:ind w:firstLine="440" w:firstLineChars="200"/>
              <w:jc w:val="both"/>
              <w:rPr>
                <w:rFonts w:ascii="宋体" w:hAnsi="宋体"/>
                <w:color w:val="auto"/>
                <w:szCs w:val="21"/>
                <w:highlight w:val="none"/>
              </w:rPr>
            </w:pPr>
          </w:p>
        </w:tc>
        <w:tc>
          <w:tcPr>
            <w:tcW w:w="877" w:type="dxa"/>
            <w:vAlign w:val="center"/>
          </w:tcPr>
          <w:p w14:paraId="5BEA76CD">
            <w:pPr>
              <w:spacing w:line="360" w:lineRule="auto"/>
              <w:ind w:firstLine="440" w:firstLineChars="200"/>
              <w:jc w:val="both"/>
              <w:rPr>
                <w:rFonts w:ascii="宋体" w:hAnsi="宋体"/>
                <w:color w:val="auto"/>
                <w:szCs w:val="21"/>
                <w:highlight w:val="none"/>
              </w:rPr>
            </w:pPr>
          </w:p>
        </w:tc>
        <w:tc>
          <w:tcPr>
            <w:tcW w:w="800" w:type="dxa"/>
            <w:vAlign w:val="center"/>
          </w:tcPr>
          <w:p w14:paraId="3C871F9E">
            <w:pPr>
              <w:spacing w:line="360" w:lineRule="auto"/>
              <w:ind w:firstLine="440" w:firstLineChars="200"/>
              <w:jc w:val="both"/>
              <w:rPr>
                <w:rFonts w:ascii="宋体" w:hAnsi="宋体"/>
                <w:color w:val="auto"/>
                <w:szCs w:val="21"/>
                <w:highlight w:val="none"/>
              </w:rPr>
            </w:pPr>
          </w:p>
        </w:tc>
        <w:tc>
          <w:tcPr>
            <w:tcW w:w="850" w:type="dxa"/>
            <w:vAlign w:val="center"/>
          </w:tcPr>
          <w:p w14:paraId="3D815E00">
            <w:pPr>
              <w:spacing w:line="360" w:lineRule="auto"/>
              <w:ind w:firstLine="440" w:firstLineChars="200"/>
              <w:jc w:val="both"/>
              <w:rPr>
                <w:rFonts w:ascii="宋体" w:hAnsi="宋体"/>
                <w:color w:val="auto"/>
                <w:szCs w:val="21"/>
                <w:highlight w:val="none"/>
              </w:rPr>
            </w:pPr>
          </w:p>
        </w:tc>
        <w:tc>
          <w:tcPr>
            <w:tcW w:w="709" w:type="dxa"/>
            <w:vAlign w:val="center"/>
          </w:tcPr>
          <w:p w14:paraId="0DA2876F">
            <w:pPr>
              <w:spacing w:line="360" w:lineRule="auto"/>
              <w:ind w:firstLine="440" w:firstLineChars="200"/>
              <w:jc w:val="both"/>
              <w:rPr>
                <w:rFonts w:ascii="宋体" w:hAnsi="宋体"/>
                <w:color w:val="auto"/>
                <w:szCs w:val="21"/>
                <w:highlight w:val="none"/>
              </w:rPr>
            </w:pPr>
          </w:p>
        </w:tc>
        <w:tc>
          <w:tcPr>
            <w:tcW w:w="709" w:type="dxa"/>
            <w:vAlign w:val="center"/>
          </w:tcPr>
          <w:p w14:paraId="2A9EBCCE">
            <w:pPr>
              <w:spacing w:line="360" w:lineRule="auto"/>
              <w:ind w:firstLine="440" w:firstLineChars="200"/>
              <w:jc w:val="both"/>
              <w:rPr>
                <w:rFonts w:ascii="宋体" w:hAnsi="宋体"/>
                <w:color w:val="auto"/>
                <w:szCs w:val="21"/>
                <w:highlight w:val="none"/>
              </w:rPr>
            </w:pPr>
          </w:p>
        </w:tc>
      </w:tr>
      <w:tr w14:paraId="315188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7369141">
            <w:pPr>
              <w:spacing w:line="360" w:lineRule="auto"/>
              <w:ind w:firstLine="440" w:firstLineChars="200"/>
              <w:jc w:val="both"/>
              <w:rPr>
                <w:rFonts w:ascii="宋体" w:hAnsi="宋体"/>
                <w:color w:val="auto"/>
                <w:szCs w:val="21"/>
                <w:highlight w:val="none"/>
              </w:rPr>
            </w:pPr>
          </w:p>
        </w:tc>
        <w:tc>
          <w:tcPr>
            <w:tcW w:w="900" w:type="dxa"/>
            <w:vAlign w:val="center"/>
          </w:tcPr>
          <w:p w14:paraId="40A1B051">
            <w:pPr>
              <w:spacing w:line="360" w:lineRule="auto"/>
              <w:ind w:firstLine="440" w:firstLineChars="200"/>
              <w:jc w:val="both"/>
              <w:rPr>
                <w:rFonts w:ascii="宋体" w:hAnsi="宋体"/>
                <w:color w:val="auto"/>
                <w:szCs w:val="21"/>
                <w:highlight w:val="none"/>
              </w:rPr>
            </w:pPr>
          </w:p>
        </w:tc>
        <w:tc>
          <w:tcPr>
            <w:tcW w:w="1319" w:type="dxa"/>
            <w:vAlign w:val="center"/>
          </w:tcPr>
          <w:p w14:paraId="6A2559F5">
            <w:pPr>
              <w:spacing w:line="360" w:lineRule="auto"/>
              <w:ind w:firstLine="440" w:firstLineChars="200"/>
              <w:jc w:val="both"/>
              <w:rPr>
                <w:rFonts w:ascii="宋体" w:hAnsi="宋体"/>
                <w:color w:val="auto"/>
                <w:szCs w:val="21"/>
                <w:highlight w:val="none"/>
              </w:rPr>
            </w:pPr>
          </w:p>
        </w:tc>
        <w:tc>
          <w:tcPr>
            <w:tcW w:w="682" w:type="dxa"/>
            <w:vAlign w:val="center"/>
          </w:tcPr>
          <w:p w14:paraId="20C6D6A9">
            <w:pPr>
              <w:spacing w:line="360" w:lineRule="auto"/>
              <w:ind w:firstLine="440" w:firstLineChars="200"/>
              <w:jc w:val="both"/>
              <w:rPr>
                <w:rFonts w:ascii="宋体" w:hAnsi="宋体"/>
                <w:color w:val="auto"/>
                <w:szCs w:val="21"/>
                <w:highlight w:val="none"/>
              </w:rPr>
            </w:pPr>
          </w:p>
        </w:tc>
        <w:tc>
          <w:tcPr>
            <w:tcW w:w="709" w:type="dxa"/>
            <w:vAlign w:val="center"/>
          </w:tcPr>
          <w:p w14:paraId="3F91C02E">
            <w:pPr>
              <w:spacing w:line="360" w:lineRule="auto"/>
              <w:ind w:firstLine="440" w:firstLineChars="200"/>
              <w:jc w:val="both"/>
              <w:rPr>
                <w:rFonts w:ascii="宋体" w:hAnsi="宋体"/>
                <w:color w:val="auto"/>
                <w:szCs w:val="21"/>
                <w:highlight w:val="none"/>
              </w:rPr>
            </w:pPr>
          </w:p>
        </w:tc>
        <w:tc>
          <w:tcPr>
            <w:tcW w:w="877" w:type="dxa"/>
            <w:vAlign w:val="center"/>
          </w:tcPr>
          <w:p w14:paraId="399D16D0">
            <w:pPr>
              <w:spacing w:line="360" w:lineRule="auto"/>
              <w:ind w:firstLine="440" w:firstLineChars="200"/>
              <w:jc w:val="both"/>
              <w:rPr>
                <w:rFonts w:ascii="宋体" w:hAnsi="宋体"/>
                <w:color w:val="auto"/>
                <w:szCs w:val="21"/>
                <w:highlight w:val="none"/>
              </w:rPr>
            </w:pPr>
          </w:p>
        </w:tc>
        <w:tc>
          <w:tcPr>
            <w:tcW w:w="800" w:type="dxa"/>
            <w:vAlign w:val="center"/>
          </w:tcPr>
          <w:p w14:paraId="1502EDA6">
            <w:pPr>
              <w:spacing w:line="360" w:lineRule="auto"/>
              <w:ind w:firstLine="440" w:firstLineChars="200"/>
              <w:jc w:val="both"/>
              <w:rPr>
                <w:rFonts w:ascii="宋体" w:hAnsi="宋体"/>
                <w:color w:val="auto"/>
                <w:szCs w:val="21"/>
                <w:highlight w:val="none"/>
              </w:rPr>
            </w:pPr>
          </w:p>
        </w:tc>
        <w:tc>
          <w:tcPr>
            <w:tcW w:w="850" w:type="dxa"/>
            <w:vAlign w:val="center"/>
          </w:tcPr>
          <w:p w14:paraId="16397DA3">
            <w:pPr>
              <w:spacing w:line="360" w:lineRule="auto"/>
              <w:ind w:firstLine="440" w:firstLineChars="200"/>
              <w:jc w:val="both"/>
              <w:rPr>
                <w:rFonts w:ascii="宋体" w:hAnsi="宋体"/>
                <w:color w:val="auto"/>
                <w:szCs w:val="21"/>
                <w:highlight w:val="none"/>
              </w:rPr>
            </w:pPr>
          </w:p>
        </w:tc>
        <w:tc>
          <w:tcPr>
            <w:tcW w:w="709" w:type="dxa"/>
            <w:vAlign w:val="center"/>
          </w:tcPr>
          <w:p w14:paraId="52E921D4">
            <w:pPr>
              <w:spacing w:line="360" w:lineRule="auto"/>
              <w:ind w:firstLine="440" w:firstLineChars="200"/>
              <w:jc w:val="both"/>
              <w:rPr>
                <w:rFonts w:ascii="宋体" w:hAnsi="宋体"/>
                <w:color w:val="auto"/>
                <w:szCs w:val="21"/>
                <w:highlight w:val="none"/>
              </w:rPr>
            </w:pPr>
          </w:p>
        </w:tc>
        <w:tc>
          <w:tcPr>
            <w:tcW w:w="709" w:type="dxa"/>
            <w:vAlign w:val="center"/>
          </w:tcPr>
          <w:p w14:paraId="0D35D790">
            <w:pPr>
              <w:spacing w:line="360" w:lineRule="auto"/>
              <w:ind w:firstLine="440" w:firstLineChars="200"/>
              <w:jc w:val="both"/>
              <w:rPr>
                <w:rFonts w:ascii="宋体" w:hAnsi="宋体"/>
                <w:color w:val="auto"/>
                <w:szCs w:val="21"/>
                <w:highlight w:val="none"/>
              </w:rPr>
            </w:pPr>
          </w:p>
        </w:tc>
      </w:tr>
      <w:tr w14:paraId="2195C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0DC19ECF">
            <w:pPr>
              <w:spacing w:line="360" w:lineRule="auto"/>
              <w:ind w:firstLine="440" w:firstLineChars="200"/>
              <w:jc w:val="both"/>
              <w:rPr>
                <w:rFonts w:ascii="宋体" w:hAnsi="宋体"/>
                <w:color w:val="auto"/>
                <w:szCs w:val="21"/>
                <w:highlight w:val="none"/>
              </w:rPr>
            </w:pPr>
          </w:p>
        </w:tc>
        <w:tc>
          <w:tcPr>
            <w:tcW w:w="900" w:type="dxa"/>
            <w:vAlign w:val="center"/>
          </w:tcPr>
          <w:p w14:paraId="169ACEA1">
            <w:pPr>
              <w:spacing w:line="360" w:lineRule="auto"/>
              <w:ind w:firstLine="440" w:firstLineChars="200"/>
              <w:jc w:val="both"/>
              <w:rPr>
                <w:rFonts w:ascii="宋体" w:hAnsi="宋体"/>
                <w:color w:val="auto"/>
                <w:szCs w:val="21"/>
                <w:highlight w:val="none"/>
              </w:rPr>
            </w:pPr>
          </w:p>
        </w:tc>
        <w:tc>
          <w:tcPr>
            <w:tcW w:w="1319" w:type="dxa"/>
            <w:vAlign w:val="center"/>
          </w:tcPr>
          <w:p w14:paraId="10883122">
            <w:pPr>
              <w:spacing w:line="360" w:lineRule="auto"/>
              <w:ind w:firstLine="440" w:firstLineChars="200"/>
              <w:jc w:val="both"/>
              <w:rPr>
                <w:rFonts w:ascii="宋体" w:hAnsi="宋体"/>
                <w:color w:val="auto"/>
                <w:szCs w:val="21"/>
                <w:highlight w:val="none"/>
              </w:rPr>
            </w:pPr>
          </w:p>
        </w:tc>
        <w:tc>
          <w:tcPr>
            <w:tcW w:w="682" w:type="dxa"/>
            <w:vAlign w:val="center"/>
          </w:tcPr>
          <w:p w14:paraId="2AF26636">
            <w:pPr>
              <w:spacing w:line="360" w:lineRule="auto"/>
              <w:ind w:firstLine="440" w:firstLineChars="200"/>
              <w:jc w:val="both"/>
              <w:rPr>
                <w:rFonts w:ascii="宋体" w:hAnsi="宋体"/>
                <w:color w:val="auto"/>
                <w:szCs w:val="21"/>
                <w:highlight w:val="none"/>
              </w:rPr>
            </w:pPr>
          </w:p>
        </w:tc>
        <w:tc>
          <w:tcPr>
            <w:tcW w:w="709" w:type="dxa"/>
            <w:vAlign w:val="center"/>
          </w:tcPr>
          <w:p w14:paraId="23BDB957">
            <w:pPr>
              <w:spacing w:line="360" w:lineRule="auto"/>
              <w:ind w:firstLine="440" w:firstLineChars="200"/>
              <w:jc w:val="both"/>
              <w:rPr>
                <w:rFonts w:ascii="宋体" w:hAnsi="宋体"/>
                <w:color w:val="auto"/>
                <w:szCs w:val="21"/>
                <w:highlight w:val="none"/>
              </w:rPr>
            </w:pPr>
          </w:p>
        </w:tc>
        <w:tc>
          <w:tcPr>
            <w:tcW w:w="877" w:type="dxa"/>
            <w:vAlign w:val="center"/>
          </w:tcPr>
          <w:p w14:paraId="019389D0">
            <w:pPr>
              <w:spacing w:line="360" w:lineRule="auto"/>
              <w:ind w:firstLine="440" w:firstLineChars="200"/>
              <w:jc w:val="both"/>
              <w:rPr>
                <w:rFonts w:ascii="宋体" w:hAnsi="宋体"/>
                <w:color w:val="auto"/>
                <w:szCs w:val="21"/>
                <w:highlight w:val="none"/>
              </w:rPr>
            </w:pPr>
          </w:p>
        </w:tc>
        <w:tc>
          <w:tcPr>
            <w:tcW w:w="800" w:type="dxa"/>
            <w:vAlign w:val="center"/>
          </w:tcPr>
          <w:p w14:paraId="2B0E337F">
            <w:pPr>
              <w:spacing w:line="360" w:lineRule="auto"/>
              <w:ind w:firstLine="440" w:firstLineChars="200"/>
              <w:jc w:val="both"/>
              <w:rPr>
                <w:rFonts w:ascii="宋体" w:hAnsi="宋体"/>
                <w:color w:val="auto"/>
                <w:szCs w:val="21"/>
                <w:highlight w:val="none"/>
              </w:rPr>
            </w:pPr>
          </w:p>
        </w:tc>
        <w:tc>
          <w:tcPr>
            <w:tcW w:w="850" w:type="dxa"/>
            <w:vAlign w:val="center"/>
          </w:tcPr>
          <w:p w14:paraId="4DA38A3F">
            <w:pPr>
              <w:spacing w:line="360" w:lineRule="auto"/>
              <w:ind w:firstLine="440" w:firstLineChars="200"/>
              <w:jc w:val="both"/>
              <w:rPr>
                <w:rFonts w:ascii="宋体" w:hAnsi="宋体"/>
                <w:color w:val="auto"/>
                <w:szCs w:val="21"/>
                <w:highlight w:val="none"/>
              </w:rPr>
            </w:pPr>
          </w:p>
        </w:tc>
        <w:tc>
          <w:tcPr>
            <w:tcW w:w="709" w:type="dxa"/>
            <w:vAlign w:val="center"/>
          </w:tcPr>
          <w:p w14:paraId="7FED41A5">
            <w:pPr>
              <w:spacing w:line="360" w:lineRule="auto"/>
              <w:ind w:firstLine="440" w:firstLineChars="200"/>
              <w:jc w:val="both"/>
              <w:rPr>
                <w:rFonts w:ascii="宋体" w:hAnsi="宋体"/>
                <w:color w:val="auto"/>
                <w:szCs w:val="21"/>
                <w:highlight w:val="none"/>
              </w:rPr>
            </w:pPr>
          </w:p>
        </w:tc>
        <w:tc>
          <w:tcPr>
            <w:tcW w:w="709" w:type="dxa"/>
            <w:vAlign w:val="center"/>
          </w:tcPr>
          <w:p w14:paraId="5C030F8D">
            <w:pPr>
              <w:spacing w:line="360" w:lineRule="auto"/>
              <w:ind w:firstLine="440" w:firstLineChars="200"/>
              <w:jc w:val="both"/>
              <w:rPr>
                <w:rFonts w:ascii="宋体" w:hAnsi="宋体"/>
                <w:color w:val="auto"/>
                <w:szCs w:val="21"/>
                <w:highlight w:val="none"/>
              </w:rPr>
            </w:pPr>
          </w:p>
        </w:tc>
      </w:tr>
      <w:tr w14:paraId="3E8B0F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16550126">
            <w:pPr>
              <w:spacing w:line="360" w:lineRule="auto"/>
              <w:ind w:firstLine="640" w:firstLineChars="200"/>
              <w:jc w:val="both"/>
              <w:rPr>
                <w:rFonts w:ascii="宋体" w:hAnsi="宋体"/>
                <w:color w:val="auto"/>
                <w:sz w:val="32"/>
                <w:highlight w:val="none"/>
              </w:rPr>
            </w:pPr>
          </w:p>
        </w:tc>
        <w:tc>
          <w:tcPr>
            <w:tcW w:w="900" w:type="dxa"/>
            <w:vAlign w:val="center"/>
          </w:tcPr>
          <w:p w14:paraId="7F053AFB">
            <w:pPr>
              <w:spacing w:line="360" w:lineRule="auto"/>
              <w:ind w:firstLine="640" w:firstLineChars="200"/>
              <w:jc w:val="both"/>
              <w:rPr>
                <w:rFonts w:ascii="宋体" w:hAnsi="宋体"/>
                <w:color w:val="auto"/>
                <w:sz w:val="32"/>
                <w:highlight w:val="none"/>
              </w:rPr>
            </w:pPr>
          </w:p>
        </w:tc>
        <w:tc>
          <w:tcPr>
            <w:tcW w:w="1319" w:type="dxa"/>
            <w:vAlign w:val="center"/>
          </w:tcPr>
          <w:p w14:paraId="2354F40D">
            <w:pPr>
              <w:spacing w:line="360" w:lineRule="auto"/>
              <w:ind w:firstLine="640" w:firstLineChars="200"/>
              <w:jc w:val="both"/>
              <w:rPr>
                <w:rFonts w:ascii="宋体" w:hAnsi="宋体"/>
                <w:color w:val="auto"/>
                <w:sz w:val="32"/>
                <w:highlight w:val="none"/>
              </w:rPr>
            </w:pPr>
          </w:p>
        </w:tc>
        <w:tc>
          <w:tcPr>
            <w:tcW w:w="682" w:type="dxa"/>
            <w:vAlign w:val="center"/>
          </w:tcPr>
          <w:p w14:paraId="185BDE76">
            <w:pPr>
              <w:spacing w:line="360" w:lineRule="auto"/>
              <w:ind w:firstLine="640" w:firstLineChars="200"/>
              <w:jc w:val="both"/>
              <w:rPr>
                <w:rFonts w:ascii="宋体" w:hAnsi="宋体"/>
                <w:color w:val="auto"/>
                <w:sz w:val="32"/>
                <w:highlight w:val="none"/>
              </w:rPr>
            </w:pPr>
          </w:p>
        </w:tc>
        <w:tc>
          <w:tcPr>
            <w:tcW w:w="709" w:type="dxa"/>
            <w:vAlign w:val="center"/>
          </w:tcPr>
          <w:p w14:paraId="1B46E4A3">
            <w:pPr>
              <w:spacing w:line="360" w:lineRule="auto"/>
              <w:ind w:firstLine="640" w:firstLineChars="200"/>
              <w:jc w:val="both"/>
              <w:rPr>
                <w:rFonts w:ascii="宋体" w:hAnsi="宋体"/>
                <w:color w:val="auto"/>
                <w:sz w:val="32"/>
                <w:highlight w:val="none"/>
              </w:rPr>
            </w:pPr>
          </w:p>
        </w:tc>
        <w:tc>
          <w:tcPr>
            <w:tcW w:w="877" w:type="dxa"/>
            <w:vAlign w:val="center"/>
          </w:tcPr>
          <w:p w14:paraId="5450DCD7">
            <w:pPr>
              <w:spacing w:line="360" w:lineRule="auto"/>
              <w:ind w:firstLine="640" w:firstLineChars="200"/>
              <w:jc w:val="both"/>
              <w:rPr>
                <w:rFonts w:ascii="宋体" w:hAnsi="宋体"/>
                <w:color w:val="auto"/>
                <w:sz w:val="32"/>
                <w:highlight w:val="none"/>
              </w:rPr>
            </w:pPr>
          </w:p>
        </w:tc>
        <w:tc>
          <w:tcPr>
            <w:tcW w:w="800" w:type="dxa"/>
            <w:vAlign w:val="center"/>
          </w:tcPr>
          <w:p w14:paraId="2C066793">
            <w:pPr>
              <w:spacing w:line="360" w:lineRule="auto"/>
              <w:ind w:firstLine="640" w:firstLineChars="200"/>
              <w:jc w:val="both"/>
              <w:rPr>
                <w:rFonts w:ascii="宋体" w:hAnsi="宋体"/>
                <w:color w:val="auto"/>
                <w:sz w:val="32"/>
                <w:highlight w:val="none"/>
              </w:rPr>
            </w:pPr>
          </w:p>
        </w:tc>
        <w:tc>
          <w:tcPr>
            <w:tcW w:w="850" w:type="dxa"/>
            <w:vAlign w:val="center"/>
          </w:tcPr>
          <w:p w14:paraId="32518514">
            <w:pPr>
              <w:spacing w:line="360" w:lineRule="auto"/>
              <w:ind w:firstLine="640" w:firstLineChars="200"/>
              <w:jc w:val="both"/>
              <w:rPr>
                <w:rFonts w:ascii="宋体" w:hAnsi="宋体"/>
                <w:color w:val="auto"/>
                <w:sz w:val="32"/>
                <w:highlight w:val="none"/>
              </w:rPr>
            </w:pPr>
          </w:p>
        </w:tc>
        <w:tc>
          <w:tcPr>
            <w:tcW w:w="709" w:type="dxa"/>
            <w:vAlign w:val="center"/>
          </w:tcPr>
          <w:p w14:paraId="6890C3D4">
            <w:pPr>
              <w:spacing w:line="360" w:lineRule="auto"/>
              <w:ind w:firstLine="640" w:firstLineChars="200"/>
              <w:jc w:val="both"/>
              <w:rPr>
                <w:rFonts w:ascii="宋体" w:hAnsi="宋体"/>
                <w:color w:val="auto"/>
                <w:sz w:val="32"/>
                <w:highlight w:val="none"/>
              </w:rPr>
            </w:pPr>
          </w:p>
        </w:tc>
        <w:tc>
          <w:tcPr>
            <w:tcW w:w="709" w:type="dxa"/>
            <w:vAlign w:val="center"/>
          </w:tcPr>
          <w:p w14:paraId="1DE5B8A5">
            <w:pPr>
              <w:spacing w:line="360" w:lineRule="auto"/>
              <w:ind w:firstLine="640" w:firstLineChars="200"/>
              <w:jc w:val="both"/>
              <w:rPr>
                <w:rFonts w:ascii="宋体" w:hAnsi="宋体"/>
                <w:color w:val="auto"/>
                <w:sz w:val="32"/>
                <w:highlight w:val="none"/>
              </w:rPr>
            </w:pPr>
          </w:p>
        </w:tc>
      </w:tr>
      <w:tr w14:paraId="20F84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DDD8FC4">
            <w:pPr>
              <w:spacing w:line="360" w:lineRule="auto"/>
              <w:ind w:firstLine="640" w:firstLineChars="200"/>
              <w:jc w:val="both"/>
              <w:rPr>
                <w:rFonts w:ascii="宋体" w:hAnsi="宋体"/>
                <w:color w:val="auto"/>
                <w:sz w:val="32"/>
                <w:highlight w:val="none"/>
              </w:rPr>
            </w:pPr>
          </w:p>
        </w:tc>
        <w:tc>
          <w:tcPr>
            <w:tcW w:w="900" w:type="dxa"/>
            <w:vAlign w:val="center"/>
          </w:tcPr>
          <w:p w14:paraId="1DFC0A0C">
            <w:pPr>
              <w:spacing w:line="360" w:lineRule="auto"/>
              <w:ind w:firstLine="640" w:firstLineChars="200"/>
              <w:jc w:val="both"/>
              <w:rPr>
                <w:rFonts w:ascii="宋体" w:hAnsi="宋体"/>
                <w:color w:val="auto"/>
                <w:sz w:val="32"/>
                <w:highlight w:val="none"/>
              </w:rPr>
            </w:pPr>
          </w:p>
        </w:tc>
        <w:tc>
          <w:tcPr>
            <w:tcW w:w="1319" w:type="dxa"/>
            <w:vAlign w:val="center"/>
          </w:tcPr>
          <w:p w14:paraId="1755C488">
            <w:pPr>
              <w:spacing w:line="360" w:lineRule="auto"/>
              <w:ind w:firstLine="640" w:firstLineChars="200"/>
              <w:jc w:val="both"/>
              <w:rPr>
                <w:rFonts w:ascii="宋体" w:hAnsi="宋体"/>
                <w:color w:val="auto"/>
                <w:sz w:val="32"/>
                <w:highlight w:val="none"/>
              </w:rPr>
            </w:pPr>
          </w:p>
        </w:tc>
        <w:tc>
          <w:tcPr>
            <w:tcW w:w="682" w:type="dxa"/>
            <w:vAlign w:val="center"/>
          </w:tcPr>
          <w:p w14:paraId="47C1CF17">
            <w:pPr>
              <w:spacing w:line="360" w:lineRule="auto"/>
              <w:ind w:firstLine="640" w:firstLineChars="200"/>
              <w:jc w:val="both"/>
              <w:rPr>
                <w:rFonts w:ascii="宋体" w:hAnsi="宋体"/>
                <w:color w:val="auto"/>
                <w:sz w:val="32"/>
                <w:highlight w:val="none"/>
              </w:rPr>
            </w:pPr>
          </w:p>
        </w:tc>
        <w:tc>
          <w:tcPr>
            <w:tcW w:w="709" w:type="dxa"/>
            <w:vAlign w:val="center"/>
          </w:tcPr>
          <w:p w14:paraId="12DF25F7">
            <w:pPr>
              <w:spacing w:line="360" w:lineRule="auto"/>
              <w:ind w:firstLine="640" w:firstLineChars="200"/>
              <w:jc w:val="both"/>
              <w:rPr>
                <w:rFonts w:ascii="宋体" w:hAnsi="宋体"/>
                <w:color w:val="auto"/>
                <w:sz w:val="32"/>
                <w:highlight w:val="none"/>
              </w:rPr>
            </w:pPr>
          </w:p>
        </w:tc>
        <w:tc>
          <w:tcPr>
            <w:tcW w:w="877" w:type="dxa"/>
            <w:vAlign w:val="center"/>
          </w:tcPr>
          <w:p w14:paraId="6A2B62FE">
            <w:pPr>
              <w:spacing w:line="360" w:lineRule="auto"/>
              <w:ind w:firstLine="640" w:firstLineChars="200"/>
              <w:jc w:val="both"/>
              <w:rPr>
                <w:rFonts w:ascii="宋体" w:hAnsi="宋体"/>
                <w:color w:val="auto"/>
                <w:sz w:val="32"/>
                <w:highlight w:val="none"/>
              </w:rPr>
            </w:pPr>
          </w:p>
        </w:tc>
        <w:tc>
          <w:tcPr>
            <w:tcW w:w="800" w:type="dxa"/>
            <w:vAlign w:val="center"/>
          </w:tcPr>
          <w:p w14:paraId="60F39A2E">
            <w:pPr>
              <w:spacing w:line="360" w:lineRule="auto"/>
              <w:ind w:firstLine="640" w:firstLineChars="200"/>
              <w:jc w:val="both"/>
              <w:rPr>
                <w:rFonts w:ascii="宋体" w:hAnsi="宋体"/>
                <w:color w:val="auto"/>
                <w:sz w:val="32"/>
                <w:highlight w:val="none"/>
              </w:rPr>
            </w:pPr>
          </w:p>
        </w:tc>
        <w:tc>
          <w:tcPr>
            <w:tcW w:w="850" w:type="dxa"/>
            <w:vAlign w:val="center"/>
          </w:tcPr>
          <w:p w14:paraId="2C1EFDDF">
            <w:pPr>
              <w:spacing w:line="360" w:lineRule="auto"/>
              <w:ind w:firstLine="640" w:firstLineChars="200"/>
              <w:jc w:val="both"/>
              <w:rPr>
                <w:rFonts w:ascii="宋体" w:hAnsi="宋体"/>
                <w:color w:val="auto"/>
                <w:sz w:val="32"/>
                <w:highlight w:val="none"/>
              </w:rPr>
            </w:pPr>
          </w:p>
        </w:tc>
        <w:tc>
          <w:tcPr>
            <w:tcW w:w="709" w:type="dxa"/>
            <w:vAlign w:val="center"/>
          </w:tcPr>
          <w:p w14:paraId="650C8637">
            <w:pPr>
              <w:spacing w:line="360" w:lineRule="auto"/>
              <w:ind w:firstLine="640" w:firstLineChars="200"/>
              <w:jc w:val="both"/>
              <w:rPr>
                <w:rFonts w:ascii="宋体" w:hAnsi="宋体"/>
                <w:color w:val="auto"/>
                <w:sz w:val="32"/>
                <w:highlight w:val="none"/>
              </w:rPr>
            </w:pPr>
          </w:p>
        </w:tc>
        <w:tc>
          <w:tcPr>
            <w:tcW w:w="709" w:type="dxa"/>
            <w:vAlign w:val="center"/>
          </w:tcPr>
          <w:p w14:paraId="4AD4BA62">
            <w:pPr>
              <w:spacing w:line="360" w:lineRule="auto"/>
              <w:ind w:firstLine="640" w:firstLineChars="200"/>
              <w:jc w:val="both"/>
              <w:rPr>
                <w:rFonts w:ascii="宋体" w:hAnsi="宋体"/>
                <w:color w:val="auto"/>
                <w:sz w:val="32"/>
                <w:highlight w:val="none"/>
              </w:rPr>
            </w:pPr>
          </w:p>
        </w:tc>
      </w:tr>
      <w:tr w14:paraId="6C05B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749400E">
            <w:pPr>
              <w:spacing w:line="360" w:lineRule="auto"/>
              <w:ind w:firstLine="640" w:firstLineChars="200"/>
              <w:jc w:val="both"/>
              <w:rPr>
                <w:rFonts w:ascii="宋体" w:hAnsi="宋体"/>
                <w:color w:val="auto"/>
                <w:sz w:val="32"/>
                <w:highlight w:val="none"/>
              </w:rPr>
            </w:pPr>
          </w:p>
        </w:tc>
        <w:tc>
          <w:tcPr>
            <w:tcW w:w="900" w:type="dxa"/>
            <w:vAlign w:val="center"/>
          </w:tcPr>
          <w:p w14:paraId="485B6BF8">
            <w:pPr>
              <w:spacing w:line="360" w:lineRule="auto"/>
              <w:ind w:firstLine="640" w:firstLineChars="200"/>
              <w:jc w:val="both"/>
              <w:rPr>
                <w:rFonts w:ascii="宋体" w:hAnsi="宋体"/>
                <w:color w:val="auto"/>
                <w:sz w:val="32"/>
                <w:highlight w:val="none"/>
              </w:rPr>
            </w:pPr>
          </w:p>
        </w:tc>
        <w:tc>
          <w:tcPr>
            <w:tcW w:w="1319" w:type="dxa"/>
            <w:vAlign w:val="center"/>
          </w:tcPr>
          <w:p w14:paraId="34CC8B38">
            <w:pPr>
              <w:spacing w:line="360" w:lineRule="auto"/>
              <w:ind w:firstLine="640" w:firstLineChars="200"/>
              <w:jc w:val="both"/>
              <w:rPr>
                <w:rFonts w:ascii="宋体" w:hAnsi="宋体"/>
                <w:color w:val="auto"/>
                <w:sz w:val="32"/>
                <w:highlight w:val="none"/>
              </w:rPr>
            </w:pPr>
          </w:p>
        </w:tc>
        <w:tc>
          <w:tcPr>
            <w:tcW w:w="682" w:type="dxa"/>
            <w:vAlign w:val="center"/>
          </w:tcPr>
          <w:p w14:paraId="53DFE199">
            <w:pPr>
              <w:spacing w:line="360" w:lineRule="auto"/>
              <w:ind w:firstLine="640" w:firstLineChars="200"/>
              <w:jc w:val="both"/>
              <w:rPr>
                <w:rFonts w:ascii="宋体" w:hAnsi="宋体"/>
                <w:color w:val="auto"/>
                <w:sz w:val="32"/>
                <w:highlight w:val="none"/>
              </w:rPr>
            </w:pPr>
          </w:p>
        </w:tc>
        <w:tc>
          <w:tcPr>
            <w:tcW w:w="709" w:type="dxa"/>
            <w:vAlign w:val="center"/>
          </w:tcPr>
          <w:p w14:paraId="40837811">
            <w:pPr>
              <w:spacing w:line="360" w:lineRule="auto"/>
              <w:ind w:firstLine="640" w:firstLineChars="200"/>
              <w:jc w:val="both"/>
              <w:rPr>
                <w:rFonts w:ascii="宋体" w:hAnsi="宋体"/>
                <w:color w:val="auto"/>
                <w:sz w:val="32"/>
                <w:highlight w:val="none"/>
              </w:rPr>
            </w:pPr>
          </w:p>
        </w:tc>
        <w:tc>
          <w:tcPr>
            <w:tcW w:w="877" w:type="dxa"/>
            <w:vAlign w:val="center"/>
          </w:tcPr>
          <w:p w14:paraId="6B2C5A23">
            <w:pPr>
              <w:spacing w:line="360" w:lineRule="auto"/>
              <w:ind w:firstLine="640" w:firstLineChars="200"/>
              <w:jc w:val="both"/>
              <w:rPr>
                <w:rFonts w:ascii="宋体" w:hAnsi="宋体"/>
                <w:color w:val="auto"/>
                <w:sz w:val="32"/>
                <w:highlight w:val="none"/>
              </w:rPr>
            </w:pPr>
          </w:p>
        </w:tc>
        <w:tc>
          <w:tcPr>
            <w:tcW w:w="800" w:type="dxa"/>
            <w:vAlign w:val="center"/>
          </w:tcPr>
          <w:p w14:paraId="382BF2E1">
            <w:pPr>
              <w:spacing w:line="360" w:lineRule="auto"/>
              <w:ind w:firstLine="640" w:firstLineChars="200"/>
              <w:jc w:val="both"/>
              <w:rPr>
                <w:rFonts w:ascii="宋体" w:hAnsi="宋体"/>
                <w:color w:val="auto"/>
                <w:sz w:val="32"/>
                <w:highlight w:val="none"/>
              </w:rPr>
            </w:pPr>
          </w:p>
        </w:tc>
        <w:tc>
          <w:tcPr>
            <w:tcW w:w="850" w:type="dxa"/>
            <w:vAlign w:val="center"/>
          </w:tcPr>
          <w:p w14:paraId="094DC515">
            <w:pPr>
              <w:spacing w:line="360" w:lineRule="auto"/>
              <w:ind w:firstLine="640" w:firstLineChars="200"/>
              <w:jc w:val="both"/>
              <w:rPr>
                <w:rFonts w:ascii="宋体" w:hAnsi="宋体"/>
                <w:color w:val="auto"/>
                <w:sz w:val="32"/>
                <w:highlight w:val="none"/>
              </w:rPr>
            </w:pPr>
          </w:p>
        </w:tc>
        <w:tc>
          <w:tcPr>
            <w:tcW w:w="709" w:type="dxa"/>
            <w:vAlign w:val="center"/>
          </w:tcPr>
          <w:p w14:paraId="53E85596">
            <w:pPr>
              <w:spacing w:line="360" w:lineRule="auto"/>
              <w:ind w:firstLine="640" w:firstLineChars="200"/>
              <w:jc w:val="both"/>
              <w:rPr>
                <w:rFonts w:ascii="宋体" w:hAnsi="宋体"/>
                <w:color w:val="auto"/>
                <w:sz w:val="32"/>
                <w:highlight w:val="none"/>
              </w:rPr>
            </w:pPr>
          </w:p>
        </w:tc>
        <w:tc>
          <w:tcPr>
            <w:tcW w:w="709" w:type="dxa"/>
            <w:vAlign w:val="center"/>
          </w:tcPr>
          <w:p w14:paraId="1962C155">
            <w:pPr>
              <w:spacing w:line="360" w:lineRule="auto"/>
              <w:ind w:firstLine="640" w:firstLineChars="200"/>
              <w:jc w:val="both"/>
              <w:rPr>
                <w:rFonts w:ascii="宋体" w:hAnsi="宋体"/>
                <w:color w:val="auto"/>
                <w:sz w:val="32"/>
                <w:highlight w:val="none"/>
              </w:rPr>
            </w:pPr>
          </w:p>
        </w:tc>
      </w:tr>
      <w:tr w14:paraId="1A119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DBB843E">
            <w:pPr>
              <w:spacing w:line="360" w:lineRule="auto"/>
              <w:ind w:firstLine="640" w:firstLineChars="200"/>
              <w:jc w:val="both"/>
              <w:rPr>
                <w:rFonts w:ascii="宋体" w:hAnsi="宋体"/>
                <w:color w:val="auto"/>
                <w:sz w:val="32"/>
                <w:highlight w:val="none"/>
              </w:rPr>
            </w:pPr>
          </w:p>
        </w:tc>
        <w:tc>
          <w:tcPr>
            <w:tcW w:w="900" w:type="dxa"/>
            <w:vAlign w:val="center"/>
          </w:tcPr>
          <w:p w14:paraId="78646BA2">
            <w:pPr>
              <w:spacing w:line="360" w:lineRule="auto"/>
              <w:ind w:firstLine="640" w:firstLineChars="200"/>
              <w:jc w:val="both"/>
              <w:rPr>
                <w:rFonts w:ascii="宋体" w:hAnsi="宋体"/>
                <w:color w:val="auto"/>
                <w:sz w:val="32"/>
                <w:highlight w:val="none"/>
              </w:rPr>
            </w:pPr>
          </w:p>
        </w:tc>
        <w:tc>
          <w:tcPr>
            <w:tcW w:w="1319" w:type="dxa"/>
            <w:vAlign w:val="center"/>
          </w:tcPr>
          <w:p w14:paraId="677E2B7A">
            <w:pPr>
              <w:spacing w:line="360" w:lineRule="auto"/>
              <w:ind w:firstLine="640" w:firstLineChars="200"/>
              <w:jc w:val="both"/>
              <w:rPr>
                <w:rFonts w:ascii="宋体" w:hAnsi="宋体"/>
                <w:color w:val="auto"/>
                <w:sz w:val="32"/>
                <w:highlight w:val="none"/>
              </w:rPr>
            </w:pPr>
          </w:p>
        </w:tc>
        <w:tc>
          <w:tcPr>
            <w:tcW w:w="682" w:type="dxa"/>
            <w:vAlign w:val="center"/>
          </w:tcPr>
          <w:p w14:paraId="5041502A">
            <w:pPr>
              <w:spacing w:line="360" w:lineRule="auto"/>
              <w:ind w:firstLine="640" w:firstLineChars="200"/>
              <w:jc w:val="both"/>
              <w:rPr>
                <w:rFonts w:ascii="宋体" w:hAnsi="宋体"/>
                <w:color w:val="auto"/>
                <w:sz w:val="32"/>
                <w:highlight w:val="none"/>
              </w:rPr>
            </w:pPr>
          </w:p>
        </w:tc>
        <w:tc>
          <w:tcPr>
            <w:tcW w:w="709" w:type="dxa"/>
            <w:vAlign w:val="center"/>
          </w:tcPr>
          <w:p w14:paraId="11ABDB10">
            <w:pPr>
              <w:spacing w:line="360" w:lineRule="auto"/>
              <w:ind w:firstLine="640" w:firstLineChars="200"/>
              <w:jc w:val="both"/>
              <w:rPr>
                <w:rFonts w:ascii="宋体" w:hAnsi="宋体"/>
                <w:color w:val="auto"/>
                <w:sz w:val="32"/>
                <w:highlight w:val="none"/>
              </w:rPr>
            </w:pPr>
          </w:p>
        </w:tc>
        <w:tc>
          <w:tcPr>
            <w:tcW w:w="877" w:type="dxa"/>
            <w:vAlign w:val="center"/>
          </w:tcPr>
          <w:p w14:paraId="2728631E">
            <w:pPr>
              <w:spacing w:line="360" w:lineRule="auto"/>
              <w:ind w:firstLine="640" w:firstLineChars="200"/>
              <w:jc w:val="both"/>
              <w:rPr>
                <w:rFonts w:ascii="宋体" w:hAnsi="宋体"/>
                <w:color w:val="auto"/>
                <w:sz w:val="32"/>
                <w:highlight w:val="none"/>
              </w:rPr>
            </w:pPr>
          </w:p>
        </w:tc>
        <w:tc>
          <w:tcPr>
            <w:tcW w:w="800" w:type="dxa"/>
            <w:vAlign w:val="center"/>
          </w:tcPr>
          <w:p w14:paraId="49B6F00A">
            <w:pPr>
              <w:spacing w:line="360" w:lineRule="auto"/>
              <w:ind w:firstLine="640" w:firstLineChars="200"/>
              <w:jc w:val="both"/>
              <w:rPr>
                <w:rFonts w:ascii="宋体" w:hAnsi="宋体"/>
                <w:color w:val="auto"/>
                <w:sz w:val="32"/>
                <w:highlight w:val="none"/>
              </w:rPr>
            </w:pPr>
          </w:p>
        </w:tc>
        <w:tc>
          <w:tcPr>
            <w:tcW w:w="850" w:type="dxa"/>
            <w:vAlign w:val="center"/>
          </w:tcPr>
          <w:p w14:paraId="73833350">
            <w:pPr>
              <w:spacing w:line="360" w:lineRule="auto"/>
              <w:ind w:firstLine="640" w:firstLineChars="200"/>
              <w:jc w:val="both"/>
              <w:rPr>
                <w:rFonts w:ascii="宋体" w:hAnsi="宋体"/>
                <w:color w:val="auto"/>
                <w:sz w:val="32"/>
                <w:highlight w:val="none"/>
              </w:rPr>
            </w:pPr>
          </w:p>
        </w:tc>
        <w:tc>
          <w:tcPr>
            <w:tcW w:w="709" w:type="dxa"/>
            <w:vAlign w:val="center"/>
          </w:tcPr>
          <w:p w14:paraId="7994CE10">
            <w:pPr>
              <w:spacing w:line="360" w:lineRule="auto"/>
              <w:ind w:firstLine="640" w:firstLineChars="200"/>
              <w:jc w:val="both"/>
              <w:rPr>
                <w:rFonts w:ascii="宋体" w:hAnsi="宋体"/>
                <w:color w:val="auto"/>
                <w:sz w:val="32"/>
                <w:highlight w:val="none"/>
              </w:rPr>
            </w:pPr>
          </w:p>
        </w:tc>
        <w:tc>
          <w:tcPr>
            <w:tcW w:w="709" w:type="dxa"/>
            <w:vAlign w:val="center"/>
          </w:tcPr>
          <w:p w14:paraId="46F3AA01">
            <w:pPr>
              <w:spacing w:line="360" w:lineRule="auto"/>
              <w:ind w:firstLine="640" w:firstLineChars="200"/>
              <w:jc w:val="both"/>
              <w:rPr>
                <w:rFonts w:ascii="宋体" w:hAnsi="宋体"/>
                <w:color w:val="auto"/>
                <w:sz w:val="32"/>
                <w:highlight w:val="none"/>
              </w:rPr>
            </w:pPr>
          </w:p>
        </w:tc>
      </w:tr>
      <w:tr w14:paraId="1E803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CCCB456">
            <w:pPr>
              <w:spacing w:line="360" w:lineRule="auto"/>
              <w:ind w:firstLine="640" w:firstLineChars="200"/>
              <w:jc w:val="both"/>
              <w:rPr>
                <w:rFonts w:ascii="宋体" w:hAnsi="宋体"/>
                <w:color w:val="auto"/>
                <w:sz w:val="32"/>
                <w:highlight w:val="none"/>
              </w:rPr>
            </w:pPr>
          </w:p>
        </w:tc>
        <w:tc>
          <w:tcPr>
            <w:tcW w:w="900" w:type="dxa"/>
            <w:vAlign w:val="center"/>
          </w:tcPr>
          <w:p w14:paraId="104AFCB7">
            <w:pPr>
              <w:spacing w:line="360" w:lineRule="auto"/>
              <w:ind w:firstLine="640" w:firstLineChars="200"/>
              <w:jc w:val="both"/>
              <w:rPr>
                <w:rFonts w:ascii="宋体" w:hAnsi="宋体"/>
                <w:color w:val="auto"/>
                <w:sz w:val="32"/>
                <w:highlight w:val="none"/>
              </w:rPr>
            </w:pPr>
          </w:p>
        </w:tc>
        <w:tc>
          <w:tcPr>
            <w:tcW w:w="1319" w:type="dxa"/>
            <w:vAlign w:val="center"/>
          </w:tcPr>
          <w:p w14:paraId="07E184F7">
            <w:pPr>
              <w:spacing w:line="360" w:lineRule="auto"/>
              <w:ind w:firstLine="640" w:firstLineChars="200"/>
              <w:jc w:val="both"/>
              <w:rPr>
                <w:rFonts w:ascii="宋体" w:hAnsi="宋体"/>
                <w:color w:val="auto"/>
                <w:sz w:val="32"/>
                <w:highlight w:val="none"/>
              </w:rPr>
            </w:pPr>
          </w:p>
        </w:tc>
        <w:tc>
          <w:tcPr>
            <w:tcW w:w="682" w:type="dxa"/>
            <w:vAlign w:val="center"/>
          </w:tcPr>
          <w:p w14:paraId="49B15318">
            <w:pPr>
              <w:spacing w:line="360" w:lineRule="auto"/>
              <w:ind w:firstLine="640" w:firstLineChars="200"/>
              <w:jc w:val="both"/>
              <w:rPr>
                <w:rFonts w:ascii="宋体" w:hAnsi="宋体"/>
                <w:color w:val="auto"/>
                <w:sz w:val="32"/>
                <w:highlight w:val="none"/>
              </w:rPr>
            </w:pPr>
          </w:p>
        </w:tc>
        <w:tc>
          <w:tcPr>
            <w:tcW w:w="709" w:type="dxa"/>
            <w:vAlign w:val="center"/>
          </w:tcPr>
          <w:p w14:paraId="49FFF9E0">
            <w:pPr>
              <w:spacing w:line="360" w:lineRule="auto"/>
              <w:ind w:firstLine="640" w:firstLineChars="200"/>
              <w:jc w:val="both"/>
              <w:rPr>
                <w:rFonts w:ascii="宋体" w:hAnsi="宋体"/>
                <w:color w:val="auto"/>
                <w:sz w:val="32"/>
                <w:highlight w:val="none"/>
              </w:rPr>
            </w:pPr>
          </w:p>
        </w:tc>
        <w:tc>
          <w:tcPr>
            <w:tcW w:w="877" w:type="dxa"/>
            <w:vAlign w:val="center"/>
          </w:tcPr>
          <w:p w14:paraId="101EE26B">
            <w:pPr>
              <w:spacing w:line="360" w:lineRule="auto"/>
              <w:ind w:firstLine="640" w:firstLineChars="200"/>
              <w:jc w:val="both"/>
              <w:rPr>
                <w:rFonts w:ascii="宋体" w:hAnsi="宋体"/>
                <w:color w:val="auto"/>
                <w:sz w:val="32"/>
                <w:highlight w:val="none"/>
              </w:rPr>
            </w:pPr>
          </w:p>
        </w:tc>
        <w:tc>
          <w:tcPr>
            <w:tcW w:w="800" w:type="dxa"/>
            <w:vAlign w:val="center"/>
          </w:tcPr>
          <w:p w14:paraId="3B5FB267">
            <w:pPr>
              <w:spacing w:line="360" w:lineRule="auto"/>
              <w:ind w:firstLine="640" w:firstLineChars="200"/>
              <w:jc w:val="both"/>
              <w:rPr>
                <w:rFonts w:ascii="宋体" w:hAnsi="宋体"/>
                <w:color w:val="auto"/>
                <w:sz w:val="32"/>
                <w:highlight w:val="none"/>
              </w:rPr>
            </w:pPr>
          </w:p>
        </w:tc>
        <w:tc>
          <w:tcPr>
            <w:tcW w:w="850" w:type="dxa"/>
            <w:vAlign w:val="center"/>
          </w:tcPr>
          <w:p w14:paraId="257D5E08">
            <w:pPr>
              <w:spacing w:line="360" w:lineRule="auto"/>
              <w:ind w:firstLine="640" w:firstLineChars="200"/>
              <w:jc w:val="both"/>
              <w:rPr>
                <w:rFonts w:ascii="宋体" w:hAnsi="宋体"/>
                <w:color w:val="auto"/>
                <w:sz w:val="32"/>
                <w:highlight w:val="none"/>
              </w:rPr>
            </w:pPr>
          </w:p>
        </w:tc>
        <w:tc>
          <w:tcPr>
            <w:tcW w:w="709" w:type="dxa"/>
            <w:vAlign w:val="center"/>
          </w:tcPr>
          <w:p w14:paraId="423F159B">
            <w:pPr>
              <w:spacing w:line="360" w:lineRule="auto"/>
              <w:ind w:firstLine="640" w:firstLineChars="200"/>
              <w:jc w:val="both"/>
              <w:rPr>
                <w:rFonts w:ascii="宋体" w:hAnsi="宋体"/>
                <w:color w:val="auto"/>
                <w:sz w:val="32"/>
                <w:highlight w:val="none"/>
              </w:rPr>
            </w:pPr>
          </w:p>
        </w:tc>
        <w:tc>
          <w:tcPr>
            <w:tcW w:w="709" w:type="dxa"/>
            <w:vAlign w:val="center"/>
          </w:tcPr>
          <w:p w14:paraId="3E1435C6">
            <w:pPr>
              <w:spacing w:line="360" w:lineRule="auto"/>
              <w:ind w:firstLine="640" w:firstLineChars="200"/>
              <w:jc w:val="both"/>
              <w:rPr>
                <w:rFonts w:ascii="宋体" w:hAnsi="宋体"/>
                <w:color w:val="auto"/>
                <w:sz w:val="32"/>
                <w:highlight w:val="none"/>
              </w:rPr>
            </w:pPr>
          </w:p>
        </w:tc>
      </w:tr>
      <w:tr w14:paraId="676A8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10BBE32">
            <w:pPr>
              <w:spacing w:line="360" w:lineRule="auto"/>
              <w:ind w:firstLine="640" w:firstLineChars="200"/>
              <w:jc w:val="both"/>
              <w:rPr>
                <w:rFonts w:ascii="宋体" w:hAnsi="宋体"/>
                <w:color w:val="auto"/>
                <w:sz w:val="32"/>
                <w:highlight w:val="none"/>
              </w:rPr>
            </w:pPr>
          </w:p>
        </w:tc>
        <w:tc>
          <w:tcPr>
            <w:tcW w:w="900" w:type="dxa"/>
            <w:vAlign w:val="center"/>
          </w:tcPr>
          <w:p w14:paraId="7CD9ABBC">
            <w:pPr>
              <w:spacing w:line="360" w:lineRule="auto"/>
              <w:ind w:firstLine="640" w:firstLineChars="200"/>
              <w:jc w:val="both"/>
              <w:rPr>
                <w:rFonts w:ascii="宋体" w:hAnsi="宋体"/>
                <w:color w:val="auto"/>
                <w:sz w:val="32"/>
                <w:highlight w:val="none"/>
              </w:rPr>
            </w:pPr>
          </w:p>
        </w:tc>
        <w:tc>
          <w:tcPr>
            <w:tcW w:w="1319" w:type="dxa"/>
            <w:vAlign w:val="center"/>
          </w:tcPr>
          <w:p w14:paraId="74E0FF89">
            <w:pPr>
              <w:spacing w:line="360" w:lineRule="auto"/>
              <w:ind w:firstLine="640" w:firstLineChars="200"/>
              <w:jc w:val="both"/>
              <w:rPr>
                <w:rFonts w:ascii="宋体" w:hAnsi="宋体"/>
                <w:color w:val="auto"/>
                <w:sz w:val="32"/>
                <w:highlight w:val="none"/>
              </w:rPr>
            </w:pPr>
          </w:p>
        </w:tc>
        <w:tc>
          <w:tcPr>
            <w:tcW w:w="682" w:type="dxa"/>
            <w:vAlign w:val="center"/>
          </w:tcPr>
          <w:p w14:paraId="1C700D3C">
            <w:pPr>
              <w:spacing w:line="360" w:lineRule="auto"/>
              <w:ind w:firstLine="640" w:firstLineChars="200"/>
              <w:jc w:val="both"/>
              <w:rPr>
                <w:rFonts w:ascii="宋体" w:hAnsi="宋体"/>
                <w:color w:val="auto"/>
                <w:sz w:val="32"/>
                <w:highlight w:val="none"/>
              </w:rPr>
            </w:pPr>
          </w:p>
        </w:tc>
        <w:tc>
          <w:tcPr>
            <w:tcW w:w="709" w:type="dxa"/>
            <w:vAlign w:val="center"/>
          </w:tcPr>
          <w:p w14:paraId="588159FB">
            <w:pPr>
              <w:spacing w:line="360" w:lineRule="auto"/>
              <w:ind w:firstLine="640" w:firstLineChars="200"/>
              <w:jc w:val="both"/>
              <w:rPr>
                <w:rFonts w:ascii="宋体" w:hAnsi="宋体"/>
                <w:color w:val="auto"/>
                <w:sz w:val="32"/>
                <w:highlight w:val="none"/>
              </w:rPr>
            </w:pPr>
          </w:p>
        </w:tc>
        <w:tc>
          <w:tcPr>
            <w:tcW w:w="877" w:type="dxa"/>
            <w:vAlign w:val="center"/>
          </w:tcPr>
          <w:p w14:paraId="134A37E4">
            <w:pPr>
              <w:spacing w:line="360" w:lineRule="auto"/>
              <w:ind w:firstLine="640" w:firstLineChars="200"/>
              <w:jc w:val="both"/>
              <w:rPr>
                <w:rFonts w:ascii="宋体" w:hAnsi="宋体"/>
                <w:color w:val="auto"/>
                <w:sz w:val="32"/>
                <w:highlight w:val="none"/>
              </w:rPr>
            </w:pPr>
          </w:p>
        </w:tc>
        <w:tc>
          <w:tcPr>
            <w:tcW w:w="800" w:type="dxa"/>
            <w:vAlign w:val="center"/>
          </w:tcPr>
          <w:p w14:paraId="5B197C6A">
            <w:pPr>
              <w:spacing w:line="360" w:lineRule="auto"/>
              <w:ind w:firstLine="640" w:firstLineChars="200"/>
              <w:jc w:val="both"/>
              <w:rPr>
                <w:rFonts w:ascii="宋体" w:hAnsi="宋体"/>
                <w:color w:val="auto"/>
                <w:sz w:val="32"/>
                <w:highlight w:val="none"/>
              </w:rPr>
            </w:pPr>
          </w:p>
        </w:tc>
        <w:tc>
          <w:tcPr>
            <w:tcW w:w="850" w:type="dxa"/>
            <w:vAlign w:val="center"/>
          </w:tcPr>
          <w:p w14:paraId="4AAC04B3">
            <w:pPr>
              <w:spacing w:line="360" w:lineRule="auto"/>
              <w:ind w:firstLine="640" w:firstLineChars="200"/>
              <w:jc w:val="both"/>
              <w:rPr>
                <w:rFonts w:ascii="宋体" w:hAnsi="宋体"/>
                <w:color w:val="auto"/>
                <w:sz w:val="32"/>
                <w:highlight w:val="none"/>
              </w:rPr>
            </w:pPr>
          </w:p>
        </w:tc>
        <w:tc>
          <w:tcPr>
            <w:tcW w:w="709" w:type="dxa"/>
            <w:vAlign w:val="center"/>
          </w:tcPr>
          <w:p w14:paraId="272A100E">
            <w:pPr>
              <w:spacing w:line="360" w:lineRule="auto"/>
              <w:ind w:firstLine="640" w:firstLineChars="200"/>
              <w:jc w:val="both"/>
              <w:rPr>
                <w:rFonts w:ascii="宋体" w:hAnsi="宋体"/>
                <w:color w:val="auto"/>
                <w:sz w:val="32"/>
                <w:highlight w:val="none"/>
              </w:rPr>
            </w:pPr>
          </w:p>
        </w:tc>
        <w:tc>
          <w:tcPr>
            <w:tcW w:w="709" w:type="dxa"/>
            <w:vAlign w:val="center"/>
          </w:tcPr>
          <w:p w14:paraId="128A0504">
            <w:pPr>
              <w:spacing w:line="360" w:lineRule="auto"/>
              <w:ind w:firstLine="640" w:firstLineChars="200"/>
              <w:jc w:val="both"/>
              <w:rPr>
                <w:rFonts w:ascii="宋体" w:hAnsi="宋体"/>
                <w:color w:val="auto"/>
                <w:sz w:val="32"/>
                <w:highlight w:val="none"/>
              </w:rPr>
            </w:pPr>
          </w:p>
        </w:tc>
      </w:tr>
      <w:tr w14:paraId="7FAA3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3BEDA5A">
            <w:pPr>
              <w:spacing w:line="360" w:lineRule="auto"/>
              <w:ind w:firstLine="640" w:firstLineChars="200"/>
              <w:jc w:val="both"/>
              <w:rPr>
                <w:rFonts w:ascii="宋体" w:hAnsi="宋体"/>
                <w:color w:val="auto"/>
                <w:sz w:val="32"/>
                <w:highlight w:val="none"/>
              </w:rPr>
            </w:pPr>
          </w:p>
        </w:tc>
        <w:tc>
          <w:tcPr>
            <w:tcW w:w="900" w:type="dxa"/>
            <w:vAlign w:val="center"/>
          </w:tcPr>
          <w:p w14:paraId="21EBA574">
            <w:pPr>
              <w:spacing w:line="360" w:lineRule="auto"/>
              <w:ind w:firstLine="640" w:firstLineChars="200"/>
              <w:jc w:val="both"/>
              <w:rPr>
                <w:rFonts w:ascii="宋体" w:hAnsi="宋体"/>
                <w:color w:val="auto"/>
                <w:sz w:val="32"/>
                <w:highlight w:val="none"/>
              </w:rPr>
            </w:pPr>
          </w:p>
        </w:tc>
        <w:tc>
          <w:tcPr>
            <w:tcW w:w="1319" w:type="dxa"/>
            <w:vAlign w:val="center"/>
          </w:tcPr>
          <w:p w14:paraId="14B884C0">
            <w:pPr>
              <w:spacing w:line="360" w:lineRule="auto"/>
              <w:ind w:firstLine="640" w:firstLineChars="200"/>
              <w:jc w:val="both"/>
              <w:rPr>
                <w:rFonts w:ascii="宋体" w:hAnsi="宋体"/>
                <w:color w:val="auto"/>
                <w:sz w:val="32"/>
                <w:highlight w:val="none"/>
              </w:rPr>
            </w:pPr>
          </w:p>
        </w:tc>
        <w:tc>
          <w:tcPr>
            <w:tcW w:w="682" w:type="dxa"/>
            <w:vAlign w:val="center"/>
          </w:tcPr>
          <w:p w14:paraId="6A93234E">
            <w:pPr>
              <w:spacing w:line="360" w:lineRule="auto"/>
              <w:ind w:firstLine="640" w:firstLineChars="200"/>
              <w:jc w:val="both"/>
              <w:rPr>
                <w:rFonts w:ascii="宋体" w:hAnsi="宋体"/>
                <w:color w:val="auto"/>
                <w:sz w:val="32"/>
                <w:highlight w:val="none"/>
              </w:rPr>
            </w:pPr>
          </w:p>
        </w:tc>
        <w:tc>
          <w:tcPr>
            <w:tcW w:w="709" w:type="dxa"/>
            <w:vAlign w:val="center"/>
          </w:tcPr>
          <w:p w14:paraId="6C330A40">
            <w:pPr>
              <w:spacing w:line="360" w:lineRule="auto"/>
              <w:ind w:firstLine="640" w:firstLineChars="200"/>
              <w:jc w:val="both"/>
              <w:rPr>
                <w:rFonts w:ascii="宋体" w:hAnsi="宋体"/>
                <w:color w:val="auto"/>
                <w:sz w:val="32"/>
                <w:highlight w:val="none"/>
              </w:rPr>
            </w:pPr>
          </w:p>
        </w:tc>
        <w:tc>
          <w:tcPr>
            <w:tcW w:w="877" w:type="dxa"/>
            <w:vAlign w:val="center"/>
          </w:tcPr>
          <w:p w14:paraId="692D7548">
            <w:pPr>
              <w:spacing w:line="360" w:lineRule="auto"/>
              <w:ind w:firstLine="640" w:firstLineChars="200"/>
              <w:jc w:val="both"/>
              <w:rPr>
                <w:rFonts w:ascii="宋体" w:hAnsi="宋体"/>
                <w:color w:val="auto"/>
                <w:sz w:val="32"/>
                <w:highlight w:val="none"/>
              </w:rPr>
            </w:pPr>
          </w:p>
        </w:tc>
        <w:tc>
          <w:tcPr>
            <w:tcW w:w="800" w:type="dxa"/>
            <w:vAlign w:val="center"/>
          </w:tcPr>
          <w:p w14:paraId="3BB2EA7D">
            <w:pPr>
              <w:spacing w:line="360" w:lineRule="auto"/>
              <w:ind w:firstLine="640" w:firstLineChars="200"/>
              <w:jc w:val="both"/>
              <w:rPr>
                <w:rFonts w:ascii="宋体" w:hAnsi="宋体"/>
                <w:color w:val="auto"/>
                <w:sz w:val="32"/>
                <w:highlight w:val="none"/>
              </w:rPr>
            </w:pPr>
          </w:p>
        </w:tc>
        <w:tc>
          <w:tcPr>
            <w:tcW w:w="850" w:type="dxa"/>
            <w:vAlign w:val="center"/>
          </w:tcPr>
          <w:p w14:paraId="7FF48E3D">
            <w:pPr>
              <w:spacing w:line="360" w:lineRule="auto"/>
              <w:ind w:firstLine="640" w:firstLineChars="200"/>
              <w:jc w:val="both"/>
              <w:rPr>
                <w:rFonts w:ascii="宋体" w:hAnsi="宋体"/>
                <w:color w:val="auto"/>
                <w:sz w:val="32"/>
                <w:highlight w:val="none"/>
              </w:rPr>
            </w:pPr>
          </w:p>
        </w:tc>
        <w:tc>
          <w:tcPr>
            <w:tcW w:w="709" w:type="dxa"/>
            <w:vAlign w:val="center"/>
          </w:tcPr>
          <w:p w14:paraId="418E1299">
            <w:pPr>
              <w:spacing w:line="360" w:lineRule="auto"/>
              <w:ind w:firstLine="640" w:firstLineChars="200"/>
              <w:jc w:val="both"/>
              <w:rPr>
                <w:rFonts w:ascii="宋体" w:hAnsi="宋体"/>
                <w:color w:val="auto"/>
                <w:sz w:val="32"/>
                <w:highlight w:val="none"/>
              </w:rPr>
            </w:pPr>
          </w:p>
        </w:tc>
        <w:tc>
          <w:tcPr>
            <w:tcW w:w="709" w:type="dxa"/>
            <w:vAlign w:val="center"/>
          </w:tcPr>
          <w:p w14:paraId="3AE4A56B">
            <w:pPr>
              <w:spacing w:line="360" w:lineRule="auto"/>
              <w:ind w:firstLine="640" w:firstLineChars="200"/>
              <w:jc w:val="both"/>
              <w:rPr>
                <w:rFonts w:ascii="宋体" w:hAnsi="宋体"/>
                <w:color w:val="auto"/>
                <w:sz w:val="32"/>
                <w:highlight w:val="none"/>
              </w:rPr>
            </w:pPr>
          </w:p>
        </w:tc>
      </w:tr>
      <w:tr w14:paraId="7A917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09BE11E">
            <w:pPr>
              <w:spacing w:line="360" w:lineRule="auto"/>
              <w:ind w:firstLine="640" w:firstLineChars="200"/>
              <w:jc w:val="both"/>
              <w:rPr>
                <w:rFonts w:ascii="宋体" w:hAnsi="宋体"/>
                <w:color w:val="auto"/>
                <w:sz w:val="32"/>
                <w:highlight w:val="none"/>
              </w:rPr>
            </w:pPr>
          </w:p>
        </w:tc>
        <w:tc>
          <w:tcPr>
            <w:tcW w:w="900" w:type="dxa"/>
            <w:vAlign w:val="center"/>
          </w:tcPr>
          <w:p w14:paraId="3DB71CFC">
            <w:pPr>
              <w:spacing w:line="360" w:lineRule="auto"/>
              <w:ind w:firstLine="640" w:firstLineChars="200"/>
              <w:jc w:val="both"/>
              <w:rPr>
                <w:rFonts w:ascii="宋体" w:hAnsi="宋体"/>
                <w:color w:val="auto"/>
                <w:sz w:val="32"/>
                <w:highlight w:val="none"/>
              </w:rPr>
            </w:pPr>
          </w:p>
        </w:tc>
        <w:tc>
          <w:tcPr>
            <w:tcW w:w="1319" w:type="dxa"/>
            <w:vAlign w:val="center"/>
          </w:tcPr>
          <w:p w14:paraId="1A341F71">
            <w:pPr>
              <w:spacing w:line="360" w:lineRule="auto"/>
              <w:ind w:firstLine="640" w:firstLineChars="200"/>
              <w:jc w:val="both"/>
              <w:rPr>
                <w:rFonts w:ascii="宋体" w:hAnsi="宋体"/>
                <w:color w:val="auto"/>
                <w:sz w:val="32"/>
                <w:highlight w:val="none"/>
              </w:rPr>
            </w:pPr>
          </w:p>
        </w:tc>
        <w:tc>
          <w:tcPr>
            <w:tcW w:w="682" w:type="dxa"/>
            <w:vAlign w:val="center"/>
          </w:tcPr>
          <w:p w14:paraId="6DF93BCF">
            <w:pPr>
              <w:spacing w:line="360" w:lineRule="auto"/>
              <w:ind w:firstLine="640" w:firstLineChars="200"/>
              <w:jc w:val="both"/>
              <w:rPr>
                <w:rFonts w:ascii="宋体" w:hAnsi="宋体"/>
                <w:color w:val="auto"/>
                <w:sz w:val="32"/>
                <w:highlight w:val="none"/>
              </w:rPr>
            </w:pPr>
          </w:p>
        </w:tc>
        <w:tc>
          <w:tcPr>
            <w:tcW w:w="709" w:type="dxa"/>
            <w:vAlign w:val="center"/>
          </w:tcPr>
          <w:p w14:paraId="6D5BF66E">
            <w:pPr>
              <w:spacing w:line="360" w:lineRule="auto"/>
              <w:ind w:firstLine="640" w:firstLineChars="200"/>
              <w:jc w:val="both"/>
              <w:rPr>
                <w:rFonts w:ascii="宋体" w:hAnsi="宋体"/>
                <w:color w:val="auto"/>
                <w:sz w:val="32"/>
                <w:highlight w:val="none"/>
              </w:rPr>
            </w:pPr>
          </w:p>
        </w:tc>
        <w:tc>
          <w:tcPr>
            <w:tcW w:w="877" w:type="dxa"/>
            <w:vAlign w:val="center"/>
          </w:tcPr>
          <w:p w14:paraId="61308990">
            <w:pPr>
              <w:spacing w:line="360" w:lineRule="auto"/>
              <w:ind w:firstLine="640" w:firstLineChars="200"/>
              <w:jc w:val="both"/>
              <w:rPr>
                <w:rFonts w:ascii="宋体" w:hAnsi="宋体"/>
                <w:color w:val="auto"/>
                <w:sz w:val="32"/>
                <w:highlight w:val="none"/>
              </w:rPr>
            </w:pPr>
          </w:p>
        </w:tc>
        <w:tc>
          <w:tcPr>
            <w:tcW w:w="800" w:type="dxa"/>
            <w:vAlign w:val="center"/>
          </w:tcPr>
          <w:p w14:paraId="364C5258">
            <w:pPr>
              <w:spacing w:line="360" w:lineRule="auto"/>
              <w:ind w:firstLine="640" w:firstLineChars="200"/>
              <w:jc w:val="both"/>
              <w:rPr>
                <w:rFonts w:ascii="宋体" w:hAnsi="宋体"/>
                <w:color w:val="auto"/>
                <w:sz w:val="32"/>
                <w:highlight w:val="none"/>
              </w:rPr>
            </w:pPr>
          </w:p>
        </w:tc>
        <w:tc>
          <w:tcPr>
            <w:tcW w:w="850" w:type="dxa"/>
            <w:vAlign w:val="center"/>
          </w:tcPr>
          <w:p w14:paraId="782F926B">
            <w:pPr>
              <w:spacing w:line="360" w:lineRule="auto"/>
              <w:ind w:firstLine="640" w:firstLineChars="200"/>
              <w:jc w:val="both"/>
              <w:rPr>
                <w:rFonts w:ascii="宋体" w:hAnsi="宋体"/>
                <w:color w:val="auto"/>
                <w:sz w:val="32"/>
                <w:highlight w:val="none"/>
              </w:rPr>
            </w:pPr>
          </w:p>
        </w:tc>
        <w:tc>
          <w:tcPr>
            <w:tcW w:w="709" w:type="dxa"/>
            <w:vAlign w:val="center"/>
          </w:tcPr>
          <w:p w14:paraId="57D42EDE">
            <w:pPr>
              <w:spacing w:line="360" w:lineRule="auto"/>
              <w:ind w:firstLine="640" w:firstLineChars="200"/>
              <w:jc w:val="both"/>
              <w:rPr>
                <w:rFonts w:ascii="宋体" w:hAnsi="宋体"/>
                <w:color w:val="auto"/>
                <w:sz w:val="32"/>
                <w:highlight w:val="none"/>
              </w:rPr>
            </w:pPr>
          </w:p>
        </w:tc>
        <w:tc>
          <w:tcPr>
            <w:tcW w:w="709" w:type="dxa"/>
            <w:vAlign w:val="center"/>
          </w:tcPr>
          <w:p w14:paraId="29CDE3FC">
            <w:pPr>
              <w:spacing w:line="360" w:lineRule="auto"/>
              <w:ind w:firstLine="640" w:firstLineChars="200"/>
              <w:jc w:val="both"/>
              <w:rPr>
                <w:rFonts w:ascii="宋体" w:hAnsi="宋体"/>
                <w:color w:val="auto"/>
                <w:sz w:val="32"/>
                <w:highlight w:val="none"/>
              </w:rPr>
            </w:pPr>
          </w:p>
        </w:tc>
      </w:tr>
      <w:tr w14:paraId="3EE5B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728FEE9">
            <w:pPr>
              <w:spacing w:line="360" w:lineRule="auto"/>
              <w:ind w:firstLine="640" w:firstLineChars="200"/>
              <w:jc w:val="both"/>
              <w:rPr>
                <w:rFonts w:ascii="宋体" w:hAnsi="宋体"/>
                <w:color w:val="auto"/>
                <w:sz w:val="32"/>
                <w:highlight w:val="none"/>
              </w:rPr>
            </w:pPr>
          </w:p>
        </w:tc>
        <w:tc>
          <w:tcPr>
            <w:tcW w:w="900" w:type="dxa"/>
            <w:vAlign w:val="center"/>
          </w:tcPr>
          <w:p w14:paraId="7D6A2FD6">
            <w:pPr>
              <w:spacing w:line="360" w:lineRule="auto"/>
              <w:ind w:firstLine="640" w:firstLineChars="200"/>
              <w:jc w:val="both"/>
              <w:rPr>
                <w:rFonts w:ascii="宋体" w:hAnsi="宋体"/>
                <w:color w:val="auto"/>
                <w:sz w:val="32"/>
                <w:highlight w:val="none"/>
              </w:rPr>
            </w:pPr>
          </w:p>
        </w:tc>
        <w:tc>
          <w:tcPr>
            <w:tcW w:w="1319" w:type="dxa"/>
            <w:vAlign w:val="center"/>
          </w:tcPr>
          <w:p w14:paraId="3B4D75A9">
            <w:pPr>
              <w:spacing w:line="360" w:lineRule="auto"/>
              <w:ind w:firstLine="640" w:firstLineChars="200"/>
              <w:jc w:val="both"/>
              <w:rPr>
                <w:rFonts w:ascii="宋体" w:hAnsi="宋体"/>
                <w:color w:val="auto"/>
                <w:sz w:val="32"/>
                <w:highlight w:val="none"/>
              </w:rPr>
            </w:pPr>
          </w:p>
        </w:tc>
        <w:tc>
          <w:tcPr>
            <w:tcW w:w="682" w:type="dxa"/>
            <w:vAlign w:val="center"/>
          </w:tcPr>
          <w:p w14:paraId="70EC90F1">
            <w:pPr>
              <w:spacing w:line="360" w:lineRule="auto"/>
              <w:ind w:firstLine="640" w:firstLineChars="200"/>
              <w:jc w:val="both"/>
              <w:rPr>
                <w:rFonts w:ascii="宋体" w:hAnsi="宋体"/>
                <w:color w:val="auto"/>
                <w:sz w:val="32"/>
                <w:highlight w:val="none"/>
              </w:rPr>
            </w:pPr>
          </w:p>
        </w:tc>
        <w:tc>
          <w:tcPr>
            <w:tcW w:w="709" w:type="dxa"/>
            <w:vAlign w:val="center"/>
          </w:tcPr>
          <w:p w14:paraId="105ACC17">
            <w:pPr>
              <w:spacing w:line="360" w:lineRule="auto"/>
              <w:ind w:firstLine="640" w:firstLineChars="200"/>
              <w:jc w:val="both"/>
              <w:rPr>
                <w:rFonts w:ascii="宋体" w:hAnsi="宋体"/>
                <w:color w:val="auto"/>
                <w:sz w:val="32"/>
                <w:highlight w:val="none"/>
              </w:rPr>
            </w:pPr>
          </w:p>
        </w:tc>
        <w:tc>
          <w:tcPr>
            <w:tcW w:w="877" w:type="dxa"/>
            <w:vAlign w:val="center"/>
          </w:tcPr>
          <w:p w14:paraId="505509A1">
            <w:pPr>
              <w:spacing w:line="360" w:lineRule="auto"/>
              <w:ind w:firstLine="640" w:firstLineChars="200"/>
              <w:jc w:val="both"/>
              <w:rPr>
                <w:rFonts w:ascii="宋体" w:hAnsi="宋体"/>
                <w:color w:val="auto"/>
                <w:sz w:val="32"/>
                <w:highlight w:val="none"/>
              </w:rPr>
            </w:pPr>
          </w:p>
        </w:tc>
        <w:tc>
          <w:tcPr>
            <w:tcW w:w="800" w:type="dxa"/>
            <w:vAlign w:val="center"/>
          </w:tcPr>
          <w:p w14:paraId="2A7A2810">
            <w:pPr>
              <w:spacing w:line="360" w:lineRule="auto"/>
              <w:ind w:firstLine="640" w:firstLineChars="200"/>
              <w:jc w:val="both"/>
              <w:rPr>
                <w:rFonts w:ascii="宋体" w:hAnsi="宋体"/>
                <w:color w:val="auto"/>
                <w:sz w:val="32"/>
                <w:highlight w:val="none"/>
              </w:rPr>
            </w:pPr>
          </w:p>
        </w:tc>
        <w:tc>
          <w:tcPr>
            <w:tcW w:w="850" w:type="dxa"/>
            <w:vAlign w:val="center"/>
          </w:tcPr>
          <w:p w14:paraId="033CEAB9">
            <w:pPr>
              <w:spacing w:line="360" w:lineRule="auto"/>
              <w:ind w:firstLine="640" w:firstLineChars="200"/>
              <w:jc w:val="both"/>
              <w:rPr>
                <w:rFonts w:ascii="宋体" w:hAnsi="宋体"/>
                <w:color w:val="auto"/>
                <w:sz w:val="32"/>
                <w:highlight w:val="none"/>
              </w:rPr>
            </w:pPr>
          </w:p>
        </w:tc>
        <w:tc>
          <w:tcPr>
            <w:tcW w:w="709" w:type="dxa"/>
            <w:vAlign w:val="center"/>
          </w:tcPr>
          <w:p w14:paraId="77EE0BD7">
            <w:pPr>
              <w:spacing w:line="360" w:lineRule="auto"/>
              <w:ind w:firstLine="640" w:firstLineChars="200"/>
              <w:jc w:val="both"/>
              <w:rPr>
                <w:rFonts w:ascii="宋体" w:hAnsi="宋体"/>
                <w:color w:val="auto"/>
                <w:sz w:val="32"/>
                <w:highlight w:val="none"/>
              </w:rPr>
            </w:pPr>
          </w:p>
        </w:tc>
        <w:tc>
          <w:tcPr>
            <w:tcW w:w="709" w:type="dxa"/>
            <w:vAlign w:val="center"/>
          </w:tcPr>
          <w:p w14:paraId="0BB8F0A6">
            <w:pPr>
              <w:spacing w:line="360" w:lineRule="auto"/>
              <w:ind w:firstLine="640" w:firstLineChars="200"/>
              <w:jc w:val="both"/>
              <w:rPr>
                <w:rFonts w:ascii="宋体" w:hAnsi="宋体"/>
                <w:color w:val="auto"/>
                <w:sz w:val="32"/>
                <w:highlight w:val="none"/>
              </w:rPr>
            </w:pPr>
          </w:p>
        </w:tc>
      </w:tr>
      <w:tr w14:paraId="5577E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747B3CC4">
            <w:pPr>
              <w:spacing w:line="360" w:lineRule="auto"/>
              <w:ind w:firstLine="640" w:firstLineChars="200"/>
              <w:jc w:val="both"/>
              <w:rPr>
                <w:rFonts w:ascii="宋体" w:hAnsi="宋体"/>
                <w:color w:val="auto"/>
                <w:sz w:val="32"/>
                <w:highlight w:val="none"/>
              </w:rPr>
            </w:pPr>
          </w:p>
        </w:tc>
        <w:tc>
          <w:tcPr>
            <w:tcW w:w="900" w:type="dxa"/>
            <w:vAlign w:val="center"/>
          </w:tcPr>
          <w:p w14:paraId="25B50E1F">
            <w:pPr>
              <w:spacing w:line="360" w:lineRule="auto"/>
              <w:ind w:firstLine="640" w:firstLineChars="200"/>
              <w:jc w:val="both"/>
              <w:rPr>
                <w:rFonts w:ascii="宋体" w:hAnsi="宋体"/>
                <w:color w:val="auto"/>
                <w:sz w:val="32"/>
                <w:highlight w:val="none"/>
              </w:rPr>
            </w:pPr>
          </w:p>
        </w:tc>
        <w:tc>
          <w:tcPr>
            <w:tcW w:w="1319" w:type="dxa"/>
            <w:vAlign w:val="center"/>
          </w:tcPr>
          <w:p w14:paraId="4E6E07A4">
            <w:pPr>
              <w:spacing w:line="360" w:lineRule="auto"/>
              <w:ind w:firstLine="640" w:firstLineChars="200"/>
              <w:jc w:val="both"/>
              <w:rPr>
                <w:rFonts w:ascii="宋体" w:hAnsi="宋体"/>
                <w:color w:val="auto"/>
                <w:sz w:val="32"/>
                <w:highlight w:val="none"/>
              </w:rPr>
            </w:pPr>
          </w:p>
        </w:tc>
        <w:tc>
          <w:tcPr>
            <w:tcW w:w="682" w:type="dxa"/>
            <w:vAlign w:val="center"/>
          </w:tcPr>
          <w:p w14:paraId="58AE5414">
            <w:pPr>
              <w:spacing w:line="360" w:lineRule="auto"/>
              <w:ind w:firstLine="640" w:firstLineChars="200"/>
              <w:jc w:val="both"/>
              <w:rPr>
                <w:rFonts w:ascii="宋体" w:hAnsi="宋体"/>
                <w:color w:val="auto"/>
                <w:sz w:val="32"/>
                <w:highlight w:val="none"/>
              </w:rPr>
            </w:pPr>
          </w:p>
        </w:tc>
        <w:tc>
          <w:tcPr>
            <w:tcW w:w="709" w:type="dxa"/>
            <w:vAlign w:val="center"/>
          </w:tcPr>
          <w:p w14:paraId="2BD654ED">
            <w:pPr>
              <w:spacing w:line="360" w:lineRule="auto"/>
              <w:ind w:firstLine="640" w:firstLineChars="200"/>
              <w:jc w:val="both"/>
              <w:rPr>
                <w:rFonts w:ascii="宋体" w:hAnsi="宋体"/>
                <w:color w:val="auto"/>
                <w:sz w:val="32"/>
                <w:highlight w:val="none"/>
              </w:rPr>
            </w:pPr>
          </w:p>
        </w:tc>
        <w:tc>
          <w:tcPr>
            <w:tcW w:w="877" w:type="dxa"/>
            <w:vAlign w:val="center"/>
          </w:tcPr>
          <w:p w14:paraId="7ACF916F">
            <w:pPr>
              <w:spacing w:line="360" w:lineRule="auto"/>
              <w:ind w:firstLine="640" w:firstLineChars="200"/>
              <w:jc w:val="both"/>
              <w:rPr>
                <w:rFonts w:ascii="宋体" w:hAnsi="宋体"/>
                <w:color w:val="auto"/>
                <w:sz w:val="32"/>
                <w:highlight w:val="none"/>
              </w:rPr>
            </w:pPr>
          </w:p>
        </w:tc>
        <w:tc>
          <w:tcPr>
            <w:tcW w:w="800" w:type="dxa"/>
            <w:vAlign w:val="center"/>
          </w:tcPr>
          <w:p w14:paraId="4676ED4B">
            <w:pPr>
              <w:spacing w:line="360" w:lineRule="auto"/>
              <w:ind w:firstLine="640" w:firstLineChars="200"/>
              <w:jc w:val="both"/>
              <w:rPr>
                <w:rFonts w:ascii="宋体" w:hAnsi="宋体"/>
                <w:color w:val="auto"/>
                <w:sz w:val="32"/>
                <w:highlight w:val="none"/>
              </w:rPr>
            </w:pPr>
          </w:p>
        </w:tc>
        <w:tc>
          <w:tcPr>
            <w:tcW w:w="850" w:type="dxa"/>
            <w:vAlign w:val="center"/>
          </w:tcPr>
          <w:p w14:paraId="28A83BA8">
            <w:pPr>
              <w:spacing w:line="360" w:lineRule="auto"/>
              <w:ind w:firstLine="640" w:firstLineChars="200"/>
              <w:jc w:val="both"/>
              <w:rPr>
                <w:rFonts w:ascii="宋体" w:hAnsi="宋体"/>
                <w:color w:val="auto"/>
                <w:sz w:val="32"/>
                <w:highlight w:val="none"/>
              </w:rPr>
            </w:pPr>
          </w:p>
        </w:tc>
        <w:tc>
          <w:tcPr>
            <w:tcW w:w="709" w:type="dxa"/>
            <w:vAlign w:val="center"/>
          </w:tcPr>
          <w:p w14:paraId="1F0064AF">
            <w:pPr>
              <w:spacing w:line="360" w:lineRule="auto"/>
              <w:ind w:firstLine="640" w:firstLineChars="200"/>
              <w:jc w:val="both"/>
              <w:rPr>
                <w:rFonts w:ascii="宋体" w:hAnsi="宋体"/>
                <w:color w:val="auto"/>
                <w:sz w:val="32"/>
                <w:highlight w:val="none"/>
              </w:rPr>
            </w:pPr>
          </w:p>
        </w:tc>
        <w:tc>
          <w:tcPr>
            <w:tcW w:w="709" w:type="dxa"/>
            <w:vAlign w:val="center"/>
          </w:tcPr>
          <w:p w14:paraId="7784E761">
            <w:pPr>
              <w:spacing w:line="360" w:lineRule="auto"/>
              <w:ind w:firstLine="640" w:firstLineChars="200"/>
              <w:jc w:val="both"/>
              <w:rPr>
                <w:rFonts w:ascii="宋体" w:hAnsi="宋体"/>
                <w:color w:val="auto"/>
                <w:sz w:val="32"/>
                <w:highlight w:val="none"/>
              </w:rPr>
            </w:pPr>
          </w:p>
        </w:tc>
      </w:tr>
      <w:tr w14:paraId="4DCDD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570ECC22">
            <w:pPr>
              <w:spacing w:line="360" w:lineRule="auto"/>
              <w:ind w:firstLine="640" w:firstLineChars="200"/>
              <w:jc w:val="both"/>
              <w:rPr>
                <w:rFonts w:ascii="宋体" w:hAnsi="宋体"/>
                <w:color w:val="auto"/>
                <w:sz w:val="32"/>
                <w:highlight w:val="none"/>
              </w:rPr>
            </w:pPr>
          </w:p>
        </w:tc>
        <w:tc>
          <w:tcPr>
            <w:tcW w:w="900" w:type="dxa"/>
            <w:vAlign w:val="center"/>
          </w:tcPr>
          <w:p w14:paraId="48717CC9">
            <w:pPr>
              <w:spacing w:line="360" w:lineRule="auto"/>
              <w:ind w:firstLine="640" w:firstLineChars="200"/>
              <w:jc w:val="both"/>
              <w:rPr>
                <w:rFonts w:ascii="宋体" w:hAnsi="宋体"/>
                <w:color w:val="auto"/>
                <w:sz w:val="32"/>
                <w:highlight w:val="none"/>
              </w:rPr>
            </w:pPr>
          </w:p>
        </w:tc>
        <w:tc>
          <w:tcPr>
            <w:tcW w:w="1319" w:type="dxa"/>
            <w:vAlign w:val="center"/>
          </w:tcPr>
          <w:p w14:paraId="6A8CBC07">
            <w:pPr>
              <w:spacing w:line="360" w:lineRule="auto"/>
              <w:ind w:firstLine="640" w:firstLineChars="200"/>
              <w:jc w:val="both"/>
              <w:rPr>
                <w:rFonts w:ascii="宋体" w:hAnsi="宋体"/>
                <w:color w:val="auto"/>
                <w:sz w:val="32"/>
                <w:highlight w:val="none"/>
              </w:rPr>
            </w:pPr>
          </w:p>
        </w:tc>
        <w:tc>
          <w:tcPr>
            <w:tcW w:w="682" w:type="dxa"/>
            <w:vAlign w:val="center"/>
          </w:tcPr>
          <w:p w14:paraId="13061C27">
            <w:pPr>
              <w:spacing w:line="360" w:lineRule="auto"/>
              <w:ind w:firstLine="640" w:firstLineChars="200"/>
              <w:jc w:val="both"/>
              <w:rPr>
                <w:rFonts w:ascii="宋体" w:hAnsi="宋体"/>
                <w:color w:val="auto"/>
                <w:sz w:val="32"/>
                <w:highlight w:val="none"/>
              </w:rPr>
            </w:pPr>
          </w:p>
        </w:tc>
        <w:tc>
          <w:tcPr>
            <w:tcW w:w="709" w:type="dxa"/>
            <w:vAlign w:val="center"/>
          </w:tcPr>
          <w:p w14:paraId="61D53B80">
            <w:pPr>
              <w:spacing w:line="360" w:lineRule="auto"/>
              <w:ind w:firstLine="640" w:firstLineChars="200"/>
              <w:jc w:val="both"/>
              <w:rPr>
                <w:rFonts w:ascii="宋体" w:hAnsi="宋体"/>
                <w:color w:val="auto"/>
                <w:sz w:val="32"/>
                <w:highlight w:val="none"/>
              </w:rPr>
            </w:pPr>
          </w:p>
        </w:tc>
        <w:tc>
          <w:tcPr>
            <w:tcW w:w="877" w:type="dxa"/>
            <w:vAlign w:val="center"/>
          </w:tcPr>
          <w:p w14:paraId="679DED70">
            <w:pPr>
              <w:spacing w:line="360" w:lineRule="auto"/>
              <w:ind w:firstLine="640" w:firstLineChars="200"/>
              <w:jc w:val="both"/>
              <w:rPr>
                <w:rFonts w:ascii="宋体" w:hAnsi="宋体"/>
                <w:color w:val="auto"/>
                <w:sz w:val="32"/>
                <w:highlight w:val="none"/>
              </w:rPr>
            </w:pPr>
          </w:p>
        </w:tc>
        <w:tc>
          <w:tcPr>
            <w:tcW w:w="800" w:type="dxa"/>
            <w:vAlign w:val="center"/>
          </w:tcPr>
          <w:p w14:paraId="419007DD">
            <w:pPr>
              <w:spacing w:line="360" w:lineRule="auto"/>
              <w:ind w:firstLine="640" w:firstLineChars="200"/>
              <w:jc w:val="both"/>
              <w:rPr>
                <w:rFonts w:ascii="宋体" w:hAnsi="宋体"/>
                <w:color w:val="auto"/>
                <w:sz w:val="32"/>
                <w:highlight w:val="none"/>
              </w:rPr>
            </w:pPr>
          </w:p>
        </w:tc>
        <w:tc>
          <w:tcPr>
            <w:tcW w:w="850" w:type="dxa"/>
            <w:vAlign w:val="center"/>
          </w:tcPr>
          <w:p w14:paraId="302E562E">
            <w:pPr>
              <w:spacing w:line="360" w:lineRule="auto"/>
              <w:ind w:firstLine="640" w:firstLineChars="200"/>
              <w:jc w:val="both"/>
              <w:rPr>
                <w:rFonts w:ascii="宋体" w:hAnsi="宋体"/>
                <w:color w:val="auto"/>
                <w:sz w:val="32"/>
                <w:highlight w:val="none"/>
              </w:rPr>
            </w:pPr>
          </w:p>
        </w:tc>
        <w:tc>
          <w:tcPr>
            <w:tcW w:w="709" w:type="dxa"/>
            <w:vAlign w:val="center"/>
          </w:tcPr>
          <w:p w14:paraId="0DE41AF7">
            <w:pPr>
              <w:spacing w:line="360" w:lineRule="auto"/>
              <w:ind w:firstLine="640" w:firstLineChars="200"/>
              <w:jc w:val="both"/>
              <w:rPr>
                <w:rFonts w:ascii="宋体" w:hAnsi="宋体"/>
                <w:color w:val="auto"/>
                <w:sz w:val="32"/>
                <w:highlight w:val="none"/>
              </w:rPr>
            </w:pPr>
          </w:p>
        </w:tc>
        <w:tc>
          <w:tcPr>
            <w:tcW w:w="709" w:type="dxa"/>
            <w:vAlign w:val="center"/>
          </w:tcPr>
          <w:p w14:paraId="44B14D13">
            <w:pPr>
              <w:spacing w:line="360" w:lineRule="auto"/>
              <w:ind w:firstLine="640" w:firstLineChars="200"/>
              <w:jc w:val="both"/>
              <w:rPr>
                <w:rFonts w:ascii="宋体" w:hAnsi="宋体"/>
                <w:color w:val="auto"/>
                <w:sz w:val="32"/>
                <w:highlight w:val="none"/>
              </w:rPr>
            </w:pPr>
          </w:p>
        </w:tc>
      </w:tr>
      <w:tr w14:paraId="13D83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6CC825CC">
            <w:pPr>
              <w:spacing w:line="360" w:lineRule="auto"/>
              <w:ind w:firstLine="640" w:firstLineChars="200"/>
              <w:jc w:val="both"/>
              <w:rPr>
                <w:rFonts w:ascii="宋体" w:hAnsi="宋体"/>
                <w:color w:val="auto"/>
                <w:sz w:val="32"/>
                <w:highlight w:val="none"/>
              </w:rPr>
            </w:pPr>
          </w:p>
        </w:tc>
        <w:tc>
          <w:tcPr>
            <w:tcW w:w="900" w:type="dxa"/>
            <w:vAlign w:val="center"/>
          </w:tcPr>
          <w:p w14:paraId="73E3379D">
            <w:pPr>
              <w:spacing w:line="360" w:lineRule="auto"/>
              <w:ind w:firstLine="640" w:firstLineChars="200"/>
              <w:jc w:val="both"/>
              <w:rPr>
                <w:rFonts w:ascii="宋体" w:hAnsi="宋体"/>
                <w:color w:val="auto"/>
                <w:sz w:val="32"/>
                <w:highlight w:val="none"/>
              </w:rPr>
            </w:pPr>
          </w:p>
        </w:tc>
        <w:tc>
          <w:tcPr>
            <w:tcW w:w="1319" w:type="dxa"/>
            <w:vAlign w:val="center"/>
          </w:tcPr>
          <w:p w14:paraId="13B2D5AB">
            <w:pPr>
              <w:spacing w:line="360" w:lineRule="auto"/>
              <w:ind w:firstLine="640" w:firstLineChars="200"/>
              <w:jc w:val="both"/>
              <w:rPr>
                <w:rFonts w:ascii="宋体" w:hAnsi="宋体"/>
                <w:color w:val="auto"/>
                <w:sz w:val="32"/>
                <w:highlight w:val="none"/>
              </w:rPr>
            </w:pPr>
          </w:p>
        </w:tc>
        <w:tc>
          <w:tcPr>
            <w:tcW w:w="682" w:type="dxa"/>
            <w:vAlign w:val="center"/>
          </w:tcPr>
          <w:p w14:paraId="2C5C0EE5">
            <w:pPr>
              <w:spacing w:line="360" w:lineRule="auto"/>
              <w:ind w:firstLine="640" w:firstLineChars="200"/>
              <w:jc w:val="both"/>
              <w:rPr>
                <w:rFonts w:ascii="宋体" w:hAnsi="宋体"/>
                <w:color w:val="auto"/>
                <w:sz w:val="32"/>
                <w:highlight w:val="none"/>
              </w:rPr>
            </w:pPr>
          </w:p>
        </w:tc>
        <w:tc>
          <w:tcPr>
            <w:tcW w:w="709" w:type="dxa"/>
            <w:vAlign w:val="center"/>
          </w:tcPr>
          <w:p w14:paraId="7C48947E">
            <w:pPr>
              <w:spacing w:line="360" w:lineRule="auto"/>
              <w:ind w:firstLine="640" w:firstLineChars="200"/>
              <w:jc w:val="both"/>
              <w:rPr>
                <w:rFonts w:ascii="宋体" w:hAnsi="宋体"/>
                <w:color w:val="auto"/>
                <w:sz w:val="32"/>
                <w:highlight w:val="none"/>
              </w:rPr>
            </w:pPr>
          </w:p>
        </w:tc>
        <w:tc>
          <w:tcPr>
            <w:tcW w:w="877" w:type="dxa"/>
            <w:vAlign w:val="center"/>
          </w:tcPr>
          <w:p w14:paraId="31D46FD0">
            <w:pPr>
              <w:spacing w:line="360" w:lineRule="auto"/>
              <w:ind w:firstLine="640" w:firstLineChars="200"/>
              <w:jc w:val="both"/>
              <w:rPr>
                <w:rFonts w:ascii="宋体" w:hAnsi="宋体"/>
                <w:color w:val="auto"/>
                <w:sz w:val="32"/>
                <w:highlight w:val="none"/>
              </w:rPr>
            </w:pPr>
          </w:p>
        </w:tc>
        <w:tc>
          <w:tcPr>
            <w:tcW w:w="800" w:type="dxa"/>
            <w:vAlign w:val="center"/>
          </w:tcPr>
          <w:p w14:paraId="740328EB">
            <w:pPr>
              <w:spacing w:line="360" w:lineRule="auto"/>
              <w:ind w:firstLine="640" w:firstLineChars="200"/>
              <w:jc w:val="both"/>
              <w:rPr>
                <w:rFonts w:ascii="宋体" w:hAnsi="宋体"/>
                <w:color w:val="auto"/>
                <w:sz w:val="32"/>
                <w:highlight w:val="none"/>
              </w:rPr>
            </w:pPr>
          </w:p>
        </w:tc>
        <w:tc>
          <w:tcPr>
            <w:tcW w:w="850" w:type="dxa"/>
            <w:vAlign w:val="center"/>
          </w:tcPr>
          <w:p w14:paraId="4E9A36BB">
            <w:pPr>
              <w:spacing w:line="360" w:lineRule="auto"/>
              <w:ind w:firstLine="640" w:firstLineChars="200"/>
              <w:jc w:val="both"/>
              <w:rPr>
                <w:rFonts w:ascii="宋体" w:hAnsi="宋体"/>
                <w:color w:val="auto"/>
                <w:sz w:val="32"/>
                <w:highlight w:val="none"/>
              </w:rPr>
            </w:pPr>
          </w:p>
        </w:tc>
        <w:tc>
          <w:tcPr>
            <w:tcW w:w="709" w:type="dxa"/>
            <w:vAlign w:val="center"/>
          </w:tcPr>
          <w:p w14:paraId="05D53DD1">
            <w:pPr>
              <w:spacing w:line="360" w:lineRule="auto"/>
              <w:ind w:firstLine="640" w:firstLineChars="200"/>
              <w:jc w:val="both"/>
              <w:rPr>
                <w:rFonts w:ascii="宋体" w:hAnsi="宋体"/>
                <w:color w:val="auto"/>
                <w:sz w:val="32"/>
                <w:highlight w:val="none"/>
              </w:rPr>
            </w:pPr>
          </w:p>
        </w:tc>
        <w:tc>
          <w:tcPr>
            <w:tcW w:w="709" w:type="dxa"/>
            <w:vAlign w:val="center"/>
          </w:tcPr>
          <w:p w14:paraId="65D3730D">
            <w:pPr>
              <w:spacing w:line="360" w:lineRule="auto"/>
              <w:ind w:firstLine="640" w:firstLineChars="200"/>
              <w:jc w:val="both"/>
              <w:rPr>
                <w:rFonts w:ascii="宋体" w:hAnsi="宋体"/>
                <w:color w:val="auto"/>
                <w:sz w:val="32"/>
                <w:highlight w:val="none"/>
              </w:rPr>
            </w:pPr>
          </w:p>
        </w:tc>
      </w:tr>
      <w:tr w14:paraId="52BF1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2DBC4623">
            <w:pPr>
              <w:spacing w:line="360" w:lineRule="auto"/>
              <w:ind w:firstLine="640" w:firstLineChars="200"/>
              <w:jc w:val="both"/>
              <w:rPr>
                <w:rFonts w:ascii="宋体" w:hAnsi="宋体"/>
                <w:color w:val="auto"/>
                <w:sz w:val="32"/>
                <w:highlight w:val="none"/>
              </w:rPr>
            </w:pPr>
          </w:p>
        </w:tc>
        <w:tc>
          <w:tcPr>
            <w:tcW w:w="900" w:type="dxa"/>
            <w:vAlign w:val="center"/>
          </w:tcPr>
          <w:p w14:paraId="18285F23">
            <w:pPr>
              <w:spacing w:line="360" w:lineRule="auto"/>
              <w:ind w:firstLine="640" w:firstLineChars="200"/>
              <w:jc w:val="both"/>
              <w:rPr>
                <w:rFonts w:ascii="宋体" w:hAnsi="宋体"/>
                <w:color w:val="auto"/>
                <w:sz w:val="32"/>
                <w:highlight w:val="none"/>
              </w:rPr>
            </w:pPr>
          </w:p>
        </w:tc>
        <w:tc>
          <w:tcPr>
            <w:tcW w:w="1319" w:type="dxa"/>
            <w:vAlign w:val="center"/>
          </w:tcPr>
          <w:p w14:paraId="1D699B09">
            <w:pPr>
              <w:spacing w:line="360" w:lineRule="auto"/>
              <w:ind w:firstLine="640" w:firstLineChars="200"/>
              <w:jc w:val="both"/>
              <w:rPr>
                <w:rFonts w:ascii="宋体" w:hAnsi="宋体"/>
                <w:color w:val="auto"/>
                <w:sz w:val="32"/>
                <w:highlight w:val="none"/>
              </w:rPr>
            </w:pPr>
          </w:p>
        </w:tc>
        <w:tc>
          <w:tcPr>
            <w:tcW w:w="682" w:type="dxa"/>
            <w:vAlign w:val="center"/>
          </w:tcPr>
          <w:p w14:paraId="576E2873">
            <w:pPr>
              <w:spacing w:line="360" w:lineRule="auto"/>
              <w:ind w:firstLine="640" w:firstLineChars="200"/>
              <w:jc w:val="both"/>
              <w:rPr>
                <w:rFonts w:ascii="宋体" w:hAnsi="宋体"/>
                <w:color w:val="auto"/>
                <w:sz w:val="32"/>
                <w:highlight w:val="none"/>
              </w:rPr>
            </w:pPr>
          </w:p>
        </w:tc>
        <w:tc>
          <w:tcPr>
            <w:tcW w:w="709" w:type="dxa"/>
            <w:vAlign w:val="center"/>
          </w:tcPr>
          <w:p w14:paraId="72A4D313">
            <w:pPr>
              <w:spacing w:line="360" w:lineRule="auto"/>
              <w:ind w:firstLine="640" w:firstLineChars="200"/>
              <w:jc w:val="both"/>
              <w:rPr>
                <w:rFonts w:ascii="宋体" w:hAnsi="宋体"/>
                <w:color w:val="auto"/>
                <w:sz w:val="32"/>
                <w:highlight w:val="none"/>
              </w:rPr>
            </w:pPr>
          </w:p>
        </w:tc>
        <w:tc>
          <w:tcPr>
            <w:tcW w:w="877" w:type="dxa"/>
            <w:vAlign w:val="center"/>
          </w:tcPr>
          <w:p w14:paraId="46031698">
            <w:pPr>
              <w:spacing w:line="360" w:lineRule="auto"/>
              <w:ind w:firstLine="640" w:firstLineChars="200"/>
              <w:jc w:val="both"/>
              <w:rPr>
                <w:rFonts w:ascii="宋体" w:hAnsi="宋体"/>
                <w:color w:val="auto"/>
                <w:sz w:val="32"/>
                <w:highlight w:val="none"/>
              </w:rPr>
            </w:pPr>
          </w:p>
        </w:tc>
        <w:tc>
          <w:tcPr>
            <w:tcW w:w="800" w:type="dxa"/>
            <w:vAlign w:val="center"/>
          </w:tcPr>
          <w:p w14:paraId="658273A5">
            <w:pPr>
              <w:spacing w:line="360" w:lineRule="auto"/>
              <w:ind w:firstLine="640" w:firstLineChars="200"/>
              <w:jc w:val="both"/>
              <w:rPr>
                <w:rFonts w:ascii="宋体" w:hAnsi="宋体"/>
                <w:color w:val="auto"/>
                <w:sz w:val="32"/>
                <w:highlight w:val="none"/>
              </w:rPr>
            </w:pPr>
          </w:p>
        </w:tc>
        <w:tc>
          <w:tcPr>
            <w:tcW w:w="850" w:type="dxa"/>
            <w:vAlign w:val="center"/>
          </w:tcPr>
          <w:p w14:paraId="4BE5B134">
            <w:pPr>
              <w:spacing w:line="360" w:lineRule="auto"/>
              <w:ind w:firstLine="640" w:firstLineChars="200"/>
              <w:jc w:val="both"/>
              <w:rPr>
                <w:rFonts w:ascii="宋体" w:hAnsi="宋体"/>
                <w:color w:val="auto"/>
                <w:sz w:val="32"/>
                <w:highlight w:val="none"/>
              </w:rPr>
            </w:pPr>
          </w:p>
        </w:tc>
        <w:tc>
          <w:tcPr>
            <w:tcW w:w="709" w:type="dxa"/>
            <w:vAlign w:val="center"/>
          </w:tcPr>
          <w:p w14:paraId="75BEED0D">
            <w:pPr>
              <w:spacing w:line="360" w:lineRule="auto"/>
              <w:ind w:firstLine="640" w:firstLineChars="200"/>
              <w:jc w:val="both"/>
              <w:rPr>
                <w:rFonts w:ascii="宋体" w:hAnsi="宋体"/>
                <w:color w:val="auto"/>
                <w:sz w:val="32"/>
                <w:highlight w:val="none"/>
              </w:rPr>
            </w:pPr>
          </w:p>
        </w:tc>
        <w:tc>
          <w:tcPr>
            <w:tcW w:w="709" w:type="dxa"/>
            <w:vAlign w:val="center"/>
          </w:tcPr>
          <w:p w14:paraId="5222D031">
            <w:pPr>
              <w:spacing w:line="360" w:lineRule="auto"/>
              <w:ind w:firstLine="640" w:firstLineChars="200"/>
              <w:jc w:val="both"/>
              <w:rPr>
                <w:rFonts w:ascii="宋体" w:hAnsi="宋体"/>
                <w:color w:val="auto"/>
                <w:sz w:val="32"/>
                <w:highlight w:val="none"/>
              </w:rPr>
            </w:pPr>
          </w:p>
        </w:tc>
      </w:tr>
      <w:tr w14:paraId="341EA7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 w:type="dxa"/>
            <w:vAlign w:val="center"/>
          </w:tcPr>
          <w:p w14:paraId="4696F49E">
            <w:pPr>
              <w:spacing w:line="360" w:lineRule="auto"/>
              <w:ind w:firstLine="640" w:firstLineChars="200"/>
              <w:jc w:val="both"/>
              <w:rPr>
                <w:rFonts w:ascii="宋体" w:hAnsi="宋体"/>
                <w:color w:val="auto"/>
                <w:sz w:val="32"/>
                <w:highlight w:val="none"/>
              </w:rPr>
            </w:pPr>
          </w:p>
        </w:tc>
        <w:tc>
          <w:tcPr>
            <w:tcW w:w="900" w:type="dxa"/>
            <w:vAlign w:val="center"/>
          </w:tcPr>
          <w:p w14:paraId="36E645BF">
            <w:pPr>
              <w:spacing w:line="360" w:lineRule="auto"/>
              <w:ind w:firstLine="640" w:firstLineChars="200"/>
              <w:jc w:val="both"/>
              <w:rPr>
                <w:rFonts w:ascii="宋体" w:hAnsi="宋体"/>
                <w:color w:val="auto"/>
                <w:sz w:val="32"/>
                <w:highlight w:val="none"/>
              </w:rPr>
            </w:pPr>
          </w:p>
        </w:tc>
        <w:tc>
          <w:tcPr>
            <w:tcW w:w="1319" w:type="dxa"/>
            <w:vAlign w:val="center"/>
          </w:tcPr>
          <w:p w14:paraId="18F43656">
            <w:pPr>
              <w:spacing w:line="360" w:lineRule="auto"/>
              <w:ind w:firstLine="640" w:firstLineChars="200"/>
              <w:jc w:val="both"/>
              <w:rPr>
                <w:rFonts w:ascii="宋体" w:hAnsi="宋体"/>
                <w:color w:val="auto"/>
                <w:sz w:val="32"/>
                <w:highlight w:val="none"/>
              </w:rPr>
            </w:pPr>
          </w:p>
        </w:tc>
        <w:tc>
          <w:tcPr>
            <w:tcW w:w="682" w:type="dxa"/>
            <w:vAlign w:val="center"/>
          </w:tcPr>
          <w:p w14:paraId="1CBC13CA">
            <w:pPr>
              <w:spacing w:line="360" w:lineRule="auto"/>
              <w:ind w:firstLine="640" w:firstLineChars="200"/>
              <w:jc w:val="both"/>
              <w:rPr>
                <w:rFonts w:ascii="宋体" w:hAnsi="宋体"/>
                <w:color w:val="auto"/>
                <w:sz w:val="32"/>
                <w:highlight w:val="none"/>
              </w:rPr>
            </w:pPr>
          </w:p>
        </w:tc>
        <w:tc>
          <w:tcPr>
            <w:tcW w:w="709" w:type="dxa"/>
            <w:vAlign w:val="center"/>
          </w:tcPr>
          <w:p w14:paraId="1ED70514">
            <w:pPr>
              <w:spacing w:line="360" w:lineRule="auto"/>
              <w:ind w:firstLine="640" w:firstLineChars="200"/>
              <w:jc w:val="both"/>
              <w:rPr>
                <w:rFonts w:ascii="宋体" w:hAnsi="宋体"/>
                <w:color w:val="auto"/>
                <w:sz w:val="32"/>
                <w:highlight w:val="none"/>
              </w:rPr>
            </w:pPr>
          </w:p>
        </w:tc>
        <w:tc>
          <w:tcPr>
            <w:tcW w:w="877" w:type="dxa"/>
            <w:vAlign w:val="center"/>
          </w:tcPr>
          <w:p w14:paraId="1A152F5F">
            <w:pPr>
              <w:spacing w:line="360" w:lineRule="auto"/>
              <w:ind w:firstLine="640" w:firstLineChars="200"/>
              <w:jc w:val="both"/>
              <w:rPr>
                <w:rFonts w:ascii="宋体" w:hAnsi="宋体"/>
                <w:color w:val="auto"/>
                <w:sz w:val="32"/>
                <w:highlight w:val="none"/>
              </w:rPr>
            </w:pPr>
          </w:p>
        </w:tc>
        <w:tc>
          <w:tcPr>
            <w:tcW w:w="800" w:type="dxa"/>
            <w:vAlign w:val="center"/>
          </w:tcPr>
          <w:p w14:paraId="19E7B0FA">
            <w:pPr>
              <w:spacing w:line="360" w:lineRule="auto"/>
              <w:ind w:firstLine="640" w:firstLineChars="200"/>
              <w:jc w:val="both"/>
              <w:rPr>
                <w:rFonts w:ascii="宋体" w:hAnsi="宋体"/>
                <w:color w:val="auto"/>
                <w:sz w:val="32"/>
                <w:highlight w:val="none"/>
              </w:rPr>
            </w:pPr>
          </w:p>
        </w:tc>
        <w:tc>
          <w:tcPr>
            <w:tcW w:w="850" w:type="dxa"/>
            <w:vAlign w:val="center"/>
          </w:tcPr>
          <w:p w14:paraId="31205EEC">
            <w:pPr>
              <w:spacing w:line="360" w:lineRule="auto"/>
              <w:ind w:firstLine="640" w:firstLineChars="200"/>
              <w:jc w:val="both"/>
              <w:rPr>
                <w:rFonts w:ascii="宋体" w:hAnsi="宋体"/>
                <w:color w:val="auto"/>
                <w:sz w:val="32"/>
                <w:highlight w:val="none"/>
              </w:rPr>
            </w:pPr>
          </w:p>
        </w:tc>
        <w:tc>
          <w:tcPr>
            <w:tcW w:w="709" w:type="dxa"/>
            <w:vAlign w:val="center"/>
          </w:tcPr>
          <w:p w14:paraId="437AC102">
            <w:pPr>
              <w:spacing w:line="360" w:lineRule="auto"/>
              <w:ind w:firstLine="640" w:firstLineChars="200"/>
              <w:jc w:val="both"/>
              <w:rPr>
                <w:rFonts w:ascii="宋体" w:hAnsi="宋体"/>
                <w:color w:val="auto"/>
                <w:sz w:val="32"/>
                <w:highlight w:val="none"/>
              </w:rPr>
            </w:pPr>
          </w:p>
        </w:tc>
        <w:tc>
          <w:tcPr>
            <w:tcW w:w="709" w:type="dxa"/>
            <w:vAlign w:val="center"/>
          </w:tcPr>
          <w:p w14:paraId="3D81DCCE">
            <w:pPr>
              <w:spacing w:line="360" w:lineRule="auto"/>
              <w:ind w:firstLine="640" w:firstLineChars="200"/>
              <w:jc w:val="both"/>
              <w:rPr>
                <w:rFonts w:ascii="宋体" w:hAnsi="宋体"/>
                <w:color w:val="auto"/>
                <w:sz w:val="32"/>
                <w:highlight w:val="none"/>
              </w:rPr>
            </w:pPr>
          </w:p>
        </w:tc>
      </w:tr>
    </w:tbl>
    <w:p w14:paraId="17DC7806">
      <w:pPr>
        <w:spacing w:line="360" w:lineRule="auto"/>
        <w:ind w:firstLine="643" w:firstLineChars="200"/>
        <w:jc w:val="both"/>
        <w:rPr>
          <w:b/>
          <w:color w:val="auto"/>
          <w:sz w:val="32"/>
          <w:highlight w:val="none"/>
        </w:rPr>
      </w:pPr>
    </w:p>
    <w:p w14:paraId="3F35DC75">
      <w:pPr>
        <w:rPr>
          <w:rFonts w:hint="eastAsia" w:ascii="黑体" w:hAnsi="黑体" w:eastAsia="黑体"/>
          <w:color w:val="auto"/>
          <w:sz w:val="28"/>
          <w:szCs w:val="28"/>
          <w:highlight w:val="none"/>
        </w:rPr>
      </w:pPr>
      <w:r>
        <w:rPr>
          <w:rFonts w:hint="eastAsia" w:ascii="黑体" w:hAnsi="黑体" w:eastAsia="黑体"/>
          <w:color w:val="auto"/>
          <w:sz w:val="28"/>
          <w:szCs w:val="28"/>
          <w:highlight w:val="none"/>
        </w:rPr>
        <w:br w:type="page"/>
      </w:r>
    </w:p>
    <w:p w14:paraId="388690A5">
      <w:pPr>
        <w:spacing w:line="360" w:lineRule="auto"/>
        <w:jc w:val="both"/>
        <w:rPr>
          <w:rFonts w:hint="eastAsia" w:ascii="黑体" w:hAnsi="黑体" w:eastAsia="黑体"/>
          <w:color w:val="auto"/>
          <w:sz w:val="28"/>
          <w:szCs w:val="28"/>
          <w:highlight w:val="none"/>
        </w:rPr>
      </w:pPr>
      <w:r>
        <w:rPr>
          <w:rFonts w:hint="eastAsia" w:ascii="黑体" w:hAnsi="黑体" w:eastAsia="黑体"/>
          <w:color w:val="auto"/>
          <w:sz w:val="28"/>
          <w:szCs w:val="28"/>
          <w:highlight w:val="none"/>
        </w:rPr>
        <w:t>附件2：</w:t>
      </w:r>
    </w:p>
    <w:p w14:paraId="17457105">
      <w:pPr>
        <w:spacing w:line="360" w:lineRule="auto"/>
        <w:jc w:val="center"/>
        <w:rPr>
          <w:rFonts w:hint="eastAsia" w:ascii="方正小标宋简体" w:hAnsi="黑体" w:eastAsia="方正小标宋简体"/>
          <w:color w:val="auto"/>
          <w:sz w:val="44"/>
          <w:szCs w:val="44"/>
          <w:highlight w:val="none"/>
        </w:rPr>
      </w:pPr>
      <w:r>
        <w:rPr>
          <w:rFonts w:hint="eastAsia" w:ascii="方正小标宋简体" w:eastAsia="方正小标宋简体"/>
          <w:color w:val="auto"/>
          <w:sz w:val="44"/>
          <w:szCs w:val="44"/>
          <w:highlight w:val="none"/>
        </w:rPr>
        <w:t>主要材料设备一览表</w:t>
      </w:r>
    </w:p>
    <w:tbl>
      <w:tblPr>
        <w:tblStyle w:val="18"/>
        <w:tblW w:w="89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46"/>
        <w:gridCol w:w="851"/>
        <w:gridCol w:w="708"/>
        <w:gridCol w:w="810"/>
        <w:gridCol w:w="851"/>
        <w:gridCol w:w="736"/>
        <w:gridCol w:w="910"/>
        <w:gridCol w:w="1088"/>
        <w:gridCol w:w="878"/>
      </w:tblGrid>
      <w:tr w14:paraId="4BF99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12CBE5F3">
            <w:pPr>
              <w:jc w:val="center"/>
              <w:rPr>
                <w:color w:val="auto"/>
                <w:szCs w:val="21"/>
                <w:highlight w:val="none"/>
              </w:rPr>
            </w:pPr>
            <w:r>
              <w:rPr>
                <w:rFonts w:hint="eastAsia"/>
                <w:color w:val="auto"/>
                <w:szCs w:val="21"/>
                <w:highlight w:val="none"/>
              </w:rPr>
              <w:t>序号</w:t>
            </w:r>
          </w:p>
        </w:tc>
        <w:tc>
          <w:tcPr>
            <w:tcW w:w="1446" w:type="dxa"/>
            <w:vAlign w:val="center"/>
          </w:tcPr>
          <w:p w14:paraId="7E479613">
            <w:pPr>
              <w:jc w:val="center"/>
              <w:rPr>
                <w:rFonts w:hint="eastAsia"/>
                <w:color w:val="auto"/>
                <w:szCs w:val="21"/>
                <w:highlight w:val="none"/>
              </w:rPr>
            </w:pPr>
            <w:r>
              <w:rPr>
                <w:rFonts w:hint="eastAsia"/>
                <w:color w:val="auto"/>
                <w:szCs w:val="21"/>
                <w:highlight w:val="none"/>
              </w:rPr>
              <w:t>材料</w:t>
            </w:r>
          </w:p>
          <w:p w14:paraId="5B28665A">
            <w:pPr>
              <w:jc w:val="center"/>
              <w:rPr>
                <w:rFonts w:hint="eastAsia"/>
                <w:color w:val="auto"/>
                <w:szCs w:val="21"/>
                <w:highlight w:val="none"/>
              </w:rPr>
            </w:pPr>
            <w:r>
              <w:rPr>
                <w:rFonts w:hint="eastAsia"/>
                <w:color w:val="auto"/>
                <w:szCs w:val="21"/>
                <w:highlight w:val="none"/>
              </w:rPr>
              <w:t>设备</w:t>
            </w:r>
          </w:p>
          <w:p w14:paraId="5AFB282D">
            <w:pPr>
              <w:jc w:val="center"/>
              <w:rPr>
                <w:color w:val="auto"/>
                <w:szCs w:val="21"/>
                <w:highlight w:val="none"/>
              </w:rPr>
            </w:pPr>
            <w:r>
              <w:rPr>
                <w:rFonts w:hint="eastAsia"/>
                <w:color w:val="auto"/>
                <w:szCs w:val="21"/>
                <w:highlight w:val="none"/>
              </w:rPr>
              <w:t>品种</w:t>
            </w:r>
          </w:p>
        </w:tc>
        <w:tc>
          <w:tcPr>
            <w:tcW w:w="851" w:type="dxa"/>
            <w:vAlign w:val="center"/>
          </w:tcPr>
          <w:p w14:paraId="31948C67">
            <w:pPr>
              <w:jc w:val="center"/>
              <w:rPr>
                <w:color w:val="auto"/>
                <w:szCs w:val="21"/>
                <w:highlight w:val="none"/>
              </w:rPr>
            </w:pPr>
            <w:r>
              <w:rPr>
                <w:rFonts w:hint="eastAsia"/>
                <w:color w:val="auto"/>
                <w:szCs w:val="21"/>
                <w:highlight w:val="none"/>
              </w:rPr>
              <w:t>规格</w:t>
            </w:r>
          </w:p>
          <w:p w14:paraId="209054B4">
            <w:pPr>
              <w:jc w:val="center"/>
              <w:rPr>
                <w:color w:val="auto"/>
                <w:szCs w:val="21"/>
                <w:highlight w:val="none"/>
              </w:rPr>
            </w:pPr>
            <w:r>
              <w:rPr>
                <w:rFonts w:hint="eastAsia"/>
                <w:color w:val="auto"/>
                <w:szCs w:val="21"/>
                <w:highlight w:val="none"/>
              </w:rPr>
              <w:t>型号</w:t>
            </w:r>
          </w:p>
        </w:tc>
        <w:tc>
          <w:tcPr>
            <w:tcW w:w="708" w:type="dxa"/>
            <w:vAlign w:val="center"/>
          </w:tcPr>
          <w:p w14:paraId="5A97DCE8">
            <w:pPr>
              <w:jc w:val="center"/>
              <w:rPr>
                <w:color w:val="auto"/>
                <w:szCs w:val="21"/>
                <w:highlight w:val="none"/>
              </w:rPr>
            </w:pPr>
            <w:r>
              <w:rPr>
                <w:rFonts w:hint="eastAsia"/>
                <w:color w:val="auto"/>
                <w:szCs w:val="21"/>
                <w:highlight w:val="none"/>
              </w:rPr>
              <w:t>单位</w:t>
            </w:r>
          </w:p>
        </w:tc>
        <w:tc>
          <w:tcPr>
            <w:tcW w:w="810" w:type="dxa"/>
            <w:vAlign w:val="center"/>
          </w:tcPr>
          <w:p w14:paraId="5169BC5D">
            <w:pPr>
              <w:jc w:val="center"/>
              <w:rPr>
                <w:color w:val="auto"/>
                <w:szCs w:val="21"/>
                <w:highlight w:val="none"/>
              </w:rPr>
            </w:pPr>
            <w:r>
              <w:rPr>
                <w:rFonts w:hint="eastAsia"/>
                <w:color w:val="auto"/>
                <w:szCs w:val="21"/>
                <w:highlight w:val="none"/>
              </w:rPr>
              <w:t>数量</w:t>
            </w:r>
          </w:p>
        </w:tc>
        <w:tc>
          <w:tcPr>
            <w:tcW w:w="851" w:type="dxa"/>
            <w:vAlign w:val="center"/>
          </w:tcPr>
          <w:p w14:paraId="2849CBB9">
            <w:pPr>
              <w:jc w:val="center"/>
              <w:rPr>
                <w:color w:val="auto"/>
                <w:szCs w:val="21"/>
                <w:highlight w:val="none"/>
              </w:rPr>
            </w:pPr>
            <w:r>
              <w:rPr>
                <w:rFonts w:hint="eastAsia"/>
                <w:color w:val="auto"/>
                <w:szCs w:val="21"/>
                <w:highlight w:val="none"/>
              </w:rPr>
              <w:t>单价</w:t>
            </w:r>
          </w:p>
        </w:tc>
        <w:tc>
          <w:tcPr>
            <w:tcW w:w="736" w:type="dxa"/>
            <w:vAlign w:val="center"/>
          </w:tcPr>
          <w:p w14:paraId="4289E7DF">
            <w:pPr>
              <w:jc w:val="center"/>
              <w:rPr>
                <w:color w:val="auto"/>
                <w:szCs w:val="21"/>
                <w:highlight w:val="none"/>
              </w:rPr>
            </w:pPr>
            <w:r>
              <w:rPr>
                <w:rFonts w:hint="eastAsia"/>
                <w:color w:val="auto"/>
                <w:szCs w:val="21"/>
                <w:highlight w:val="none"/>
              </w:rPr>
              <w:t>质量等级</w:t>
            </w:r>
          </w:p>
        </w:tc>
        <w:tc>
          <w:tcPr>
            <w:tcW w:w="910" w:type="dxa"/>
            <w:vAlign w:val="center"/>
          </w:tcPr>
          <w:p w14:paraId="6BD73D7D">
            <w:pPr>
              <w:jc w:val="center"/>
              <w:rPr>
                <w:color w:val="auto"/>
                <w:szCs w:val="21"/>
                <w:highlight w:val="none"/>
              </w:rPr>
            </w:pPr>
            <w:r>
              <w:rPr>
                <w:rFonts w:hint="eastAsia"/>
                <w:color w:val="auto"/>
                <w:szCs w:val="21"/>
                <w:highlight w:val="none"/>
              </w:rPr>
              <w:t>供应</w:t>
            </w:r>
          </w:p>
          <w:p w14:paraId="43445786">
            <w:pPr>
              <w:jc w:val="center"/>
              <w:rPr>
                <w:color w:val="auto"/>
                <w:szCs w:val="21"/>
                <w:highlight w:val="none"/>
              </w:rPr>
            </w:pPr>
            <w:r>
              <w:rPr>
                <w:rFonts w:hint="eastAsia"/>
                <w:color w:val="auto"/>
                <w:szCs w:val="21"/>
                <w:highlight w:val="none"/>
              </w:rPr>
              <w:t>时间</w:t>
            </w:r>
          </w:p>
        </w:tc>
        <w:tc>
          <w:tcPr>
            <w:tcW w:w="1088" w:type="dxa"/>
            <w:vAlign w:val="center"/>
          </w:tcPr>
          <w:p w14:paraId="5450FC3C">
            <w:pPr>
              <w:jc w:val="center"/>
              <w:rPr>
                <w:rFonts w:hint="eastAsia"/>
                <w:color w:val="auto"/>
                <w:szCs w:val="21"/>
                <w:highlight w:val="none"/>
              </w:rPr>
            </w:pPr>
            <w:r>
              <w:rPr>
                <w:rFonts w:hint="eastAsia"/>
                <w:color w:val="auto"/>
                <w:szCs w:val="21"/>
                <w:highlight w:val="none"/>
              </w:rPr>
              <w:t>送达</w:t>
            </w:r>
          </w:p>
          <w:p w14:paraId="7131FA04">
            <w:pPr>
              <w:jc w:val="center"/>
              <w:rPr>
                <w:color w:val="auto"/>
                <w:szCs w:val="21"/>
                <w:highlight w:val="none"/>
              </w:rPr>
            </w:pPr>
            <w:r>
              <w:rPr>
                <w:rFonts w:hint="eastAsia"/>
                <w:color w:val="auto"/>
                <w:szCs w:val="21"/>
                <w:highlight w:val="none"/>
              </w:rPr>
              <w:t>地点</w:t>
            </w:r>
          </w:p>
        </w:tc>
        <w:tc>
          <w:tcPr>
            <w:tcW w:w="878" w:type="dxa"/>
            <w:vAlign w:val="center"/>
          </w:tcPr>
          <w:p w14:paraId="45749B34">
            <w:pPr>
              <w:jc w:val="center"/>
              <w:rPr>
                <w:color w:val="auto"/>
                <w:szCs w:val="21"/>
                <w:highlight w:val="none"/>
              </w:rPr>
            </w:pPr>
            <w:r>
              <w:rPr>
                <w:rFonts w:hint="eastAsia"/>
                <w:color w:val="auto"/>
                <w:szCs w:val="21"/>
                <w:highlight w:val="none"/>
              </w:rPr>
              <w:t>备注</w:t>
            </w:r>
          </w:p>
        </w:tc>
      </w:tr>
      <w:tr w14:paraId="2A1318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31ADA923">
            <w:pPr>
              <w:spacing w:line="360" w:lineRule="auto"/>
              <w:ind w:firstLine="800" w:firstLineChars="200"/>
              <w:jc w:val="both"/>
              <w:rPr>
                <w:color w:val="auto"/>
                <w:sz w:val="40"/>
                <w:szCs w:val="32"/>
                <w:highlight w:val="none"/>
              </w:rPr>
            </w:pPr>
          </w:p>
        </w:tc>
        <w:tc>
          <w:tcPr>
            <w:tcW w:w="1446" w:type="dxa"/>
            <w:vAlign w:val="center"/>
          </w:tcPr>
          <w:p w14:paraId="37A9597D">
            <w:pPr>
              <w:spacing w:line="360" w:lineRule="auto"/>
              <w:ind w:firstLine="800" w:firstLineChars="200"/>
              <w:jc w:val="both"/>
              <w:rPr>
                <w:color w:val="auto"/>
                <w:sz w:val="40"/>
                <w:szCs w:val="32"/>
                <w:highlight w:val="none"/>
              </w:rPr>
            </w:pPr>
          </w:p>
        </w:tc>
        <w:tc>
          <w:tcPr>
            <w:tcW w:w="851" w:type="dxa"/>
            <w:vAlign w:val="center"/>
          </w:tcPr>
          <w:p w14:paraId="2FABD471">
            <w:pPr>
              <w:spacing w:line="360" w:lineRule="auto"/>
              <w:ind w:firstLine="800" w:firstLineChars="200"/>
              <w:jc w:val="both"/>
              <w:rPr>
                <w:color w:val="auto"/>
                <w:sz w:val="40"/>
                <w:szCs w:val="32"/>
                <w:highlight w:val="none"/>
              </w:rPr>
            </w:pPr>
          </w:p>
        </w:tc>
        <w:tc>
          <w:tcPr>
            <w:tcW w:w="708" w:type="dxa"/>
            <w:vAlign w:val="center"/>
          </w:tcPr>
          <w:p w14:paraId="4DA1E11E">
            <w:pPr>
              <w:spacing w:line="360" w:lineRule="auto"/>
              <w:ind w:firstLine="800" w:firstLineChars="200"/>
              <w:jc w:val="both"/>
              <w:rPr>
                <w:color w:val="auto"/>
                <w:sz w:val="40"/>
                <w:szCs w:val="32"/>
                <w:highlight w:val="none"/>
              </w:rPr>
            </w:pPr>
          </w:p>
        </w:tc>
        <w:tc>
          <w:tcPr>
            <w:tcW w:w="810" w:type="dxa"/>
            <w:vAlign w:val="center"/>
          </w:tcPr>
          <w:p w14:paraId="1554485B">
            <w:pPr>
              <w:spacing w:line="360" w:lineRule="auto"/>
              <w:ind w:firstLine="800" w:firstLineChars="200"/>
              <w:jc w:val="both"/>
              <w:rPr>
                <w:color w:val="auto"/>
                <w:sz w:val="40"/>
                <w:szCs w:val="32"/>
                <w:highlight w:val="none"/>
              </w:rPr>
            </w:pPr>
          </w:p>
        </w:tc>
        <w:tc>
          <w:tcPr>
            <w:tcW w:w="851" w:type="dxa"/>
            <w:vAlign w:val="center"/>
          </w:tcPr>
          <w:p w14:paraId="74831BA1">
            <w:pPr>
              <w:spacing w:line="360" w:lineRule="auto"/>
              <w:ind w:firstLine="800" w:firstLineChars="200"/>
              <w:jc w:val="both"/>
              <w:rPr>
                <w:color w:val="auto"/>
                <w:sz w:val="40"/>
                <w:szCs w:val="32"/>
                <w:highlight w:val="none"/>
              </w:rPr>
            </w:pPr>
          </w:p>
        </w:tc>
        <w:tc>
          <w:tcPr>
            <w:tcW w:w="736" w:type="dxa"/>
            <w:vAlign w:val="center"/>
          </w:tcPr>
          <w:p w14:paraId="770A4FCE">
            <w:pPr>
              <w:spacing w:line="360" w:lineRule="auto"/>
              <w:ind w:firstLine="800" w:firstLineChars="200"/>
              <w:jc w:val="both"/>
              <w:rPr>
                <w:color w:val="auto"/>
                <w:sz w:val="40"/>
                <w:szCs w:val="32"/>
                <w:highlight w:val="none"/>
              </w:rPr>
            </w:pPr>
          </w:p>
        </w:tc>
        <w:tc>
          <w:tcPr>
            <w:tcW w:w="910" w:type="dxa"/>
            <w:vAlign w:val="center"/>
          </w:tcPr>
          <w:p w14:paraId="6139E7F4">
            <w:pPr>
              <w:spacing w:line="360" w:lineRule="auto"/>
              <w:ind w:firstLine="800" w:firstLineChars="200"/>
              <w:jc w:val="both"/>
              <w:rPr>
                <w:color w:val="auto"/>
                <w:sz w:val="40"/>
                <w:szCs w:val="32"/>
                <w:highlight w:val="none"/>
              </w:rPr>
            </w:pPr>
          </w:p>
        </w:tc>
        <w:tc>
          <w:tcPr>
            <w:tcW w:w="1088" w:type="dxa"/>
            <w:vAlign w:val="center"/>
          </w:tcPr>
          <w:p w14:paraId="4C9E276B">
            <w:pPr>
              <w:spacing w:line="360" w:lineRule="auto"/>
              <w:ind w:firstLine="800" w:firstLineChars="200"/>
              <w:jc w:val="both"/>
              <w:rPr>
                <w:color w:val="auto"/>
                <w:sz w:val="40"/>
                <w:szCs w:val="32"/>
                <w:highlight w:val="none"/>
              </w:rPr>
            </w:pPr>
          </w:p>
        </w:tc>
        <w:tc>
          <w:tcPr>
            <w:tcW w:w="878" w:type="dxa"/>
            <w:vAlign w:val="center"/>
          </w:tcPr>
          <w:p w14:paraId="05778649">
            <w:pPr>
              <w:spacing w:line="360" w:lineRule="auto"/>
              <w:ind w:firstLine="800" w:firstLineChars="200"/>
              <w:jc w:val="both"/>
              <w:rPr>
                <w:color w:val="auto"/>
                <w:sz w:val="40"/>
                <w:szCs w:val="32"/>
                <w:highlight w:val="none"/>
              </w:rPr>
            </w:pPr>
          </w:p>
        </w:tc>
      </w:tr>
      <w:tr w14:paraId="62C514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37EC1A56">
            <w:pPr>
              <w:spacing w:line="360" w:lineRule="auto"/>
              <w:ind w:firstLine="800" w:firstLineChars="200"/>
              <w:jc w:val="both"/>
              <w:rPr>
                <w:color w:val="auto"/>
                <w:sz w:val="40"/>
                <w:szCs w:val="32"/>
                <w:highlight w:val="none"/>
              </w:rPr>
            </w:pPr>
          </w:p>
        </w:tc>
        <w:tc>
          <w:tcPr>
            <w:tcW w:w="1446" w:type="dxa"/>
            <w:vAlign w:val="center"/>
          </w:tcPr>
          <w:p w14:paraId="4D980E0B">
            <w:pPr>
              <w:spacing w:line="360" w:lineRule="auto"/>
              <w:ind w:firstLine="800" w:firstLineChars="200"/>
              <w:jc w:val="both"/>
              <w:rPr>
                <w:color w:val="auto"/>
                <w:sz w:val="40"/>
                <w:szCs w:val="32"/>
                <w:highlight w:val="none"/>
              </w:rPr>
            </w:pPr>
          </w:p>
        </w:tc>
        <w:tc>
          <w:tcPr>
            <w:tcW w:w="851" w:type="dxa"/>
            <w:vAlign w:val="center"/>
          </w:tcPr>
          <w:p w14:paraId="4F9AAF27">
            <w:pPr>
              <w:spacing w:line="360" w:lineRule="auto"/>
              <w:ind w:firstLine="800" w:firstLineChars="200"/>
              <w:jc w:val="both"/>
              <w:rPr>
                <w:color w:val="auto"/>
                <w:sz w:val="40"/>
                <w:szCs w:val="32"/>
                <w:highlight w:val="none"/>
              </w:rPr>
            </w:pPr>
          </w:p>
        </w:tc>
        <w:tc>
          <w:tcPr>
            <w:tcW w:w="708" w:type="dxa"/>
            <w:vAlign w:val="center"/>
          </w:tcPr>
          <w:p w14:paraId="53346463">
            <w:pPr>
              <w:spacing w:line="360" w:lineRule="auto"/>
              <w:ind w:firstLine="800" w:firstLineChars="200"/>
              <w:jc w:val="both"/>
              <w:rPr>
                <w:color w:val="auto"/>
                <w:sz w:val="40"/>
                <w:szCs w:val="32"/>
                <w:highlight w:val="none"/>
              </w:rPr>
            </w:pPr>
          </w:p>
        </w:tc>
        <w:tc>
          <w:tcPr>
            <w:tcW w:w="810" w:type="dxa"/>
            <w:vAlign w:val="center"/>
          </w:tcPr>
          <w:p w14:paraId="53E58409">
            <w:pPr>
              <w:spacing w:line="360" w:lineRule="auto"/>
              <w:ind w:firstLine="800" w:firstLineChars="200"/>
              <w:jc w:val="both"/>
              <w:rPr>
                <w:color w:val="auto"/>
                <w:sz w:val="40"/>
                <w:szCs w:val="32"/>
                <w:highlight w:val="none"/>
              </w:rPr>
            </w:pPr>
          </w:p>
        </w:tc>
        <w:tc>
          <w:tcPr>
            <w:tcW w:w="851" w:type="dxa"/>
            <w:vAlign w:val="center"/>
          </w:tcPr>
          <w:p w14:paraId="11065A71">
            <w:pPr>
              <w:spacing w:line="360" w:lineRule="auto"/>
              <w:ind w:firstLine="800" w:firstLineChars="200"/>
              <w:jc w:val="both"/>
              <w:rPr>
                <w:color w:val="auto"/>
                <w:sz w:val="40"/>
                <w:szCs w:val="32"/>
                <w:highlight w:val="none"/>
              </w:rPr>
            </w:pPr>
          </w:p>
        </w:tc>
        <w:tc>
          <w:tcPr>
            <w:tcW w:w="736" w:type="dxa"/>
            <w:vAlign w:val="center"/>
          </w:tcPr>
          <w:p w14:paraId="17867989">
            <w:pPr>
              <w:spacing w:line="360" w:lineRule="auto"/>
              <w:ind w:firstLine="800" w:firstLineChars="200"/>
              <w:jc w:val="both"/>
              <w:rPr>
                <w:color w:val="auto"/>
                <w:sz w:val="40"/>
                <w:szCs w:val="32"/>
                <w:highlight w:val="none"/>
              </w:rPr>
            </w:pPr>
          </w:p>
        </w:tc>
        <w:tc>
          <w:tcPr>
            <w:tcW w:w="910" w:type="dxa"/>
            <w:vAlign w:val="center"/>
          </w:tcPr>
          <w:p w14:paraId="65F12B1B">
            <w:pPr>
              <w:spacing w:line="360" w:lineRule="auto"/>
              <w:ind w:firstLine="800" w:firstLineChars="200"/>
              <w:jc w:val="both"/>
              <w:rPr>
                <w:color w:val="auto"/>
                <w:sz w:val="40"/>
                <w:szCs w:val="32"/>
                <w:highlight w:val="none"/>
              </w:rPr>
            </w:pPr>
          </w:p>
        </w:tc>
        <w:tc>
          <w:tcPr>
            <w:tcW w:w="1088" w:type="dxa"/>
            <w:vAlign w:val="center"/>
          </w:tcPr>
          <w:p w14:paraId="39518173">
            <w:pPr>
              <w:spacing w:line="360" w:lineRule="auto"/>
              <w:ind w:firstLine="800" w:firstLineChars="200"/>
              <w:jc w:val="both"/>
              <w:rPr>
                <w:color w:val="auto"/>
                <w:sz w:val="40"/>
                <w:szCs w:val="32"/>
                <w:highlight w:val="none"/>
              </w:rPr>
            </w:pPr>
          </w:p>
        </w:tc>
        <w:tc>
          <w:tcPr>
            <w:tcW w:w="878" w:type="dxa"/>
            <w:vAlign w:val="center"/>
          </w:tcPr>
          <w:p w14:paraId="0280CFB2">
            <w:pPr>
              <w:spacing w:line="360" w:lineRule="auto"/>
              <w:ind w:firstLine="800" w:firstLineChars="200"/>
              <w:jc w:val="both"/>
              <w:rPr>
                <w:color w:val="auto"/>
                <w:sz w:val="40"/>
                <w:szCs w:val="32"/>
                <w:highlight w:val="none"/>
              </w:rPr>
            </w:pPr>
          </w:p>
        </w:tc>
      </w:tr>
      <w:tr w14:paraId="7B7108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81A6456">
            <w:pPr>
              <w:spacing w:line="360" w:lineRule="auto"/>
              <w:ind w:firstLine="800" w:firstLineChars="200"/>
              <w:jc w:val="both"/>
              <w:rPr>
                <w:color w:val="auto"/>
                <w:sz w:val="40"/>
                <w:szCs w:val="32"/>
                <w:highlight w:val="none"/>
              </w:rPr>
            </w:pPr>
          </w:p>
        </w:tc>
        <w:tc>
          <w:tcPr>
            <w:tcW w:w="1446" w:type="dxa"/>
            <w:vAlign w:val="center"/>
          </w:tcPr>
          <w:p w14:paraId="34E6935E">
            <w:pPr>
              <w:spacing w:line="360" w:lineRule="auto"/>
              <w:ind w:firstLine="800" w:firstLineChars="200"/>
              <w:jc w:val="both"/>
              <w:rPr>
                <w:color w:val="auto"/>
                <w:sz w:val="40"/>
                <w:szCs w:val="32"/>
                <w:highlight w:val="none"/>
              </w:rPr>
            </w:pPr>
          </w:p>
        </w:tc>
        <w:tc>
          <w:tcPr>
            <w:tcW w:w="851" w:type="dxa"/>
            <w:vAlign w:val="center"/>
          </w:tcPr>
          <w:p w14:paraId="625BAFFC">
            <w:pPr>
              <w:spacing w:line="360" w:lineRule="auto"/>
              <w:ind w:firstLine="800" w:firstLineChars="200"/>
              <w:jc w:val="both"/>
              <w:rPr>
                <w:color w:val="auto"/>
                <w:sz w:val="40"/>
                <w:szCs w:val="32"/>
                <w:highlight w:val="none"/>
              </w:rPr>
            </w:pPr>
          </w:p>
        </w:tc>
        <w:tc>
          <w:tcPr>
            <w:tcW w:w="708" w:type="dxa"/>
            <w:vAlign w:val="center"/>
          </w:tcPr>
          <w:p w14:paraId="6F56BE03">
            <w:pPr>
              <w:spacing w:line="360" w:lineRule="auto"/>
              <w:ind w:firstLine="800" w:firstLineChars="200"/>
              <w:jc w:val="both"/>
              <w:rPr>
                <w:color w:val="auto"/>
                <w:sz w:val="40"/>
                <w:szCs w:val="32"/>
                <w:highlight w:val="none"/>
              </w:rPr>
            </w:pPr>
          </w:p>
        </w:tc>
        <w:tc>
          <w:tcPr>
            <w:tcW w:w="810" w:type="dxa"/>
            <w:vAlign w:val="center"/>
          </w:tcPr>
          <w:p w14:paraId="0A9F28ED">
            <w:pPr>
              <w:spacing w:line="360" w:lineRule="auto"/>
              <w:ind w:firstLine="800" w:firstLineChars="200"/>
              <w:jc w:val="both"/>
              <w:rPr>
                <w:color w:val="auto"/>
                <w:sz w:val="40"/>
                <w:szCs w:val="32"/>
                <w:highlight w:val="none"/>
              </w:rPr>
            </w:pPr>
          </w:p>
        </w:tc>
        <w:tc>
          <w:tcPr>
            <w:tcW w:w="851" w:type="dxa"/>
            <w:vAlign w:val="center"/>
          </w:tcPr>
          <w:p w14:paraId="2770BFC1">
            <w:pPr>
              <w:spacing w:line="360" w:lineRule="auto"/>
              <w:ind w:firstLine="800" w:firstLineChars="200"/>
              <w:jc w:val="both"/>
              <w:rPr>
                <w:color w:val="auto"/>
                <w:sz w:val="40"/>
                <w:szCs w:val="32"/>
                <w:highlight w:val="none"/>
              </w:rPr>
            </w:pPr>
          </w:p>
        </w:tc>
        <w:tc>
          <w:tcPr>
            <w:tcW w:w="736" w:type="dxa"/>
            <w:vAlign w:val="center"/>
          </w:tcPr>
          <w:p w14:paraId="1A0B8900">
            <w:pPr>
              <w:spacing w:line="360" w:lineRule="auto"/>
              <w:ind w:firstLine="800" w:firstLineChars="200"/>
              <w:jc w:val="both"/>
              <w:rPr>
                <w:color w:val="auto"/>
                <w:sz w:val="40"/>
                <w:szCs w:val="32"/>
                <w:highlight w:val="none"/>
              </w:rPr>
            </w:pPr>
          </w:p>
        </w:tc>
        <w:tc>
          <w:tcPr>
            <w:tcW w:w="910" w:type="dxa"/>
            <w:vAlign w:val="center"/>
          </w:tcPr>
          <w:p w14:paraId="701DCB1B">
            <w:pPr>
              <w:spacing w:line="360" w:lineRule="auto"/>
              <w:ind w:firstLine="800" w:firstLineChars="200"/>
              <w:jc w:val="both"/>
              <w:rPr>
                <w:color w:val="auto"/>
                <w:sz w:val="40"/>
                <w:szCs w:val="32"/>
                <w:highlight w:val="none"/>
              </w:rPr>
            </w:pPr>
          </w:p>
        </w:tc>
        <w:tc>
          <w:tcPr>
            <w:tcW w:w="1088" w:type="dxa"/>
            <w:vAlign w:val="center"/>
          </w:tcPr>
          <w:p w14:paraId="378984DF">
            <w:pPr>
              <w:spacing w:line="360" w:lineRule="auto"/>
              <w:ind w:firstLine="800" w:firstLineChars="200"/>
              <w:jc w:val="both"/>
              <w:rPr>
                <w:color w:val="auto"/>
                <w:sz w:val="40"/>
                <w:szCs w:val="32"/>
                <w:highlight w:val="none"/>
              </w:rPr>
            </w:pPr>
          </w:p>
        </w:tc>
        <w:tc>
          <w:tcPr>
            <w:tcW w:w="878" w:type="dxa"/>
            <w:vAlign w:val="center"/>
          </w:tcPr>
          <w:p w14:paraId="73D49CE5">
            <w:pPr>
              <w:spacing w:line="360" w:lineRule="auto"/>
              <w:ind w:firstLine="800" w:firstLineChars="200"/>
              <w:jc w:val="both"/>
              <w:rPr>
                <w:color w:val="auto"/>
                <w:sz w:val="40"/>
                <w:szCs w:val="32"/>
                <w:highlight w:val="none"/>
              </w:rPr>
            </w:pPr>
          </w:p>
        </w:tc>
      </w:tr>
      <w:tr w14:paraId="68C46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340CEEFD">
            <w:pPr>
              <w:spacing w:line="360" w:lineRule="auto"/>
              <w:ind w:firstLine="800" w:firstLineChars="200"/>
              <w:jc w:val="both"/>
              <w:rPr>
                <w:color w:val="auto"/>
                <w:sz w:val="40"/>
                <w:szCs w:val="32"/>
                <w:highlight w:val="none"/>
              </w:rPr>
            </w:pPr>
          </w:p>
        </w:tc>
        <w:tc>
          <w:tcPr>
            <w:tcW w:w="1446" w:type="dxa"/>
            <w:vAlign w:val="center"/>
          </w:tcPr>
          <w:p w14:paraId="557F0D41">
            <w:pPr>
              <w:spacing w:line="360" w:lineRule="auto"/>
              <w:ind w:firstLine="800" w:firstLineChars="200"/>
              <w:jc w:val="both"/>
              <w:rPr>
                <w:color w:val="auto"/>
                <w:sz w:val="40"/>
                <w:szCs w:val="32"/>
                <w:highlight w:val="none"/>
              </w:rPr>
            </w:pPr>
          </w:p>
        </w:tc>
        <w:tc>
          <w:tcPr>
            <w:tcW w:w="851" w:type="dxa"/>
            <w:vAlign w:val="center"/>
          </w:tcPr>
          <w:p w14:paraId="6E6B13A6">
            <w:pPr>
              <w:spacing w:line="360" w:lineRule="auto"/>
              <w:ind w:firstLine="800" w:firstLineChars="200"/>
              <w:jc w:val="both"/>
              <w:rPr>
                <w:color w:val="auto"/>
                <w:sz w:val="40"/>
                <w:szCs w:val="32"/>
                <w:highlight w:val="none"/>
              </w:rPr>
            </w:pPr>
          </w:p>
        </w:tc>
        <w:tc>
          <w:tcPr>
            <w:tcW w:w="708" w:type="dxa"/>
            <w:vAlign w:val="center"/>
          </w:tcPr>
          <w:p w14:paraId="55A333E0">
            <w:pPr>
              <w:spacing w:line="360" w:lineRule="auto"/>
              <w:ind w:firstLine="800" w:firstLineChars="200"/>
              <w:jc w:val="both"/>
              <w:rPr>
                <w:color w:val="auto"/>
                <w:sz w:val="40"/>
                <w:szCs w:val="32"/>
                <w:highlight w:val="none"/>
              </w:rPr>
            </w:pPr>
          </w:p>
        </w:tc>
        <w:tc>
          <w:tcPr>
            <w:tcW w:w="810" w:type="dxa"/>
            <w:vAlign w:val="center"/>
          </w:tcPr>
          <w:p w14:paraId="153689CA">
            <w:pPr>
              <w:spacing w:line="360" w:lineRule="auto"/>
              <w:ind w:firstLine="800" w:firstLineChars="200"/>
              <w:jc w:val="both"/>
              <w:rPr>
                <w:color w:val="auto"/>
                <w:sz w:val="40"/>
                <w:szCs w:val="32"/>
                <w:highlight w:val="none"/>
              </w:rPr>
            </w:pPr>
          </w:p>
        </w:tc>
        <w:tc>
          <w:tcPr>
            <w:tcW w:w="851" w:type="dxa"/>
            <w:vAlign w:val="center"/>
          </w:tcPr>
          <w:p w14:paraId="01CCBD39">
            <w:pPr>
              <w:spacing w:line="360" w:lineRule="auto"/>
              <w:ind w:firstLine="800" w:firstLineChars="200"/>
              <w:jc w:val="both"/>
              <w:rPr>
                <w:color w:val="auto"/>
                <w:sz w:val="40"/>
                <w:szCs w:val="32"/>
                <w:highlight w:val="none"/>
              </w:rPr>
            </w:pPr>
          </w:p>
        </w:tc>
        <w:tc>
          <w:tcPr>
            <w:tcW w:w="736" w:type="dxa"/>
            <w:vAlign w:val="center"/>
          </w:tcPr>
          <w:p w14:paraId="3CA99F7F">
            <w:pPr>
              <w:spacing w:line="360" w:lineRule="auto"/>
              <w:ind w:firstLine="800" w:firstLineChars="200"/>
              <w:jc w:val="both"/>
              <w:rPr>
                <w:color w:val="auto"/>
                <w:sz w:val="40"/>
                <w:szCs w:val="32"/>
                <w:highlight w:val="none"/>
              </w:rPr>
            </w:pPr>
          </w:p>
        </w:tc>
        <w:tc>
          <w:tcPr>
            <w:tcW w:w="910" w:type="dxa"/>
            <w:vAlign w:val="center"/>
          </w:tcPr>
          <w:p w14:paraId="5DA1FA74">
            <w:pPr>
              <w:spacing w:line="360" w:lineRule="auto"/>
              <w:ind w:firstLine="800" w:firstLineChars="200"/>
              <w:jc w:val="both"/>
              <w:rPr>
                <w:color w:val="auto"/>
                <w:sz w:val="40"/>
                <w:szCs w:val="32"/>
                <w:highlight w:val="none"/>
              </w:rPr>
            </w:pPr>
          </w:p>
        </w:tc>
        <w:tc>
          <w:tcPr>
            <w:tcW w:w="1088" w:type="dxa"/>
            <w:vAlign w:val="center"/>
          </w:tcPr>
          <w:p w14:paraId="01831F23">
            <w:pPr>
              <w:spacing w:line="360" w:lineRule="auto"/>
              <w:ind w:firstLine="800" w:firstLineChars="200"/>
              <w:jc w:val="both"/>
              <w:rPr>
                <w:color w:val="auto"/>
                <w:sz w:val="40"/>
                <w:szCs w:val="32"/>
                <w:highlight w:val="none"/>
              </w:rPr>
            </w:pPr>
          </w:p>
        </w:tc>
        <w:tc>
          <w:tcPr>
            <w:tcW w:w="878" w:type="dxa"/>
            <w:vAlign w:val="center"/>
          </w:tcPr>
          <w:p w14:paraId="18E1A3CB">
            <w:pPr>
              <w:spacing w:line="360" w:lineRule="auto"/>
              <w:ind w:firstLine="800" w:firstLineChars="200"/>
              <w:jc w:val="both"/>
              <w:rPr>
                <w:color w:val="auto"/>
                <w:sz w:val="40"/>
                <w:szCs w:val="32"/>
                <w:highlight w:val="none"/>
              </w:rPr>
            </w:pPr>
          </w:p>
        </w:tc>
      </w:tr>
      <w:tr w14:paraId="1B943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D642969">
            <w:pPr>
              <w:spacing w:line="360" w:lineRule="auto"/>
              <w:ind w:firstLine="800" w:firstLineChars="200"/>
              <w:jc w:val="both"/>
              <w:rPr>
                <w:color w:val="auto"/>
                <w:sz w:val="40"/>
                <w:szCs w:val="32"/>
                <w:highlight w:val="none"/>
              </w:rPr>
            </w:pPr>
          </w:p>
        </w:tc>
        <w:tc>
          <w:tcPr>
            <w:tcW w:w="1446" w:type="dxa"/>
            <w:vAlign w:val="center"/>
          </w:tcPr>
          <w:p w14:paraId="7E8EC17F">
            <w:pPr>
              <w:spacing w:line="360" w:lineRule="auto"/>
              <w:ind w:firstLine="800" w:firstLineChars="200"/>
              <w:jc w:val="both"/>
              <w:rPr>
                <w:color w:val="auto"/>
                <w:sz w:val="40"/>
                <w:szCs w:val="32"/>
                <w:highlight w:val="none"/>
              </w:rPr>
            </w:pPr>
          </w:p>
        </w:tc>
        <w:tc>
          <w:tcPr>
            <w:tcW w:w="851" w:type="dxa"/>
            <w:vAlign w:val="center"/>
          </w:tcPr>
          <w:p w14:paraId="647D56FD">
            <w:pPr>
              <w:spacing w:line="360" w:lineRule="auto"/>
              <w:ind w:firstLine="800" w:firstLineChars="200"/>
              <w:jc w:val="both"/>
              <w:rPr>
                <w:color w:val="auto"/>
                <w:sz w:val="40"/>
                <w:szCs w:val="32"/>
                <w:highlight w:val="none"/>
              </w:rPr>
            </w:pPr>
          </w:p>
        </w:tc>
        <w:tc>
          <w:tcPr>
            <w:tcW w:w="708" w:type="dxa"/>
            <w:vAlign w:val="center"/>
          </w:tcPr>
          <w:p w14:paraId="7BA7E60B">
            <w:pPr>
              <w:spacing w:line="360" w:lineRule="auto"/>
              <w:ind w:firstLine="800" w:firstLineChars="200"/>
              <w:jc w:val="both"/>
              <w:rPr>
                <w:color w:val="auto"/>
                <w:sz w:val="40"/>
                <w:szCs w:val="32"/>
                <w:highlight w:val="none"/>
              </w:rPr>
            </w:pPr>
          </w:p>
        </w:tc>
        <w:tc>
          <w:tcPr>
            <w:tcW w:w="810" w:type="dxa"/>
            <w:vAlign w:val="center"/>
          </w:tcPr>
          <w:p w14:paraId="2B3515B8">
            <w:pPr>
              <w:spacing w:line="360" w:lineRule="auto"/>
              <w:ind w:firstLine="800" w:firstLineChars="200"/>
              <w:jc w:val="both"/>
              <w:rPr>
                <w:color w:val="auto"/>
                <w:sz w:val="40"/>
                <w:szCs w:val="32"/>
                <w:highlight w:val="none"/>
              </w:rPr>
            </w:pPr>
          </w:p>
        </w:tc>
        <w:tc>
          <w:tcPr>
            <w:tcW w:w="851" w:type="dxa"/>
            <w:vAlign w:val="center"/>
          </w:tcPr>
          <w:p w14:paraId="63941BBB">
            <w:pPr>
              <w:spacing w:line="360" w:lineRule="auto"/>
              <w:ind w:firstLine="800" w:firstLineChars="200"/>
              <w:jc w:val="both"/>
              <w:rPr>
                <w:color w:val="auto"/>
                <w:sz w:val="40"/>
                <w:szCs w:val="32"/>
                <w:highlight w:val="none"/>
              </w:rPr>
            </w:pPr>
          </w:p>
        </w:tc>
        <w:tc>
          <w:tcPr>
            <w:tcW w:w="736" w:type="dxa"/>
            <w:vAlign w:val="center"/>
          </w:tcPr>
          <w:p w14:paraId="593099B0">
            <w:pPr>
              <w:spacing w:line="360" w:lineRule="auto"/>
              <w:ind w:firstLine="800" w:firstLineChars="200"/>
              <w:jc w:val="both"/>
              <w:rPr>
                <w:color w:val="auto"/>
                <w:sz w:val="40"/>
                <w:szCs w:val="32"/>
                <w:highlight w:val="none"/>
              </w:rPr>
            </w:pPr>
          </w:p>
        </w:tc>
        <w:tc>
          <w:tcPr>
            <w:tcW w:w="910" w:type="dxa"/>
            <w:vAlign w:val="center"/>
          </w:tcPr>
          <w:p w14:paraId="3FCF12EE">
            <w:pPr>
              <w:spacing w:line="360" w:lineRule="auto"/>
              <w:ind w:firstLine="800" w:firstLineChars="200"/>
              <w:jc w:val="both"/>
              <w:rPr>
                <w:color w:val="auto"/>
                <w:sz w:val="40"/>
                <w:szCs w:val="32"/>
                <w:highlight w:val="none"/>
              </w:rPr>
            </w:pPr>
          </w:p>
        </w:tc>
        <w:tc>
          <w:tcPr>
            <w:tcW w:w="1088" w:type="dxa"/>
            <w:vAlign w:val="center"/>
          </w:tcPr>
          <w:p w14:paraId="3FBE1577">
            <w:pPr>
              <w:spacing w:line="360" w:lineRule="auto"/>
              <w:ind w:firstLine="800" w:firstLineChars="200"/>
              <w:jc w:val="both"/>
              <w:rPr>
                <w:color w:val="auto"/>
                <w:sz w:val="40"/>
                <w:szCs w:val="32"/>
                <w:highlight w:val="none"/>
              </w:rPr>
            </w:pPr>
          </w:p>
        </w:tc>
        <w:tc>
          <w:tcPr>
            <w:tcW w:w="878" w:type="dxa"/>
            <w:vAlign w:val="center"/>
          </w:tcPr>
          <w:p w14:paraId="14FC44C6">
            <w:pPr>
              <w:spacing w:line="360" w:lineRule="auto"/>
              <w:ind w:firstLine="800" w:firstLineChars="200"/>
              <w:jc w:val="both"/>
              <w:rPr>
                <w:color w:val="auto"/>
                <w:sz w:val="40"/>
                <w:szCs w:val="32"/>
                <w:highlight w:val="none"/>
              </w:rPr>
            </w:pPr>
          </w:p>
        </w:tc>
      </w:tr>
      <w:tr w14:paraId="3D92B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34B9A4FE">
            <w:pPr>
              <w:spacing w:line="360" w:lineRule="auto"/>
              <w:ind w:firstLine="800" w:firstLineChars="200"/>
              <w:jc w:val="both"/>
              <w:rPr>
                <w:color w:val="auto"/>
                <w:sz w:val="40"/>
                <w:szCs w:val="32"/>
                <w:highlight w:val="none"/>
              </w:rPr>
            </w:pPr>
          </w:p>
        </w:tc>
        <w:tc>
          <w:tcPr>
            <w:tcW w:w="1446" w:type="dxa"/>
            <w:vAlign w:val="center"/>
          </w:tcPr>
          <w:p w14:paraId="7805FBF6">
            <w:pPr>
              <w:spacing w:line="360" w:lineRule="auto"/>
              <w:ind w:firstLine="800" w:firstLineChars="200"/>
              <w:jc w:val="both"/>
              <w:rPr>
                <w:color w:val="auto"/>
                <w:sz w:val="40"/>
                <w:szCs w:val="32"/>
                <w:highlight w:val="none"/>
              </w:rPr>
            </w:pPr>
          </w:p>
        </w:tc>
        <w:tc>
          <w:tcPr>
            <w:tcW w:w="851" w:type="dxa"/>
            <w:vAlign w:val="center"/>
          </w:tcPr>
          <w:p w14:paraId="7F2474FA">
            <w:pPr>
              <w:spacing w:line="360" w:lineRule="auto"/>
              <w:ind w:firstLine="800" w:firstLineChars="200"/>
              <w:jc w:val="both"/>
              <w:rPr>
                <w:color w:val="auto"/>
                <w:sz w:val="40"/>
                <w:szCs w:val="32"/>
                <w:highlight w:val="none"/>
              </w:rPr>
            </w:pPr>
          </w:p>
        </w:tc>
        <w:tc>
          <w:tcPr>
            <w:tcW w:w="708" w:type="dxa"/>
            <w:vAlign w:val="center"/>
          </w:tcPr>
          <w:p w14:paraId="0B7CB39C">
            <w:pPr>
              <w:spacing w:line="360" w:lineRule="auto"/>
              <w:ind w:firstLine="800" w:firstLineChars="200"/>
              <w:jc w:val="both"/>
              <w:rPr>
                <w:color w:val="auto"/>
                <w:sz w:val="40"/>
                <w:szCs w:val="32"/>
                <w:highlight w:val="none"/>
              </w:rPr>
            </w:pPr>
          </w:p>
        </w:tc>
        <w:tc>
          <w:tcPr>
            <w:tcW w:w="810" w:type="dxa"/>
            <w:vAlign w:val="center"/>
          </w:tcPr>
          <w:p w14:paraId="4B769042">
            <w:pPr>
              <w:spacing w:line="360" w:lineRule="auto"/>
              <w:ind w:firstLine="800" w:firstLineChars="200"/>
              <w:jc w:val="both"/>
              <w:rPr>
                <w:color w:val="auto"/>
                <w:sz w:val="40"/>
                <w:szCs w:val="32"/>
                <w:highlight w:val="none"/>
              </w:rPr>
            </w:pPr>
          </w:p>
        </w:tc>
        <w:tc>
          <w:tcPr>
            <w:tcW w:w="851" w:type="dxa"/>
            <w:vAlign w:val="center"/>
          </w:tcPr>
          <w:p w14:paraId="4928C72D">
            <w:pPr>
              <w:spacing w:line="360" w:lineRule="auto"/>
              <w:ind w:firstLine="800" w:firstLineChars="200"/>
              <w:jc w:val="both"/>
              <w:rPr>
                <w:color w:val="auto"/>
                <w:sz w:val="40"/>
                <w:szCs w:val="32"/>
                <w:highlight w:val="none"/>
              </w:rPr>
            </w:pPr>
          </w:p>
        </w:tc>
        <w:tc>
          <w:tcPr>
            <w:tcW w:w="736" w:type="dxa"/>
            <w:vAlign w:val="center"/>
          </w:tcPr>
          <w:p w14:paraId="07773843">
            <w:pPr>
              <w:spacing w:line="360" w:lineRule="auto"/>
              <w:ind w:firstLine="800" w:firstLineChars="200"/>
              <w:jc w:val="both"/>
              <w:rPr>
                <w:color w:val="auto"/>
                <w:sz w:val="40"/>
                <w:szCs w:val="32"/>
                <w:highlight w:val="none"/>
              </w:rPr>
            </w:pPr>
          </w:p>
        </w:tc>
        <w:tc>
          <w:tcPr>
            <w:tcW w:w="910" w:type="dxa"/>
            <w:vAlign w:val="center"/>
          </w:tcPr>
          <w:p w14:paraId="31C5FD67">
            <w:pPr>
              <w:spacing w:line="360" w:lineRule="auto"/>
              <w:ind w:firstLine="800" w:firstLineChars="200"/>
              <w:jc w:val="both"/>
              <w:rPr>
                <w:color w:val="auto"/>
                <w:sz w:val="40"/>
                <w:szCs w:val="32"/>
                <w:highlight w:val="none"/>
              </w:rPr>
            </w:pPr>
          </w:p>
        </w:tc>
        <w:tc>
          <w:tcPr>
            <w:tcW w:w="1088" w:type="dxa"/>
            <w:vAlign w:val="center"/>
          </w:tcPr>
          <w:p w14:paraId="389F1A5B">
            <w:pPr>
              <w:spacing w:line="360" w:lineRule="auto"/>
              <w:ind w:firstLine="800" w:firstLineChars="200"/>
              <w:jc w:val="both"/>
              <w:rPr>
                <w:color w:val="auto"/>
                <w:sz w:val="40"/>
                <w:szCs w:val="32"/>
                <w:highlight w:val="none"/>
              </w:rPr>
            </w:pPr>
          </w:p>
        </w:tc>
        <w:tc>
          <w:tcPr>
            <w:tcW w:w="878" w:type="dxa"/>
            <w:vAlign w:val="center"/>
          </w:tcPr>
          <w:p w14:paraId="10517CA7">
            <w:pPr>
              <w:spacing w:line="360" w:lineRule="auto"/>
              <w:ind w:firstLine="800" w:firstLineChars="200"/>
              <w:jc w:val="both"/>
              <w:rPr>
                <w:color w:val="auto"/>
                <w:sz w:val="40"/>
                <w:szCs w:val="32"/>
                <w:highlight w:val="none"/>
              </w:rPr>
            </w:pPr>
          </w:p>
        </w:tc>
      </w:tr>
      <w:tr w14:paraId="6A50F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6F66042B">
            <w:pPr>
              <w:spacing w:line="360" w:lineRule="auto"/>
              <w:ind w:firstLine="800" w:firstLineChars="200"/>
              <w:jc w:val="both"/>
              <w:rPr>
                <w:color w:val="auto"/>
                <w:sz w:val="40"/>
                <w:szCs w:val="32"/>
                <w:highlight w:val="none"/>
              </w:rPr>
            </w:pPr>
          </w:p>
        </w:tc>
        <w:tc>
          <w:tcPr>
            <w:tcW w:w="1446" w:type="dxa"/>
            <w:vAlign w:val="center"/>
          </w:tcPr>
          <w:p w14:paraId="43B833A9">
            <w:pPr>
              <w:spacing w:line="360" w:lineRule="auto"/>
              <w:ind w:firstLine="800" w:firstLineChars="200"/>
              <w:jc w:val="both"/>
              <w:rPr>
                <w:color w:val="auto"/>
                <w:sz w:val="40"/>
                <w:szCs w:val="32"/>
                <w:highlight w:val="none"/>
              </w:rPr>
            </w:pPr>
          </w:p>
        </w:tc>
        <w:tc>
          <w:tcPr>
            <w:tcW w:w="851" w:type="dxa"/>
            <w:vAlign w:val="center"/>
          </w:tcPr>
          <w:p w14:paraId="74291076">
            <w:pPr>
              <w:spacing w:line="360" w:lineRule="auto"/>
              <w:ind w:firstLine="800" w:firstLineChars="200"/>
              <w:jc w:val="both"/>
              <w:rPr>
                <w:color w:val="auto"/>
                <w:sz w:val="40"/>
                <w:szCs w:val="32"/>
                <w:highlight w:val="none"/>
              </w:rPr>
            </w:pPr>
          </w:p>
        </w:tc>
        <w:tc>
          <w:tcPr>
            <w:tcW w:w="708" w:type="dxa"/>
            <w:vAlign w:val="center"/>
          </w:tcPr>
          <w:p w14:paraId="295D6591">
            <w:pPr>
              <w:spacing w:line="360" w:lineRule="auto"/>
              <w:ind w:firstLine="800" w:firstLineChars="200"/>
              <w:jc w:val="both"/>
              <w:rPr>
                <w:color w:val="auto"/>
                <w:sz w:val="40"/>
                <w:szCs w:val="32"/>
                <w:highlight w:val="none"/>
              </w:rPr>
            </w:pPr>
          </w:p>
        </w:tc>
        <w:tc>
          <w:tcPr>
            <w:tcW w:w="810" w:type="dxa"/>
            <w:vAlign w:val="center"/>
          </w:tcPr>
          <w:p w14:paraId="1D2A2DB4">
            <w:pPr>
              <w:spacing w:line="360" w:lineRule="auto"/>
              <w:ind w:firstLine="800" w:firstLineChars="200"/>
              <w:jc w:val="both"/>
              <w:rPr>
                <w:color w:val="auto"/>
                <w:sz w:val="40"/>
                <w:szCs w:val="32"/>
                <w:highlight w:val="none"/>
              </w:rPr>
            </w:pPr>
          </w:p>
        </w:tc>
        <w:tc>
          <w:tcPr>
            <w:tcW w:w="851" w:type="dxa"/>
            <w:vAlign w:val="center"/>
          </w:tcPr>
          <w:p w14:paraId="35A04D43">
            <w:pPr>
              <w:spacing w:line="360" w:lineRule="auto"/>
              <w:ind w:firstLine="800" w:firstLineChars="200"/>
              <w:jc w:val="both"/>
              <w:rPr>
                <w:color w:val="auto"/>
                <w:sz w:val="40"/>
                <w:szCs w:val="32"/>
                <w:highlight w:val="none"/>
              </w:rPr>
            </w:pPr>
          </w:p>
        </w:tc>
        <w:tc>
          <w:tcPr>
            <w:tcW w:w="736" w:type="dxa"/>
            <w:vAlign w:val="center"/>
          </w:tcPr>
          <w:p w14:paraId="61A2B6A4">
            <w:pPr>
              <w:spacing w:line="360" w:lineRule="auto"/>
              <w:ind w:firstLine="800" w:firstLineChars="200"/>
              <w:jc w:val="both"/>
              <w:rPr>
                <w:color w:val="auto"/>
                <w:sz w:val="40"/>
                <w:szCs w:val="32"/>
                <w:highlight w:val="none"/>
              </w:rPr>
            </w:pPr>
          </w:p>
        </w:tc>
        <w:tc>
          <w:tcPr>
            <w:tcW w:w="910" w:type="dxa"/>
            <w:vAlign w:val="center"/>
          </w:tcPr>
          <w:p w14:paraId="3A863889">
            <w:pPr>
              <w:spacing w:line="360" w:lineRule="auto"/>
              <w:ind w:firstLine="800" w:firstLineChars="200"/>
              <w:jc w:val="both"/>
              <w:rPr>
                <w:color w:val="auto"/>
                <w:sz w:val="40"/>
                <w:szCs w:val="32"/>
                <w:highlight w:val="none"/>
              </w:rPr>
            </w:pPr>
          </w:p>
        </w:tc>
        <w:tc>
          <w:tcPr>
            <w:tcW w:w="1088" w:type="dxa"/>
            <w:vAlign w:val="center"/>
          </w:tcPr>
          <w:p w14:paraId="5DE8E89F">
            <w:pPr>
              <w:spacing w:line="360" w:lineRule="auto"/>
              <w:ind w:firstLine="800" w:firstLineChars="200"/>
              <w:jc w:val="both"/>
              <w:rPr>
                <w:color w:val="auto"/>
                <w:sz w:val="40"/>
                <w:szCs w:val="32"/>
                <w:highlight w:val="none"/>
              </w:rPr>
            </w:pPr>
          </w:p>
        </w:tc>
        <w:tc>
          <w:tcPr>
            <w:tcW w:w="878" w:type="dxa"/>
            <w:vAlign w:val="center"/>
          </w:tcPr>
          <w:p w14:paraId="07B55B8A">
            <w:pPr>
              <w:spacing w:line="360" w:lineRule="auto"/>
              <w:ind w:firstLine="800" w:firstLineChars="200"/>
              <w:jc w:val="both"/>
              <w:rPr>
                <w:color w:val="auto"/>
                <w:sz w:val="40"/>
                <w:szCs w:val="32"/>
                <w:highlight w:val="none"/>
              </w:rPr>
            </w:pPr>
          </w:p>
        </w:tc>
      </w:tr>
      <w:tr w14:paraId="25C17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26A217B5">
            <w:pPr>
              <w:spacing w:line="360" w:lineRule="auto"/>
              <w:ind w:firstLine="800" w:firstLineChars="200"/>
              <w:jc w:val="both"/>
              <w:rPr>
                <w:color w:val="auto"/>
                <w:sz w:val="40"/>
                <w:szCs w:val="32"/>
                <w:highlight w:val="none"/>
              </w:rPr>
            </w:pPr>
          </w:p>
        </w:tc>
        <w:tc>
          <w:tcPr>
            <w:tcW w:w="1446" w:type="dxa"/>
            <w:vAlign w:val="center"/>
          </w:tcPr>
          <w:p w14:paraId="76DDD54F">
            <w:pPr>
              <w:spacing w:line="360" w:lineRule="auto"/>
              <w:ind w:firstLine="800" w:firstLineChars="200"/>
              <w:jc w:val="both"/>
              <w:rPr>
                <w:color w:val="auto"/>
                <w:sz w:val="40"/>
                <w:szCs w:val="32"/>
                <w:highlight w:val="none"/>
              </w:rPr>
            </w:pPr>
          </w:p>
        </w:tc>
        <w:tc>
          <w:tcPr>
            <w:tcW w:w="851" w:type="dxa"/>
            <w:vAlign w:val="center"/>
          </w:tcPr>
          <w:p w14:paraId="117A4174">
            <w:pPr>
              <w:spacing w:line="360" w:lineRule="auto"/>
              <w:ind w:firstLine="800" w:firstLineChars="200"/>
              <w:jc w:val="both"/>
              <w:rPr>
                <w:color w:val="auto"/>
                <w:sz w:val="40"/>
                <w:szCs w:val="32"/>
                <w:highlight w:val="none"/>
              </w:rPr>
            </w:pPr>
          </w:p>
        </w:tc>
        <w:tc>
          <w:tcPr>
            <w:tcW w:w="708" w:type="dxa"/>
            <w:vAlign w:val="center"/>
          </w:tcPr>
          <w:p w14:paraId="430FC03D">
            <w:pPr>
              <w:spacing w:line="360" w:lineRule="auto"/>
              <w:ind w:firstLine="800" w:firstLineChars="200"/>
              <w:jc w:val="both"/>
              <w:rPr>
                <w:color w:val="auto"/>
                <w:sz w:val="40"/>
                <w:szCs w:val="32"/>
                <w:highlight w:val="none"/>
              </w:rPr>
            </w:pPr>
          </w:p>
        </w:tc>
        <w:tc>
          <w:tcPr>
            <w:tcW w:w="810" w:type="dxa"/>
            <w:vAlign w:val="center"/>
          </w:tcPr>
          <w:p w14:paraId="7957F5B5">
            <w:pPr>
              <w:spacing w:line="360" w:lineRule="auto"/>
              <w:ind w:firstLine="800" w:firstLineChars="200"/>
              <w:jc w:val="both"/>
              <w:rPr>
                <w:color w:val="auto"/>
                <w:sz w:val="40"/>
                <w:szCs w:val="32"/>
                <w:highlight w:val="none"/>
              </w:rPr>
            </w:pPr>
          </w:p>
        </w:tc>
        <w:tc>
          <w:tcPr>
            <w:tcW w:w="851" w:type="dxa"/>
            <w:vAlign w:val="center"/>
          </w:tcPr>
          <w:p w14:paraId="5A3E27EA">
            <w:pPr>
              <w:spacing w:line="360" w:lineRule="auto"/>
              <w:ind w:firstLine="800" w:firstLineChars="200"/>
              <w:jc w:val="both"/>
              <w:rPr>
                <w:color w:val="auto"/>
                <w:sz w:val="40"/>
                <w:szCs w:val="32"/>
                <w:highlight w:val="none"/>
              </w:rPr>
            </w:pPr>
          </w:p>
        </w:tc>
        <w:tc>
          <w:tcPr>
            <w:tcW w:w="736" w:type="dxa"/>
            <w:vAlign w:val="center"/>
          </w:tcPr>
          <w:p w14:paraId="76C3223F">
            <w:pPr>
              <w:spacing w:line="360" w:lineRule="auto"/>
              <w:ind w:firstLine="800" w:firstLineChars="200"/>
              <w:jc w:val="both"/>
              <w:rPr>
                <w:color w:val="auto"/>
                <w:sz w:val="40"/>
                <w:szCs w:val="32"/>
                <w:highlight w:val="none"/>
              </w:rPr>
            </w:pPr>
          </w:p>
        </w:tc>
        <w:tc>
          <w:tcPr>
            <w:tcW w:w="910" w:type="dxa"/>
            <w:vAlign w:val="center"/>
          </w:tcPr>
          <w:p w14:paraId="4B5B76E8">
            <w:pPr>
              <w:spacing w:line="360" w:lineRule="auto"/>
              <w:ind w:firstLine="800" w:firstLineChars="200"/>
              <w:jc w:val="both"/>
              <w:rPr>
                <w:color w:val="auto"/>
                <w:sz w:val="40"/>
                <w:szCs w:val="32"/>
                <w:highlight w:val="none"/>
              </w:rPr>
            </w:pPr>
          </w:p>
        </w:tc>
        <w:tc>
          <w:tcPr>
            <w:tcW w:w="1088" w:type="dxa"/>
            <w:vAlign w:val="center"/>
          </w:tcPr>
          <w:p w14:paraId="665DECBF">
            <w:pPr>
              <w:spacing w:line="360" w:lineRule="auto"/>
              <w:ind w:firstLine="800" w:firstLineChars="200"/>
              <w:jc w:val="both"/>
              <w:rPr>
                <w:color w:val="auto"/>
                <w:sz w:val="40"/>
                <w:szCs w:val="32"/>
                <w:highlight w:val="none"/>
              </w:rPr>
            </w:pPr>
          </w:p>
        </w:tc>
        <w:tc>
          <w:tcPr>
            <w:tcW w:w="878" w:type="dxa"/>
            <w:vAlign w:val="center"/>
          </w:tcPr>
          <w:p w14:paraId="4508AC1B">
            <w:pPr>
              <w:spacing w:line="360" w:lineRule="auto"/>
              <w:ind w:firstLine="800" w:firstLineChars="200"/>
              <w:jc w:val="both"/>
              <w:rPr>
                <w:color w:val="auto"/>
                <w:sz w:val="40"/>
                <w:szCs w:val="32"/>
                <w:highlight w:val="none"/>
              </w:rPr>
            </w:pPr>
          </w:p>
        </w:tc>
      </w:tr>
      <w:tr w14:paraId="6F31F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709" w:type="dxa"/>
            <w:vAlign w:val="center"/>
          </w:tcPr>
          <w:p w14:paraId="2644333B">
            <w:pPr>
              <w:spacing w:line="360" w:lineRule="auto"/>
              <w:ind w:firstLine="800" w:firstLineChars="200"/>
              <w:jc w:val="both"/>
              <w:rPr>
                <w:color w:val="auto"/>
                <w:sz w:val="40"/>
                <w:szCs w:val="32"/>
                <w:highlight w:val="none"/>
              </w:rPr>
            </w:pPr>
          </w:p>
        </w:tc>
        <w:tc>
          <w:tcPr>
            <w:tcW w:w="1446" w:type="dxa"/>
            <w:vAlign w:val="center"/>
          </w:tcPr>
          <w:p w14:paraId="0B6FE210">
            <w:pPr>
              <w:spacing w:line="360" w:lineRule="auto"/>
              <w:ind w:firstLine="800" w:firstLineChars="200"/>
              <w:jc w:val="both"/>
              <w:rPr>
                <w:color w:val="auto"/>
                <w:sz w:val="40"/>
                <w:szCs w:val="32"/>
                <w:highlight w:val="none"/>
              </w:rPr>
            </w:pPr>
          </w:p>
        </w:tc>
        <w:tc>
          <w:tcPr>
            <w:tcW w:w="851" w:type="dxa"/>
            <w:vAlign w:val="center"/>
          </w:tcPr>
          <w:p w14:paraId="6129F10C">
            <w:pPr>
              <w:spacing w:line="360" w:lineRule="auto"/>
              <w:ind w:firstLine="800" w:firstLineChars="200"/>
              <w:jc w:val="both"/>
              <w:rPr>
                <w:color w:val="auto"/>
                <w:sz w:val="40"/>
                <w:szCs w:val="32"/>
                <w:highlight w:val="none"/>
              </w:rPr>
            </w:pPr>
          </w:p>
        </w:tc>
        <w:tc>
          <w:tcPr>
            <w:tcW w:w="708" w:type="dxa"/>
            <w:vAlign w:val="center"/>
          </w:tcPr>
          <w:p w14:paraId="063EA239">
            <w:pPr>
              <w:spacing w:line="360" w:lineRule="auto"/>
              <w:ind w:firstLine="800" w:firstLineChars="200"/>
              <w:jc w:val="both"/>
              <w:rPr>
                <w:color w:val="auto"/>
                <w:sz w:val="40"/>
                <w:szCs w:val="32"/>
                <w:highlight w:val="none"/>
              </w:rPr>
            </w:pPr>
          </w:p>
        </w:tc>
        <w:tc>
          <w:tcPr>
            <w:tcW w:w="810" w:type="dxa"/>
            <w:vAlign w:val="center"/>
          </w:tcPr>
          <w:p w14:paraId="542657BF">
            <w:pPr>
              <w:spacing w:line="360" w:lineRule="auto"/>
              <w:ind w:firstLine="800" w:firstLineChars="200"/>
              <w:jc w:val="both"/>
              <w:rPr>
                <w:color w:val="auto"/>
                <w:sz w:val="40"/>
                <w:szCs w:val="32"/>
                <w:highlight w:val="none"/>
              </w:rPr>
            </w:pPr>
          </w:p>
        </w:tc>
        <w:tc>
          <w:tcPr>
            <w:tcW w:w="851" w:type="dxa"/>
            <w:vAlign w:val="center"/>
          </w:tcPr>
          <w:p w14:paraId="6B984927">
            <w:pPr>
              <w:spacing w:line="360" w:lineRule="auto"/>
              <w:ind w:firstLine="800" w:firstLineChars="200"/>
              <w:jc w:val="both"/>
              <w:rPr>
                <w:color w:val="auto"/>
                <w:sz w:val="40"/>
                <w:szCs w:val="32"/>
                <w:highlight w:val="none"/>
              </w:rPr>
            </w:pPr>
          </w:p>
        </w:tc>
        <w:tc>
          <w:tcPr>
            <w:tcW w:w="736" w:type="dxa"/>
            <w:vAlign w:val="center"/>
          </w:tcPr>
          <w:p w14:paraId="3F0E654C">
            <w:pPr>
              <w:spacing w:line="360" w:lineRule="auto"/>
              <w:ind w:firstLine="800" w:firstLineChars="200"/>
              <w:jc w:val="both"/>
              <w:rPr>
                <w:color w:val="auto"/>
                <w:sz w:val="40"/>
                <w:szCs w:val="32"/>
                <w:highlight w:val="none"/>
              </w:rPr>
            </w:pPr>
          </w:p>
        </w:tc>
        <w:tc>
          <w:tcPr>
            <w:tcW w:w="910" w:type="dxa"/>
            <w:vAlign w:val="center"/>
          </w:tcPr>
          <w:p w14:paraId="3D603184">
            <w:pPr>
              <w:spacing w:line="360" w:lineRule="auto"/>
              <w:ind w:firstLine="800" w:firstLineChars="200"/>
              <w:jc w:val="both"/>
              <w:rPr>
                <w:color w:val="auto"/>
                <w:sz w:val="40"/>
                <w:szCs w:val="32"/>
                <w:highlight w:val="none"/>
              </w:rPr>
            </w:pPr>
          </w:p>
        </w:tc>
        <w:tc>
          <w:tcPr>
            <w:tcW w:w="1088" w:type="dxa"/>
            <w:vAlign w:val="center"/>
          </w:tcPr>
          <w:p w14:paraId="0450AD88">
            <w:pPr>
              <w:spacing w:line="360" w:lineRule="auto"/>
              <w:ind w:firstLine="800" w:firstLineChars="200"/>
              <w:jc w:val="both"/>
              <w:rPr>
                <w:color w:val="auto"/>
                <w:sz w:val="40"/>
                <w:szCs w:val="32"/>
                <w:highlight w:val="none"/>
              </w:rPr>
            </w:pPr>
          </w:p>
        </w:tc>
        <w:tc>
          <w:tcPr>
            <w:tcW w:w="878" w:type="dxa"/>
            <w:vAlign w:val="center"/>
          </w:tcPr>
          <w:p w14:paraId="24D64058">
            <w:pPr>
              <w:spacing w:line="360" w:lineRule="auto"/>
              <w:ind w:firstLine="800" w:firstLineChars="200"/>
              <w:jc w:val="both"/>
              <w:rPr>
                <w:color w:val="auto"/>
                <w:sz w:val="40"/>
                <w:szCs w:val="32"/>
                <w:highlight w:val="none"/>
              </w:rPr>
            </w:pPr>
          </w:p>
        </w:tc>
      </w:tr>
      <w:tr w14:paraId="122AFE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8BAA51C">
            <w:pPr>
              <w:spacing w:line="360" w:lineRule="auto"/>
              <w:ind w:firstLine="800" w:firstLineChars="200"/>
              <w:jc w:val="both"/>
              <w:rPr>
                <w:color w:val="auto"/>
                <w:sz w:val="40"/>
                <w:szCs w:val="32"/>
                <w:highlight w:val="none"/>
              </w:rPr>
            </w:pPr>
          </w:p>
        </w:tc>
        <w:tc>
          <w:tcPr>
            <w:tcW w:w="1446" w:type="dxa"/>
            <w:vAlign w:val="center"/>
          </w:tcPr>
          <w:p w14:paraId="5FC1ACBE">
            <w:pPr>
              <w:spacing w:line="360" w:lineRule="auto"/>
              <w:ind w:firstLine="800" w:firstLineChars="200"/>
              <w:jc w:val="both"/>
              <w:rPr>
                <w:color w:val="auto"/>
                <w:sz w:val="40"/>
                <w:szCs w:val="32"/>
                <w:highlight w:val="none"/>
              </w:rPr>
            </w:pPr>
          </w:p>
        </w:tc>
        <w:tc>
          <w:tcPr>
            <w:tcW w:w="851" w:type="dxa"/>
            <w:vAlign w:val="center"/>
          </w:tcPr>
          <w:p w14:paraId="35E58FCF">
            <w:pPr>
              <w:spacing w:line="360" w:lineRule="auto"/>
              <w:ind w:firstLine="800" w:firstLineChars="200"/>
              <w:jc w:val="both"/>
              <w:rPr>
                <w:color w:val="auto"/>
                <w:sz w:val="40"/>
                <w:szCs w:val="32"/>
                <w:highlight w:val="none"/>
              </w:rPr>
            </w:pPr>
          </w:p>
        </w:tc>
        <w:tc>
          <w:tcPr>
            <w:tcW w:w="708" w:type="dxa"/>
            <w:vAlign w:val="center"/>
          </w:tcPr>
          <w:p w14:paraId="2C2838CA">
            <w:pPr>
              <w:spacing w:line="360" w:lineRule="auto"/>
              <w:ind w:firstLine="800" w:firstLineChars="200"/>
              <w:jc w:val="both"/>
              <w:rPr>
                <w:color w:val="auto"/>
                <w:sz w:val="40"/>
                <w:szCs w:val="32"/>
                <w:highlight w:val="none"/>
              </w:rPr>
            </w:pPr>
          </w:p>
        </w:tc>
        <w:tc>
          <w:tcPr>
            <w:tcW w:w="810" w:type="dxa"/>
            <w:vAlign w:val="center"/>
          </w:tcPr>
          <w:p w14:paraId="126B29A2">
            <w:pPr>
              <w:spacing w:line="360" w:lineRule="auto"/>
              <w:ind w:firstLine="800" w:firstLineChars="200"/>
              <w:jc w:val="both"/>
              <w:rPr>
                <w:color w:val="auto"/>
                <w:sz w:val="40"/>
                <w:szCs w:val="32"/>
                <w:highlight w:val="none"/>
              </w:rPr>
            </w:pPr>
          </w:p>
        </w:tc>
        <w:tc>
          <w:tcPr>
            <w:tcW w:w="851" w:type="dxa"/>
            <w:vAlign w:val="center"/>
          </w:tcPr>
          <w:p w14:paraId="59601C32">
            <w:pPr>
              <w:spacing w:line="360" w:lineRule="auto"/>
              <w:ind w:firstLine="800" w:firstLineChars="200"/>
              <w:jc w:val="both"/>
              <w:rPr>
                <w:color w:val="auto"/>
                <w:sz w:val="40"/>
                <w:szCs w:val="32"/>
                <w:highlight w:val="none"/>
              </w:rPr>
            </w:pPr>
          </w:p>
        </w:tc>
        <w:tc>
          <w:tcPr>
            <w:tcW w:w="736" w:type="dxa"/>
            <w:vAlign w:val="center"/>
          </w:tcPr>
          <w:p w14:paraId="07F09B27">
            <w:pPr>
              <w:spacing w:line="360" w:lineRule="auto"/>
              <w:ind w:firstLine="800" w:firstLineChars="200"/>
              <w:jc w:val="both"/>
              <w:rPr>
                <w:color w:val="auto"/>
                <w:sz w:val="40"/>
                <w:szCs w:val="32"/>
                <w:highlight w:val="none"/>
              </w:rPr>
            </w:pPr>
          </w:p>
        </w:tc>
        <w:tc>
          <w:tcPr>
            <w:tcW w:w="910" w:type="dxa"/>
            <w:vAlign w:val="center"/>
          </w:tcPr>
          <w:p w14:paraId="10982B8B">
            <w:pPr>
              <w:spacing w:line="360" w:lineRule="auto"/>
              <w:ind w:firstLine="800" w:firstLineChars="200"/>
              <w:jc w:val="both"/>
              <w:rPr>
                <w:color w:val="auto"/>
                <w:sz w:val="40"/>
                <w:szCs w:val="32"/>
                <w:highlight w:val="none"/>
              </w:rPr>
            </w:pPr>
          </w:p>
        </w:tc>
        <w:tc>
          <w:tcPr>
            <w:tcW w:w="1088" w:type="dxa"/>
            <w:vAlign w:val="center"/>
          </w:tcPr>
          <w:p w14:paraId="263FF543">
            <w:pPr>
              <w:spacing w:line="360" w:lineRule="auto"/>
              <w:ind w:firstLine="800" w:firstLineChars="200"/>
              <w:jc w:val="both"/>
              <w:rPr>
                <w:color w:val="auto"/>
                <w:sz w:val="40"/>
                <w:szCs w:val="32"/>
                <w:highlight w:val="none"/>
              </w:rPr>
            </w:pPr>
          </w:p>
        </w:tc>
        <w:tc>
          <w:tcPr>
            <w:tcW w:w="878" w:type="dxa"/>
            <w:vAlign w:val="center"/>
          </w:tcPr>
          <w:p w14:paraId="6F34B934">
            <w:pPr>
              <w:spacing w:line="360" w:lineRule="auto"/>
              <w:ind w:firstLine="800" w:firstLineChars="200"/>
              <w:jc w:val="both"/>
              <w:rPr>
                <w:color w:val="auto"/>
                <w:sz w:val="40"/>
                <w:szCs w:val="32"/>
                <w:highlight w:val="none"/>
              </w:rPr>
            </w:pPr>
          </w:p>
        </w:tc>
      </w:tr>
      <w:tr w14:paraId="6E6F33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3" w:hRule="atLeast"/>
          <w:jc w:val="center"/>
        </w:trPr>
        <w:tc>
          <w:tcPr>
            <w:tcW w:w="709" w:type="dxa"/>
            <w:vAlign w:val="center"/>
          </w:tcPr>
          <w:p w14:paraId="1859096D">
            <w:pPr>
              <w:spacing w:line="360" w:lineRule="auto"/>
              <w:ind w:firstLine="800" w:firstLineChars="200"/>
              <w:jc w:val="both"/>
              <w:rPr>
                <w:color w:val="auto"/>
                <w:sz w:val="40"/>
                <w:szCs w:val="32"/>
                <w:highlight w:val="none"/>
              </w:rPr>
            </w:pPr>
          </w:p>
        </w:tc>
        <w:tc>
          <w:tcPr>
            <w:tcW w:w="1446" w:type="dxa"/>
            <w:vAlign w:val="center"/>
          </w:tcPr>
          <w:p w14:paraId="6D50BBBE">
            <w:pPr>
              <w:spacing w:line="360" w:lineRule="auto"/>
              <w:ind w:firstLine="800" w:firstLineChars="200"/>
              <w:jc w:val="both"/>
              <w:rPr>
                <w:color w:val="auto"/>
                <w:sz w:val="40"/>
                <w:szCs w:val="32"/>
                <w:highlight w:val="none"/>
              </w:rPr>
            </w:pPr>
          </w:p>
        </w:tc>
        <w:tc>
          <w:tcPr>
            <w:tcW w:w="851" w:type="dxa"/>
            <w:vAlign w:val="center"/>
          </w:tcPr>
          <w:p w14:paraId="6A08A524">
            <w:pPr>
              <w:spacing w:line="360" w:lineRule="auto"/>
              <w:ind w:firstLine="800" w:firstLineChars="200"/>
              <w:jc w:val="both"/>
              <w:rPr>
                <w:color w:val="auto"/>
                <w:sz w:val="40"/>
                <w:szCs w:val="32"/>
                <w:highlight w:val="none"/>
              </w:rPr>
            </w:pPr>
          </w:p>
        </w:tc>
        <w:tc>
          <w:tcPr>
            <w:tcW w:w="708" w:type="dxa"/>
            <w:vAlign w:val="center"/>
          </w:tcPr>
          <w:p w14:paraId="641C31DA">
            <w:pPr>
              <w:spacing w:line="360" w:lineRule="auto"/>
              <w:ind w:firstLine="800" w:firstLineChars="200"/>
              <w:jc w:val="both"/>
              <w:rPr>
                <w:color w:val="auto"/>
                <w:sz w:val="40"/>
                <w:szCs w:val="32"/>
                <w:highlight w:val="none"/>
              </w:rPr>
            </w:pPr>
          </w:p>
        </w:tc>
        <w:tc>
          <w:tcPr>
            <w:tcW w:w="810" w:type="dxa"/>
            <w:vAlign w:val="center"/>
          </w:tcPr>
          <w:p w14:paraId="097F760E">
            <w:pPr>
              <w:spacing w:line="360" w:lineRule="auto"/>
              <w:ind w:firstLine="800" w:firstLineChars="200"/>
              <w:jc w:val="both"/>
              <w:rPr>
                <w:color w:val="auto"/>
                <w:sz w:val="40"/>
                <w:szCs w:val="32"/>
                <w:highlight w:val="none"/>
              </w:rPr>
            </w:pPr>
          </w:p>
        </w:tc>
        <w:tc>
          <w:tcPr>
            <w:tcW w:w="851" w:type="dxa"/>
            <w:vAlign w:val="center"/>
          </w:tcPr>
          <w:p w14:paraId="1CC6C826">
            <w:pPr>
              <w:spacing w:line="360" w:lineRule="auto"/>
              <w:ind w:firstLine="800" w:firstLineChars="200"/>
              <w:jc w:val="both"/>
              <w:rPr>
                <w:color w:val="auto"/>
                <w:sz w:val="40"/>
                <w:szCs w:val="32"/>
                <w:highlight w:val="none"/>
              </w:rPr>
            </w:pPr>
          </w:p>
        </w:tc>
        <w:tc>
          <w:tcPr>
            <w:tcW w:w="736" w:type="dxa"/>
            <w:vAlign w:val="center"/>
          </w:tcPr>
          <w:p w14:paraId="6FDEA6F3">
            <w:pPr>
              <w:spacing w:line="360" w:lineRule="auto"/>
              <w:ind w:firstLine="800" w:firstLineChars="200"/>
              <w:jc w:val="both"/>
              <w:rPr>
                <w:color w:val="auto"/>
                <w:sz w:val="40"/>
                <w:szCs w:val="32"/>
                <w:highlight w:val="none"/>
              </w:rPr>
            </w:pPr>
          </w:p>
        </w:tc>
        <w:tc>
          <w:tcPr>
            <w:tcW w:w="910" w:type="dxa"/>
            <w:vAlign w:val="center"/>
          </w:tcPr>
          <w:p w14:paraId="0E998011">
            <w:pPr>
              <w:spacing w:line="360" w:lineRule="auto"/>
              <w:ind w:firstLine="800" w:firstLineChars="200"/>
              <w:jc w:val="both"/>
              <w:rPr>
                <w:color w:val="auto"/>
                <w:sz w:val="40"/>
                <w:szCs w:val="32"/>
                <w:highlight w:val="none"/>
              </w:rPr>
            </w:pPr>
          </w:p>
        </w:tc>
        <w:tc>
          <w:tcPr>
            <w:tcW w:w="1088" w:type="dxa"/>
            <w:vAlign w:val="center"/>
          </w:tcPr>
          <w:p w14:paraId="304C1404">
            <w:pPr>
              <w:spacing w:line="360" w:lineRule="auto"/>
              <w:ind w:firstLine="800" w:firstLineChars="200"/>
              <w:jc w:val="both"/>
              <w:rPr>
                <w:color w:val="auto"/>
                <w:sz w:val="40"/>
                <w:szCs w:val="32"/>
                <w:highlight w:val="none"/>
              </w:rPr>
            </w:pPr>
          </w:p>
        </w:tc>
        <w:tc>
          <w:tcPr>
            <w:tcW w:w="878" w:type="dxa"/>
            <w:vAlign w:val="center"/>
          </w:tcPr>
          <w:p w14:paraId="5D41C6CA">
            <w:pPr>
              <w:spacing w:line="360" w:lineRule="auto"/>
              <w:ind w:firstLine="800" w:firstLineChars="200"/>
              <w:jc w:val="both"/>
              <w:rPr>
                <w:color w:val="auto"/>
                <w:sz w:val="40"/>
                <w:szCs w:val="32"/>
                <w:highlight w:val="none"/>
              </w:rPr>
            </w:pPr>
          </w:p>
        </w:tc>
      </w:tr>
    </w:tbl>
    <w:p w14:paraId="7EF3100A">
      <w:pPr>
        <w:rPr>
          <w:rFonts w:hint="eastAsia" w:ascii="黑体" w:hAnsi="黑体" w:eastAsia="黑体"/>
          <w:color w:val="auto"/>
          <w:sz w:val="28"/>
          <w:szCs w:val="28"/>
          <w:highlight w:val="none"/>
        </w:rPr>
      </w:pPr>
      <w:r>
        <w:rPr>
          <w:rFonts w:hint="eastAsia" w:ascii="黑体" w:hAnsi="黑体" w:eastAsia="黑体"/>
          <w:color w:val="auto"/>
          <w:sz w:val="28"/>
          <w:szCs w:val="28"/>
          <w:highlight w:val="none"/>
        </w:rPr>
        <w:br w:type="page"/>
      </w:r>
    </w:p>
    <w:p w14:paraId="7ED7FE3F">
      <w:pPr>
        <w:spacing w:line="360" w:lineRule="auto"/>
        <w:jc w:val="both"/>
        <w:rPr>
          <w:rFonts w:ascii="黑体" w:hAnsi="黑体" w:eastAsia="黑体"/>
          <w:color w:val="auto"/>
          <w:sz w:val="28"/>
          <w:szCs w:val="28"/>
          <w:highlight w:val="none"/>
        </w:rPr>
      </w:pPr>
      <w:r>
        <w:rPr>
          <w:rFonts w:hint="eastAsia" w:ascii="黑体" w:hAnsi="黑体" w:eastAsia="黑体"/>
          <w:color w:val="auto"/>
          <w:sz w:val="28"/>
          <w:szCs w:val="28"/>
          <w:highlight w:val="none"/>
        </w:rPr>
        <w:t>附件3：</w:t>
      </w:r>
    </w:p>
    <w:p w14:paraId="14196B11">
      <w:pPr>
        <w:spacing w:line="360" w:lineRule="auto"/>
        <w:jc w:val="both"/>
        <w:rPr>
          <w:rFonts w:hint="eastAsia"/>
          <w:b/>
          <w:bCs/>
          <w:color w:val="auto"/>
          <w:sz w:val="32"/>
          <w:highlight w:val="none"/>
        </w:rPr>
      </w:pPr>
    </w:p>
    <w:p w14:paraId="5E70BBB0">
      <w:pPr>
        <w:spacing w:line="360" w:lineRule="auto"/>
        <w:jc w:val="center"/>
        <w:rPr>
          <w:rFonts w:hint="eastAsia" w:ascii="方正小标宋简体" w:eastAsia="方正小标宋简体"/>
          <w:bCs/>
          <w:color w:val="auto"/>
          <w:sz w:val="36"/>
          <w:szCs w:val="36"/>
          <w:highlight w:val="none"/>
        </w:rPr>
      </w:pPr>
      <w:r>
        <w:rPr>
          <w:rFonts w:hint="eastAsia" w:ascii="方正小标宋简体" w:eastAsia="方正小标宋简体"/>
          <w:bCs/>
          <w:color w:val="auto"/>
          <w:sz w:val="36"/>
          <w:szCs w:val="36"/>
          <w:highlight w:val="none"/>
        </w:rPr>
        <w:t>工程质量保修书</w:t>
      </w:r>
    </w:p>
    <w:p w14:paraId="77D2E095">
      <w:pPr>
        <w:spacing w:line="360" w:lineRule="auto"/>
        <w:ind w:firstLine="361" w:firstLineChars="200"/>
        <w:jc w:val="both"/>
        <w:rPr>
          <w:b/>
          <w:bCs/>
          <w:color w:val="auto"/>
          <w:sz w:val="18"/>
          <w:szCs w:val="18"/>
          <w:highlight w:val="none"/>
        </w:rPr>
      </w:pPr>
    </w:p>
    <w:p w14:paraId="196CB609">
      <w:pPr>
        <w:spacing w:line="440" w:lineRule="exact"/>
        <w:ind w:firstLine="440" w:firstLineChars="200"/>
        <w:jc w:val="both"/>
        <w:rPr>
          <w:color w:val="auto"/>
          <w:szCs w:val="21"/>
          <w:highlight w:val="none"/>
        </w:rPr>
      </w:pPr>
      <w:r>
        <w:rPr>
          <w:rFonts w:hint="eastAsia"/>
          <w:color w:val="auto"/>
          <w:szCs w:val="21"/>
          <w:highlight w:val="none"/>
        </w:rPr>
        <w:t>发包人（全称）：</w:t>
      </w:r>
    </w:p>
    <w:p w14:paraId="45734265">
      <w:pPr>
        <w:spacing w:line="440" w:lineRule="exact"/>
        <w:ind w:firstLine="440" w:firstLineChars="200"/>
        <w:jc w:val="both"/>
        <w:rPr>
          <w:color w:val="auto"/>
          <w:szCs w:val="21"/>
          <w:highlight w:val="none"/>
        </w:rPr>
      </w:pPr>
      <w:r>
        <w:rPr>
          <w:rFonts w:hint="eastAsia"/>
          <w:color w:val="auto"/>
          <w:szCs w:val="21"/>
          <w:highlight w:val="none"/>
        </w:rPr>
        <w:t>承包人（全称）：</w:t>
      </w:r>
    </w:p>
    <w:p w14:paraId="3E8CECBF">
      <w:pPr>
        <w:spacing w:line="440" w:lineRule="exact"/>
        <w:ind w:firstLine="440" w:firstLineChars="200"/>
        <w:jc w:val="both"/>
        <w:rPr>
          <w:color w:val="auto"/>
          <w:szCs w:val="21"/>
          <w:highlight w:val="none"/>
        </w:rPr>
      </w:pPr>
      <w:r>
        <w:rPr>
          <w:rFonts w:hint="eastAsia"/>
          <w:color w:val="auto"/>
          <w:szCs w:val="21"/>
          <w:highlight w:val="none"/>
        </w:rPr>
        <w:t>为保证（工程名称）在合理使用期限内正常使用，发包人承包人协商一致签订工程质量保修书。承包人在质量保修期内按照有关管理规定及双方约定承担工程质量保修责任。</w:t>
      </w:r>
    </w:p>
    <w:p w14:paraId="3FA76FEF">
      <w:pPr>
        <w:ind w:firstLine="442" w:firstLineChars="200"/>
        <w:jc w:val="both"/>
        <w:rPr>
          <w:b/>
          <w:color w:val="auto"/>
          <w:szCs w:val="21"/>
          <w:highlight w:val="none"/>
        </w:rPr>
      </w:pPr>
      <w:r>
        <w:rPr>
          <w:rFonts w:hint="eastAsia"/>
          <w:b/>
          <w:color w:val="auto"/>
          <w:szCs w:val="21"/>
          <w:highlight w:val="none"/>
        </w:rPr>
        <w:t>一、工程质量保修范围和内容</w:t>
      </w:r>
    </w:p>
    <w:p w14:paraId="0E88C23E">
      <w:pPr>
        <w:spacing w:line="440" w:lineRule="exact"/>
        <w:ind w:firstLine="440" w:firstLineChars="200"/>
        <w:jc w:val="both"/>
        <w:rPr>
          <w:color w:val="auto"/>
          <w:szCs w:val="21"/>
          <w:highlight w:val="none"/>
          <w:u w:val="single"/>
        </w:rPr>
      </w:pPr>
      <w:r>
        <w:rPr>
          <w:rFonts w:hint="eastAsia"/>
          <w:color w:val="auto"/>
          <w:szCs w:val="21"/>
          <w:highlight w:val="none"/>
        </w:rPr>
        <w:t>凡属于承包人原因造成的各部位的质量问题或其他缺陷，及由此维修造成发包人的全部损失，均属于承包人保修责任范围；不属于承包人责任，但是经双方协商由乙方施工的，承包人应配合维修，费用由责任方承担。具体质量保修内容双方约定如下：</w:t>
      </w:r>
    </w:p>
    <w:p w14:paraId="26A85645">
      <w:pPr>
        <w:ind w:firstLine="442" w:firstLineChars="200"/>
        <w:jc w:val="both"/>
        <w:rPr>
          <w:b/>
          <w:color w:val="auto"/>
          <w:szCs w:val="21"/>
          <w:highlight w:val="none"/>
        </w:rPr>
      </w:pPr>
      <w:r>
        <w:rPr>
          <w:rFonts w:hint="eastAsia"/>
          <w:b/>
          <w:color w:val="auto"/>
          <w:szCs w:val="21"/>
          <w:highlight w:val="none"/>
        </w:rPr>
        <w:t>二、质量保修期</w:t>
      </w:r>
    </w:p>
    <w:p w14:paraId="41BE813A">
      <w:pPr>
        <w:spacing w:line="440" w:lineRule="exact"/>
        <w:ind w:firstLine="440" w:firstLineChars="200"/>
        <w:jc w:val="both"/>
        <w:rPr>
          <w:color w:val="auto"/>
          <w:szCs w:val="21"/>
          <w:highlight w:val="none"/>
        </w:rPr>
      </w:pPr>
      <w:r>
        <w:rPr>
          <w:rFonts w:hint="eastAsia"/>
          <w:color w:val="auto"/>
          <w:szCs w:val="21"/>
          <w:highlight w:val="none"/>
        </w:rPr>
        <w:t>质量保修期从工程实际竣工之日算起。分单项竣工验收的工程，按单项工程分别计算质量保修期。</w:t>
      </w:r>
    </w:p>
    <w:p w14:paraId="6E34110E">
      <w:pPr>
        <w:spacing w:line="440" w:lineRule="exact"/>
        <w:ind w:firstLine="440" w:firstLineChars="200"/>
        <w:jc w:val="both"/>
        <w:rPr>
          <w:color w:val="auto"/>
          <w:szCs w:val="21"/>
          <w:highlight w:val="none"/>
        </w:rPr>
      </w:pPr>
      <w:r>
        <w:rPr>
          <w:rFonts w:hint="eastAsia"/>
          <w:color w:val="auto"/>
          <w:szCs w:val="21"/>
          <w:highlight w:val="none"/>
        </w:rPr>
        <w:t>质量保修期自竣工验收合格之日起计算。</w:t>
      </w:r>
    </w:p>
    <w:p w14:paraId="1BE2B0A3">
      <w:pPr>
        <w:ind w:firstLine="442" w:firstLineChars="200"/>
        <w:jc w:val="both"/>
        <w:rPr>
          <w:b/>
          <w:color w:val="auto"/>
          <w:szCs w:val="21"/>
          <w:highlight w:val="none"/>
        </w:rPr>
      </w:pPr>
      <w:r>
        <w:rPr>
          <w:rFonts w:hint="eastAsia"/>
          <w:b/>
          <w:color w:val="auto"/>
          <w:szCs w:val="21"/>
          <w:highlight w:val="none"/>
        </w:rPr>
        <w:t>三、质量保修责任</w:t>
      </w:r>
    </w:p>
    <w:p w14:paraId="2B7FD7F7">
      <w:pPr>
        <w:spacing w:line="440" w:lineRule="exact"/>
        <w:ind w:firstLine="440" w:firstLineChars="200"/>
        <w:jc w:val="both"/>
        <w:rPr>
          <w:color w:val="auto"/>
          <w:szCs w:val="21"/>
          <w:highlight w:val="none"/>
        </w:rPr>
      </w:pPr>
      <w:r>
        <w:rPr>
          <w:rFonts w:hint="eastAsia"/>
          <w:color w:val="auto"/>
          <w:szCs w:val="21"/>
          <w:highlight w:val="none"/>
        </w:rPr>
        <w:t>1、承包方自工程竣工验收合格之日起，按工程保修计划定期进行巡检。在冬、雨季节增加巡检次数。对发现的任何质量缺陷，应书面通知发包方、监理单位（总监理工程师），协助发包方、监理单位进行检查，判断其性质及责任。当判定上述缺陷责任完全属于承包方时，承包方应在24小时内及时、无条件的履行保修义务，并对造成的损失承担赔偿责任；当判定上述缺陷不属于或不完全属于承包方时，发包方应提出修复及费用分摊方案，确认后，由承包方（或发包方另行委托）进行实施。</w:t>
      </w:r>
    </w:p>
    <w:p w14:paraId="199EC189">
      <w:pPr>
        <w:spacing w:line="440" w:lineRule="exact"/>
        <w:ind w:firstLine="440" w:firstLineChars="200"/>
        <w:jc w:val="both"/>
        <w:rPr>
          <w:color w:val="auto"/>
          <w:szCs w:val="21"/>
          <w:highlight w:val="none"/>
        </w:rPr>
      </w:pPr>
      <w:r>
        <w:rPr>
          <w:rFonts w:hint="eastAsia"/>
          <w:color w:val="auto"/>
          <w:szCs w:val="21"/>
          <w:highlight w:val="none"/>
        </w:rPr>
        <w:t>2、在保修期内，承包方未履行保修义务，或工程出现质量问题但短期无法修复，或因工程质量缺陷造成其他方面的损失，按有关规定，经发包方确认，由承包方承担工程整修全部费用。</w:t>
      </w:r>
    </w:p>
    <w:p w14:paraId="71446026">
      <w:pPr>
        <w:spacing w:line="440" w:lineRule="exact"/>
        <w:ind w:firstLine="440" w:firstLineChars="200"/>
        <w:jc w:val="both"/>
        <w:rPr>
          <w:color w:val="auto"/>
          <w:szCs w:val="21"/>
          <w:highlight w:val="none"/>
        </w:rPr>
      </w:pPr>
      <w:r>
        <w:rPr>
          <w:rFonts w:hint="eastAsia"/>
          <w:color w:val="auto"/>
          <w:szCs w:val="21"/>
          <w:highlight w:val="none"/>
        </w:rPr>
        <w:t>3、在保修期内，无论发包方是否进入、占用或使用本工程，承包方均应继续承担合同中规定的责任及义务，直到合同终止。</w:t>
      </w:r>
    </w:p>
    <w:p w14:paraId="64AE5F3E">
      <w:pPr>
        <w:spacing w:line="440" w:lineRule="exact"/>
        <w:ind w:firstLine="440" w:firstLineChars="200"/>
        <w:jc w:val="both"/>
        <w:rPr>
          <w:color w:val="auto"/>
          <w:szCs w:val="21"/>
          <w:highlight w:val="none"/>
        </w:rPr>
      </w:pPr>
      <w:r>
        <w:rPr>
          <w:rFonts w:hint="eastAsia"/>
          <w:color w:val="auto"/>
          <w:szCs w:val="21"/>
          <w:highlight w:val="none"/>
        </w:rPr>
        <w:t>4、承包方在保修期内，进行缺陷修复工作，应事先与有关管理单位取得联系，制定合理的整修方案，经发包方同意后实施；如需占用路面，应得到交通管理部门的同意，以确保公共交通的安全。</w:t>
      </w:r>
    </w:p>
    <w:p w14:paraId="14633032">
      <w:pPr>
        <w:spacing w:line="440" w:lineRule="exact"/>
        <w:ind w:firstLine="440" w:firstLineChars="200"/>
        <w:jc w:val="both"/>
        <w:rPr>
          <w:color w:val="auto"/>
          <w:szCs w:val="21"/>
          <w:highlight w:val="none"/>
        </w:rPr>
      </w:pPr>
      <w:r>
        <w:rPr>
          <w:rFonts w:hint="eastAsia"/>
          <w:color w:val="auto"/>
          <w:szCs w:val="21"/>
          <w:highlight w:val="none"/>
        </w:rPr>
        <w:t>5、监理单位在工程质量保修期内的工作</w:t>
      </w:r>
    </w:p>
    <w:p w14:paraId="42A0C78B">
      <w:pPr>
        <w:spacing w:line="440" w:lineRule="exact"/>
        <w:ind w:firstLine="440" w:firstLineChars="200"/>
        <w:jc w:val="both"/>
        <w:rPr>
          <w:color w:val="auto"/>
          <w:szCs w:val="21"/>
          <w:highlight w:val="none"/>
        </w:rPr>
      </w:pPr>
      <w:r>
        <w:rPr>
          <w:rFonts w:hint="eastAsia"/>
          <w:color w:val="auto"/>
          <w:szCs w:val="21"/>
          <w:highlight w:val="none"/>
        </w:rPr>
        <w:t>①、执行监理合同的约定，监督、检查承包方的工作，发现承包方未履行保修义务，除书面通知承包方，还应书面上报发包方。</w:t>
      </w:r>
    </w:p>
    <w:p w14:paraId="015C4575">
      <w:pPr>
        <w:spacing w:line="440" w:lineRule="exact"/>
        <w:ind w:firstLine="440" w:firstLineChars="200"/>
        <w:jc w:val="both"/>
        <w:rPr>
          <w:color w:val="auto"/>
          <w:szCs w:val="21"/>
          <w:highlight w:val="none"/>
        </w:rPr>
      </w:pPr>
      <w:r>
        <w:rPr>
          <w:rFonts w:hint="eastAsia"/>
          <w:color w:val="auto"/>
          <w:szCs w:val="21"/>
          <w:highlight w:val="none"/>
        </w:rPr>
        <w:t>②、审批承包方编制的工程质量缺陷修整方案。</w:t>
      </w:r>
    </w:p>
    <w:p w14:paraId="2B4E55F4">
      <w:pPr>
        <w:spacing w:line="440" w:lineRule="exact"/>
        <w:ind w:firstLine="440" w:firstLineChars="200"/>
        <w:jc w:val="both"/>
        <w:rPr>
          <w:color w:val="auto"/>
          <w:szCs w:val="21"/>
          <w:highlight w:val="none"/>
        </w:rPr>
      </w:pPr>
      <w:r>
        <w:rPr>
          <w:rFonts w:hint="eastAsia"/>
          <w:color w:val="auto"/>
          <w:szCs w:val="21"/>
          <w:highlight w:val="none"/>
        </w:rPr>
        <w:t>③、承包方完成工程质量缺陷的修整后，组织有关部门进行验收，并将结果书面上报发包方。</w:t>
      </w:r>
    </w:p>
    <w:p w14:paraId="62C11637">
      <w:pPr>
        <w:spacing w:line="440" w:lineRule="exact"/>
        <w:ind w:firstLine="440" w:firstLineChars="200"/>
        <w:jc w:val="both"/>
        <w:rPr>
          <w:color w:val="auto"/>
          <w:szCs w:val="21"/>
          <w:highlight w:val="none"/>
        </w:rPr>
      </w:pPr>
      <w:r>
        <w:rPr>
          <w:rFonts w:hint="eastAsia"/>
          <w:color w:val="auto"/>
          <w:szCs w:val="21"/>
          <w:highlight w:val="none"/>
        </w:rPr>
        <w:t>6、质量保修完成后，由发包人组织验收。</w:t>
      </w:r>
    </w:p>
    <w:p w14:paraId="020BAC8D">
      <w:pPr>
        <w:ind w:firstLine="442" w:firstLineChars="200"/>
        <w:jc w:val="both"/>
        <w:rPr>
          <w:b/>
          <w:color w:val="auto"/>
          <w:szCs w:val="21"/>
          <w:highlight w:val="none"/>
        </w:rPr>
      </w:pPr>
      <w:r>
        <w:rPr>
          <w:rFonts w:hint="eastAsia"/>
          <w:b/>
          <w:color w:val="auto"/>
          <w:szCs w:val="21"/>
          <w:highlight w:val="none"/>
        </w:rPr>
        <w:t>四、保修费用</w:t>
      </w:r>
    </w:p>
    <w:p w14:paraId="0FE5790E">
      <w:pPr>
        <w:spacing w:line="440" w:lineRule="exact"/>
        <w:ind w:firstLine="440" w:firstLineChars="200"/>
        <w:jc w:val="both"/>
        <w:rPr>
          <w:color w:val="auto"/>
          <w:szCs w:val="21"/>
          <w:highlight w:val="none"/>
        </w:rPr>
      </w:pPr>
      <w:r>
        <w:rPr>
          <w:rFonts w:hint="eastAsia"/>
          <w:color w:val="auto"/>
          <w:szCs w:val="21"/>
          <w:highlight w:val="none"/>
        </w:rPr>
        <w:t>保修费用由造成质量缺陷的责任方承担。</w:t>
      </w:r>
    </w:p>
    <w:p w14:paraId="1222F4EC">
      <w:pPr>
        <w:ind w:firstLine="442" w:firstLineChars="200"/>
        <w:jc w:val="both"/>
        <w:rPr>
          <w:b/>
          <w:color w:val="auto"/>
          <w:szCs w:val="21"/>
          <w:highlight w:val="none"/>
        </w:rPr>
      </w:pPr>
      <w:r>
        <w:rPr>
          <w:rFonts w:hint="eastAsia"/>
          <w:b/>
          <w:color w:val="auto"/>
          <w:szCs w:val="21"/>
          <w:highlight w:val="none"/>
        </w:rPr>
        <w:t>五、其他</w:t>
      </w:r>
    </w:p>
    <w:p w14:paraId="48DA3C79">
      <w:pPr>
        <w:spacing w:line="440" w:lineRule="exact"/>
        <w:ind w:firstLine="440" w:firstLineChars="200"/>
        <w:jc w:val="both"/>
        <w:rPr>
          <w:color w:val="auto"/>
          <w:szCs w:val="21"/>
          <w:highlight w:val="none"/>
          <w:u w:val="single"/>
        </w:rPr>
      </w:pPr>
      <w:r>
        <w:rPr>
          <w:rFonts w:hint="eastAsia"/>
          <w:color w:val="auto"/>
          <w:szCs w:val="21"/>
          <w:highlight w:val="none"/>
        </w:rPr>
        <w:t>双方约定的其他工程质量保修事项：</w:t>
      </w:r>
      <w:r>
        <w:rPr>
          <w:rFonts w:hint="eastAsia"/>
          <w:color w:val="auto"/>
          <w:szCs w:val="21"/>
          <w:highlight w:val="none"/>
          <w:u w:val="single"/>
        </w:rPr>
        <w:t>若承包方不能按期约定期限内履行保修责任，发包方有权自行维修，所产生的费用从质量保证金中扣除。</w:t>
      </w:r>
    </w:p>
    <w:p w14:paraId="1F3B6087">
      <w:pPr>
        <w:spacing w:line="440" w:lineRule="exact"/>
        <w:ind w:firstLine="440" w:firstLineChars="200"/>
        <w:jc w:val="both"/>
        <w:rPr>
          <w:color w:val="auto"/>
          <w:szCs w:val="21"/>
          <w:highlight w:val="none"/>
          <w:u w:val="single"/>
        </w:rPr>
      </w:pPr>
      <w:r>
        <w:rPr>
          <w:rFonts w:hint="eastAsia"/>
          <w:color w:val="auto"/>
          <w:szCs w:val="21"/>
          <w:highlight w:val="none"/>
        </w:rPr>
        <w:t>本工程质量保修书，由施工合同发包人、承包人双方在竣工验收前共同签署，作为施工合同附件，其有效期限至保修期满。</w:t>
      </w:r>
    </w:p>
    <w:p w14:paraId="1C27080D">
      <w:pPr>
        <w:spacing w:line="360" w:lineRule="auto"/>
        <w:ind w:firstLine="440" w:firstLineChars="200"/>
        <w:jc w:val="both"/>
        <w:rPr>
          <w:color w:val="auto"/>
          <w:szCs w:val="21"/>
          <w:highlight w:val="none"/>
        </w:rPr>
      </w:pPr>
    </w:p>
    <w:p w14:paraId="39A9B638">
      <w:pPr>
        <w:spacing w:line="360" w:lineRule="auto"/>
        <w:ind w:firstLine="440" w:firstLineChars="200"/>
        <w:jc w:val="both"/>
        <w:rPr>
          <w:color w:val="auto"/>
          <w:szCs w:val="21"/>
          <w:highlight w:val="none"/>
        </w:rPr>
      </w:pPr>
    </w:p>
    <w:p w14:paraId="700E8A20">
      <w:pPr>
        <w:spacing w:line="360" w:lineRule="auto"/>
        <w:ind w:firstLine="440" w:firstLineChars="200"/>
        <w:jc w:val="both"/>
        <w:rPr>
          <w:color w:val="auto"/>
          <w:szCs w:val="21"/>
          <w:highlight w:val="none"/>
        </w:rPr>
      </w:pPr>
      <w:r>
        <w:rPr>
          <w:rFonts w:hint="eastAsia"/>
          <w:color w:val="auto"/>
          <w:szCs w:val="21"/>
          <w:highlight w:val="none"/>
        </w:rPr>
        <w:t>发包人（公章）：                       承包人（公章）：</w:t>
      </w:r>
    </w:p>
    <w:p w14:paraId="345772C3">
      <w:pPr>
        <w:spacing w:line="360" w:lineRule="auto"/>
        <w:ind w:firstLine="440" w:firstLineChars="200"/>
        <w:jc w:val="both"/>
        <w:rPr>
          <w:color w:val="auto"/>
          <w:szCs w:val="21"/>
          <w:highlight w:val="none"/>
        </w:rPr>
      </w:pPr>
    </w:p>
    <w:p w14:paraId="6334AF87">
      <w:pPr>
        <w:spacing w:line="360" w:lineRule="auto"/>
        <w:ind w:firstLine="440" w:firstLineChars="200"/>
        <w:jc w:val="both"/>
        <w:rPr>
          <w:color w:val="auto"/>
          <w:szCs w:val="21"/>
          <w:highlight w:val="none"/>
        </w:rPr>
      </w:pPr>
      <w:r>
        <w:rPr>
          <w:rFonts w:hint="eastAsia"/>
          <w:color w:val="auto"/>
          <w:szCs w:val="21"/>
          <w:highlight w:val="none"/>
        </w:rPr>
        <w:t>法定代表人或                           法定代表人或</w:t>
      </w:r>
    </w:p>
    <w:p w14:paraId="3594EE8C">
      <w:pPr>
        <w:spacing w:line="360" w:lineRule="auto"/>
        <w:ind w:firstLine="440" w:firstLineChars="200"/>
        <w:jc w:val="both"/>
        <w:rPr>
          <w:color w:val="auto"/>
          <w:szCs w:val="21"/>
          <w:highlight w:val="none"/>
        </w:rPr>
      </w:pPr>
      <w:r>
        <w:rPr>
          <w:rFonts w:hint="eastAsia"/>
          <w:color w:val="auto"/>
          <w:szCs w:val="21"/>
          <w:highlight w:val="none"/>
        </w:rPr>
        <w:t>委托代理人（签字）：                    委托代理人（签字）：</w:t>
      </w:r>
    </w:p>
    <w:p w14:paraId="1B165B60">
      <w:pPr>
        <w:spacing w:line="360" w:lineRule="auto"/>
        <w:ind w:firstLine="440" w:firstLineChars="200"/>
        <w:jc w:val="both"/>
        <w:rPr>
          <w:color w:val="auto"/>
          <w:szCs w:val="21"/>
          <w:highlight w:val="none"/>
        </w:rPr>
      </w:pPr>
    </w:p>
    <w:p w14:paraId="1FA92BDD">
      <w:pPr>
        <w:spacing w:line="360" w:lineRule="auto"/>
        <w:ind w:firstLine="1870" w:firstLineChars="850"/>
        <w:jc w:val="both"/>
        <w:rPr>
          <w:color w:val="auto"/>
          <w:highlight w:val="none"/>
        </w:rPr>
      </w:pPr>
      <w:r>
        <w:rPr>
          <w:rFonts w:hint="eastAsia"/>
          <w:color w:val="auto"/>
          <w:szCs w:val="21"/>
          <w:highlight w:val="none"/>
        </w:rPr>
        <w:t>年   月   日                         年   月   日</w:t>
      </w:r>
    </w:p>
    <w:p w14:paraId="2E3752E9">
      <w:pPr>
        <w:ind w:firstLine="440" w:firstLineChars="200"/>
        <w:jc w:val="both"/>
        <w:rPr>
          <w:color w:val="auto"/>
          <w:highlight w:val="none"/>
        </w:rPr>
      </w:pPr>
    </w:p>
    <w:p w14:paraId="02F4E163">
      <w:pPr>
        <w:bidi w:val="0"/>
        <w:rPr>
          <w:rFonts w:hint="eastAsia"/>
          <w:color w:val="auto"/>
          <w:highlight w:val="none"/>
        </w:rPr>
      </w:pPr>
    </w:p>
    <w:p w14:paraId="7E6BFFBB">
      <w:pP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p>
    <w:p w14:paraId="344BB6A3">
      <w:pPr>
        <w:adjustRightInd w:val="0"/>
        <w:spacing w:line="360" w:lineRule="auto"/>
        <w:ind w:firstLine="482" w:firstLineChars="200"/>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政府采购供应商诚信承诺书</w:t>
      </w:r>
    </w:p>
    <w:p w14:paraId="342B5E6F">
      <w:pPr>
        <w:adjustRightInd w:val="0"/>
        <w:spacing w:line="360" w:lineRule="auto"/>
        <w:jc w:val="center"/>
        <w:rPr>
          <w:rFonts w:hint="eastAsia" w:ascii="宋体" w:hAnsi="宋体" w:eastAsia="宋体" w:cs="宋体"/>
          <w:b/>
          <w:color w:val="auto"/>
          <w:sz w:val="24"/>
          <w:szCs w:val="24"/>
          <w:highlight w:val="none"/>
        </w:rPr>
      </w:pPr>
    </w:p>
    <w:p w14:paraId="1FA9384D">
      <w:pPr>
        <w:adjustRightIn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2AA97896">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（一）提供虚假材料谋取中标;</w:t>
      </w:r>
    </w:p>
    <w:p w14:paraId="053333F3">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（二）采取不正当手段诋毁、排挤其他供应商;</w:t>
      </w:r>
    </w:p>
    <w:p w14:paraId="7F5DDC96">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（三）与招标采购单位、其他投标人恶意串通;</w:t>
      </w:r>
    </w:p>
    <w:p w14:paraId="16B5A54F">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（四）向招标采购单位或提供其他不正当利益;</w:t>
      </w:r>
    </w:p>
    <w:p w14:paraId="796631AE">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（五）在招标过程中与招标采购单位进行协商谈判、不按照招标文件和投标文件订立合同，或者与采购人另立背离合同实质性内容协议;</w:t>
      </w:r>
    </w:p>
    <w:p w14:paraId="46924F66">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（六）开标后擅自撤销投标，影响招标继续进行的或领取招标文件纳投标保证金后不投标导致废标;</w:t>
      </w:r>
    </w:p>
    <w:p w14:paraId="60F0CD4A">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（七）中标后无正当理由，在规定时间内不与采购单位签订合同;</w:t>
      </w:r>
    </w:p>
    <w:p w14:paraId="5AA586D0">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（八）将中标项目转让给他人或非法分包他人;</w:t>
      </w:r>
    </w:p>
    <w:p w14:paraId="0840F958">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（九）无正当理由，拒绝履行合同义务;</w:t>
      </w:r>
    </w:p>
    <w:p w14:paraId="777A2AD3">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（十）无正当理由放弃中标（成交）项目;</w:t>
      </w:r>
    </w:p>
    <w:p w14:paraId="27CF1795">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（十ー）撞自或与与采购人串通或接受采购人要求，在履约合同中通过减少货物数量，更换品牌、降低配置、技术要求、质量和服务标准等，却仍按原合同进行虚假验收或终止政府采购合同;</w:t>
      </w:r>
    </w:p>
    <w:p w14:paraId="075AE2A9">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（十二）与采购人串通，对尚未履约完毕的采购项目出具虚假验收报告；</w:t>
      </w:r>
    </w:p>
    <w:p w14:paraId="75C96B1C">
      <w:pPr>
        <w:adjustRightInd w:val="0"/>
        <w:spacing w:line="360" w:lineRule="auto"/>
        <w:ind w:firstLine="403" w:firstLineChars="168"/>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（十三）无不可抗力因素，拒绝提供售后服务、售后服务态度恶劣、故意提高维修配件价格（高于市场平均价）；</w:t>
      </w:r>
    </w:p>
    <w:p w14:paraId="7A7D253E">
      <w:pPr>
        <w:adjustRightInd w:val="0"/>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（十四）开标后对招标文件的相关内容再进行质疑；</w:t>
      </w:r>
    </w:p>
    <w:p w14:paraId="077A1621">
      <w:pPr>
        <w:adjustRightInd w:val="0"/>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（十五）恶意投诉的行为：投诉经查无实据的、捏造事实或者提供虚假设诉材料；</w:t>
      </w:r>
    </w:p>
    <w:p w14:paraId="2D3DB82A">
      <w:pPr>
        <w:adjustRightInd w:val="0"/>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（十六）拒绝有关部门监督检查或者提供虚假情况；</w:t>
      </w:r>
    </w:p>
    <w:p w14:paraId="4DDE4946">
      <w:pPr>
        <w:adjustRightInd w:val="0"/>
        <w:spacing w:line="360" w:lineRule="auto"/>
        <w:ind w:firstLine="360" w:firstLineChars="1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（十七）政府采购监管部门认定的其他政府采购活动中的不诚信行为。</w:t>
      </w:r>
    </w:p>
    <w:p w14:paraId="3072342C">
      <w:pPr>
        <w:adjustRightInd w:val="0"/>
        <w:spacing w:line="360" w:lineRule="auto"/>
        <w:rPr>
          <w:rFonts w:hint="eastAsia" w:ascii="宋体" w:hAnsi="宋体" w:eastAsia="宋体" w:cs="宋体"/>
          <w:color w:val="auto"/>
          <w:sz w:val="24"/>
          <w:szCs w:val="24"/>
          <w:highlight w:val="none"/>
        </w:rPr>
      </w:pPr>
    </w:p>
    <w:p w14:paraId="0DAB4B3A">
      <w:pPr>
        <w:adjustRightInd w:val="0"/>
        <w:spacing w:line="360" w:lineRule="auto"/>
        <w:ind w:firstLine="1560" w:firstLineChars="6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供应商名称：（盖章）</w:t>
      </w:r>
    </w:p>
    <w:p w14:paraId="7988098A">
      <w:pPr>
        <w:adjustRightInd w:val="0"/>
        <w:spacing w:line="360" w:lineRule="auto"/>
        <w:ind w:right="640" w:firstLine="1560" w:firstLineChars="650"/>
        <w:rPr>
          <w:rFonts w:hint="eastAsia" w:ascii="宋体" w:hAnsi="宋体" w:eastAsia="宋体" w:cs="宋体"/>
          <w:color w:val="auto"/>
          <w:sz w:val="24"/>
          <w:szCs w:val="24"/>
          <w:highlight w:val="none"/>
        </w:rPr>
      </w:pPr>
    </w:p>
    <w:p w14:paraId="68D323A1">
      <w:pPr>
        <w:adjustRightInd w:val="0"/>
        <w:spacing w:line="360" w:lineRule="auto"/>
        <w:ind w:right="640" w:firstLine="1560" w:firstLineChars="6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法人代表或授权委托人：（签字）</w:t>
      </w:r>
    </w:p>
    <w:p w14:paraId="17F69B21">
      <w:pPr>
        <w:adjustRightInd w:val="0"/>
        <w:spacing w:line="360" w:lineRule="auto"/>
        <w:jc w:val="center"/>
        <w:rPr>
          <w:rFonts w:hint="eastAsia" w:ascii="宋体" w:hAnsi="宋体" w:eastAsia="宋体" w:cs="宋体"/>
          <w:color w:val="auto"/>
          <w:sz w:val="24"/>
          <w:szCs w:val="24"/>
          <w:highlight w:val="none"/>
        </w:rPr>
      </w:pPr>
    </w:p>
    <w:p w14:paraId="0BC57E62">
      <w:pPr>
        <w:adjustRightInd w:val="0"/>
        <w:spacing w:line="360" w:lineRule="auto"/>
        <w:ind w:firstLine="1560" w:firstLineChars="65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p w14:paraId="6E24450A">
      <w:pPr>
        <w:pStyle w:val="46"/>
        <w:adjustRightInd w:val="0"/>
        <w:spacing w:line="360" w:lineRule="auto"/>
        <w:ind w:firstLine="480"/>
        <w:rPr>
          <w:rFonts w:hint="eastAsia" w:ascii="宋体" w:hAnsi="宋体" w:eastAsia="宋体" w:cs="宋体"/>
          <w:color w:val="auto"/>
          <w:sz w:val="24"/>
          <w:szCs w:val="24"/>
          <w:highlight w:val="none"/>
        </w:rPr>
      </w:pPr>
    </w:p>
    <w:p w14:paraId="37224E7D">
      <w:pPr>
        <w:pStyle w:val="46"/>
        <w:adjustRightInd w:val="0"/>
        <w:spacing w:line="360" w:lineRule="auto"/>
        <w:ind w:firstLine="1440" w:firstLineChars="6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注：投标人须将此承诺书放进</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文件里。</w:t>
      </w:r>
    </w:p>
    <w:p w14:paraId="66CFCE34">
      <w:pPr>
        <w:pStyle w:val="15"/>
        <w:rPr>
          <w:color w:val="auto"/>
          <w:highlight w:val="none"/>
        </w:rPr>
      </w:pPr>
    </w:p>
    <w:p w14:paraId="254DF5FF">
      <w:pPr>
        <w:pStyle w:val="15"/>
        <w:rPr>
          <w:color w:val="auto"/>
          <w:highlight w:val="none"/>
        </w:rPr>
      </w:pPr>
    </w:p>
    <w:p w14:paraId="6ABE95FE">
      <w:pPr>
        <w:pStyle w:val="32"/>
        <w:ind w:firstLine="321"/>
        <w:jc w:val="center"/>
        <w:rPr>
          <w:b/>
          <w:color w:val="auto"/>
          <w:sz w:val="32"/>
          <w:szCs w:val="32"/>
          <w:highlight w:val="none"/>
        </w:rPr>
      </w:pPr>
      <w:r>
        <w:rPr>
          <w:rFonts w:hint="eastAsia"/>
          <w:b/>
          <w:color w:val="auto"/>
          <w:sz w:val="32"/>
          <w:szCs w:val="32"/>
          <w:highlight w:val="none"/>
        </w:rPr>
        <w:t>周口市政府采购合同融资政策告知函</w:t>
      </w:r>
    </w:p>
    <w:p w14:paraId="6D772C2B">
      <w:pPr>
        <w:pStyle w:val="32"/>
        <w:ind w:firstLine="240"/>
        <w:rPr>
          <w:rFonts w:asciiTheme="minorEastAsia" w:hAnsiTheme="minorEastAsia" w:eastAsiaTheme="minorEastAsia"/>
          <w:color w:val="auto"/>
          <w:sz w:val="24"/>
          <w:szCs w:val="24"/>
          <w:highlight w:val="none"/>
        </w:rPr>
      </w:pPr>
    </w:p>
    <w:p w14:paraId="546A27F4">
      <w:pPr>
        <w:pStyle w:val="32"/>
        <w:ind w:firstLine="240"/>
        <w:rPr>
          <w:rFonts w:asciiTheme="minorEastAsia" w:hAnsiTheme="minorEastAsia" w:eastAsiaTheme="minorEastAsia"/>
          <w:color w:val="auto"/>
          <w:sz w:val="24"/>
          <w:highlight w:val="none"/>
        </w:rPr>
      </w:pPr>
    </w:p>
    <w:p w14:paraId="60D3D7F6">
      <w:pPr>
        <w:pStyle w:val="32"/>
        <w:ind w:firstLine="240"/>
        <w:rPr>
          <w:rFonts w:asciiTheme="minorEastAsia" w:hAnsiTheme="minorEastAsia" w:eastAsiaTheme="minorEastAsia"/>
          <w:color w:val="auto"/>
          <w:sz w:val="24"/>
          <w:highlight w:val="none"/>
        </w:rPr>
      </w:pPr>
    </w:p>
    <w:p w14:paraId="38D1910A">
      <w:pPr>
        <w:pStyle w:val="32"/>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各供应商：</w:t>
      </w:r>
    </w:p>
    <w:p w14:paraId="4F830F22">
      <w:pPr>
        <w:pStyle w:val="32"/>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欢迎贵公司参与周口市政府采购活动！</w:t>
      </w:r>
    </w:p>
    <w:p w14:paraId="3A6B3774">
      <w:pPr>
        <w:pStyle w:val="32"/>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40D9462D">
      <w:pPr>
        <w:pStyle w:val="32"/>
        <w:ind w:firstLine="24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贷款渠道和提供贷款的金融机构，可在河南省政府采购网“河南省政府采购合同融资平台”查询联系。</w:t>
      </w:r>
    </w:p>
    <w:p w14:paraId="7A2964CB">
      <w:pPr>
        <w:pStyle w:val="15"/>
        <w:rPr>
          <w:color w:val="auto"/>
          <w:highlight w:val="none"/>
        </w:rPr>
      </w:pPr>
    </w:p>
    <w:sectPr>
      <w:pgSz w:w="11850" w:h="16790"/>
      <w:pgMar w:top="1400" w:right="1180" w:bottom="920" w:left="1580" w:header="0" w:footer="721"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6BC0D58-E8C8-48BE-BD9A-753C101248D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 w:name="Segoe UI">
    <w:panose1 w:val="020B0502040204020203"/>
    <w:charset w:val="00"/>
    <w:family w:val="auto"/>
    <w:pitch w:val="default"/>
    <w:sig w:usb0="E4002EFF" w:usb1="C000E47F" w:usb2="00000009" w:usb3="00000000" w:csb0="200001FF" w:csb1="00000000"/>
    <w:embedRegular r:id="rId2" w:fontKey="{2C909A2B-86B1-474C-9D2F-308B1F902E8F}"/>
  </w:font>
  <w:font w:name="仿宋_GB2312">
    <w:altName w:val="仿宋"/>
    <w:panose1 w:val="00000000000000000000"/>
    <w:charset w:val="86"/>
    <w:family w:val="modern"/>
    <w:pitch w:val="default"/>
    <w:sig w:usb0="00000000" w:usb1="00000000" w:usb2="00000016" w:usb3="00000000" w:csb0="00040001" w:csb1="00000000"/>
    <w:embedRegular r:id="rId3" w:fontKey="{A6B25329-5CD5-4B3C-8A01-53827CE0AAFE}"/>
  </w:font>
  <w:font w:name="方正小标宋简体">
    <w:panose1 w:val="02000000000000000000"/>
    <w:charset w:val="86"/>
    <w:family w:val="auto"/>
    <w:pitch w:val="default"/>
    <w:sig w:usb0="00000001" w:usb1="08000000" w:usb2="00000000" w:usb3="00000000" w:csb0="00040000" w:csb1="00000000"/>
    <w:embedRegular r:id="rId4" w:fontKey="{627BBABC-859E-45D2-9CF8-5FF58E043A74}"/>
  </w:font>
  <w:font w:name="宋体 ，Arial">
    <w:altName w:val="宋体"/>
    <w:panose1 w:val="00000000000000000000"/>
    <w:charset w:val="86"/>
    <w:family w:val="swiss"/>
    <w:pitch w:val="default"/>
    <w:sig w:usb0="00000000" w:usb1="00000000" w:usb2="00000010" w:usb3="00000000" w:csb0="00040000" w:csb1="00000000"/>
    <w:embedRegular r:id="rId5" w:fontKey="{AD06D16A-D630-4BCC-B1DE-9EDEAA8D038A}"/>
  </w:font>
  <w:font w:name="WPSEMBED1">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0DC08B">
    <w:pPr>
      <w:pStyle w:val="7"/>
      <w:spacing w:line="14" w:lineRule="auto"/>
      <w:rPr>
        <w:sz w:val="20"/>
      </w:rPr>
    </w:pPr>
    <w:r>
      <w:rPr>
        <w:lang w:val="en-US" w:bidi="ar-SA"/>
      </w:rPr>
      <mc:AlternateContent>
        <mc:Choice Requires="wps">
          <w:drawing>
            <wp:anchor distT="0" distB="0" distL="114300" distR="114300" simplePos="0" relativeHeight="251659264" behindDoc="1" locked="0" layoutInCell="1" allowOverlap="1">
              <wp:simplePos x="0" y="0"/>
              <wp:positionH relativeFrom="page">
                <wp:posOffset>3679825</wp:posOffset>
              </wp:positionH>
              <wp:positionV relativeFrom="page">
                <wp:posOffset>10057765</wp:posOffset>
              </wp:positionV>
              <wp:extent cx="167005" cy="152400"/>
              <wp:effectExtent l="0" t="0" r="0" b="0"/>
              <wp:wrapNone/>
              <wp:docPr id="1" name="Text Box 3"/>
              <wp:cNvGraphicFramePr/>
              <a:graphic xmlns:a="http://schemas.openxmlformats.org/drawingml/2006/main">
                <a:graphicData uri="http://schemas.microsoft.com/office/word/2010/wordprocessingShape">
                  <wps:wsp>
                    <wps:cNvSpPr txBox="1">
                      <a:spLocks noChangeArrowheads="1"/>
                    </wps:cNvSpPr>
                    <wps:spPr bwMode="auto">
                      <a:xfrm>
                        <a:off x="0" y="0"/>
                        <a:ext cx="167005" cy="152400"/>
                      </a:xfrm>
                      <a:prstGeom prst="rect">
                        <a:avLst/>
                      </a:prstGeom>
                      <a:noFill/>
                      <a:ln>
                        <a:noFill/>
                      </a:ln>
                      <a:effectLst/>
                    </wps:spPr>
                    <wps:txbx>
                      <w:txbxContent>
                        <w:p w14:paraId="2F5B35B0">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wps:txbx>
                    <wps:bodyPr rot="0" vert="horz" wrap="square" lIns="0" tIns="0" rIns="0" bIns="0" anchor="t" anchorCtr="0" upright="1">
                      <a:noAutofit/>
                    </wps:bodyPr>
                  </wps:wsp>
                </a:graphicData>
              </a:graphic>
            </wp:anchor>
          </w:drawing>
        </mc:Choice>
        <mc:Fallback>
          <w:pict>
            <v:shape id="Text Box 3" o:spid="_x0000_s1026" o:spt="202" type="#_x0000_t202" style="position:absolute;left:0pt;margin-left:289.75pt;margin-top:791.95pt;height:12pt;width:13.15pt;mso-position-horizontal-relative:page;mso-position-vertical-relative:page;z-index:-251657216;mso-width-relative:page;mso-height-relative:page;" filled="f" stroked="f" coordsize="21600,21600" o:gfxdata="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AAA&#10;AABkcnMvUEsBAhQAFAAAAAgAh07iQFgIQo7aAAAADQEAAA8AAAAAAAAAAQAgAAAAIgAAAGRycy9k&#10;b3ducmV2LnhtbFBLAQIUABQAAAAIAIdO4kBEjIbKAAIAABEEAAAOAAAAAAAAAAEAIAAAACkBAABk&#10;cnMvZTJvRG9jLnhtbFBLBQYAAAAABgAGAFkBAACbBQAAAAA=&#10;">
              <v:fill on="f" focussize="0,0"/>
              <v:stroke on="f"/>
              <v:imagedata o:title=""/>
              <o:lock v:ext="edit" aspectratio="f"/>
              <v:textbox inset="0mm,0mm,0mm,0mm">
                <w:txbxContent>
                  <w:p w14:paraId="2F5B35B0">
                    <w:pPr>
                      <w:spacing w:before="12"/>
                      <w:ind w:left="40"/>
                      <w:rPr>
                        <w:rFonts w:ascii="Times New Roman"/>
                        <w:sz w:val="18"/>
                      </w:rPr>
                    </w:pPr>
                    <w:r>
                      <w:fldChar w:fldCharType="begin"/>
                    </w:r>
                    <w:r>
                      <w:rPr>
                        <w:rFonts w:ascii="Times New Roman"/>
                        <w:sz w:val="18"/>
                      </w:rPr>
                      <w:instrText xml:space="preserve"> PAGE </w:instrText>
                    </w:r>
                    <w:r>
                      <w:fldChar w:fldCharType="separate"/>
                    </w:r>
                    <w:r>
                      <w:rPr>
                        <w:rFonts w:ascii="Times New Roman"/>
                        <w:sz w:val="18"/>
                      </w:rPr>
                      <w:t>5</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239341B"/>
    <w:multiLevelType w:val="multilevel"/>
    <w:tmpl w:val="9239341B"/>
    <w:lvl w:ilvl="0" w:tentative="0">
      <w:start w:val="1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
    <w:nsid w:val="9C8AC8EF"/>
    <w:multiLevelType w:val="multilevel"/>
    <w:tmpl w:val="9C8AC8EF"/>
    <w:lvl w:ilvl="0" w:tentative="0">
      <w:start w:val="2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
    <w:nsid w:val="A46506D2"/>
    <w:multiLevelType w:val="singleLevel"/>
    <w:tmpl w:val="A46506D2"/>
    <w:lvl w:ilvl="0" w:tentative="0">
      <w:start w:val="26"/>
      <w:numFmt w:val="decimal"/>
      <w:suff w:val="nothing"/>
      <w:lvlText w:val="%1、"/>
      <w:lvlJc w:val="left"/>
    </w:lvl>
  </w:abstractNum>
  <w:abstractNum w:abstractNumId="3">
    <w:nsid w:val="B0F1ACD9"/>
    <w:multiLevelType w:val="multilevel"/>
    <w:tmpl w:val="B0F1ACD9"/>
    <w:lvl w:ilvl="0" w:tentative="0">
      <w:start w:val="1"/>
      <w:numFmt w:val="decimal"/>
      <w:lvlText w:val="%1."/>
      <w:lvlJc w:val="left"/>
      <w:pPr>
        <w:ind w:left="218" w:hanging="243"/>
      </w:pPr>
      <w:rPr>
        <w:rFonts w:hint="default" w:ascii="宋体" w:hAnsi="宋体" w:eastAsia="宋体" w:cs="宋体"/>
        <w:w w:val="100"/>
        <w:sz w:val="22"/>
        <w:szCs w:val="22"/>
        <w:lang w:val="zh-CN" w:eastAsia="zh-CN" w:bidi="zh-CN"/>
      </w:rPr>
    </w:lvl>
    <w:lvl w:ilvl="1" w:tentative="0">
      <w:start w:val="0"/>
      <w:numFmt w:val="bullet"/>
      <w:lvlText w:val="•"/>
      <w:lvlJc w:val="left"/>
      <w:pPr>
        <w:ind w:left="1106" w:hanging="243"/>
      </w:pPr>
      <w:rPr>
        <w:rFonts w:hint="default"/>
        <w:lang w:val="zh-CN" w:eastAsia="zh-CN" w:bidi="zh-CN"/>
      </w:rPr>
    </w:lvl>
    <w:lvl w:ilvl="2" w:tentative="0">
      <w:start w:val="0"/>
      <w:numFmt w:val="bullet"/>
      <w:lvlText w:val="•"/>
      <w:lvlJc w:val="left"/>
      <w:pPr>
        <w:ind w:left="1993" w:hanging="243"/>
      </w:pPr>
      <w:rPr>
        <w:rFonts w:hint="default"/>
        <w:lang w:val="zh-CN" w:eastAsia="zh-CN" w:bidi="zh-CN"/>
      </w:rPr>
    </w:lvl>
    <w:lvl w:ilvl="3" w:tentative="0">
      <w:start w:val="0"/>
      <w:numFmt w:val="bullet"/>
      <w:lvlText w:val="•"/>
      <w:lvlJc w:val="left"/>
      <w:pPr>
        <w:ind w:left="2880" w:hanging="243"/>
      </w:pPr>
      <w:rPr>
        <w:rFonts w:hint="default"/>
        <w:lang w:val="zh-CN" w:eastAsia="zh-CN" w:bidi="zh-CN"/>
      </w:rPr>
    </w:lvl>
    <w:lvl w:ilvl="4" w:tentative="0">
      <w:start w:val="0"/>
      <w:numFmt w:val="bullet"/>
      <w:lvlText w:val="•"/>
      <w:lvlJc w:val="left"/>
      <w:pPr>
        <w:ind w:left="3767" w:hanging="243"/>
      </w:pPr>
      <w:rPr>
        <w:rFonts w:hint="default"/>
        <w:lang w:val="zh-CN" w:eastAsia="zh-CN" w:bidi="zh-CN"/>
      </w:rPr>
    </w:lvl>
    <w:lvl w:ilvl="5" w:tentative="0">
      <w:start w:val="0"/>
      <w:numFmt w:val="bullet"/>
      <w:lvlText w:val="•"/>
      <w:lvlJc w:val="left"/>
      <w:pPr>
        <w:ind w:left="4654" w:hanging="243"/>
      </w:pPr>
      <w:rPr>
        <w:rFonts w:hint="default"/>
        <w:lang w:val="zh-CN" w:eastAsia="zh-CN" w:bidi="zh-CN"/>
      </w:rPr>
    </w:lvl>
    <w:lvl w:ilvl="6" w:tentative="0">
      <w:start w:val="0"/>
      <w:numFmt w:val="bullet"/>
      <w:lvlText w:val="•"/>
      <w:lvlJc w:val="left"/>
      <w:pPr>
        <w:ind w:left="5541" w:hanging="243"/>
      </w:pPr>
      <w:rPr>
        <w:rFonts w:hint="default"/>
        <w:lang w:val="zh-CN" w:eastAsia="zh-CN" w:bidi="zh-CN"/>
      </w:rPr>
    </w:lvl>
    <w:lvl w:ilvl="7" w:tentative="0">
      <w:start w:val="0"/>
      <w:numFmt w:val="bullet"/>
      <w:lvlText w:val="•"/>
      <w:lvlJc w:val="left"/>
      <w:pPr>
        <w:ind w:left="6428" w:hanging="243"/>
      </w:pPr>
      <w:rPr>
        <w:rFonts w:hint="default"/>
        <w:lang w:val="zh-CN" w:eastAsia="zh-CN" w:bidi="zh-CN"/>
      </w:rPr>
    </w:lvl>
    <w:lvl w:ilvl="8" w:tentative="0">
      <w:start w:val="0"/>
      <w:numFmt w:val="bullet"/>
      <w:lvlText w:val="•"/>
      <w:lvlJc w:val="left"/>
      <w:pPr>
        <w:ind w:left="7315" w:hanging="243"/>
      </w:pPr>
      <w:rPr>
        <w:rFonts w:hint="default"/>
        <w:lang w:val="zh-CN" w:eastAsia="zh-CN" w:bidi="zh-CN"/>
      </w:rPr>
    </w:lvl>
  </w:abstractNum>
  <w:abstractNum w:abstractNumId="4">
    <w:nsid w:val="B5E306ED"/>
    <w:multiLevelType w:val="multilevel"/>
    <w:tmpl w:val="B5E306ED"/>
    <w:lvl w:ilvl="0" w:tentative="0">
      <w:start w:val="4"/>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spacing w:val="-24"/>
        <w:w w:val="100"/>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5">
    <w:nsid w:val="BF205925"/>
    <w:multiLevelType w:val="multilevel"/>
    <w:tmpl w:val="BF205925"/>
    <w:lvl w:ilvl="0" w:tentative="0">
      <w:start w:val="3"/>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6">
    <w:nsid w:val="C8879AEF"/>
    <w:multiLevelType w:val="multilevel"/>
    <w:tmpl w:val="C8879AEF"/>
    <w:lvl w:ilvl="0" w:tentative="0">
      <w:start w:val="15"/>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spacing w:val="-1"/>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7">
    <w:nsid w:val="D7F9FE59"/>
    <w:multiLevelType w:val="multilevel"/>
    <w:tmpl w:val="D7F9FE59"/>
    <w:lvl w:ilvl="0" w:tentative="0">
      <w:start w:val="23"/>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w w:val="100"/>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8">
    <w:nsid w:val="DCBA6B53"/>
    <w:multiLevelType w:val="multilevel"/>
    <w:tmpl w:val="DCBA6B53"/>
    <w:lvl w:ilvl="0" w:tentative="0">
      <w:start w:val="22"/>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9">
    <w:nsid w:val="F4B5D9F5"/>
    <w:multiLevelType w:val="multilevel"/>
    <w:tmpl w:val="F4B5D9F5"/>
    <w:lvl w:ilvl="0" w:tentative="0">
      <w:start w:val="21"/>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jc w:val="right"/>
      </w:pPr>
      <w:rPr>
        <w:rFonts w:hint="default" w:ascii="宋体" w:hAnsi="宋体" w:eastAsia="宋体" w:cs="宋体"/>
        <w:w w:val="100"/>
        <w:sz w:val="22"/>
        <w:szCs w:val="22"/>
        <w:lang w:val="zh-CN" w:eastAsia="zh-CN" w:bidi="zh-CN"/>
      </w:rPr>
    </w:lvl>
    <w:lvl w:ilvl="2" w:tentative="0">
      <w:start w:val="1"/>
      <w:numFmt w:val="decimal"/>
      <w:lvlText w:val="%1.%2.%3"/>
      <w:lvlJc w:val="left"/>
      <w:pPr>
        <w:ind w:left="1179" w:hanging="961"/>
      </w:pPr>
      <w:rPr>
        <w:rFonts w:hint="default" w:ascii="宋体" w:hAnsi="宋体" w:eastAsia="宋体" w:cs="宋体"/>
        <w:spacing w:val="-1"/>
        <w:w w:val="100"/>
        <w:sz w:val="22"/>
        <w:szCs w:val="22"/>
        <w:lang w:val="zh-CN" w:eastAsia="zh-CN" w:bidi="zh-CN"/>
      </w:rPr>
    </w:lvl>
    <w:lvl w:ilvl="3" w:tentative="0">
      <w:start w:val="0"/>
      <w:numFmt w:val="bullet"/>
      <w:lvlText w:val="•"/>
      <w:lvlJc w:val="left"/>
      <w:pPr>
        <w:ind w:left="2937" w:hanging="961"/>
      </w:pPr>
      <w:rPr>
        <w:rFonts w:hint="default"/>
        <w:lang w:val="zh-CN" w:eastAsia="zh-CN" w:bidi="zh-CN"/>
      </w:rPr>
    </w:lvl>
    <w:lvl w:ilvl="4" w:tentative="0">
      <w:start w:val="0"/>
      <w:numFmt w:val="bullet"/>
      <w:lvlText w:val="•"/>
      <w:lvlJc w:val="left"/>
      <w:pPr>
        <w:ind w:left="3816" w:hanging="961"/>
      </w:pPr>
      <w:rPr>
        <w:rFonts w:hint="default"/>
        <w:lang w:val="zh-CN" w:eastAsia="zh-CN" w:bidi="zh-CN"/>
      </w:rPr>
    </w:lvl>
    <w:lvl w:ilvl="5" w:tentative="0">
      <w:start w:val="0"/>
      <w:numFmt w:val="bullet"/>
      <w:lvlText w:val="•"/>
      <w:lvlJc w:val="left"/>
      <w:pPr>
        <w:ind w:left="4695" w:hanging="961"/>
      </w:pPr>
      <w:rPr>
        <w:rFonts w:hint="default"/>
        <w:lang w:val="zh-CN" w:eastAsia="zh-CN" w:bidi="zh-CN"/>
      </w:rPr>
    </w:lvl>
    <w:lvl w:ilvl="6" w:tentative="0">
      <w:start w:val="0"/>
      <w:numFmt w:val="bullet"/>
      <w:lvlText w:val="•"/>
      <w:lvlJc w:val="left"/>
      <w:pPr>
        <w:ind w:left="5573" w:hanging="961"/>
      </w:pPr>
      <w:rPr>
        <w:rFonts w:hint="default"/>
        <w:lang w:val="zh-CN" w:eastAsia="zh-CN" w:bidi="zh-CN"/>
      </w:rPr>
    </w:lvl>
    <w:lvl w:ilvl="7" w:tentative="0">
      <w:start w:val="0"/>
      <w:numFmt w:val="bullet"/>
      <w:lvlText w:val="•"/>
      <w:lvlJc w:val="left"/>
      <w:pPr>
        <w:ind w:left="6452" w:hanging="961"/>
      </w:pPr>
      <w:rPr>
        <w:rFonts w:hint="default"/>
        <w:lang w:val="zh-CN" w:eastAsia="zh-CN" w:bidi="zh-CN"/>
      </w:rPr>
    </w:lvl>
    <w:lvl w:ilvl="8" w:tentative="0">
      <w:start w:val="0"/>
      <w:numFmt w:val="bullet"/>
      <w:lvlText w:val="•"/>
      <w:lvlJc w:val="left"/>
      <w:pPr>
        <w:ind w:left="7331" w:hanging="961"/>
      </w:pPr>
      <w:rPr>
        <w:rFonts w:hint="default"/>
        <w:lang w:val="zh-CN" w:eastAsia="zh-CN" w:bidi="zh-CN"/>
      </w:rPr>
    </w:lvl>
  </w:abstractNum>
  <w:abstractNum w:abstractNumId="10">
    <w:nsid w:val="0248C179"/>
    <w:multiLevelType w:val="multilevel"/>
    <w:tmpl w:val="0248C179"/>
    <w:lvl w:ilvl="0" w:tentative="0">
      <w:start w:val="11"/>
      <w:numFmt w:val="decimal"/>
      <w:lvlText w:val="%1"/>
      <w:lvlJc w:val="left"/>
      <w:pPr>
        <w:ind w:left="218" w:hanging="481"/>
      </w:pPr>
      <w:rPr>
        <w:rFonts w:hint="default"/>
        <w:lang w:val="zh-CN" w:eastAsia="zh-CN" w:bidi="zh-CN"/>
      </w:rPr>
    </w:lvl>
    <w:lvl w:ilvl="1" w:tentative="0">
      <w:start w:val="1"/>
      <w:numFmt w:val="decimal"/>
      <w:lvlText w:val="%1.%2"/>
      <w:lvlJc w:val="left"/>
      <w:pPr>
        <w:ind w:left="218" w:hanging="481"/>
      </w:pPr>
      <w:rPr>
        <w:rFonts w:hint="default" w:ascii="宋体" w:hAnsi="宋体" w:eastAsia="宋体" w:cs="宋体"/>
        <w:spacing w:val="-16"/>
        <w:w w:val="100"/>
        <w:sz w:val="22"/>
        <w:szCs w:val="22"/>
        <w:lang w:val="zh-CN" w:eastAsia="zh-CN" w:bidi="zh-CN"/>
      </w:rPr>
    </w:lvl>
    <w:lvl w:ilvl="2" w:tentative="0">
      <w:start w:val="0"/>
      <w:numFmt w:val="bullet"/>
      <w:lvlText w:val="•"/>
      <w:lvlJc w:val="left"/>
      <w:pPr>
        <w:ind w:left="1993" w:hanging="481"/>
      </w:pPr>
      <w:rPr>
        <w:rFonts w:hint="default"/>
        <w:lang w:val="zh-CN" w:eastAsia="zh-CN" w:bidi="zh-CN"/>
      </w:rPr>
    </w:lvl>
    <w:lvl w:ilvl="3" w:tentative="0">
      <w:start w:val="0"/>
      <w:numFmt w:val="bullet"/>
      <w:lvlText w:val="•"/>
      <w:lvlJc w:val="left"/>
      <w:pPr>
        <w:ind w:left="2880" w:hanging="481"/>
      </w:pPr>
      <w:rPr>
        <w:rFonts w:hint="default"/>
        <w:lang w:val="zh-CN" w:eastAsia="zh-CN" w:bidi="zh-CN"/>
      </w:rPr>
    </w:lvl>
    <w:lvl w:ilvl="4" w:tentative="0">
      <w:start w:val="0"/>
      <w:numFmt w:val="bullet"/>
      <w:lvlText w:val="•"/>
      <w:lvlJc w:val="left"/>
      <w:pPr>
        <w:ind w:left="3767" w:hanging="481"/>
      </w:pPr>
      <w:rPr>
        <w:rFonts w:hint="default"/>
        <w:lang w:val="zh-CN" w:eastAsia="zh-CN" w:bidi="zh-CN"/>
      </w:rPr>
    </w:lvl>
    <w:lvl w:ilvl="5" w:tentative="0">
      <w:start w:val="0"/>
      <w:numFmt w:val="bullet"/>
      <w:lvlText w:val="•"/>
      <w:lvlJc w:val="left"/>
      <w:pPr>
        <w:ind w:left="4654" w:hanging="481"/>
      </w:pPr>
      <w:rPr>
        <w:rFonts w:hint="default"/>
        <w:lang w:val="zh-CN" w:eastAsia="zh-CN" w:bidi="zh-CN"/>
      </w:rPr>
    </w:lvl>
    <w:lvl w:ilvl="6" w:tentative="0">
      <w:start w:val="0"/>
      <w:numFmt w:val="bullet"/>
      <w:lvlText w:val="•"/>
      <w:lvlJc w:val="left"/>
      <w:pPr>
        <w:ind w:left="5541" w:hanging="481"/>
      </w:pPr>
      <w:rPr>
        <w:rFonts w:hint="default"/>
        <w:lang w:val="zh-CN" w:eastAsia="zh-CN" w:bidi="zh-CN"/>
      </w:rPr>
    </w:lvl>
    <w:lvl w:ilvl="7" w:tentative="0">
      <w:start w:val="0"/>
      <w:numFmt w:val="bullet"/>
      <w:lvlText w:val="•"/>
      <w:lvlJc w:val="left"/>
      <w:pPr>
        <w:ind w:left="6428" w:hanging="481"/>
      </w:pPr>
      <w:rPr>
        <w:rFonts w:hint="default"/>
        <w:lang w:val="zh-CN" w:eastAsia="zh-CN" w:bidi="zh-CN"/>
      </w:rPr>
    </w:lvl>
    <w:lvl w:ilvl="8" w:tentative="0">
      <w:start w:val="0"/>
      <w:numFmt w:val="bullet"/>
      <w:lvlText w:val="•"/>
      <w:lvlJc w:val="left"/>
      <w:pPr>
        <w:ind w:left="7315" w:hanging="481"/>
      </w:pPr>
      <w:rPr>
        <w:rFonts w:hint="default"/>
        <w:lang w:val="zh-CN" w:eastAsia="zh-CN" w:bidi="zh-CN"/>
      </w:rPr>
    </w:lvl>
  </w:abstractNum>
  <w:abstractNum w:abstractNumId="11">
    <w:nsid w:val="03A8B5F5"/>
    <w:multiLevelType w:val="singleLevel"/>
    <w:tmpl w:val="03A8B5F5"/>
    <w:lvl w:ilvl="0" w:tentative="0">
      <w:start w:val="1"/>
      <w:numFmt w:val="upperLetter"/>
      <w:suff w:val="nothing"/>
      <w:lvlText w:val="%1、"/>
      <w:lvlJc w:val="left"/>
    </w:lvl>
  </w:abstractNum>
  <w:abstractNum w:abstractNumId="12">
    <w:nsid w:val="03D62ECE"/>
    <w:multiLevelType w:val="multilevel"/>
    <w:tmpl w:val="03D62ECE"/>
    <w:lvl w:ilvl="0" w:tentative="0">
      <w:start w:val="6"/>
      <w:numFmt w:val="decimal"/>
      <w:lvlText w:val="%1"/>
      <w:lvlJc w:val="left"/>
      <w:pPr>
        <w:ind w:left="218" w:hanging="363"/>
      </w:pPr>
      <w:rPr>
        <w:rFonts w:hint="default"/>
        <w:lang w:val="zh-CN" w:eastAsia="zh-CN" w:bidi="zh-CN"/>
      </w:rPr>
    </w:lvl>
    <w:lvl w:ilvl="1" w:tentative="0">
      <w:start w:val="1"/>
      <w:numFmt w:val="decimal"/>
      <w:lvlText w:val="%1.%2"/>
      <w:lvlJc w:val="left"/>
      <w:pPr>
        <w:ind w:left="218" w:hanging="36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363"/>
      </w:pPr>
      <w:rPr>
        <w:rFonts w:hint="default"/>
        <w:lang w:val="zh-CN" w:eastAsia="zh-CN" w:bidi="zh-CN"/>
      </w:rPr>
    </w:lvl>
    <w:lvl w:ilvl="3" w:tentative="0">
      <w:start w:val="0"/>
      <w:numFmt w:val="bullet"/>
      <w:lvlText w:val="•"/>
      <w:lvlJc w:val="left"/>
      <w:pPr>
        <w:ind w:left="2880" w:hanging="363"/>
      </w:pPr>
      <w:rPr>
        <w:rFonts w:hint="default"/>
        <w:lang w:val="zh-CN" w:eastAsia="zh-CN" w:bidi="zh-CN"/>
      </w:rPr>
    </w:lvl>
    <w:lvl w:ilvl="4" w:tentative="0">
      <w:start w:val="0"/>
      <w:numFmt w:val="bullet"/>
      <w:lvlText w:val="•"/>
      <w:lvlJc w:val="left"/>
      <w:pPr>
        <w:ind w:left="3767" w:hanging="363"/>
      </w:pPr>
      <w:rPr>
        <w:rFonts w:hint="default"/>
        <w:lang w:val="zh-CN" w:eastAsia="zh-CN" w:bidi="zh-CN"/>
      </w:rPr>
    </w:lvl>
    <w:lvl w:ilvl="5" w:tentative="0">
      <w:start w:val="0"/>
      <w:numFmt w:val="bullet"/>
      <w:lvlText w:val="•"/>
      <w:lvlJc w:val="left"/>
      <w:pPr>
        <w:ind w:left="4654" w:hanging="363"/>
      </w:pPr>
      <w:rPr>
        <w:rFonts w:hint="default"/>
        <w:lang w:val="zh-CN" w:eastAsia="zh-CN" w:bidi="zh-CN"/>
      </w:rPr>
    </w:lvl>
    <w:lvl w:ilvl="6" w:tentative="0">
      <w:start w:val="0"/>
      <w:numFmt w:val="bullet"/>
      <w:lvlText w:val="•"/>
      <w:lvlJc w:val="left"/>
      <w:pPr>
        <w:ind w:left="5541" w:hanging="363"/>
      </w:pPr>
      <w:rPr>
        <w:rFonts w:hint="default"/>
        <w:lang w:val="zh-CN" w:eastAsia="zh-CN" w:bidi="zh-CN"/>
      </w:rPr>
    </w:lvl>
    <w:lvl w:ilvl="7" w:tentative="0">
      <w:start w:val="0"/>
      <w:numFmt w:val="bullet"/>
      <w:lvlText w:val="•"/>
      <w:lvlJc w:val="left"/>
      <w:pPr>
        <w:ind w:left="6428" w:hanging="363"/>
      </w:pPr>
      <w:rPr>
        <w:rFonts w:hint="default"/>
        <w:lang w:val="zh-CN" w:eastAsia="zh-CN" w:bidi="zh-CN"/>
      </w:rPr>
    </w:lvl>
    <w:lvl w:ilvl="8" w:tentative="0">
      <w:start w:val="0"/>
      <w:numFmt w:val="bullet"/>
      <w:lvlText w:val="•"/>
      <w:lvlJc w:val="left"/>
      <w:pPr>
        <w:ind w:left="7315" w:hanging="363"/>
      </w:pPr>
      <w:rPr>
        <w:rFonts w:hint="default"/>
        <w:lang w:val="zh-CN" w:eastAsia="zh-CN" w:bidi="zh-CN"/>
      </w:rPr>
    </w:lvl>
  </w:abstractNum>
  <w:abstractNum w:abstractNumId="13">
    <w:nsid w:val="0E640482"/>
    <w:multiLevelType w:val="multilevel"/>
    <w:tmpl w:val="0E640482"/>
    <w:lvl w:ilvl="0" w:tentative="0">
      <w:start w:val="2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4">
    <w:nsid w:val="25B654F3"/>
    <w:multiLevelType w:val="multilevel"/>
    <w:tmpl w:val="25B654F3"/>
    <w:lvl w:ilvl="0" w:tentative="0">
      <w:start w:val="8"/>
      <w:numFmt w:val="decimal"/>
      <w:lvlText w:val="%1"/>
      <w:lvlJc w:val="left"/>
      <w:pPr>
        <w:ind w:left="218" w:hanging="361"/>
      </w:pPr>
      <w:rPr>
        <w:rFonts w:hint="default"/>
        <w:lang w:val="zh-CN" w:eastAsia="zh-CN" w:bidi="zh-CN"/>
      </w:rPr>
    </w:lvl>
    <w:lvl w:ilvl="1" w:tentative="0">
      <w:start w:val="1"/>
      <w:numFmt w:val="decimal"/>
      <w:lvlText w:val="%1.%2"/>
      <w:lvlJc w:val="left"/>
      <w:pPr>
        <w:ind w:left="218" w:hanging="361"/>
        <w:jc w:val="right"/>
      </w:pPr>
      <w:rPr>
        <w:rFonts w:hint="default" w:ascii="宋体" w:hAnsi="宋体" w:eastAsia="宋体" w:cs="宋体"/>
        <w:spacing w:val="-24"/>
        <w:w w:val="100"/>
        <w:sz w:val="22"/>
        <w:szCs w:val="22"/>
        <w:lang w:val="zh-CN" w:eastAsia="zh-CN" w:bidi="zh-CN"/>
      </w:rPr>
    </w:lvl>
    <w:lvl w:ilvl="2" w:tentative="0">
      <w:start w:val="0"/>
      <w:numFmt w:val="bullet"/>
      <w:lvlText w:val="•"/>
      <w:lvlJc w:val="left"/>
      <w:pPr>
        <w:ind w:left="1993" w:hanging="361"/>
      </w:pPr>
      <w:rPr>
        <w:rFonts w:hint="default"/>
        <w:lang w:val="zh-CN" w:eastAsia="zh-CN" w:bidi="zh-CN"/>
      </w:rPr>
    </w:lvl>
    <w:lvl w:ilvl="3" w:tentative="0">
      <w:start w:val="0"/>
      <w:numFmt w:val="bullet"/>
      <w:lvlText w:val="•"/>
      <w:lvlJc w:val="left"/>
      <w:pPr>
        <w:ind w:left="2880" w:hanging="361"/>
      </w:pPr>
      <w:rPr>
        <w:rFonts w:hint="default"/>
        <w:lang w:val="zh-CN" w:eastAsia="zh-CN" w:bidi="zh-CN"/>
      </w:rPr>
    </w:lvl>
    <w:lvl w:ilvl="4" w:tentative="0">
      <w:start w:val="0"/>
      <w:numFmt w:val="bullet"/>
      <w:lvlText w:val="•"/>
      <w:lvlJc w:val="left"/>
      <w:pPr>
        <w:ind w:left="3767" w:hanging="361"/>
      </w:pPr>
      <w:rPr>
        <w:rFonts w:hint="default"/>
        <w:lang w:val="zh-CN" w:eastAsia="zh-CN" w:bidi="zh-CN"/>
      </w:rPr>
    </w:lvl>
    <w:lvl w:ilvl="5" w:tentative="0">
      <w:start w:val="0"/>
      <w:numFmt w:val="bullet"/>
      <w:lvlText w:val="•"/>
      <w:lvlJc w:val="left"/>
      <w:pPr>
        <w:ind w:left="4654" w:hanging="361"/>
      </w:pPr>
      <w:rPr>
        <w:rFonts w:hint="default"/>
        <w:lang w:val="zh-CN" w:eastAsia="zh-CN" w:bidi="zh-CN"/>
      </w:rPr>
    </w:lvl>
    <w:lvl w:ilvl="6" w:tentative="0">
      <w:start w:val="0"/>
      <w:numFmt w:val="bullet"/>
      <w:lvlText w:val="•"/>
      <w:lvlJc w:val="left"/>
      <w:pPr>
        <w:ind w:left="5541" w:hanging="361"/>
      </w:pPr>
      <w:rPr>
        <w:rFonts w:hint="default"/>
        <w:lang w:val="zh-CN" w:eastAsia="zh-CN" w:bidi="zh-CN"/>
      </w:rPr>
    </w:lvl>
    <w:lvl w:ilvl="7" w:tentative="0">
      <w:start w:val="0"/>
      <w:numFmt w:val="bullet"/>
      <w:lvlText w:val="•"/>
      <w:lvlJc w:val="left"/>
      <w:pPr>
        <w:ind w:left="6428" w:hanging="361"/>
      </w:pPr>
      <w:rPr>
        <w:rFonts w:hint="default"/>
        <w:lang w:val="zh-CN" w:eastAsia="zh-CN" w:bidi="zh-CN"/>
      </w:rPr>
    </w:lvl>
    <w:lvl w:ilvl="8" w:tentative="0">
      <w:start w:val="0"/>
      <w:numFmt w:val="bullet"/>
      <w:lvlText w:val="•"/>
      <w:lvlJc w:val="left"/>
      <w:pPr>
        <w:ind w:left="7315" w:hanging="361"/>
      </w:pPr>
      <w:rPr>
        <w:rFonts w:hint="default"/>
        <w:lang w:val="zh-CN" w:eastAsia="zh-CN" w:bidi="zh-CN"/>
      </w:rPr>
    </w:lvl>
  </w:abstractNum>
  <w:abstractNum w:abstractNumId="15">
    <w:nsid w:val="46A08BB8"/>
    <w:multiLevelType w:val="multilevel"/>
    <w:tmpl w:val="46A08BB8"/>
    <w:lvl w:ilvl="0" w:tentative="0">
      <w:start w:val="28"/>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6">
    <w:nsid w:val="4C1BAE26"/>
    <w:multiLevelType w:val="multilevel"/>
    <w:tmpl w:val="4C1BAE26"/>
    <w:lvl w:ilvl="0" w:tentative="0">
      <w:start w:val="25"/>
      <w:numFmt w:val="decimal"/>
      <w:lvlText w:val="%1"/>
      <w:lvlJc w:val="left"/>
      <w:pPr>
        <w:ind w:left="939" w:hanging="481"/>
      </w:pPr>
      <w:rPr>
        <w:rFonts w:hint="default"/>
        <w:lang w:val="zh-CN" w:eastAsia="zh-CN" w:bidi="zh-CN"/>
      </w:rPr>
    </w:lvl>
    <w:lvl w:ilvl="1" w:tentative="0">
      <w:start w:val="1"/>
      <w:numFmt w:val="decimal"/>
      <w:lvlText w:val="%1.%2"/>
      <w:lvlJc w:val="left"/>
      <w:pPr>
        <w:ind w:left="939" w:hanging="481"/>
      </w:pPr>
      <w:rPr>
        <w:rFonts w:hint="default" w:ascii="宋体" w:hAnsi="宋体" w:eastAsia="宋体" w:cs="宋体"/>
        <w:w w:val="100"/>
        <w:sz w:val="22"/>
        <w:szCs w:val="22"/>
        <w:lang w:val="zh-CN" w:eastAsia="zh-CN" w:bidi="zh-CN"/>
      </w:rPr>
    </w:lvl>
    <w:lvl w:ilvl="2" w:tentative="0">
      <w:start w:val="0"/>
      <w:numFmt w:val="bullet"/>
      <w:lvlText w:val="•"/>
      <w:lvlJc w:val="left"/>
      <w:pPr>
        <w:ind w:left="2569" w:hanging="481"/>
      </w:pPr>
      <w:rPr>
        <w:rFonts w:hint="default"/>
        <w:lang w:val="zh-CN" w:eastAsia="zh-CN" w:bidi="zh-CN"/>
      </w:rPr>
    </w:lvl>
    <w:lvl w:ilvl="3" w:tentative="0">
      <w:start w:val="0"/>
      <w:numFmt w:val="bullet"/>
      <w:lvlText w:val="•"/>
      <w:lvlJc w:val="left"/>
      <w:pPr>
        <w:ind w:left="3384" w:hanging="481"/>
      </w:pPr>
      <w:rPr>
        <w:rFonts w:hint="default"/>
        <w:lang w:val="zh-CN" w:eastAsia="zh-CN" w:bidi="zh-CN"/>
      </w:rPr>
    </w:lvl>
    <w:lvl w:ilvl="4" w:tentative="0">
      <w:start w:val="0"/>
      <w:numFmt w:val="bullet"/>
      <w:lvlText w:val="•"/>
      <w:lvlJc w:val="left"/>
      <w:pPr>
        <w:ind w:left="4199" w:hanging="481"/>
      </w:pPr>
      <w:rPr>
        <w:rFonts w:hint="default"/>
        <w:lang w:val="zh-CN" w:eastAsia="zh-CN" w:bidi="zh-CN"/>
      </w:rPr>
    </w:lvl>
    <w:lvl w:ilvl="5" w:tentative="0">
      <w:start w:val="0"/>
      <w:numFmt w:val="bullet"/>
      <w:lvlText w:val="•"/>
      <w:lvlJc w:val="left"/>
      <w:pPr>
        <w:ind w:left="5014" w:hanging="481"/>
      </w:pPr>
      <w:rPr>
        <w:rFonts w:hint="default"/>
        <w:lang w:val="zh-CN" w:eastAsia="zh-CN" w:bidi="zh-CN"/>
      </w:rPr>
    </w:lvl>
    <w:lvl w:ilvl="6" w:tentative="0">
      <w:start w:val="0"/>
      <w:numFmt w:val="bullet"/>
      <w:lvlText w:val="•"/>
      <w:lvlJc w:val="left"/>
      <w:pPr>
        <w:ind w:left="5829" w:hanging="481"/>
      </w:pPr>
      <w:rPr>
        <w:rFonts w:hint="default"/>
        <w:lang w:val="zh-CN" w:eastAsia="zh-CN" w:bidi="zh-CN"/>
      </w:rPr>
    </w:lvl>
    <w:lvl w:ilvl="7" w:tentative="0">
      <w:start w:val="0"/>
      <w:numFmt w:val="bullet"/>
      <w:lvlText w:val="•"/>
      <w:lvlJc w:val="left"/>
      <w:pPr>
        <w:ind w:left="6644" w:hanging="481"/>
      </w:pPr>
      <w:rPr>
        <w:rFonts w:hint="default"/>
        <w:lang w:val="zh-CN" w:eastAsia="zh-CN" w:bidi="zh-CN"/>
      </w:rPr>
    </w:lvl>
    <w:lvl w:ilvl="8" w:tentative="0">
      <w:start w:val="0"/>
      <w:numFmt w:val="bullet"/>
      <w:lvlText w:val="•"/>
      <w:lvlJc w:val="left"/>
      <w:pPr>
        <w:ind w:left="7459" w:hanging="481"/>
      </w:pPr>
      <w:rPr>
        <w:rFonts w:hint="default"/>
        <w:lang w:val="zh-CN" w:eastAsia="zh-CN" w:bidi="zh-CN"/>
      </w:rPr>
    </w:lvl>
  </w:abstractNum>
  <w:abstractNum w:abstractNumId="17">
    <w:nsid w:val="4D4DC07F"/>
    <w:multiLevelType w:val="multilevel"/>
    <w:tmpl w:val="4D4DC07F"/>
    <w:lvl w:ilvl="0" w:tentative="0">
      <w:start w:val="17"/>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18">
    <w:nsid w:val="59ADCABA"/>
    <w:multiLevelType w:val="multilevel"/>
    <w:tmpl w:val="59ADCABA"/>
    <w:lvl w:ilvl="0" w:tentative="0">
      <w:start w:val="2"/>
      <w:numFmt w:val="decimal"/>
      <w:lvlText w:val="%1"/>
      <w:lvlJc w:val="left"/>
      <w:pPr>
        <w:ind w:left="218" w:hanging="368"/>
      </w:pPr>
      <w:rPr>
        <w:rFonts w:hint="default"/>
        <w:lang w:val="zh-CN" w:eastAsia="zh-CN" w:bidi="zh-CN"/>
      </w:rPr>
    </w:lvl>
    <w:lvl w:ilvl="1" w:tentative="0">
      <w:start w:val="1"/>
      <w:numFmt w:val="decimal"/>
      <w:lvlText w:val="%1.%2"/>
      <w:lvlJc w:val="left"/>
      <w:pPr>
        <w:ind w:left="218" w:hanging="368"/>
      </w:pPr>
      <w:rPr>
        <w:rFonts w:hint="default" w:ascii="宋体" w:hAnsi="宋体" w:eastAsia="宋体" w:cs="宋体"/>
        <w:spacing w:val="-4"/>
        <w:w w:val="100"/>
        <w:sz w:val="22"/>
        <w:szCs w:val="22"/>
        <w:lang w:val="zh-CN" w:eastAsia="zh-CN" w:bidi="zh-CN"/>
      </w:rPr>
    </w:lvl>
    <w:lvl w:ilvl="2" w:tentative="0">
      <w:start w:val="0"/>
      <w:numFmt w:val="bullet"/>
      <w:lvlText w:val="•"/>
      <w:lvlJc w:val="left"/>
      <w:pPr>
        <w:ind w:left="1993" w:hanging="368"/>
      </w:pPr>
      <w:rPr>
        <w:rFonts w:hint="default"/>
        <w:lang w:val="zh-CN" w:eastAsia="zh-CN" w:bidi="zh-CN"/>
      </w:rPr>
    </w:lvl>
    <w:lvl w:ilvl="3" w:tentative="0">
      <w:start w:val="0"/>
      <w:numFmt w:val="bullet"/>
      <w:lvlText w:val="•"/>
      <w:lvlJc w:val="left"/>
      <w:pPr>
        <w:ind w:left="2880" w:hanging="368"/>
      </w:pPr>
      <w:rPr>
        <w:rFonts w:hint="default"/>
        <w:lang w:val="zh-CN" w:eastAsia="zh-CN" w:bidi="zh-CN"/>
      </w:rPr>
    </w:lvl>
    <w:lvl w:ilvl="4" w:tentative="0">
      <w:start w:val="0"/>
      <w:numFmt w:val="bullet"/>
      <w:lvlText w:val="•"/>
      <w:lvlJc w:val="left"/>
      <w:pPr>
        <w:ind w:left="3767" w:hanging="368"/>
      </w:pPr>
      <w:rPr>
        <w:rFonts w:hint="default"/>
        <w:lang w:val="zh-CN" w:eastAsia="zh-CN" w:bidi="zh-CN"/>
      </w:rPr>
    </w:lvl>
    <w:lvl w:ilvl="5" w:tentative="0">
      <w:start w:val="0"/>
      <w:numFmt w:val="bullet"/>
      <w:lvlText w:val="•"/>
      <w:lvlJc w:val="left"/>
      <w:pPr>
        <w:ind w:left="4654" w:hanging="368"/>
      </w:pPr>
      <w:rPr>
        <w:rFonts w:hint="default"/>
        <w:lang w:val="zh-CN" w:eastAsia="zh-CN" w:bidi="zh-CN"/>
      </w:rPr>
    </w:lvl>
    <w:lvl w:ilvl="6" w:tentative="0">
      <w:start w:val="0"/>
      <w:numFmt w:val="bullet"/>
      <w:lvlText w:val="•"/>
      <w:lvlJc w:val="left"/>
      <w:pPr>
        <w:ind w:left="5541" w:hanging="368"/>
      </w:pPr>
      <w:rPr>
        <w:rFonts w:hint="default"/>
        <w:lang w:val="zh-CN" w:eastAsia="zh-CN" w:bidi="zh-CN"/>
      </w:rPr>
    </w:lvl>
    <w:lvl w:ilvl="7" w:tentative="0">
      <w:start w:val="0"/>
      <w:numFmt w:val="bullet"/>
      <w:lvlText w:val="•"/>
      <w:lvlJc w:val="left"/>
      <w:pPr>
        <w:ind w:left="6428" w:hanging="368"/>
      </w:pPr>
      <w:rPr>
        <w:rFonts w:hint="default"/>
        <w:lang w:val="zh-CN" w:eastAsia="zh-CN" w:bidi="zh-CN"/>
      </w:rPr>
    </w:lvl>
    <w:lvl w:ilvl="8" w:tentative="0">
      <w:start w:val="0"/>
      <w:numFmt w:val="bullet"/>
      <w:lvlText w:val="•"/>
      <w:lvlJc w:val="left"/>
      <w:pPr>
        <w:ind w:left="7315" w:hanging="368"/>
      </w:pPr>
      <w:rPr>
        <w:rFonts w:hint="default"/>
        <w:lang w:val="zh-CN" w:eastAsia="zh-CN" w:bidi="zh-CN"/>
      </w:rPr>
    </w:lvl>
  </w:abstractNum>
  <w:abstractNum w:abstractNumId="19">
    <w:nsid w:val="5A241D34"/>
    <w:multiLevelType w:val="multilevel"/>
    <w:tmpl w:val="5A241D34"/>
    <w:lvl w:ilvl="0" w:tentative="0">
      <w:start w:val="14"/>
      <w:numFmt w:val="decimal"/>
      <w:lvlText w:val="%1"/>
      <w:lvlJc w:val="left"/>
      <w:pPr>
        <w:ind w:left="218" w:hanging="483"/>
      </w:pPr>
      <w:rPr>
        <w:rFonts w:hint="default"/>
        <w:lang w:val="zh-CN" w:eastAsia="zh-CN" w:bidi="zh-CN"/>
      </w:rPr>
    </w:lvl>
    <w:lvl w:ilvl="1" w:tentative="0">
      <w:start w:val="1"/>
      <w:numFmt w:val="decimal"/>
      <w:lvlText w:val="%1.%2"/>
      <w:lvlJc w:val="left"/>
      <w:pPr>
        <w:ind w:left="218" w:hanging="483"/>
      </w:pPr>
      <w:rPr>
        <w:rFonts w:hint="default" w:ascii="宋体" w:hAnsi="宋体" w:eastAsia="宋体" w:cs="宋体"/>
        <w:w w:val="100"/>
        <w:sz w:val="22"/>
        <w:szCs w:val="22"/>
        <w:lang w:val="zh-CN" w:eastAsia="zh-CN" w:bidi="zh-CN"/>
      </w:rPr>
    </w:lvl>
    <w:lvl w:ilvl="2" w:tentative="0">
      <w:start w:val="0"/>
      <w:numFmt w:val="bullet"/>
      <w:lvlText w:val="•"/>
      <w:lvlJc w:val="left"/>
      <w:pPr>
        <w:ind w:left="1993" w:hanging="483"/>
      </w:pPr>
      <w:rPr>
        <w:rFonts w:hint="default"/>
        <w:lang w:val="zh-CN" w:eastAsia="zh-CN" w:bidi="zh-CN"/>
      </w:rPr>
    </w:lvl>
    <w:lvl w:ilvl="3" w:tentative="0">
      <w:start w:val="0"/>
      <w:numFmt w:val="bullet"/>
      <w:lvlText w:val="•"/>
      <w:lvlJc w:val="left"/>
      <w:pPr>
        <w:ind w:left="2880" w:hanging="483"/>
      </w:pPr>
      <w:rPr>
        <w:rFonts w:hint="default"/>
        <w:lang w:val="zh-CN" w:eastAsia="zh-CN" w:bidi="zh-CN"/>
      </w:rPr>
    </w:lvl>
    <w:lvl w:ilvl="4" w:tentative="0">
      <w:start w:val="0"/>
      <w:numFmt w:val="bullet"/>
      <w:lvlText w:val="•"/>
      <w:lvlJc w:val="left"/>
      <w:pPr>
        <w:ind w:left="3767" w:hanging="483"/>
      </w:pPr>
      <w:rPr>
        <w:rFonts w:hint="default"/>
        <w:lang w:val="zh-CN" w:eastAsia="zh-CN" w:bidi="zh-CN"/>
      </w:rPr>
    </w:lvl>
    <w:lvl w:ilvl="5" w:tentative="0">
      <w:start w:val="0"/>
      <w:numFmt w:val="bullet"/>
      <w:lvlText w:val="•"/>
      <w:lvlJc w:val="left"/>
      <w:pPr>
        <w:ind w:left="4654" w:hanging="483"/>
      </w:pPr>
      <w:rPr>
        <w:rFonts w:hint="default"/>
        <w:lang w:val="zh-CN" w:eastAsia="zh-CN" w:bidi="zh-CN"/>
      </w:rPr>
    </w:lvl>
    <w:lvl w:ilvl="6" w:tentative="0">
      <w:start w:val="0"/>
      <w:numFmt w:val="bullet"/>
      <w:lvlText w:val="•"/>
      <w:lvlJc w:val="left"/>
      <w:pPr>
        <w:ind w:left="5541" w:hanging="483"/>
      </w:pPr>
      <w:rPr>
        <w:rFonts w:hint="default"/>
        <w:lang w:val="zh-CN" w:eastAsia="zh-CN" w:bidi="zh-CN"/>
      </w:rPr>
    </w:lvl>
    <w:lvl w:ilvl="7" w:tentative="0">
      <w:start w:val="0"/>
      <w:numFmt w:val="bullet"/>
      <w:lvlText w:val="•"/>
      <w:lvlJc w:val="left"/>
      <w:pPr>
        <w:ind w:left="6428" w:hanging="483"/>
      </w:pPr>
      <w:rPr>
        <w:rFonts w:hint="default"/>
        <w:lang w:val="zh-CN" w:eastAsia="zh-CN" w:bidi="zh-CN"/>
      </w:rPr>
    </w:lvl>
    <w:lvl w:ilvl="8" w:tentative="0">
      <w:start w:val="0"/>
      <w:numFmt w:val="bullet"/>
      <w:lvlText w:val="•"/>
      <w:lvlJc w:val="left"/>
      <w:pPr>
        <w:ind w:left="7315" w:hanging="483"/>
      </w:pPr>
      <w:rPr>
        <w:rFonts w:hint="default"/>
        <w:lang w:val="zh-CN" w:eastAsia="zh-CN" w:bidi="zh-CN"/>
      </w:rPr>
    </w:lvl>
  </w:abstractNum>
  <w:abstractNum w:abstractNumId="20">
    <w:nsid w:val="72183CF9"/>
    <w:multiLevelType w:val="multilevel"/>
    <w:tmpl w:val="72183CF9"/>
    <w:lvl w:ilvl="0" w:tentative="0">
      <w:start w:val="9"/>
      <w:numFmt w:val="decimal"/>
      <w:lvlText w:val="%1"/>
      <w:lvlJc w:val="left"/>
      <w:pPr>
        <w:ind w:left="458" w:hanging="361"/>
      </w:pPr>
      <w:rPr>
        <w:rFonts w:hint="default"/>
        <w:lang w:val="zh-CN" w:eastAsia="zh-CN" w:bidi="zh-CN"/>
      </w:rPr>
    </w:lvl>
    <w:lvl w:ilvl="1" w:tentative="0">
      <w:start w:val="1"/>
      <w:numFmt w:val="decimal"/>
      <w:lvlText w:val="%1.%2"/>
      <w:lvlJc w:val="left"/>
      <w:pPr>
        <w:ind w:left="458" w:hanging="361"/>
      </w:pPr>
      <w:rPr>
        <w:rFonts w:hint="default" w:ascii="宋体" w:hAnsi="宋体" w:eastAsia="宋体" w:cs="宋体"/>
        <w:spacing w:val="-18"/>
        <w:w w:val="100"/>
        <w:sz w:val="22"/>
        <w:szCs w:val="22"/>
        <w:lang w:val="zh-CN" w:eastAsia="zh-CN" w:bidi="zh-CN"/>
      </w:rPr>
    </w:lvl>
    <w:lvl w:ilvl="2" w:tentative="0">
      <w:start w:val="0"/>
      <w:numFmt w:val="bullet"/>
      <w:lvlText w:val="•"/>
      <w:lvlJc w:val="left"/>
      <w:pPr>
        <w:ind w:left="2185" w:hanging="361"/>
      </w:pPr>
      <w:rPr>
        <w:rFonts w:hint="default"/>
        <w:lang w:val="zh-CN" w:eastAsia="zh-CN" w:bidi="zh-CN"/>
      </w:rPr>
    </w:lvl>
    <w:lvl w:ilvl="3" w:tentative="0">
      <w:start w:val="0"/>
      <w:numFmt w:val="bullet"/>
      <w:lvlText w:val="•"/>
      <w:lvlJc w:val="left"/>
      <w:pPr>
        <w:ind w:left="3048" w:hanging="361"/>
      </w:pPr>
      <w:rPr>
        <w:rFonts w:hint="default"/>
        <w:lang w:val="zh-CN" w:eastAsia="zh-CN" w:bidi="zh-CN"/>
      </w:rPr>
    </w:lvl>
    <w:lvl w:ilvl="4" w:tentative="0">
      <w:start w:val="0"/>
      <w:numFmt w:val="bullet"/>
      <w:lvlText w:val="•"/>
      <w:lvlJc w:val="left"/>
      <w:pPr>
        <w:ind w:left="3911" w:hanging="361"/>
      </w:pPr>
      <w:rPr>
        <w:rFonts w:hint="default"/>
        <w:lang w:val="zh-CN" w:eastAsia="zh-CN" w:bidi="zh-CN"/>
      </w:rPr>
    </w:lvl>
    <w:lvl w:ilvl="5" w:tentative="0">
      <w:start w:val="0"/>
      <w:numFmt w:val="bullet"/>
      <w:lvlText w:val="•"/>
      <w:lvlJc w:val="left"/>
      <w:pPr>
        <w:ind w:left="4774" w:hanging="361"/>
      </w:pPr>
      <w:rPr>
        <w:rFonts w:hint="default"/>
        <w:lang w:val="zh-CN" w:eastAsia="zh-CN" w:bidi="zh-CN"/>
      </w:rPr>
    </w:lvl>
    <w:lvl w:ilvl="6" w:tentative="0">
      <w:start w:val="0"/>
      <w:numFmt w:val="bullet"/>
      <w:lvlText w:val="•"/>
      <w:lvlJc w:val="left"/>
      <w:pPr>
        <w:ind w:left="5637" w:hanging="361"/>
      </w:pPr>
      <w:rPr>
        <w:rFonts w:hint="default"/>
        <w:lang w:val="zh-CN" w:eastAsia="zh-CN" w:bidi="zh-CN"/>
      </w:rPr>
    </w:lvl>
    <w:lvl w:ilvl="7" w:tentative="0">
      <w:start w:val="0"/>
      <w:numFmt w:val="bullet"/>
      <w:lvlText w:val="•"/>
      <w:lvlJc w:val="left"/>
      <w:pPr>
        <w:ind w:left="6500" w:hanging="361"/>
      </w:pPr>
      <w:rPr>
        <w:rFonts w:hint="default"/>
        <w:lang w:val="zh-CN" w:eastAsia="zh-CN" w:bidi="zh-CN"/>
      </w:rPr>
    </w:lvl>
    <w:lvl w:ilvl="8" w:tentative="0">
      <w:start w:val="0"/>
      <w:numFmt w:val="bullet"/>
      <w:lvlText w:val="•"/>
      <w:lvlJc w:val="left"/>
      <w:pPr>
        <w:ind w:left="7363" w:hanging="361"/>
      </w:pPr>
      <w:rPr>
        <w:rFonts w:hint="default"/>
        <w:lang w:val="zh-CN" w:eastAsia="zh-CN" w:bidi="zh-CN"/>
      </w:rPr>
    </w:lvl>
  </w:abstractNum>
  <w:abstractNum w:abstractNumId="21">
    <w:nsid w:val="7C246926"/>
    <w:multiLevelType w:val="multilevel"/>
    <w:tmpl w:val="7C246926"/>
    <w:lvl w:ilvl="0" w:tentative="0">
      <w:start w:val="1"/>
      <w:numFmt w:val="decimal"/>
      <w:lvlText w:val="（%1）"/>
      <w:lvlJc w:val="left"/>
      <w:pPr>
        <w:ind w:left="1299" w:hanging="601"/>
      </w:pPr>
      <w:rPr>
        <w:rFonts w:hint="default" w:ascii="宋体" w:hAnsi="宋体" w:eastAsia="宋体" w:cs="宋体"/>
        <w:w w:val="100"/>
        <w:sz w:val="22"/>
        <w:szCs w:val="22"/>
        <w:lang w:val="zh-CN" w:eastAsia="zh-CN" w:bidi="zh-CN"/>
      </w:rPr>
    </w:lvl>
    <w:lvl w:ilvl="1" w:tentative="0">
      <w:start w:val="0"/>
      <w:numFmt w:val="bullet"/>
      <w:lvlText w:val="•"/>
      <w:lvlJc w:val="left"/>
      <w:pPr>
        <w:ind w:left="2078" w:hanging="601"/>
      </w:pPr>
      <w:rPr>
        <w:rFonts w:hint="default"/>
        <w:lang w:val="zh-CN" w:eastAsia="zh-CN" w:bidi="zh-CN"/>
      </w:rPr>
    </w:lvl>
    <w:lvl w:ilvl="2" w:tentative="0">
      <w:start w:val="0"/>
      <w:numFmt w:val="bullet"/>
      <w:lvlText w:val="•"/>
      <w:lvlJc w:val="left"/>
      <w:pPr>
        <w:ind w:left="2857" w:hanging="601"/>
      </w:pPr>
      <w:rPr>
        <w:rFonts w:hint="default"/>
        <w:lang w:val="zh-CN" w:eastAsia="zh-CN" w:bidi="zh-CN"/>
      </w:rPr>
    </w:lvl>
    <w:lvl w:ilvl="3" w:tentative="0">
      <w:start w:val="0"/>
      <w:numFmt w:val="bullet"/>
      <w:lvlText w:val="•"/>
      <w:lvlJc w:val="left"/>
      <w:pPr>
        <w:ind w:left="3636" w:hanging="601"/>
      </w:pPr>
      <w:rPr>
        <w:rFonts w:hint="default"/>
        <w:lang w:val="zh-CN" w:eastAsia="zh-CN" w:bidi="zh-CN"/>
      </w:rPr>
    </w:lvl>
    <w:lvl w:ilvl="4" w:tentative="0">
      <w:start w:val="0"/>
      <w:numFmt w:val="bullet"/>
      <w:lvlText w:val="•"/>
      <w:lvlJc w:val="left"/>
      <w:pPr>
        <w:ind w:left="4415" w:hanging="601"/>
      </w:pPr>
      <w:rPr>
        <w:rFonts w:hint="default"/>
        <w:lang w:val="zh-CN" w:eastAsia="zh-CN" w:bidi="zh-CN"/>
      </w:rPr>
    </w:lvl>
    <w:lvl w:ilvl="5" w:tentative="0">
      <w:start w:val="0"/>
      <w:numFmt w:val="bullet"/>
      <w:lvlText w:val="•"/>
      <w:lvlJc w:val="left"/>
      <w:pPr>
        <w:ind w:left="5194" w:hanging="601"/>
      </w:pPr>
      <w:rPr>
        <w:rFonts w:hint="default"/>
        <w:lang w:val="zh-CN" w:eastAsia="zh-CN" w:bidi="zh-CN"/>
      </w:rPr>
    </w:lvl>
    <w:lvl w:ilvl="6" w:tentative="0">
      <w:start w:val="0"/>
      <w:numFmt w:val="bullet"/>
      <w:lvlText w:val="•"/>
      <w:lvlJc w:val="left"/>
      <w:pPr>
        <w:ind w:left="5973" w:hanging="601"/>
      </w:pPr>
      <w:rPr>
        <w:rFonts w:hint="default"/>
        <w:lang w:val="zh-CN" w:eastAsia="zh-CN" w:bidi="zh-CN"/>
      </w:rPr>
    </w:lvl>
    <w:lvl w:ilvl="7" w:tentative="0">
      <w:start w:val="0"/>
      <w:numFmt w:val="bullet"/>
      <w:lvlText w:val="•"/>
      <w:lvlJc w:val="left"/>
      <w:pPr>
        <w:ind w:left="6752" w:hanging="601"/>
      </w:pPr>
      <w:rPr>
        <w:rFonts w:hint="default"/>
        <w:lang w:val="zh-CN" w:eastAsia="zh-CN" w:bidi="zh-CN"/>
      </w:rPr>
    </w:lvl>
    <w:lvl w:ilvl="8" w:tentative="0">
      <w:start w:val="0"/>
      <w:numFmt w:val="bullet"/>
      <w:lvlText w:val="•"/>
      <w:lvlJc w:val="left"/>
      <w:pPr>
        <w:ind w:left="7531" w:hanging="601"/>
      </w:pPr>
      <w:rPr>
        <w:rFonts w:hint="default"/>
        <w:lang w:val="zh-CN" w:eastAsia="zh-CN" w:bidi="zh-CN"/>
      </w:rPr>
    </w:lvl>
  </w:abstractNum>
  <w:num w:numId="1">
    <w:abstractNumId w:val="11"/>
  </w:num>
  <w:num w:numId="2">
    <w:abstractNumId w:val="18"/>
  </w:num>
  <w:num w:numId="3">
    <w:abstractNumId w:val="5"/>
  </w:num>
  <w:num w:numId="4">
    <w:abstractNumId w:val="4"/>
  </w:num>
  <w:num w:numId="5">
    <w:abstractNumId w:val="12"/>
  </w:num>
  <w:num w:numId="6">
    <w:abstractNumId w:val="14"/>
  </w:num>
  <w:num w:numId="7">
    <w:abstractNumId w:val="20"/>
  </w:num>
  <w:num w:numId="8">
    <w:abstractNumId w:val="10"/>
  </w:num>
  <w:num w:numId="9">
    <w:abstractNumId w:val="0"/>
  </w:num>
  <w:num w:numId="10">
    <w:abstractNumId w:val="19"/>
  </w:num>
  <w:num w:numId="11">
    <w:abstractNumId w:val="6"/>
  </w:num>
  <w:num w:numId="12">
    <w:abstractNumId w:val="17"/>
  </w:num>
  <w:num w:numId="13">
    <w:abstractNumId w:val="9"/>
  </w:num>
  <w:num w:numId="14">
    <w:abstractNumId w:val="8"/>
  </w:num>
  <w:num w:numId="15">
    <w:abstractNumId w:val="7"/>
  </w:num>
  <w:num w:numId="16">
    <w:abstractNumId w:val="1"/>
  </w:num>
  <w:num w:numId="17">
    <w:abstractNumId w:val="16"/>
  </w:num>
  <w:num w:numId="18">
    <w:abstractNumId w:val="2"/>
  </w:num>
  <w:num w:numId="19">
    <w:abstractNumId w:val="13"/>
  </w:num>
  <w:num w:numId="20">
    <w:abstractNumId w:val="15"/>
  </w:num>
  <w:num w:numId="21">
    <w:abstractNumId w:val="3"/>
  </w:num>
  <w:num w:numId="22">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TrueTypeFonts/>
  <w:saveSubsetFonts/>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hdrShapeDefaults>
    <o:shapelayout v:ext="edit">
      <o:idmap v:ext="edit" data="4"/>
    </o:shapelayout>
  </w:hdrShapeDefaults>
  <w:compat>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UyYzYyNWQ1YjZlYTc4Mjk0YmYzMGUyNDM3Yjk5ZGQifQ=="/>
  </w:docVars>
  <w:rsids>
    <w:rsidRoot w:val="00843AE4"/>
    <w:rsid w:val="000214D3"/>
    <w:rsid w:val="00023D3A"/>
    <w:rsid w:val="00075905"/>
    <w:rsid w:val="000856A5"/>
    <w:rsid w:val="0008746A"/>
    <w:rsid w:val="000A1862"/>
    <w:rsid w:val="000D0F01"/>
    <w:rsid w:val="00112381"/>
    <w:rsid w:val="0015521B"/>
    <w:rsid w:val="00191CEA"/>
    <w:rsid w:val="00192172"/>
    <w:rsid w:val="00196EA5"/>
    <w:rsid w:val="001A2D55"/>
    <w:rsid w:val="002063F4"/>
    <w:rsid w:val="002201FA"/>
    <w:rsid w:val="002235E2"/>
    <w:rsid w:val="00240BDE"/>
    <w:rsid w:val="00274BF5"/>
    <w:rsid w:val="002B52D9"/>
    <w:rsid w:val="002C6EF0"/>
    <w:rsid w:val="0032581F"/>
    <w:rsid w:val="00343040"/>
    <w:rsid w:val="004A24B6"/>
    <w:rsid w:val="004B0A3A"/>
    <w:rsid w:val="004F2B96"/>
    <w:rsid w:val="0051602A"/>
    <w:rsid w:val="00520B70"/>
    <w:rsid w:val="005C5251"/>
    <w:rsid w:val="005E4396"/>
    <w:rsid w:val="00605950"/>
    <w:rsid w:val="0063257F"/>
    <w:rsid w:val="0068329A"/>
    <w:rsid w:val="006C53F2"/>
    <w:rsid w:val="00730B1A"/>
    <w:rsid w:val="007A2FBC"/>
    <w:rsid w:val="007B7866"/>
    <w:rsid w:val="007C546B"/>
    <w:rsid w:val="008150F2"/>
    <w:rsid w:val="00827375"/>
    <w:rsid w:val="00843AE4"/>
    <w:rsid w:val="0085314D"/>
    <w:rsid w:val="008572E6"/>
    <w:rsid w:val="00875A2C"/>
    <w:rsid w:val="008A3F7E"/>
    <w:rsid w:val="008E71B4"/>
    <w:rsid w:val="0090724E"/>
    <w:rsid w:val="00923ADE"/>
    <w:rsid w:val="009A61F8"/>
    <w:rsid w:val="009C756A"/>
    <w:rsid w:val="009C7EDD"/>
    <w:rsid w:val="00A557B4"/>
    <w:rsid w:val="00A720BE"/>
    <w:rsid w:val="00A72762"/>
    <w:rsid w:val="00A72DF0"/>
    <w:rsid w:val="00A9173F"/>
    <w:rsid w:val="00A951D8"/>
    <w:rsid w:val="00AB504B"/>
    <w:rsid w:val="00AF5115"/>
    <w:rsid w:val="00B06090"/>
    <w:rsid w:val="00B207E3"/>
    <w:rsid w:val="00B2427C"/>
    <w:rsid w:val="00B25F3B"/>
    <w:rsid w:val="00B534EB"/>
    <w:rsid w:val="00BA3651"/>
    <w:rsid w:val="00BC362E"/>
    <w:rsid w:val="00C11572"/>
    <w:rsid w:val="00C44D9F"/>
    <w:rsid w:val="00C83762"/>
    <w:rsid w:val="00C85700"/>
    <w:rsid w:val="00CA58F6"/>
    <w:rsid w:val="00CC4B83"/>
    <w:rsid w:val="00CF505A"/>
    <w:rsid w:val="00D05EC8"/>
    <w:rsid w:val="00D53501"/>
    <w:rsid w:val="00D74B6D"/>
    <w:rsid w:val="00D84250"/>
    <w:rsid w:val="00DA7631"/>
    <w:rsid w:val="00DB56DF"/>
    <w:rsid w:val="00DF279C"/>
    <w:rsid w:val="00E06601"/>
    <w:rsid w:val="00E21414"/>
    <w:rsid w:val="00E21BA0"/>
    <w:rsid w:val="00E56BC8"/>
    <w:rsid w:val="00E75DF2"/>
    <w:rsid w:val="00E8027A"/>
    <w:rsid w:val="00EA18C3"/>
    <w:rsid w:val="00EA4EE0"/>
    <w:rsid w:val="00EA6208"/>
    <w:rsid w:val="00EB0F60"/>
    <w:rsid w:val="00ED21C6"/>
    <w:rsid w:val="00F55CEF"/>
    <w:rsid w:val="00F61B16"/>
    <w:rsid w:val="00F73227"/>
    <w:rsid w:val="00F75AF7"/>
    <w:rsid w:val="00F77257"/>
    <w:rsid w:val="00FD399A"/>
    <w:rsid w:val="01857A4F"/>
    <w:rsid w:val="03153493"/>
    <w:rsid w:val="041A02A2"/>
    <w:rsid w:val="04487BC6"/>
    <w:rsid w:val="049745E6"/>
    <w:rsid w:val="050B69DA"/>
    <w:rsid w:val="05AB68B0"/>
    <w:rsid w:val="0601448B"/>
    <w:rsid w:val="06F074D7"/>
    <w:rsid w:val="08F359E4"/>
    <w:rsid w:val="0A8E14F7"/>
    <w:rsid w:val="0ADF3B2F"/>
    <w:rsid w:val="0DEF0ECA"/>
    <w:rsid w:val="0EC60D89"/>
    <w:rsid w:val="0F0E720B"/>
    <w:rsid w:val="101C1460"/>
    <w:rsid w:val="12155B33"/>
    <w:rsid w:val="13AE369B"/>
    <w:rsid w:val="13B04B28"/>
    <w:rsid w:val="172D3529"/>
    <w:rsid w:val="17C42D0C"/>
    <w:rsid w:val="19884974"/>
    <w:rsid w:val="1BDA7124"/>
    <w:rsid w:val="1C784846"/>
    <w:rsid w:val="1DB22F33"/>
    <w:rsid w:val="1DB373D4"/>
    <w:rsid w:val="1DE766BD"/>
    <w:rsid w:val="1E0409C7"/>
    <w:rsid w:val="1E3D7258"/>
    <w:rsid w:val="26234045"/>
    <w:rsid w:val="26BA4647"/>
    <w:rsid w:val="26C36D34"/>
    <w:rsid w:val="282D6EFC"/>
    <w:rsid w:val="29084A1E"/>
    <w:rsid w:val="2DF218F1"/>
    <w:rsid w:val="2FD724F6"/>
    <w:rsid w:val="302100FF"/>
    <w:rsid w:val="31CE0DC9"/>
    <w:rsid w:val="31DC6234"/>
    <w:rsid w:val="322250D3"/>
    <w:rsid w:val="351E6D53"/>
    <w:rsid w:val="356B0BA7"/>
    <w:rsid w:val="37E101C1"/>
    <w:rsid w:val="399C7DC6"/>
    <w:rsid w:val="3BF82BC6"/>
    <w:rsid w:val="3EC160B0"/>
    <w:rsid w:val="4006602A"/>
    <w:rsid w:val="404522F2"/>
    <w:rsid w:val="408534A6"/>
    <w:rsid w:val="42072045"/>
    <w:rsid w:val="426E3E72"/>
    <w:rsid w:val="434A784C"/>
    <w:rsid w:val="468E063F"/>
    <w:rsid w:val="479447C0"/>
    <w:rsid w:val="480F0830"/>
    <w:rsid w:val="4BF751E1"/>
    <w:rsid w:val="4D830B1D"/>
    <w:rsid w:val="4F352409"/>
    <w:rsid w:val="4F99594A"/>
    <w:rsid w:val="502F1FA3"/>
    <w:rsid w:val="50E11586"/>
    <w:rsid w:val="50E33CC5"/>
    <w:rsid w:val="511D4DBE"/>
    <w:rsid w:val="52CA3D84"/>
    <w:rsid w:val="54BB4927"/>
    <w:rsid w:val="55095D0C"/>
    <w:rsid w:val="551501A8"/>
    <w:rsid w:val="569F7D08"/>
    <w:rsid w:val="587970CA"/>
    <w:rsid w:val="5BB63429"/>
    <w:rsid w:val="5FBF76C9"/>
    <w:rsid w:val="5FFC04A5"/>
    <w:rsid w:val="60253E1D"/>
    <w:rsid w:val="61D81164"/>
    <w:rsid w:val="64A755D5"/>
    <w:rsid w:val="655E1543"/>
    <w:rsid w:val="658971FF"/>
    <w:rsid w:val="676E6DA0"/>
    <w:rsid w:val="67D7195F"/>
    <w:rsid w:val="68430937"/>
    <w:rsid w:val="68FA09FF"/>
    <w:rsid w:val="69244569"/>
    <w:rsid w:val="692F7CF5"/>
    <w:rsid w:val="696C155D"/>
    <w:rsid w:val="6A6F729D"/>
    <w:rsid w:val="6AE95A28"/>
    <w:rsid w:val="6BE53DD8"/>
    <w:rsid w:val="6D4F2026"/>
    <w:rsid w:val="6D926B67"/>
    <w:rsid w:val="6EE73521"/>
    <w:rsid w:val="6F8421BC"/>
    <w:rsid w:val="6FE07973"/>
    <w:rsid w:val="712F0780"/>
    <w:rsid w:val="714D3798"/>
    <w:rsid w:val="72AA0928"/>
    <w:rsid w:val="73D52935"/>
    <w:rsid w:val="73E5106D"/>
    <w:rsid w:val="763C5DD5"/>
    <w:rsid w:val="78D34938"/>
    <w:rsid w:val="78E92B94"/>
    <w:rsid w:val="7A9F54C7"/>
    <w:rsid w:val="7AC37DD1"/>
    <w:rsid w:val="7B9F76CC"/>
    <w:rsid w:val="7FD1557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nhideWhenUsed="0" w:uiPriority="1" w:semiHidden="0" w:name="heading 3"/>
    <w:lsdException w:qFormat="1" w:unhideWhenUsed="0" w:uiPriority="1"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1"/>
    <w:qFormat/>
    <w:uiPriority w:val="1"/>
    <w:pPr>
      <w:spacing w:before="38"/>
      <w:ind w:left="592" w:right="985"/>
      <w:jc w:val="center"/>
      <w:outlineLvl w:val="0"/>
    </w:pPr>
    <w:rPr>
      <w:b/>
      <w:bCs/>
      <w:sz w:val="44"/>
      <w:szCs w:val="44"/>
    </w:rPr>
  </w:style>
  <w:style w:type="paragraph" w:styleId="3">
    <w:name w:val="heading 2"/>
    <w:basedOn w:val="1"/>
    <w:next w:val="1"/>
    <w:qFormat/>
    <w:uiPriority w:val="1"/>
    <w:pPr>
      <w:spacing w:before="54"/>
      <w:ind w:right="394"/>
      <w:jc w:val="center"/>
      <w:outlineLvl w:val="1"/>
    </w:pPr>
    <w:rPr>
      <w:b/>
      <w:bCs/>
      <w:sz w:val="32"/>
      <w:szCs w:val="32"/>
    </w:rPr>
  </w:style>
  <w:style w:type="paragraph" w:styleId="4">
    <w:name w:val="heading 3"/>
    <w:basedOn w:val="1"/>
    <w:next w:val="1"/>
    <w:qFormat/>
    <w:uiPriority w:val="1"/>
    <w:pPr>
      <w:ind w:left="218"/>
      <w:outlineLvl w:val="2"/>
    </w:pPr>
    <w:rPr>
      <w:b/>
      <w:bCs/>
      <w:sz w:val="30"/>
      <w:szCs w:val="30"/>
    </w:rPr>
  </w:style>
  <w:style w:type="paragraph" w:styleId="5">
    <w:name w:val="heading 4"/>
    <w:basedOn w:val="1"/>
    <w:next w:val="1"/>
    <w:qFormat/>
    <w:uiPriority w:val="1"/>
    <w:pPr>
      <w:ind w:left="218"/>
      <w:outlineLvl w:val="3"/>
    </w:pPr>
    <w:rPr>
      <w:b/>
      <w:bCs/>
      <w:sz w:val="24"/>
      <w:szCs w:val="24"/>
    </w:rPr>
  </w:style>
  <w:style w:type="character" w:default="1" w:styleId="20">
    <w:name w:val="Default Paragraph Font"/>
    <w:semiHidden/>
    <w:unhideWhenUsed/>
    <w:qFormat/>
    <w:uiPriority w:val="1"/>
  </w:style>
  <w:style w:type="table" w:default="1" w:styleId="18">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qFormat/>
    <w:uiPriority w:val="0"/>
    <w:rPr>
      <w:rFonts w:ascii="Cambria" w:hAnsi="Cambria" w:eastAsia="黑体"/>
      <w:sz w:val="20"/>
    </w:rPr>
  </w:style>
  <w:style w:type="paragraph" w:styleId="7">
    <w:name w:val="Body Text"/>
    <w:basedOn w:val="1"/>
    <w:next w:val="8"/>
    <w:link w:val="41"/>
    <w:qFormat/>
    <w:uiPriority w:val="1"/>
    <w:rPr>
      <w:sz w:val="24"/>
      <w:szCs w:val="24"/>
    </w:rPr>
  </w:style>
  <w:style w:type="paragraph" w:styleId="8">
    <w:name w:val="Body Text First Indent"/>
    <w:basedOn w:val="7"/>
    <w:qFormat/>
    <w:uiPriority w:val="0"/>
    <w:pPr>
      <w:ind w:firstLine="420" w:firstLineChars="100"/>
    </w:pPr>
  </w:style>
  <w:style w:type="paragraph" w:styleId="9">
    <w:name w:val="toc 3"/>
    <w:basedOn w:val="1"/>
    <w:next w:val="1"/>
    <w:qFormat/>
    <w:uiPriority w:val="0"/>
    <w:pPr>
      <w:ind w:left="840" w:leftChars="400"/>
    </w:pPr>
  </w:style>
  <w:style w:type="paragraph" w:styleId="10">
    <w:name w:val="Plain Text"/>
    <w:basedOn w:val="1"/>
    <w:qFormat/>
    <w:uiPriority w:val="0"/>
    <w:rPr>
      <w:rFonts w:ascii="宋体" w:hAnsi="Courier New" w:eastAsiaTheme="minorEastAsia" w:cstheme="minorBidi"/>
      <w:szCs w:val="22"/>
    </w:rPr>
  </w:style>
  <w:style w:type="paragraph" w:styleId="11">
    <w:name w:val="Balloon Text"/>
    <w:basedOn w:val="1"/>
    <w:link w:val="40"/>
    <w:qFormat/>
    <w:uiPriority w:val="0"/>
    <w:rPr>
      <w:sz w:val="18"/>
      <w:szCs w:val="18"/>
    </w:rPr>
  </w:style>
  <w:style w:type="paragraph" w:styleId="12">
    <w:name w:val="footer"/>
    <w:basedOn w:val="1"/>
    <w:link w:val="39"/>
    <w:qFormat/>
    <w:uiPriority w:val="0"/>
    <w:pPr>
      <w:tabs>
        <w:tab w:val="center" w:pos="4153"/>
        <w:tab w:val="right" w:pos="8306"/>
      </w:tabs>
      <w:snapToGrid w:val="0"/>
    </w:pPr>
    <w:rPr>
      <w:sz w:val="18"/>
      <w:szCs w:val="18"/>
    </w:rPr>
  </w:style>
  <w:style w:type="paragraph" w:styleId="13">
    <w:name w:val="header"/>
    <w:basedOn w:val="1"/>
    <w:link w:val="38"/>
    <w:qFormat/>
    <w:uiPriority w:val="0"/>
    <w:pPr>
      <w:pBdr>
        <w:bottom w:val="single" w:color="auto" w:sz="6" w:space="1"/>
      </w:pBdr>
      <w:tabs>
        <w:tab w:val="center" w:pos="4153"/>
        <w:tab w:val="right" w:pos="8306"/>
      </w:tabs>
      <w:snapToGrid w:val="0"/>
      <w:jc w:val="center"/>
    </w:pPr>
    <w:rPr>
      <w:sz w:val="18"/>
      <w:szCs w:val="18"/>
    </w:rPr>
  </w:style>
  <w:style w:type="paragraph" w:styleId="14">
    <w:name w:val="toc 1"/>
    <w:basedOn w:val="1"/>
    <w:next w:val="1"/>
    <w:qFormat/>
    <w:uiPriority w:val="1"/>
    <w:pPr>
      <w:spacing w:before="186"/>
      <w:ind w:left="218"/>
    </w:pPr>
    <w:rPr>
      <w:sz w:val="28"/>
      <w:szCs w:val="28"/>
    </w:rPr>
  </w:style>
  <w:style w:type="paragraph" w:styleId="15">
    <w:name w:val="footnote text"/>
    <w:basedOn w:val="1"/>
    <w:qFormat/>
    <w:uiPriority w:val="99"/>
    <w:pPr>
      <w:snapToGrid w:val="0"/>
    </w:pPr>
    <w:rPr>
      <w:sz w:val="18"/>
      <w:szCs w:val="18"/>
    </w:rPr>
  </w:style>
  <w:style w:type="paragraph" w:styleId="16">
    <w:name w:val="toc 2"/>
    <w:basedOn w:val="1"/>
    <w:next w:val="1"/>
    <w:qFormat/>
    <w:uiPriority w:val="0"/>
    <w:pPr>
      <w:ind w:left="420" w:leftChars="200"/>
    </w:pPr>
  </w:style>
  <w:style w:type="paragraph" w:styleId="17">
    <w:name w:val="Normal (Web)"/>
    <w:basedOn w:val="1"/>
    <w:unhideWhenUsed/>
    <w:qFormat/>
    <w:uiPriority w:val="0"/>
    <w:pPr>
      <w:widowControl/>
      <w:autoSpaceDE/>
      <w:autoSpaceDN/>
      <w:spacing w:before="100" w:beforeAutospacing="1" w:after="100" w:afterAutospacing="1"/>
    </w:pPr>
    <w:rPr>
      <w:sz w:val="24"/>
      <w:szCs w:val="24"/>
      <w:lang w:val="en-US" w:bidi="ar-SA"/>
    </w:rPr>
  </w:style>
  <w:style w:type="table" w:styleId="19">
    <w:name w:val="Table Grid"/>
    <w:basedOn w:val="1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1">
    <w:name w:val="Strong"/>
    <w:qFormat/>
    <w:uiPriority w:val="22"/>
    <w:rPr>
      <w:b/>
      <w:bCs/>
    </w:rPr>
  </w:style>
  <w:style w:type="character" w:styleId="22">
    <w:name w:val="FollowedHyperlink"/>
    <w:basedOn w:val="20"/>
    <w:qFormat/>
    <w:uiPriority w:val="0"/>
    <w:rPr>
      <w:color w:val="800080"/>
      <w:u w:val="none"/>
    </w:rPr>
  </w:style>
  <w:style w:type="character" w:styleId="23">
    <w:name w:val="HTML Definition"/>
    <w:basedOn w:val="20"/>
    <w:qFormat/>
    <w:uiPriority w:val="0"/>
  </w:style>
  <w:style w:type="character" w:styleId="24">
    <w:name w:val="HTML Typewriter"/>
    <w:basedOn w:val="20"/>
    <w:qFormat/>
    <w:uiPriority w:val="0"/>
    <w:rPr>
      <w:rFonts w:hint="default" w:ascii="monospace" w:hAnsi="monospace" w:eastAsia="monospace" w:cs="monospace"/>
      <w:sz w:val="20"/>
    </w:rPr>
  </w:style>
  <w:style w:type="character" w:styleId="25">
    <w:name w:val="HTML Acronym"/>
    <w:basedOn w:val="20"/>
    <w:qFormat/>
    <w:uiPriority w:val="0"/>
  </w:style>
  <w:style w:type="character" w:styleId="26">
    <w:name w:val="HTML Variable"/>
    <w:basedOn w:val="20"/>
    <w:qFormat/>
    <w:uiPriority w:val="0"/>
  </w:style>
  <w:style w:type="character" w:styleId="27">
    <w:name w:val="Hyperlink"/>
    <w:basedOn w:val="20"/>
    <w:qFormat/>
    <w:uiPriority w:val="0"/>
    <w:rPr>
      <w:color w:val="0000FF" w:themeColor="hyperlink"/>
      <w:u w:val="single"/>
      <w14:textFill>
        <w14:solidFill>
          <w14:schemeClr w14:val="hlink"/>
        </w14:solidFill>
      </w14:textFill>
    </w:rPr>
  </w:style>
  <w:style w:type="character" w:styleId="28">
    <w:name w:val="HTML Code"/>
    <w:basedOn w:val="20"/>
    <w:qFormat/>
    <w:uiPriority w:val="0"/>
    <w:rPr>
      <w:rFonts w:hint="default" w:ascii="monospace" w:hAnsi="monospace" w:eastAsia="monospace" w:cs="monospace"/>
      <w:sz w:val="20"/>
    </w:rPr>
  </w:style>
  <w:style w:type="character" w:styleId="29">
    <w:name w:val="HTML Cite"/>
    <w:basedOn w:val="20"/>
    <w:qFormat/>
    <w:uiPriority w:val="0"/>
  </w:style>
  <w:style w:type="character" w:styleId="30">
    <w:name w:val="HTML Keyboard"/>
    <w:basedOn w:val="20"/>
    <w:qFormat/>
    <w:uiPriority w:val="0"/>
    <w:rPr>
      <w:rFonts w:hint="default" w:ascii="monospace" w:hAnsi="monospace" w:eastAsia="monospace" w:cs="monospace"/>
      <w:sz w:val="20"/>
    </w:rPr>
  </w:style>
  <w:style w:type="character" w:styleId="31">
    <w:name w:val="HTML Sample"/>
    <w:basedOn w:val="20"/>
    <w:qFormat/>
    <w:uiPriority w:val="0"/>
    <w:rPr>
      <w:rFonts w:ascii="monospace" w:hAnsi="monospace" w:eastAsia="monospace" w:cs="monospace"/>
    </w:rPr>
  </w:style>
  <w:style w:type="paragraph" w:customStyle="1" w:styleId="32">
    <w:name w:val="BodyText1I"/>
    <w:basedOn w:val="33"/>
    <w:qFormat/>
    <w:uiPriority w:val="99"/>
    <w:pPr>
      <w:ind w:firstLine="420" w:firstLineChars="100"/>
    </w:pPr>
  </w:style>
  <w:style w:type="paragraph" w:customStyle="1" w:styleId="33">
    <w:name w:val="BodyText"/>
    <w:basedOn w:val="1"/>
    <w:qFormat/>
    <w:uiPriority w:val="99"/>
    <w:pPr>
      <w:spacing w:after="120"/>
    </w:pPr>
  </w:style>
  <w:style w:type="paragraph" w:customStyle="1" w:styleId="34">
    <w:name w:val="无间隔1"/>
    <w:next w:val="6"/>
    <w:qFormat/>
    <w:uiPriority w:val="0"/>
    <w:pPr>
      <w:widowControl w:val="0"/>
      <w:jc w:val="both"/>
    </w:pPr>
    <w:rPr>
      <w:rFonts w:ascii="Calibri" w:hAnsi="Calibri" w:eastAsia="宋体" w:cs="Times New Roman"/>
      <w:kern w:val="2"/>
      <w:sz w:val="21"/>
      <w:szCs w:val="22"/>
      <w:lang w:val="en-US" w:eastAsia="zh-CN" w:bidi="ar-SA"/>
    </w:rPr>
  </w:style>
  <w:style w:type="table" w:customStyle="1" w:styleId="35">
    <w:name w:val="Table Normal"/>
    <w:semiHidden/>
    <w:unhideWhenUsed/>
    <w:qFormat/>
    <w:uiPriority w:val="2"/>
    <w:tblPr>
      <w:tblCellMar>
        <w:top w:w="0" w:type="dxa"/>
        <w:left w:w="0" w:type="dxa"/>
        <w:bottom w:w="0" w:type="dxa"/>
        <w:right w:w="0" w:type="dxa"/>
      </w:tblCellMar>
    </w:tblPr>
  </w:style>
  <w:style w:type="paragraph" w:styleId="36">
    <w:name w:val="List Paragraph"/>
    <w:basedOn w:val="1"/>
    <w:qFormat/>
    <w:uiPriority w:val="1"/>
    <w:pPr>
      <w:ind w:left="218" w:firstLine="239"/>
    </w:pPr>
  </w:style>
  <w:style w:type="paragraph" w:customStyle="1" w:styleId="37">
    <w:name w:val="Table Paragraph"/>
    <w:basedOn w:val="1"/>
    <w:qFormat/>
    <w:uiPriority w:val="1"/>
  </w:style>
  <w:style w:type="character" w:customStyle="1" w:styleId="38">
    <w:name w:val="页眉 Char"/>
    <w:basedOn w:val="20"/>
    <w:link w:val="13"/>
    <w:qFormat/>
    <w:uiPriority w:val="0"/>
    <w:rPr>
      <w:rFonts w:ascii="宋体" w:hAnsi="宋体" w:cs="宋体"/>
      <w:sz w:val="18"/>
      <w:szCs w:val="18"/>
      <w:lang w:val="zh-CN" w:bidi="zh-CN"/>
    </w:rPr>
  </w:style>
  <w:style w:type="character" w:customStyle="1" w:styleId="39">
    <w:name w:val="页脚 Char"/>
    <w:basedOn w:val="20"/>
    <w:link w:val="12"/>
    <w:qFormat/>
    <w:uiPriority w:val="0"/>
    <w:rPr>
      <w:rFonts w:ascii="宋体" w:hAnsi="宋体" w:cs="宋体"/>
      <w:sz w:val="18"/>
      <w:szCs w:val="18"/>
      <w:lang w:val="zh-CN" w:bidi="zh-CN"/>
    </w:rPr>
  </w:style>
  <w:style w:type="character" w:customStyle="1" w:styleId="40">
    <w:name w:val="批注框文本 Char"/>
    <w:basedOn w:val="20"/>
    <w:link w:val="11"/>
    <w:qFormat/>
    <w:uiPriority w:val="0"/>
    <w:rPr>
      <w:rFonts w:ascii="宋体" w:hAnsi="宋体" w:cs="宋体"/>
      <w:sz w:val="18"/>
      <w:szCs w:val="18"/>
      <w:lang w:val="zh-CN" w:bidi="zh-CN"/>
    </w:rPr>
  </w:style>
  <w:style w:type="character" w:customStyle="1" w:styleId="41">
    <w:name w:val="正文文本 Char"/>
    <w:basedOn w:val="20"/>
    <w:link w:val="7"/>
    <w:qFormat/>
    <w:uiPriority w:val="1"/>
    <w:rPr>
      <w:rFonts w:ascii="宋体" w:hAnsi="宋体" w:cs="宋体"/>
      <w:sz w:val="24"/>
      <w:szCs w:val="24"/>
      <w:lang w:val="zh-CN" w:bidi="zh-CN"/>
    </w:rPr>
  </w:style>
  <w:style w:type="paragraph" w:customStyle="1" w:styleId="42">
    <w:name w:val="列出段落1"/>
    <w:basedOn w:val="1"/>
    <w:qFormat/>
    <w:uiPriority w:val="0"/>
    <w:pPr>
      <w:ind w:left="218" w:firstLine="239"/>
    </w:pPr>
    <w:rPr>
      <w:lang w:bidi="ar-SA"/>
    </w:rPr>
  </w:style>
  <w:style w:type="paragraph" w:customStyle="1" w:styleId="43">
    <w:name w:val="正文1"/>
    <w:basedOn w:val="1"/>
    <w:qFormat/>
    <w:uiPriority w:val="0"/>
    <w:pPr>
      <w:widowControl/>
      <w:topLinePunct/>
      <w:spacing w:beforeLines="50" w:afterLines="50" w:line="300" w:lineRule="auto"/>
      <w:ind w:left="420"/>
    </w:pPr>
  </w:style>
  <w:style w:type="paragraph" w:customStyle="1" w:styleId="44">
    <w:name w:val="p0"/>
    <w:basedOn w:val="1"/>
    <w:unhideWhenUsed/>
    <w:qFormat/>
    <w:uiPriority w:val="0"/>
    <w:pPr>
      <w:widowControl/>
      <w:spacing w:before="100" w:beforeAutospacing="1" w:after="100" w:afterAutospacing="1"/>
    </w:pPr>
    <w:rPr>
      <w:rFonts w:hint="eastAsia" w:ascii="宋体" w:hAnsi="宋体"/>
    </w:rPr>
  </w:style>
  <w:style w:type="paragraph" w:customStyle="1" w:styleId="45">
    <w:name w:val="Default"/>
    <w:qFormat/>
    <w:uiPriority w:val="0"/>
    <w:pPr>
      <w:widowControl w:val="0"/>
      <w:autoSpaceDE w:val="0"/>
      <w:autoSpaceDN w:val="0"/>
    </w:pPr>
    <w:rPr>
      <w:rFonts w:hint="eastAsia" w:ascii="仿宋" w:hAnsi="仿宋" w:eastAsia="仿宋" w:cs="Times New Roman"/>
      <w:color w:val="000000"/>
      <w:sz w:val="24"/>
      <w:lang w:val="en-US" w:eastAsia="zh-CN" w:bidi="ar-SA"/>
    </w:rPr>
  </w:style>
  <w:style w:type="paragraph" w:customStyle="1" w:styleId="46">
    <w:name w:val="正文文本缩进1"/>
    <w:basedOn w:val="1"/>
    <w:qFormat/>
    <w:uiPriority w:val="0"/>
    <w:pPr>
      <w:widowControl/>
      <w:spacing w:line="400" w:lineRule="exact"/>
      <w:ind w:firstLine="420" w:firstLineChars="200"/>
    </w:pPr>
    <w:rPr>
      <w:sz w:val="20"/>
      <w:szCs w:val="20"/>
    </w:rPr>
  </w:style>
  <w:style w:type="character" w:customStyle="1" w:styleId="47">
    <w:name w:val="nth-child(2)"/>
    <w:basedOn w:val="20"/>
    <w:qFormat/>
    <w:uiPriority w:val="0"/>
  </w:style>
  <w:style w:type="character" w:customStyle="1" w:styleId="48">
    <w:name w:val="nth-child(2)1"/>
    <w:basedOn w:val="20"/>
    <w:qFormat/>
    <w:uiPriority w:val="0"/>
  </w:style>
  <w:style w:type="character" w:customStyle="1" w:styleId="49">
    <w:name w:val="nth-child(3)"/>
    <w:basedOn w:val="20"/>
    <w:qFormat/>
    <w:uiPriority w:val="0"/>
  </w:style>
  <w:style w:type="paragraph" w:customStyle="1" w:styleId="50">
    <w:name w:val="表格文字"/>
    <w:basedOn w:val="1"/>
    <w:next w:val="7"/>
    <w:qFormat/>
    <w:uiPriority w:val="0"/>
    <w:pPr>
      <w:spacing w:line="264" w:lineRule="auto"/>
      <w:ind w:left="150" w:hanging="150" w:hangingChars="150"/>
      <w:jc w:val="left"/>
    </w:pPr>
    <w:rPr>
      <w:rFonts w:ascii="Times New Roman" w:hAnsi="Times New Roman" w:cs="Times New Roman"/>
      <w:bCs/>
      <w:spacing w:val="10"/>
      <w:kern w:val="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54</Pages>
  <Words>12321</Words>
  <Characters>13138</Characters>
  <Lines>85</Lines>
  <Paragraphs>24</Paragraphs>
  <TotalTime>6</TotalTime>
  <ScaleCrop>false</ScaleCrop>
  <LinksUpToDate>false</LinksUpToDate>
  <CharactersWithSpaces>13254</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2020-05-13T08:27:00Z</dcterms:created>
  <dc:creator>微软用户</dc:creator>
  <cp:lastModifiedBy>HUAWEI</cp:lastModifiedBy>
  <cp:lastPrinted>2020-04-29T04:44:00Z</cp:lastPrinted>
  <dcterms:modified xsi:type="dcterms:W3CDTF">2025-09-05T00:49:54Z</dcterms:modified>
  <dc:title>周口市政府采购中心招标文件</dc:title>
  <cp:revision>36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2020-04-21T00:00:00Z</vt:filetime>
  </property>
  <property fmtid="{D5CDD505-2E9C-101B-9397-08002B2CF9AE}" pid="3" name="Creator">
    <vt:lpwstr>Microsoft® Word 2010</vt:lpwstr>
  </property>
  <property fmtid="{D5CDD505-2E9C-101B-9397-08002B2CF9AE}" pid="4" name="LastSaved">
    <vt:filetime>2020-04-23T00:00:00Z</vt:filetime>
  </property>
  <property fmtid="{D5CDD505-2E9C-101B-9397-08002B2CF9AE}" pid="5" name="KSOProductBuildVer">
    <vt:lpwstr>2052-12.1.0.22529</vt:lpwstr>
  </property>
  <property fmtid="{D5CDD505-2E9C-101B-9397-08002B2CF9AE}" pid="6" name="ICV">
    <vt:lpwstr>6DFA019358B745FEA1918B45730D2CF5_13</vt:lpwstr>
  </property>
  <property fmtid="{D5CDD505-2E9C-101B-9397-08002B2CF9AE}" pid="7" name="KSOTemplateDocerSaveRecord">
    <vt:lpwstr>eyJoZGlkIjoiY2FiZTFmYjI0ODY2NTM4OTI3ZDhiMDA1NjYyNjI2MmMiLCJ1c2VySWQiOiIxNTI3MjQ2NDY1In0=</vt:lpwstr>
  </property>
</Properties>
</file>