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564C8B">
      <w:pPr>
        <w:bidi w:val="0"/>
        <w:spacing w:line="720" w:lineRule="auto"/>
        <w:jc w:val="center"/>
        <w:rPr>
          <w:rFonts w:hint="eastAsia"/>
          <w:b/>
          <w:bCs/>
          <w:color w:val="auto"/>
          <w:sz w:val="44"/>
          <w:szCs w:val="48"/>
          <w:highlight w:val="none"/>
          <w:lang w:eastAsia="zh-CN"/>
        </w:rPr>
      </w:pPr>
      <w:bookmarkStart w:id="0" w:name="_Toc15236"/>
      <w:bookmarkStart w:id="1" w:name="_Toc13814"/>
      <w:bookmarkStart w:id="2" w:name="_Toc12347"/>
      <w:r>
        <w:rPr>
          <w:rFonts w:hint="eastAsia"/>
          <w:b/>
          <w:bCs/>
          <w:color w:val="auto"/>
          <w:sz w:val="44"/>
          <w:szCs w:val="48"/>
          <w:highlight w:val="none"/>
          <w:lang w:eastAsia="zh-CN"/>
        </w:rPr>
        <w:t>渑池县第三小学综合楼多功能室项目</w:t>
      </w:r>
    </w:p>
    <w:p w14:paraId="7B55EC78">
      <w:pPr>
        <w:bidi w:val="0"/>
        <w:spacing w:line="720" w:lineRule="auto"/>
        <w:jc w:val="center"/>
        <w:rPr>
          <w:rFonts w:hint="eastAsia"/>
          <w:b/>
          <w:bCs/>
          <w:color w:val="auto"/>
          <w:sz w:val="44"/>
          <w:szCs w:val="48"/>
          <w:highlight w:val="none"/>
          <w:lang w:eastAsia="zh-CN"/>
        </w:rPr>
      </w:pPr>
      <w:bookmarkStart w:id="270" w:name="_GoBack"/>
      <w:bookmarkEnd w:id="270"/>
    </w:p>
    <w:p w14:paraId="7B7B774A">
      <w:pPr>
        <w:bidi w:val="0"/>
        <w:spacing w:line="720" w:lineRule="auto"/>
        <w:jc w:val="center"/>
        <w:rPr>
          <w:b/>
          <w:bCs/>
          <w:color w:val="auto"/>
          <w:sz w:val="40"/>
          <w:szCs w:val="44"/>
          <w:highlight w:val="none"/>
        </w:rPr>
      </w:pPr>
      <w:r>
        <w:rPr>
          <w:rFonts w:hint="eastAsia"/>
          <w:b/>
          <w:bCs/>
          <w:color w:val="auto"/>
          <w:sz w:val="40"/>
          <w:szCs w:val="44"/>
          <w:highlight w:val="none"/>
        </w:rPr>
        <w:t>竞争性磋商文件</w:t>
      </w:r>
      <w:bookmarkEnd w:id="0"/>
      <w:bookmarkEnd w:id="1"/>
      <w:bookmarkEnd w:id="2"/>
    </w:p>
    <w:p w14:paraId="5BAA86EC">
      <w:pPr>
        <w:ind w:firstLine="435"/>
        <w:jc w:val="center"/>
        <w:rPr>
          <w:color w:val="auto"/>
          <w:highlight w:val="none"/>
        </w:rPr>
      </w:pPr>
    </w:p>
    <w:p w14:paraId="051F69A5">
      <w:pPr>
        <w:spacing w:line="360" w:lineRule="auto"/>
        <w:jc w:val="center"/>
        <w:outlineLvl w:val="9"/>
        <w:rPr>
          <w:rFonts w:ascii="宋体" w:hAnsi="宋体" w:cs="宋体"/>
          <w:b/>
          <w:color w:val="auto"/>
          <w:sz w:val="24"/>
          <w:szCs w:val="28"/>
          <w:highlight w:val="none"/>
        </w:rPr>
      </w:pPr>
      <w:bookmarkStart w:id="3" w:name="_Toc12438"/>
    </w:p>
    <w:p w14:paraId="52ABEB1B">
      <w:pPr>
        <w:bidi w:val="0"/>
        <w:spacing w:line="360" w:lineRule="auto"/>
        <w:jc w:val="center"/>
        <w:rPr>
          <w:rFonts w:hint="default" w:ascii="宋体" w:hAnsi="宋体" w:eastAsia="宋体" w:cs="宋体"/>
          <w:b/>
          <w:bCs/>
          <w:color w:val="auto"/>
          <w:sz w:val="28"/>
          <w:szCs w:val="28"/>
          <w:highlight w:val="none"/>
          <w:lang w:val="en-US" w:eastAsia="zh-CN"/>
        </w:rPr>
      </w:pPr>
      <w:bookmarkStart w:id="4" w:name="_Toc12587"/>
      <w:bookmarkStart w:id="5" w:name="_Toc32756"/>
      <w:r>
        <w:rPr>
          <w:rFonts w:hint="eastAsia" w:ascii="宋体" w:hAnsi="宋体" w:eastAsia="宋体" w:cs="宋体"/>
          <w:b/>
          <w:bCs/>
          <w:color w:val="auto"/>
          <w:sz w:val="28"/>
          <w:szCs w:val="32"/>
          <w:highlight w:val="none"/>
        </w:rPr>
        <w:t>项目编号：</w:t>
      </w:r>
      <w:bookmarkEnd w:id="3"/>
      <w:bookmarkEnd w:id="4"/>
      <w:bookmarkEnd w:id="5"/>
      <w:r>
        <w:rPr>
          <w:rFonts w:hint="eastAsia" w:ascii="宋体" w:hAnsi="宋体" w:eastAsia="宋体" w:cs="宋体"/>
          <w:b/>
          <w:bCs/>
          <w:color w:val="auto"/>
          <w:sz w:val="28"/>
          <w:szCs w:val="28"/>
          <w:highlight w:val="none"/>
        </w:rPr>
        <w:t>MCGZ[2025]2</w:t>
      </w:r>
      <w:r>
        <w:rPr>
          <w:rFonts w:hint="eastAsia" w:ascii="宋体" w:hAnsi="宋体" w:eastAsia="宋体" w:cs="宋体"/>
          <w:b/>
          <w:bCs/>
          <w:color w:val="auto"/>
          <w:sz w:val="28"/>
          <w:szCs w:val="28"/>
          <w:highlight w:val="none"/>
          <w:lang w:val="en-US" w:eastAsia="zh-CN"/>
        </w:rPr>
        <w:t>82</w:t>
      </w:r>
      <w:r>
        <w:rPr>
          <w:rFonts w:hint="eastAsia" w:ascii="宋体" w:hAnsi="宋体" w:eastAsia="宋体" w:cs="宋体"/>
          <w:b/>
          <w:bCs/>
          <w:color w:val="auto"/>
          <w:sz w:val="28"/>
          <w:szCs w:val="28"/>
          <w:highlight w:val="none"/>
        </w:rPr>
        <w:t>-ZC</w:t>
      </w:r>
      <w:r>
        <w:rPr>
          <w:rFonts w:hint="eastAsia" w:ascii="宋体" w:hAnsi="宋体" w:eastAsia="宋体" w:cs="宋体"/>
          <w:b/>
          <w:bCs/>
          <w:color w:val="auto"/>
          <w:sz w:val="28"/>
          <w:szCs w:val="28"/>
          <w:highlight w:val="none"/>
          <w:lang w:val="en-US" w:eastAsia="zh-CN"/>
        </w:rPr>
        <w:t>220</w:t>
      </w:r>
    </w:p>
    <w:p w14:paraId="2601C7F9">
      <w:pPr>
        <w:bidi w:val="0"/>
        <w:spacing w:line="360" w:lineRule="auto"/>
        <w:jc w:val="center"/>
        <w:rPr>
          <w:rFonts w:hint="default" w:ascii="宋体" w:hAnsi="宋体" w:eastAsia="宋体" w:cs="宋体"/>
          <w:b/>
          <w:bCs/>
          <w:color w:val="auto"/>
          <w:sz w:val="28"/>
          <w:szCs w:val="32"/>
          <w:highlight w:val="none"/>
          <w:lang w:val="en-US"/>
        </w:rPr>
      </w:pPr>
      <w:r>
        <w:rPr>
          <w:rFonts w:hint="eastAsia" w:asciiTheme="minorEastAsia" w:hAnsiTheme="minorEastAsia" w:cstheme="minorEastAsia"/>
          <w:b/>
          <w:bCs/>
          <w:color w:val="auto"/>
          <w:sz w:val="28"/>
          <w:szCs w:val="28"/>
          <w:highlight w:val="none"/>
          <w:lang w:val="en-US" w:eastAsia="zh-CN"/>
        </w:rPr>
        <w:t xml:space="preserve">           </w:t>
      </w:r>
      <w:r>
        <w:rPr>
          <w:rFonts w:hint="eastAsia" w:asciiTheme="minorEastAsia" w:hAnsiTheme="minorEastAsia" w:cstheme="minorEastAsia"/>
          <w:b/>
          <w:bCs/>
          <w:color w:val="auto"/>
          <w:sz w:val="28"/>
          <w:szCs w:val="28"/>
          <w:highlight w:val="none"/>
          <w:lang w:eastAsia="zh-CN"/>
        </w:rPr>
        <w:t>渑池竞磋采购-2025-</w:t>
      </w:r>
      <w:r>
        <w:rPr>
          <w:rFonts w:hint="eastAsia" w:asciiTheme="minorEastAsia" w:hAnsiTheme="minorEastAsia" w:cstheme="minorEastAsia"/>
          <w:b/>
          <w:bCs/>
          <w:color w:val="auto"/>
          <w:sz w:val="28"/>
          <w:szCs w:val="28"/>
          <w:highlight w:val="none"/>
          <w:lang w:val="en-US" w:eastAsia="zh-CN"/>
        </w:rPr>
        <w:t>139</w:t>
      </w:r>
    </w:p>
    <w:p w14:paraId="02B8836D">
      <w:pPr>
        <w:ind w:firstLine="435"/>
        <w:jc w:val="center"/>
        <w:rPr>
          <w:rFonts w:hint="eastAsia" w:eastAsiaTheme="minorEastAsia"/>
          <w:color w:val="auto"/>
          <w:highlight w:val="none"/>
          <w:lang w:eastAsia="zh-CN"/>
        </w:rPr>
      </w:pPr>
      <w:r>
        <w:rPr>
          <w:rFonts w:hint="eastAsia" w:ascii="宋体" w:hAnsi="宋体" w:eastAsia="宋体" w:cs="宋体"/>
          <w:b/>
          <w:bCs/>
          <w:color w:val="auto"/>
          <w:sz w:val="28"/>
          <w:szCs w:val="32"/>
          <w:highlight w:val="none"/>
          <w:lang w:val="en-US" w:eastAsia="zh-CN"/>
        </w:rPr>
        <w:t xml:space="preserve"> </w:t>
      </w:r>
    </w:p>
    <w:p w14:paraId="7F1C2866">
      <w:pPr>
        <w:ind w:firstLine="435"/>
        <w:jc w:val="center"/>
        <w:rPr>
          <w:color w:val="auto"/>
          <w:highlight w:val="none"/>
        </w:rPr>
      </w:pPr>
    </w:p>
    <w:p w14:paraId="5F1431CF">
      <w:pPr>
        <w:ind w:firstLine="435"/>
        <w:jc w:val="center"/>
        <w:rPr>
          <w:color w:val="auto"/>
          <w:highlight w:val="none"/>
        </w:rPr>
      </w:pPr>
    </w:p>
    <w:p w14:paraId="36AF57A7">
      <w:pPr>
        <w:spacing w:line="600" w:lineRule="auto"/>
        <w:rPr>
          <w:rFonts w:hint="eastAsia" w:cs="宋体"/>
          <w:b/>
          <w:color w:val="auto"/>
          <w:sz w:val="32"/>
          <w:highlight w:val="none"/>
          <w:lang w:bidi="ar"/>
        </w:rPr>
      </w:pPr>
    </w:p>
    <w:p w14:paraId="3D45D725">
      <w:pPr>
        <w:spacing w:line="600" w:lineRule="auto"/>
        <w:ind w:firstLine="1928" w:firstLineChars="600"/>
        <w:rPr>
          <w:rFonts w:hint="eastAsia" w:cs="宋体"/>
          <w:b/>
          <w:color w:val="auto"/>
          <w:sz w:val="32"/>
          <w:highlight w:val="none"/>
          <w:lang w:bidi="ar"/>
        </w:rPr>
      </w:pPr>
    </w:p>
    <w:p w14:paraId="2EC2F7F9">
      <w:pPr>
        <w:spacing w:line="600" w:lineRule="auto"/>
        <w:ind w:firstLine="1928" w:firstLineChars="600"/>
        <w:rPr>
          <w:rFonts w:hint="eastAsia" w:cs="宋体"/>
          <w:b/>
          <w:color w:val="auto"/>
          <w:sz w:val="32"/>
          <w:highlight w:val="none"/>
          <w:lang w:bidi="ar"/>
        </w:rPr>
      </w:pPr>
    </w:p>
    <w:p w14:paraId="5E59FF75">
      <w:pPr>
        <w:spacing w:line="600" w:lineRule="auto"/>
        <w:ind w:firstLine="1928" w:firstLineChars="600"/>
        <w:rPr>
          <w:rFonts w:hint="eastAsia" w:cs="宋体"/>
          <w:b/>
          <w:color w:val="auto"/>
          <w:sz w:val="32"/>
          <w:highlight w:val="none"/>
          <w:lang w:bidi="ar"/>
        </w:rPr>
      </w:pPr>
    </w:p>
    <w:p w14:paraId="6C9F67E2">
      <w:pPr>
        <w:spacing w:line="600" w:lineRule="auto"/>
        <w:ind w:firstLine="1928" w:firstLineChars="600"/>
        <w:rPr>
          <w:rFonts w:hint="eastAsia" w:cs="宋体"/>
          <w:b/>
          <w:color w:val="auto"/>
          <w:sz w:val="32"/>
          <w:highlight w:val="none"/>
          <w:lang w:bidi="ar"/>
        </w:rPr>
      </w:pPr>
    </w:p>
    <w:p w14:paraId="7ED2447A">
      <w:pPr>
        <w:spacing w:line="600" w:lineRule="auto"/>
        <w:ind w:firstLine="1928" w:firstLineChars="600"/>
        <w:rPr>
          <w:rFonts w:hint="eastAsia" w:cs="宋体"/>
          <w:b/>
          <w:color w:val="auto"/>
          <w:sz w:val="32"/>
          <w:highlight w:val="none"/>
          <w:lang w:bidi="ar"/>
        </w:rPr>
      </w:pPr>
    </w:p>
    <w:p w14:paraId="2CBE6B0B">
      <w:pPr>
        <w:spacing w:line="600" w:lineRule="auto"/>
        <w:ind w:firstLine="1928" w:firstLineChars="600"/>
        <w:rPr>
          <w:rFonts w:hint="eastAsia" w:eastAsiaTheme="minorEastAsia"/>
          <w:b/>
          <w:color w:val="auto"/>
          <w:sz w:val="32"/>
          <w:highlight w:val="none"/>
          <w:lang w:eastAsia="zh-CN"/>
        </w:rPr>
      </w:pPr>
      <w:r>
        <w:rPr>
          <w:rFonts w:hint="eastAsia" w:cs="宋体"/>
          <w:b/>
          <w:color w:val="auto"/>
          <w:sz w:val="32"/>
          <w:highlight w:val="none"/>
          <w:lang w:bidi="ar"/>
        </w:rPr>
        <w:t>采购人：</w:t>
      </w:r>
      <w:r>
        <w:rPr>
          <w:rFonts w:hint="eastAsia" w:cs="宋体"/>
          <w:b/>
          <w:color w:val="auto"/>
          <w:sz w:val="32"/>
          <w:highlight w:val="none"/>
          <w:lang w:eastAsia="zh-CN" w:bidi="ar"/>
        </w:rPr>
        <w:t>渑池县第三小学</w:t>
      </w:r>
    </w:p>
    <w:p w14:paraId="5DFF99E2">
      <w:pPr>
        <w:spacing w:line="600" w:lineRule="auto"/>
        <w:ind w:firstLine="1928" w:firstLineChars="600"/>
        <w:rPr>
          <w:rFonts w:hint="eastAsia" w:eastAsiaTheme="minorEastAsia"/>
          <w:b/>
          <w:color w:val="auto"/>
          <w:sz w:val="32"/>
          <w:highlight w:val="none"/>
          <w:lang w:eastAsia="zh-CN"/>
        </w:rPr>
      </w:pPr>
      <w:r>
        <w:rPr>
          <w:rFonts w:hint="eastAsia" w:cs="宋体"/>
          <w:b/>
          <w:color w:val="auto"/>
          <w:sz w:val="32"/>
          <w:highlight w:val="none"/>
          <w:lang w:bidi="ar"/>
        </w:rPr>
        <w:t>代理机构：</w:t>
      </w:r>
      <w:r>
        <w:rPr>
          <w:rFonts w:hint="eastAsia" w:cs="宋体"/>
          <w:b/>
          <w:color w:val="auto"/>
          <w:sz w:val="32"/>
          <w:highlight w:val="none"/>
          <w:lang w:eastAsia="zh-CN" w:bidi="ar"/>
        </w:rPr>
        <w:t>大业信息技术（河南）有限公司</w:t>
      </w:r>
    </w:p>
    <w:p w14:paraId="705429CB">
      <w:pPr>
        <w:spacing w:line="600" w:lineRule="auto"/>
        <w:ind w:firstLine="1928" w:firstLineChars="600"/>
        <w:rPr>
          <w:b/>
          <w:color w:val="auto"/>
          <w:sz w:val="32"/>
          <w:highlight w:val="none"/>
        </w:rPr>
      </w:pPr>
      <w:r>
        <w:rPr>
          <w:rFonts w:hint="eastAsia" w:cs="宋体"/>
          <w:b/>
          <w:color w:val="auto"/>
          <w:sz w:val="32"/>
          <w:highlight w:val="none"/>
          <w:lang w:bidi="ar"/>
        </w:rPr>
        <w:t>时间：二〇二</w:t>
      </w:r>
      <w:r>
        <w:rPr>
          <w:rFonts w:hint="eastAsia" w:cs="宋体"/>
          <w:b/>
          <w:color w:val="auto"/>
          <w:sz w:val="32"/>
          <w:highlight w:val="none"/>
          <w:lang w:val="en-US" w:eastAsia="zh-CN" w:bidi="ar"/>
        </w:rPr>
        <w:t>五</w:t>
      </w:r>
      <w:r>
        <w:rPr>
          <w:rFonts w:hint="eastAsia" w:cs="宋体"/>
          <w:b/>
          <w:color w:val="auto"/>
          <w:sz w:val="32"/>
          <w:highlight w:val="none"/>
          <w:lang w:bidi="ar"/>
        </w:rPr>
        <w:t>年</w:t>
      </w:r>
      <w:r>
        <w:rPr>
          <w:rFonts w:hint="eastAsia" w:cs="宋体"/>
          <w:b/>
          <w:color w:val="auto"/>
          <w:sz w:val="32"/>
          <w:highlight w:val="none"/>
          <w:lang w:val="en-US" w:eastAsia="zh-CN" w:bidi="ar"/>
        </w:rPr>
        <w:t>九</w:t>
      </w:r>
      <w:r>
        <w:rPr>
          <w:rFonts w:hint="eastAsia" w:cs="宋体"/>
          <w:b/>
          <w:color w:val="auto"/>
          <w:sz w:val="32"/>
          <w:highlight w:val="none"/>
          <w:lang w:bidi="ar"/>
        </w:rPr>
        <w:t>月</w:t>
      </w:r>
    </w:p>
    <w:p w14:paraId="05E0CE60">
      <w:pPr>
        <w:spacing w:line="480" w:lineRule="auto"/>
        <w:rPr>
          <w:rFonts w:ascii="宋体"/>
          <w:color w:val="auto"/>
          <w:spacing w:val="60"/>
          <w:sz w:val="36"/>
          <w:szCs w:val="36"/>
          <w:highlight w:val="none"/>
          <w:lang w:bidi="ar"/>
        </w:rPr>
        <w:sectPr>
          <w:headerReference r:id="rId4" w:type="first"/>
          <w:headerReference r:id="rId3" w:type="default"/>
          <w:pgSz w:w="11906" w:h="16838"/>
          <w:pgMar w:top="1440" w:right="1800" w:bottom="1440" w:left="1800" w:header="851" w:footer="1191" w:gutter="0"/>
          <w:pgNumType w:start="0"/>
          <w:cols w:space="720" w:num="1"/>
          <w:docGrid w:type="lines" w:linePitch="312" w:charSpace="0"/>
        </w:sectPr>
      </w:pPr>
    </w:p>
    <w:p w14:paraId="537711B7">
      <w:pPr>
        <w:spacing w:line="360" w:lineRule="auto"/>
        <w:ind w:firstLine="73"/>
        <w:jc w:val="center"/>
        <w:rPr>
          <w:rFonts w:hint="eastAsia" w:ascii="宋体" w:hAnsi="宋体" w:cs="宋体"/>
          <w:b/>
          <w:bCs/>
          <w:color w:val="auto"/>
          <w:sz w:val="36"/>
          <w:szCs w:val="36"/>
          <w:highlight w:val="none"/>
        </w:rPr>
      </w:pPr>
      <w:bookmarkStart w:id="6" w:name="_Toc39116049"/>
      <w:bookmarkStart w:id="7" w:name="_Toc39117063"/>
      <w:bookmarkStart w:id="8" w:name="_Toc39118413"/>
      <w:bookmarkStart w:id="9" w:name="_Toc27964760"/>
      <w:bookmarkStart w:id="10" w:name="_Toc39115684"/>
      <w:bookmarkStart w:id="11" w:name="_Toc39115111"/>
      <w:bookmarkStart w:id="12" w:name="_Toc27842"/>
      <w:bookmarkStart w:id="13" w:name="_Toc498982405"/>
      <w:bookmarkStart w:id="14" w:name="_Toc25637"/>
      <w:r>
        <w:rPr>
          <w:rFonts w:hint="eastAsia" w:ascii="宋体" w:hAnsi="宋体" w:cs="宋体"/>
          <w:b/>
          <w:bCs/>
          <w:color w:val="auto"/>
          <w:sz w:val="36"/>
          <w:szCs w:val="36"/>
          <w:highlight w:val="none"/>
        </w:rPr>
        <w:t>目  录</w:t>
      </w:r>
    </w:p>
    <w:sdt>
      <w:sdtPr>
        <w:rPr>
          <w:rFonts w:ascii="宋体" w:hAnsi="宋体" w:eastAsia="宋体" w:cstheme="minorBidi"/>
          <w:color w:val="auto"/>
          <w:kern w:val="2"/>
          <w:sz w:val="21"/>
          <w:szCs w:val="22"/>
          <w:highlight w:val="none"/>
          <w:lang w:val="en-US" w:eastAsia="zh-CN" w:bidi="ar-SA"/>
        </w:rPr>
        <w:id w:val="147464095"/>
        <w15:color w:val="DBDBDB"/>
        <w:docPartObj>
          <w:docPartGallery w:val="Table of Contents"/>
          <w:docPartUnique/>
        </w:docPartObj>
      </w:sdtPr>
      <w:sdtEndPr>
        <w:rPr>
          <w:rFonts w:hint="eastAsia" w:ascii="宋体" w:hAnsi="宋体" w:cs="宋体" w:eastAsiaTheme="minorEastAsia"/>
          <w:bCs/>
          <w:color w:val="auto"/>
          <w:kern w:val="2"/>
          <w:sz w:val="21"/>
          <w:szCs w:val="36"/>
          <w:highlight w:val="none"/>
          <w:lang w:val="en-US" w:eastAsia="zh-CN" w:bidi="ar-SA"/>
        </w:rPr>
      </w:sdtEndPr>
      <w:sdtContent>
        <w:p w14:paraId="5BECFF97">
          <w:pPr>
            <w:spacing w:before="0" w:beforeLines="0" w:after="0" w:afterLines="0" w:line="240" w:lineRule="auto"/>
            <w:ind w:left="0" w:leftChars="0" w:right="0" w:rightChars="0" w:firstLine="0" w:firstLineChars="0"/>
            <w:jc w:val="center"/>
            <w:rPr>
              <w:color w:val="auto"/>
              <w:highlight w:val="none"/>
            </w:rPr>
          </w:pPr>
        </w:p>
        <w:p w14:paraId="2FEBD621">
          <w:pPr>
            <w:pStyle w:val="14"/>
            <w:tabs>
              <w:tab w:val="right" w:leader="dot" w:pos="8306"/>
            </w:tabs>
            <w:spacing w:line="480" w:lineRule="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TOC \o "1-1" \h \u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_Toc4132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第一章  竞争性磋商公告</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_Toc4132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1</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olor w:val="auto"/>
              <w:sz w:val="28"/>
              <w:szCs w:val="28"/>
              <w:highlight w:val="none"/>
            </w:rPr>
            <w:fldChar w:fldCharType="end"/>
          </w:r>
        </w:p>
        <w:p w14:paraId="5F26C234">
          <w:pPr>
            <w:pStyle w:val="14"/>
            <w:tabs>
              <w:tab w:val="right" w:leader="dot" w:pos="8306"/>
            </w:tabs>
            <w:spacing w:line="480" w:lineRule="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_Toc29756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第二章  供应商须知</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_Toc29756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5</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olor w:val="auto"/>
              <w:sz w:val="28"/>
              <w:szCs w:val="28"/>
              <w:highlight w:val="none"/>
            </w:rPr>
            <w:fldChar w:fldCharType="end"/>
          </w:r>
        </w:p>
        <w:p w14:paraId="724A6980">
          <w:pPr>
            <w:pStyle w:val="14"/>
            <w:tabs>
              <w:tab w:val="right" w:leader="dot" w:pos="8306"/>
            </w:tabs>
            <w:spacing w:line="480" w:lineRule="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_Toc28251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第三章  评标办法（综合评估法）</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_Toc28251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21</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olor w:val="auto"/>
              <w:sz w:val="28"/>
              <w:szCs w:val="28"/>
              <w:highlight w:val="none"/>
            </w:rPr>
            <w:fldChar w:fldCharType="end"/>
          </w:r>
        </w:p>
        <w:p w14:paraId="028934E0">
          <w:pPr>
            <w:pStyle w:val="14"/>
            <w:tabs>
              <w:tab w:val="right" w:leader="dot" w:pos="8306"/>
            </w:tabs>
            <w:spacing w:line="480" w:lineRule="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_Toc333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第四章  合同主要条款及格式</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_Toc333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29</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olor w:val="auto"/>
              <w:sz w:val="28"/>
              <w:szCs w:val="28"/>
              <w:highlight w:val="none"/>
            </w:rPr>
            <w:fldChar w:fldCharType="end"/>
          </w:r>
        </w:p>
        <w:p w14:paraId="51AD700C">
          <w:pPr>
            <w:pStyle w:val="14"/>
            <w:tabs>
              <w:tab w:val="right" w:leader="dot" w:pos="8306"/>
            </w:tabs>
            <w:spacing w:line="480" w:lineRule="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_Toc32448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 xml:space="preserve">第五章 </w:t>
          </w:r>
          <w:r>
            <w:rPr>
              <w:rFonts w:hint="eastAsia" w:ascii="宋体" w:hAnsi="宋体" w:eastAsia="宋体" w:cs="宋体"/>
              <w:b w:val="0"/>
              <w:bCs w:val="0"/>
              <w:color w:val="auto"/>
              <w:sz w:val="28"/>
              <w:szCs w:val="28"/>
              <w:highlight w:val="none"/>
              <w:lang w:val="en-US" w:eastAsia="zh-CN"/>
            </w:rPr>
            <w:t xml:space="preserve"> </w:t>
          </w:r>
          <w:r>
            <w:rPr>
              <w:rFonts w:hint="eastAsia" w:ascii="宋体" w:hAnsi="宋体" w:eastAsia="宋体" w:cs="宋体"/>
              <w:b w:val="0"/>
              <w:bCs w:val="0"/>
              <w:color w:val="auto"/>
              <w:sz w:val="28"/>
              <w:szCs w:val="28"/>
              <w:highlight w:val="none"/>
            </w:rPr>
            <w:t>技术参数</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_Toc32448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42</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olor w:val="auto"/>
              <w:sz w:val="28"/>
              <w:szCs w:val="28"/>
              <w:highlight w:val="none"/>
            </w:rPr>
            <w:fldChar w:fldCharType="end"/>
          </w:r>
        </w:p>
        <w:p w14:paraId="58AC5DAF">
          <w:pPr>
            <w:pStyle w:val="14"/>
            <w:tabs>
              <w:tab w:val="right" w:leader="dot" w:pos="8306"/>
            </w:tabs>
            <w:spacing w:line="480" w:lineRule="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_Toc10945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第六章  响应性文件格式</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_Toc10945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47</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olor w:val="auto"/>
              <w:sz w:val="28"/>
              <w:szCs w:val="28"/>
              <w:highlight w:val="none"/>
            </w:rPr>
            <w:fldChar w:fldCharType="end"/>
          </w:r>
        </w:p>
        <w:p w14:paraId="1551994D">
          <w:pPr>
            <w:spacing w:line="480" w:lineRule="auto"/>
            <w:jc w:val="both"/>
            <w:rPr>
              <w:rFonts w:hint="eastAsia" w:ascii="宋体" w:hAnsi="宋体" w:cs="宋体"/>
              <w:b/>
              <w:bCs/>
              <w:color w:val="auto"/>
              <w:sz w:val="36"/>
              <w:szCs w:val="36"/>
              <w:highlight w:val="none"/>
            </w:rPr>
          </w:pPr>
          <w:r>
            <w:rPr>
              <w:rFonts w:hint="eastAsia" w:ascii="宋体" w:hAnsi="宋体" w:eastAsia="宋体" w:cs="宋体"/>
              <w:b w:val="0"/>
              <w:bCs w:val="0"/>
              <w:color w:val="auto"/>
              <w:sz w:val="28"/>
              <w:szCs w:val="28"/>
              <w:highlight w:val="none"/>
            </w:rPr>
            <w:fldChar w:fldCharType="end"/>
          </w:r>
        </w:p>
      </w:sdtContent>
    </w:sdt>
    <w:p w14:paraId="1E7A0FB9">
      <w:pPr>
        <w:rPr>
          <w:color w:val="auto"/>
          <w:highlight w:val="none"/>
        </w:rPr>
      </w:pPr>
    </w:p>
    <w:p w14:paraId="1F2B96E2">
      <w:pPr>
        <w:pStyle w:val="15"/>
        <w:outlineLvl w:val="9"/>
        <w:rPr>
          <w:rFonts w:hint="eastAsia"/>
          <w:color w:val="auto"/>
          <w:highlight w:val="none"/>
        </w:rPr>
        <w:sectPr>
          <w:footerReference r:id="rId8" w:type="first"/>
          <w:headerReference r:id="rId5" w:type="default"/>
          <w:footerReference r:id="rId6" w:type="default"/>
          <w:footerReference r:id="rId7" w:type="even"/>
          <w:pgSz w:w="11906" w:h="16838"/>
          <w:pgMar w:top="1440" w:right="1800" w:bottom="1440" w:left="1800" w:header="851" w:footer="851" w:gutter="0"/>
          <w:pgNumType w:start="1"/>
          <w:cols w:space="720" w:num="1"/>
          <w:titlePg/>
          <w:docGrid w:linePitch="312" w:charSpace="0"/>
        </w:sectPr>
      </w:pPr>
      <w:bookmarkStart w:id="15" w:name="_Toc19698"/>
    </w:p>
    <w:p w14:paraId="4DB20A4A">
      <w:pPr>
        <w:pStyle w:val="4"/>
        <w:bidi w:val="0"/>
        <w:jc w:val="center"/>
        <w:outlineLvl w:val="0"/>
        <w:rPr>
          <w:color w:val="auto"/>
          <w:highlight w:val="none"/>
        </w:rPr>
      </w:pPr>
      <w:bookmarkStart w:id="16" w:name="_Toc4132"/>
      <w:bookmarkStart w:id="17" w:name="_Toc17395"/>
      <w:r>
        <w:rPr>
          <w:rFonts w:hint="eastAsia"/>
          <w:color w:val="auto"/>
          <w:highlight w:val="none"/>
        </w:rPr>
        <w:t xml:space="preserve">第一章 </w:t>
      </w:r>
      <w:bookmarkEnd w:id="6"/>
      <w:bookmarkEnd w:id="7"/>
      <w:bookmarkEnd w:id="8"/>
      <w:bookmarkEnd w:id="9"/>
      <w:bookmarkEnd w:id="10"/>
      <w:bookmarkEnd w:id="11"/>
      <w:r>
        <w:rPr>
          <w:rFonts w:hint="eastAsia"/>
          <w:color w:val="auto"/>
          <w:highlight w:val="none"/>
        </w:rPr>
        <w:t xml:space="preserve"> </w:t>
      </w:r>
      <w:bookmarkStart w:id="18" w:name="_Hlk136547488"/>
      <w:r>
        <w:rPr>
          <w:rFonts w:hint="eastAsia"/>
          <w:color w:val="auto"/>
          <w:highlight w:val="none"/>
        </w:rPr>
        <w:t>竞争性磋商公告</w:t>
      </w:r>
      <w:bookmarkEnd w:id="12"/>
      <w:bookmarkEnd w:id="13"/>
      <w:bookmarkEnd w:id="14"/>
      <w:bookmarkEnd w:id="15"/>
      <w:bookmarkEnd w:id="16"/>
      <w:bookmarkEnd w:id="17"/>
      <w:bookmarkEnd w:id="18"/>
    </w:p>
    <w:p w14:paraId="7E32878D">
      <w:pPr>
        <w:spacing w:line="360" w:lineRule="auto"/>
        <w:ind w:firstLine="566" w:firstLineChars="236"/>
        <w:rPr>
          <w:rFonts w:hint="eastAsia" w:asciiTheme="minorEastAsia" w:hAnsiTheme="minorEastAsia" w:cstheme="minorEastAsia"/>
          <w:color w:val="auto"/>
          <w:sz w:val="24"/>
          <w:szCs w:val="24"/>
          <w:highlight w:val="none"/>
        </w:rPr>
      </w:pPr>
      <w:bookmarkStart w:id="19" w:name="_Toc15597"/>
      <w:bookmarkStart w:id="20" w:name="_Toc22568845"/>
      <w:bookmarkStart w:id="21" w:name="_Toc22953455"/>
      <w:bookmarkStart w:id="22" w:name="_Toc22570552"/>
      <w:bookmarkStart w:id="23" w:name="_Toc498982406"/>
      <w:bookmarkStart w:id="24" w:name="_Toc22724013"/>
      <w:bookmarkStart w:id="25" w:name="_Toc22804133"/>
      <w:r>
        <w:rPr>
          <w:rFonts w:hint="eastAsia" w:asciiTheme="minorEastAsia" w:hAnsiTheme="minorEastAsia" w:cstheme="minorEastAsia"/>
          <w:color w:val="auto"/>
          <w:sz w:val="24"/>
          <w:szCs w:val="24"/>
          <w:highlight w:val="none"/>
        </w:rPr>
        <w:t>项目概况</w:t>
      </w:r>
    </w:p>
    <w:p w14:paraId="0D1F3A47">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eastAsia="zh-CN"/>
        </w:rPr>
        <w:t>渑池县第三小学综合楼多功能室项目</w:t>
      </w:r>
      <w:r>
        <w:rPr>
          <w:rFonts w:hint="eastAsia" w:asciiTheme="minorEastAsia" w:hAnsiTheme="minorEastAsia" w:cstheme="minorEastAsia"/>
          <w:color w:val="auto"/>
          <w:sz w:val="24"/>
          <w:szCs w:val="24"/>
          <w:highlight w:val="none"/>
        </w:rPr>
        <w:t>的潜在供应商应在三门峡市公共资源交易中心网上获取招标文件，并于</w:t>
      </w:r>
      <w:r>
        <w:rPr>
          <w:rFonts w:hint="eastAsia" w:asciiTheme="minorEastAsia" w:hAnsiTheme="minorEastAsia" w:cstheme="minorEastAsia"/>
          <w:color w:val="auto"/>
          <w:sz w:val="24"/>
          <w:szCs w:val="24"/>
          <w:highlight w:val="none"/>
          <w:lang w:eastAsia="zh-CN"/>
        </w:rPr>
        <w:t>2025</w:t>
      </w:r>
      <w:r>
        <w:rPr>
          <w:rFonts w:hint="eastAsia" w:asciiTheme="minorEastAsia" w:hAnsiTheme="minorEastAsia" w:cstheme="minorEastAsia"/>
          <w:color w:val="auto"/>
          <w:sz w:val="24"/>
          <w:szCs w:val="24"/>
          <w:highlight w:val="none"/>
        </w:rPr>
        <w:t>年</w:t>
      </w:r>
      <w:r>
        <w:rPr>
          <w:rFonts w:hint="eastAsia" w:asciiTheme="minorEastAsia" w:hAnsiTheme="minorEastAsia" w:cstheme="minorEastAsia"/>
          <w:color w:val="auto"/>
          <w:sz w:val="24"/>
          <w:szCs w:val="24"/>
          <w:highlight w:val="none"/>
          <w:lang w:val="en-US" w:eastAsia="zh-CN"/>
        </w:rPr>
        <w:t>10</w:t>
      </w:r>
      <w:r>
        <w:rPr>
          <w:rFonts w:hint="eastAsia" w:asciiTheme="minorEastAsia" w:hAnsiTheme="minorEastAsia" w:cstheme="minorEastAsia"/>
          <w:color w:val="auto"/>
          <w:sz w:val="24"/>
          <w:szCs w:val="24"/>
          <w:highlight w:val="none"/>
        </w:rPr>
        <w:t>月</w:t>
      </w:r>
      <w:r>
        <w:rPr>
          <w:rFonts w:hint="eastAsia" w:asciiTheme="minorEastAsia" w:hAnsiTheme="minorEastAsia" w:cstheme="minorEastAsia"/>
          <w:color w:val="auto"/>
          <w:sz w:val="24"/>
          <w:szCs w:val="24"/>
          <w:highlight w:val="none"/>
          <w:lang w:val="en-US" w:eastAsia="zh-CN"/>
        </w:rPr>
        <w:t>15</w:t>
      </w:r>
      <w:r>
        <w:rPr>
          <w:rFonts w:hint="eastAsia" w:asciiTheme="minorEastAsia" w:hAnsiTheme="minorEastAsia" w:cstheme="minorEastAsia"/>
          <w:color w:val="auto"/>
          <w:sz w:val="24"/>
          <w:szCs w:val="24"/>
          <w:highlight w:val="none"/>
        </w:rPr>
        <w:t>日0</w:t>
      </w:r>
      <w:r>
        <w:rPr>
          <w:rFonts w:hint="eastAsia" w:asciiTheme="minorEastAsia" w:hAnsiTheme="minorEastAsia" w:cstheme="minorEastAsia"/>
          <w:color w:val="auto"/>
          <w:sz w:val="24"/>
          <w:szCs w:val="24"/>
          <w:highlight w:val="none"/>
          <w:lang w:val="en-US" w:eastAsia="zh-CN"/>
        </w:rPr>
        <w:t>8</w:t>
      </w:r>
      <w:r>
        <w:rPr>
          <w:rFonts w:hint="eastAsia" w:asciiTheme="minorEastAsia" w:hAnsiTheme="minorEastAsia" w:cstheme="minorEastAsia"/>
          <w:color w:val="auto"/>
          <w:sz w:val="24"/>
          <w:szCs w:val="24"/>
          <w:highlight w:val="none"/>
        </w:rPr>
        <w:t>时</w:t>
      </w:r>
      <w:r>
        <w:rPr>
          <w:rFonts w:hint="eastAsia" w:asciiTheme="minorEastAsia" w:hAnsiTheme="minorEastAsia" w:cstheme="minorEastAsia"/>
          <w:color w:val="auto"/>
          <w:sz w:val="24"/>
          <w:szCs w:val="24"/>
          <w:highlight w:val="none"/>
          <w:lang w:val="en-US" w:eastAsia="zh-CN"/>
        </w:rPr>
        <w:t>2</w:t>
      </w:r>
      <w:r>
        <w:rPr>
          <w:rFonts w:hint="eastAsia" w:asciiTheme="minorEastAsia" w:hAnsiTheme="minorEastAsia" w:cstheme="minorEastAsia"/>
          <w:color w:val="auto"/>
          <w:sz w:val="24"/>
          <w:szCs w:val="24"/>
          <w:highlight w:val="none"/>
        </w:rPr>
        <w:t>0分（</w:t>
      </w:r>
      <w:r>
        <w:rPr>
          <w:rFonts w:hint="eastAsia" w:asciiTheme="minorEastAsia" w:hAnsiTheme="minorEastAsia" w:cstheme="minorEastAsia"/>
          <w:color w:val="auto"/>
          <w:sz w:val="24"/>
          <w:szCs w:val="24"/>
          <w:highlight w:val="none"/>
        </w:rPr>
        <w:t>北京时间）前递交投标文件。</w:t>
      </w:r>
    </w:p>
    <w:p w14:paraId="29E0F23F">
      <w:pPr>
        <w:spacing w:line="360" w:lineRule="auto"/>
        <w:ind w:firstLine="566" w:firstLineChars="236"/>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rPr>
        <w:t>一、项目基本情况</w:t>
      </w:r>
      <w:r>
        <w:rPr>
          <w:rFonts w:hint="eastAsia" w:asciiTheme="minorEastAsia" w:hAnsiTheme="minorEastAsia" w:cstheme="minorEastAsia"/>
          <w:color w:val="auto"/>
          <w:sz w:val="24"/>
          <w:szCs w:val="24"/>
          <w:highlight w:val="none"/>
          <w:lang w:val="en-US" w:eastAsia="zh-CN"/>
        </w:rPr>
        <w:t xml:space="preserve"> </w:t>
      </w:r>
    </w:p>
    <w:p w14:paraId="32557323">
      <w:pPr>
        <w:spacing w:line="360" w:lineRule="auto"/>
        <w:ind w:firstLine="566" w:firstLineChars="236"/>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rPr>
        <w:t>1.采购项目编号：</w:t>
      </w:r>
      <w:r>
        <w:rPr>
          <w:rFonts w:hint="eastAsia" w:asciiTheme="minorEastAsia" w:hAnsiTheme="minorEastAsia" w:cstheme="minorEastAsia"/>
          <w:color w:val="auto"/>
          <w:sz w:val="24"/>
          <w:szCs w:val="24"/>
          <w:highlight w:val="none"/>
          <w:lang w:eastAsia="zh-CN"/>
        </w:rPr>
        <w:t>MCGZ[2025]282-ZC220、渑池竞磋采购-2025-139</w:t>
      </w:r>
    </w:p>
    <w:p w14:paraId="086319D9">
      <w:pPr>
        <w:spacing w:line="360" w:lineRule="auto"/>
        <w:ind w:firstLine="566" w:firstLineChars="236"/>
        <w:rPr>
          <w:rFonts w:hint="eastAsia" w:asciiTheme="minorEastAsia" w:hAnsiTheme="minorEastAsia" w:cstheme="minorEastAsia"/>
          <w:color w:val="auto"/>
          <w:sz w:val="24"/>
          <w:szCs w:val="24"/>
          <w:highlight w:val="none"/>
          <w:lang w:eastAsia="zh-CN"/>
        </w:rPr>
      </w:pPr>
      <w:r>
        <w:rPr>
          <w:rFonts w:hint="eastAsia" w:asciiTheme="minorEastAsia" w:hAnsiTheme="minorEastAsia" w:cstheme="minorEastAsia"/>
          <w:color w:val="auto"/>
          <w:sz w:val="24"/>
          <w:szCs w:val="24"/>
          <w:highlight w:val="none"/>
        </w:rPr>
        <w:t>2.采购项目名称：</w:t>
      </w:r>
      <w:r>
        <w:rPr>
          <w:rFonts w:hint="eastAsia" w:asciiTheme="minorEastAsia" w:hAnsiTheme="minorEastAsia" w:cstheme="minorEastAsia"/>
          <w:color w:val="auto"/>
          <w:sz w:val="24"/>
          <w:szCs w:val="24"/>
          <w:highlight w:val="none"/>
          <w:lang w:eastAsia="zh-CN"/>
        </w:rPr>
        <w:t>渑池县第三小学综合楼多功能室项目</w:t>
      </w:r>
    </w:p>
    <w:p w14:paraId="1519DFE3">
      <w:pPr>
        <w:spacing w:line="360" w:lineRule="auto"/>
        <w:ind w:firstLine="566" w:firstLineChars="236"/>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rPr>
        <w:t>3.采购方式：</w:t>
      </w:r>
      <w:r>
        <w:rPr>
          <w:rFonts w:hint="eastAsia" w:asciiTheme="minorEastAsia" w:hAnsiTheme="minorEastAsia" w:cstheme="minorEastAsia"/>
          <w:color w:val="auto"/>
          <w:sz w:val="24"/>
          <w:szCs w:val="24"/>
          <w:highlight w:val="none"/>
          <w:lang w:val="en-US" w:eastAsia="zh-CN"/>
        </w:rPr>
        <w:t>竞争性磋商</w:t>
      </w:r>
    </w:p>
    <w:p w14:paraId="565B6C07">
      <w:pPr>
        <w:spacing w:line="360" w:lineRule="auto"/>
        <w:ind w:firstLine="566" w:firstLineChars="236"/>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rPr>
        <w:t>4.预算金额：</w:t>
      </w:r>
      <w:r>
        <w:rPr>
          <w:rFonts w:hint="eastAsia" w:asciiTheme="minorEastAsia" w:hAnsiTheme="minorEastAsia" w:cstheme="minorEastAsia"/>
          <w:color w:val="auto"/>
          <w:sz w:val="24"/>
          <w:szCs w:val="24"/>
          <w:highlight w:val="none"/>
          <w:lang w:val="en-US" w:eastAsia="zh-CN"/>
        </w:rPr>
        <w:t>682330.46元</w:t>
      </w:r>
    </w:p>
    <w:p w14:paraId="5D1FB8A9">
      <w:pPr>
        <w:spacing w:line="360" w:lineRule="auto"/>
        <w:ind w:firstLine="566" w:firstLineChars="236"/>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rPr>
        <w:t>最高限价：</w:t>
      </w:r>
      <w:r>
        <w:rPr>
          <w:rFonts w:hint="eastAsia" w:asciiTheme="minorEastAsia" w:hAnsiTheme="minorEastAsia" w:cstheme="minorEastAsia"/>
          <w:color w:val="auto"/>
          <w:sz w:val="24"/>
          <w:szCs w:val="24"/>
          <w:highlight w:val="none"/>
          <w:lang w:val="en-US" w:eastAsia="zh-CN"/>
        </w:rPr>
        <w:t>682330.46元</w:t>
      </w:r>
    </w:p>
    <w:tbl>
      <w:tblPr>
        <w:tblStyle w:val="21"/>
        <w:tblW w:w="9555"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2"/>
        <w:gridCol w:w="2741"/>
        <w:gridCol w:w="2416"/>
        <w:gridCol w:w="1532"/>
        <w:gridCol w:w="2034"/>
      </w:tblGrid>
      <w:tr w14:paraId="4F0E1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Align w:val="center"/>
          </w:tcPr>
          <w:p w14:paraId="4EE422F3">
            <w:pPr>
              <w:spacing w:line="360" w:lineRule="auto"/>
              <w:jc w:val="center"/>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序号</w:t>
            </w:r>
          </w:p>
        </w:tc>
        <w:tc>
          <w:tcPr>
            <w:tcW w:w="2741" w:type="dxa"/>
            <w:vAlign w:val="center"/>
          </w:tcPr>
          <w:p w14:paraId="03C219CA">
            <w:pPr>
              <w:spacing w:line="360" w:lineRule="auto"/>
              <w:ind w:firstLine="566" w:firstLineChars="236"/>
              <w:jc w:val="center"/>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包号</w:t>
            </w:r>
          </w:p>
        </w:tc>
        <w:tc>
          <w:tcPr>
            <w:tcW w:w="2416" w:type="dxa"/>
            <w:vAlign w:val="center"/>
          </w:tcPr>
          <w:p w14:paraId="15BA6253">
            <w:pPr>
              <w:spacing w:line="360" w:lineRule="auto"/>
              <w:ind w:firstLine="566" w:firstLineChars="236"/>
              <w:jc w:val="center"/>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包名称</w:t>
            </w:r>
          </w:p>
        </w:tc>
        <w:tc>
          <w:tcPr>
            <w:tcW w:w="1532" w:type="dxa"/>
            <w:vAlign w:val="center"/>
          </w:tcPr>
          <w:p w14:paraId="078D2E3D">
            <w:pPr>
              <w:spacing w:line="360" w:lineRule="auto"/>
              <w:jc w:val="both"/>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包预算（元）</w:t>
            </w:r>
          </w:p>
        </w:tc>
        <w:tc>
          <w:tcPr>
            <w:tcW w:w="2034" w:type="dxa"/>
            <w:vAlign w:val="center"/>
          </w:tcPr>
          <w:p w14:paraId="7C7AADEA">
            <w:pPr>
              <w:spacing w:line="360" w:lineRule="auto"/>
              <w:jc w:val="both"/>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包最高限价（元）</w:t>
            </w:r>
          </w:p>
        </w:tc>
      </w:tr>
      <w:tr w14:paraId="0D270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Align w:val="center"/>
          </w:tcPr>
          <w:p w14:paraId="0C99A513">
            <w:pPr>
              <w:spacing w:line="360" w:lineRule="auto"/>
              <w:jc w:val="center"/>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w:t>
            </w:r>
          </w:p>
        </w:tc>
        <w:tc>
          <w:tcPr>
            <w:tcW w:w="2741" w:type="dxa"/>
            <w:vAlign w:val="center"/>
          </w:tcPr>
          <w:p w14:paraId="6F22110B">
            <w:pPr>
              <w:spacing w:line="360" w:lineRule="auto"/>
              <w:jc w:val="both"/>
              <w:rPr>
                <w:rFonts w:hint="eastAsia" w:asciiTheme="minorEastAsia" w:hAnsiTheme="minorEastAsia" w:cstheme="minorEastAsia"/>
                <w:color w:val="auto"/>
                <w:sz w:val="24"/>
                <w:szCs w:val="24"/>
                <w:highlight w:val="none"/>
                <w:lang w:eastAsia="zh-CN"/>
              </w:rPr>
            </w:pPr>
            <w:r>
              <w:rPr>
                <w:rFonts w:hint="eastAsia" w:asciiTheme="minorEastAsia" w:hAnsiTheme="minorEastAsia" w:cstheme="minorEastAsia"/>
                <w:color w:val="auto"/>
                <w:sz w:val="24"/>
                <w:szCs w:val="24"/>
                <w:highlight w:val="none"/>
                <w:lang w:val="en-US" w:eastAsia="zh-CN"/>
              </w:rPr>
              <w:t>MCGZ[2025]282-ZC220</w:t>
            </w:r>
          </w:p>
        </w:tc>
        <w:tc>
          <w:tcPr>
            <w:tcW w:w="2416" w:type="dxa"/>
            <w:vAlign w:val="center"/>
          </w:tcPr>
          <w:p w14:paraId="3CCBA3BF">
            <w:pPr>
              <w:spacing w:line="360" w:lineRule="auto"/>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eastAsia="zh-CN"/>
              </w:rPr>
              <w:t>渑池县第三小学综合楼多功能室项目</w:t>
            </w:r>
          </w:p>
        </w:tc>
        <w:tc>
          <w:tcPr>
            <w:tcW w:w="1532" w:type="dxa"/>
            <w:vAlign w:val="center"/>
          </w:tcPr>
          <w:p w14:paraId="27347C23">
            <w:pPr>
              <w:spacing w:line="360" w:lineRule="auto"/>
              <w:jc w:val="center"/>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682330.46</w:t>
            </w:r>
          </w:p>
        </w:tc>
        <w:tc>
          <w:tcPr>
            <w:tcW w:w="2034" w:type="dxa"/>
            <w:vAlign w:val="center"/>
          </w:tcPr>
          <w:p w14:paraId="371086CF">
            <w:pPr>
              <w:spacing w:line="360" w:lineRule="auto"/>
              <w:jc w:val="center"/>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682330.46</w:t>
            </w:r>
          </w:p>
        </w:tc>
      </w:tr>
    </w:tbl>
    <w:p w14:paraId="1F72ACC4">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5.采购需求（包括但不限于标的的名称、数量、简要技术需求或服务要等）：</w:t>
      </w:r>
    </w:p>
    <w:p w14:paraId="12A0E2FB">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5.1采购范围：</w:t>
      </w:r>
      <w:r>
        <w:rPr>
          <w:rFonts w:hint="eastAsia" w:asciiTheme="minorEastAsia" w:hAnsiTheme="minorEastAsia" w:cstheme="minorEastAsia"/>
          <w:color w:val="auto"/>
          <w:sz w:val="24"/>
          <w:szCs w:val="24"/>
          <w:highlight w:val="none"/>
          <w:lang w:eastAsia="zh-CN"/>
        </w:rPr>
        <w:t>采购</w:t>
      </w:r>
      <w:r>
        <w:rPr>
          <w:rFonts w:hint="eastAsia" w:asciiTheme="minorEastAsia" w:hAnsiTheme="minorEastAsia" w:cstheme="minorEastAsia"/>
          <w:color w:val="auto"/>
          <w:sz w:val="24"/>
          <w:szCs w:val="24"/>
          <w:highlight w:val="none"/>
          <w:lang w:val="en-US" w:eastAsia="zh-CN"/>
        </w:rPr>
        <w:t>多功能室扩声系统、灯光系统、显示屏、中控系统等</w:t>
      </w:r>
      <w:r>
        <w:rPr>
          <w:rFonts w:hint="eastAsia" w:asciiTheme="minorEastAsia" w:hAnsiTheme="minorEastAsia" w:cstheme="minorEastAsia"/>
          <w:color w:val="auto"/>
          <w:sz w:val="24"/>
          <w:szCs w:val="24"/>
          <w:highlight w:val="none"/>
        </w:rPr>
        <w:t>。（详见第五章技术参数）。</w:t>
      </w:r>
    </w:p>
    <w:p w14:paraId="07D80BEB">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5.2预算金额：</w:t>
      </w:r>
      <w:r>
        <w:rPr>
          <w:rFonts w:hint="eastAsia" w:asciiTheme="minorEastAsia" w:hAnsiTheme="minorEastAsia" w:cstheme="minorEastAsia"/>
          <w:color w:val="auto"/>
          <w:sz w:val="24"/>
          <w:szCs w:val="24"/>
          <w:highlight w:val="none"/>
          <w:lang w:val="en-US" w:eastAsia="zh-CN"/>
        </w:rPr>
        <w:t>682330.46元</w:t>
      </w:r>
    </w:p>
    <w:p w14:paraId="07DC9BCA">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5.3资金来源：</w:t>
      </w:r>
      <w:r>
        <w:rPr>
          <w:rFonts w:hint="eastAsia" w:asciiTheme="minorEastAsia" w:hAnsiTheme="minorEastAsia" w:cstheme="minorEastAsia"/>
          <w:color w:val="auto"/>
          <w:sz w:val="24"/>
          <w:szCs w:val="24"/>
          <w:highlight w:val="none"/>
          <w:lang w:val="en-US" w:eastAsia="zh-CN"/>
        </w:rPr>
        <w:t>财政</w:t>
      </w:r>
      <w:r>
        <w:rPr>
          <w:rFonts w:hint="eastAsia" w:asciiTheme="minorEastAsia" w:hAnsiTheme="minorEastAsia" w:cstheme="minorEastAsia"/>
          <w:color w:val="auto"/>
          <w:sz w:val="24"/>
          <w:szCs w:val="24"/>
          <w:highlight w:val="none"/>
        </w:rPr>
        <w:t>资金，已落实。</w:t>
      </w:r>
    </w:p>
    <w:p w14:paraId="38C3C673">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5.4质量要求：</w:t>
      </w:r>
      <w:r>
        <w:rPr>
          <w:rFonts w:hint="eastAsia" w:asciiTheme="minorEastAsia" w:hAnsiTheme="minorEastAsia" w:cstheme="minorEastAsia"/>
          <w:color w:val="auto"/>
          <w:sz w:val="24"/>
          <w:szCs w:val="24"/>
          <w:highlight w:val="none"/>
          <w:lang w:val="en-US" w:eastAsia="zh-CN"/>
        </w:rPr>
        <w:t>合格</w:t>
      </w:r>
      <w:r>
        <w:rPr>
          <w:rFonts w:hint="eastAsia" w:asciiTheme="minorEastAsia" w:hAnsiTheme="minorEastAsia" w:cstheme="minorEastAsia"/>
          <w:color w:val="auto"/>
          <w:sz w:val="24"/>
          <w:szCs w:val="24"/>
          <w:highlight w:val="none"/>
        </w:rPr>
        <w:t>。</w:t>
      </w:r>
    </w:p>
    <w:p w14:paraId="24F692B2">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5.5</w:t>
      </w:r>
      <w:r>
        <w:rPr>
          <w:rFonts w:hint="eastAsia" w:asciiTheme="minorEastAsia" w:hAnsiTheme="minorEastAsia" w:cstheme="minorEastAsia"/>
          <w:color w:val="auto"/>
          <w:sz w:val="24"/>
          <w:szCs w:val="24"/>
          <w:highlight w:val="none"/>
          <w:lang w:eastAsia="zh-CN"/>
        </w:rPr>
        <w:t>供货期</w:t>
      </w:r>
      <w:r>
        <w:rPr>
          <w:rFonts w:hint="eastAsia" w:asciiTheme="minorEastAsia" w:hAnsiTheme="minorEastAsia" w:cstheme="minorEastAsia"/>
          <w:color w:val="auto"/>
          <w:sz w:val="24"/>
          <w:szCs w:val="24"/>
          <w:highlight w:val="none"/>
        </w:rPr>
        <w:t>：自合同签订之日起</w:t>
      </w:r>
      <w:r>
        <w:rPr>
          <w:rFonts w:hint="eastAsia" w:asciiTheme="minorEastAsia" w:hAnsiTheme="minorEastAsia" w:cstheme="minorEastAsia"/>
          <w:color w:val="auto"/>
          <w:sz w:val="24"/>
          <w:szCs w:val="24"/>
          <w:highlight w:val="none"/>
          <w:lang w:val="en-US" w:eastAsia="zh-CN"/>
        </w:rPr>
        <w:t>30日历天内</w:t>
      </w:r>
      <w:r>
        <w:rPr>
          <w:rFonts w:hint="eastAsia" w:asciiTheme="minorEastAsia" w:hAnsiTheme="minorEastAsia" w:cstheme="minorEastAsia"/>
          <w:color w:val="auto"/>
          <w:sz w:val="24"/>
          <w:szCs w:val="24"/>
          <w:highlight w:val="none"/>
        </w:rPr>
        <w:t>。</w:t>
      </w:r>
    </w:p>
    <w:p w14:paraId="3456BD63">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5.</w:t>
      </w:r>
      <w:r>
        <w:rPr>
          <w:rFonts w:hint="eastAsia" w:asciiTheme="minorEastAsia" w:hAnsiTheme="minorEastAsia" w:cstheme="minorEastAsia"/>
          <w:color w:val="auto"/>
          <w:sz w:val="24"/>
          <w:szCs w:val="24"/>
          <w:highlight w:val="none"/>
          <w:lang w:val="en-US" w:eastAsia="zh-CN"/>
        </w:rPr>
        <w:t>6</w:t>
      </w:r>
      <w:r>
        <w:rPr>
          <w:rFonts w:hint="eastAsia" w:asciiTheme="minorEastAsia" w:hAnsiTheme="minorEastAsia" w:cstheme="minorEastAsia"/>
          <w:color w:val="auto"/>
          <w:sz w:val="24"/>
          <w:szCs w:val="24"/>
          <w:highlight w:val="none"/>
        </w:rPr>
        <w:t>交货地点：采购人指定地点。</w:t>
      </w:r>
    </w:p>
    <w:p w14:paraId="05CA86A5">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6.合同履行期限：自合同签订之日起</w:t>
      </w:r>
      <w:r>
        <w:rPr>
          <w:rFonts w:hint="eastAsia" w:asciiTheme="minorEastAsia" w:hAnsiTheme="minorEastAsia" w:cstheme="minorEastAsia"/>
          <w:color w:val="auto"/>
          <w:sz w:val="24"/>
          <w:szCs w:val="24"/>
          <w:highlight w:val="none"/>
          <w:lang w:val="en-US" w:eastAsia="zh-CN"/>
        </w:rPr>
        <w:t>30日历天内</w:t>
      </w:r>
      <w:r>
        <w:rPr>
          <w:rFonts w:hint="eastAsia" w:asciiTheme="minorEastAsia" w:hAnsiTheme="minorEastAsia" w:cstheme="minorEastAsia"/>
          <w:color w:val="auto"/>
          <w:sz w:val="24"/>
          <w:szCs w:val="24"/>
          <w:highlight w:val="none"/>
        </w:rPr>
        <w:t>。</w:t>
      </w:r>
    </w:p>
    <w:p w14:paraId="2C549DCE">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7.本项目是否接受联合体投标：否</w:t>
      </w:r>
    </w:p>
    <w:p w14:paraId="7F0B9A2F">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8.是否接受进口产品：否</w:t>
      </w:r>
    </w:p>
    <w:p w14:paraId="14D207E7">
      <w:pPr>
        <w:spacing w:line="360" w:lineRule="auto"/>
        <w:ind w:firstLine="566" w:firstLineChars="236"/>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cstheme="minorEastAsia"/>
          <w:color w:val="auto"/>
          <w:sz w:val="24"/>
          <w:szCs w:val="24"/>
          <w:highlight w:val="none"/>
        </w:rPr>
        <w:t>9.是否专门面向中小企业：</w:t>
      </w:r>
      <w:r>
        <w:rPr>
          <w:rFonts w:hint="eastAsia" w:asciiTheme="minorEastAsia" w:hAnsiTheme="minorEastAsia" w:cstheme="minorEastAsia"/>
          <w:color w:val="auto"/>
          <w:sz w:val="24"/>
          <w:szCs w:val="24"/>
          <w:highlight w:val="none"/>
          <w:lang w:val="en-US" w:eastAsia="zh-CN"/>
        </w:rPr>
        <w:t>否</w:t>
      </w:r>
    </w:p>
    <w:p w14:paraId="78457B5D">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二、供应商资格要求</w:t>
      </w:r>
    </w:p>
    <w:p w14:paraId="16C19402">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1.满足《中华人民共和国政府采购法》第二十二条规定：</w:t>
      </w:r>
    </w:p>
    <w:p w14:paraId="5B7B3406">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2.落实政府采购政策满足的资格要求：</w:t>
      </w:r>
      <w:r>
        <w:rPr>
          <w:rFonts w:hint="eastAsia" w:ascii="宋体" w:hAnsi="宋体" w:cs="宋体"/>
          <w:color w:val="auto"/>
          <w:sz w:val="24"/>
          <w:szCs w:val="24"/>
          <w:highlight w:val="none"/>
          <w:lang w:eastAsia="zh-CN"/>
        </w:rPr>
        <w:t>本项目非专门面向中小微企业采购项目，执行优先采购节能环保、环境标志性产品，促进中小企业（监狱企业、残疾人福利性企业）发展等政府采购政策。</w:t>
      </w:r>
      <w:r>
        <w:rPr>
          <w:rFonts w:hint="eastAsia" w:asciiTheme="minorEastAsia" w:hAnsiTheme="minorEastAsia" w:cstheme="minorEastAsia"/>
          <w:color w:val="auto"/>
          <w:sz w:val="24"/>
          <w:szCs w:val="24"/>
          <w:highlight w:val="none"/>
        </w:rPr>
        <w:t>。</w:t>
      </w:r>
    </w:p>
    <w:p w14:paraId="3F30C7FA">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3.本项目的特定资格要求：</w:t>
      </w:r>
    </w:p>
    <w:p w14:paraId="271B976A">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3.</w:t>
      </w:r>
      <w:r>
        <w:rPr>
          <w:rFonts w:hint="eastAsia" w:asciiTheme="minorEastAsia" w:hAnsiTheme="minorEastAsia" w:cstheme="minorEastAsia"/>
          <w:color w:val="auto"/>
          <w:sz w:val="24"/>
          <w:szCs w:val="24"/>
          <w:highlight w:val="none"/>
        </w:rPr>
        <w:t>1供应商具有有效的营业执照；</w:t>
      </w:r>
    </w:p>
    <w:p w14:paraId="255F99EB">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3</w:t>
      </w:r>
      <w:r>
        <w:rPr>
          <w:rFonts w:hint="eastAsia" w:asciiTheme="minorEastAsia" w:hAnsiTheme="minorEastAsia" w:cstheme="minorEastAsia"/>
          <w:color w:val="auto"/>
          <w:sz w:val="24"/>
          <w:szCs w:val="24"/>
          <w:highlight w:val="none"/>
          <w:lang w:val="en-US" w:eastAsia="zh-CN"/>
        </w:rPr>
        <w:t>.2</w:t>
      </w:r>
      <w:r>
        <w:rPr>
          <w:rFonts w:hint="eastAsia" w:asciiTheme="minorEastAsia" w:hAnsiTheme="minorEastAsia" w:cstheme="minorEastAsia"/>
          <w:color w:val="auto"/>
          <w:sz w:val="24"/>
          <w:szCs w:val="24"/>
          <w:highlight w:val="none"/>
        </w:rPr>
        <w:t>供应商出具无行贿犯罪记录，在中国裁判文书网自行查询或自行承诺（查询对象：企业、法定代表人）；</w:t>
      </w:r>
    </w:p>
    <w:p w14:paraId="51F3C608">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3.3</w:t>
      </w:r>
      <w:r>
        <w:rPr>
          <w:rFonts w:hint="eastAsia" w:asciiTheme="minorEastAsia" w:hAnsiTheme="minorEastAsia" w:cstheme="minorEastAsia"/>
          <w:color w:val="auto"/>
          <w:sz w:val="24"/>
          <w:szCs w:val="24"/>
          <w:highlight w:val="none"/>
        </w:rPr>
        <w:t>供应商需提供无商业贿赂及无不正当竞争行为的承诺书；</w:t>
      </w:r>
    </w:p>
    <w:p w14:paraId="609F91C7">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3.</w:t>
      </w:r>
      <w:bookmarkStart w:id="26" w:name="_Hlk139301777"/>
      <w:r>
        <w:rPr>
          <w:rFonts w:hint="eastAsia" w:asciiTheme="minorEastAsia" w:hAnsiTheme="minorEastAsia" w:cstheme="minorEastAsia"/>
          <w:color w:val="auto"/>
          <w:sz w:val="24"/>
          <w:szCs w:val="24"/>
          <w:highlight w:val="none"/>
          <w:lang w:val="en-US" w:eastAsia="zh-CN"/>
        </w:rPr>
        <w:t>4</w:t>
      </w:r>
      <w:r>
        <w:rPr>
          <w:rFonts w:hint="eastAsia" w:asciiTheme="minorEastAsia" w:hAnsiTheme="minorEastAsia" w:cstheme="minorEastAsia"/>
          <w:color w:val="auto"/>
          <w:sz w:val="24"/>
          <w:szCs w:val="24"/>
          <w:highlight w:val="none"/>
        </w:rPr>
        <w:t>未列入“中国执行信息公开网”http://zxgk.court.gov.cn/shixin网站的“失信被执行人”名单、“信用中国”www.creditchina.gov.cn网站的“重大税收违法失信主体”及中国政府采购网”www.ccgp.gov.cn网站的“政府采购严重违法失信行为记录名单”；（提供“中国执行信息公开网”、“信用中国”和“中国政府采购网”网站的查询信息截图，加盖单位公章，截图需显示查询时间，查询时间：自公告发布之日起至投标截止时间前）；</w:t>
      </w:r>
      <w:bookmarkEnd w:id="26"/>
    </w:p>
    <w:p w14:paraId="301BE761">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3.5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日期为本项目公告发布之后至开标截止时间止））</w:t>
      </w:r>
      <w:r>
        <w:rPr>
          <w:rFonts w:hint="eastAsia" w:asciiTheme="minorEastAsia" w:hAnsiTheme="minorEastAsia" w:cstheme="minorEastAsia"/>
          <w:color w:val="auto"/>
          <w:sz w:val="24"/>
          <w:szCs w:val="24"/>
          <w:highlight w:val="none"/>
        </w:rPr>
        <w:t>；</w:t>
      </w:r>
    </w:p>
    <w:p w14:paraId="072345A2">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3.6</w:t>
      </w:r>
      <w:r>
        <w:rPr>
          <w:rFonts w:hint="eastAsia" w:asciiTheme="minorEastAsia" w:hAnsiTheme="minorEastAsia" w:cstheme="minorEastAsia"/>
          <w:color w:val="auto"/>
          <w:sz w:val="24"/>
          <w:szCs w:val="24"/>
          <w:highlight w:val="none"/>
        </w:rPr>
        <w:t>本项目不接受联合体投标</w:t>
      </w:r>
      <w:r>
        <w:rPr>
          <w:rFonts w:hint="eastAsia" w:asciiTheme="minorEastAsia" w:hAnsiTheme="minorEastAsia" w:cstheme="minorEastAsia"/>
          <w:color w:val="auto"/>
          <w:sz w:val="24"/>
          <w:szCs w:val="24"/>
          <w:highlight w:val="none"/>
          <w:lang w:eastAsia="zh-CN"/>
        </w:rPr>
        <w:t>，</w:t>
      </w:r>
      <w:r>
        <w:rPr>
          <w:rFonts w:hint="eastAsia" w:asciiTheme="minorEastAsia" w:hAnsiTheme="minorEastAsia" w:cstheme="minorEastAsia"/>
          <w:color w:val="auto"/>
          <w:sz w:val="24"/>
          <w:szCs w:val="24"/>
          <w:highlight w:val="none"/>
        </w:rPr>
        <w:t>提供非联合体</w:t>
      </w:r>
      <w:r>
        <w:rPr>
          <w:rFonts w:hint="eastAsia" w:asciiTheme="minorEastAsia" w:hAnsiTheme="minorEastAsia" w:cstheme="minorEastAsia"/>
          <w:color w:val="auto"/>
          <w:sz w:val="24"/>
          <w:szCs w:val="24"/>
          <w:highlight w:val="none"/>
          <w:lang w:val="en-US" w:eastAsia="zh-CN"/>
        </w:rPr>
        <w:t>投标</w:t>
      </w:r>
      <w:r>
        <w:rPr>
          <w:rFonts w:hint="eastAsia" w:asciiTheme="minorEastAsia" w:hAnsiTheme="minorEastAsia" w:cstheme="minorEastAsia"/>
          <w:color w:val="auto"/>
          <w:sz w:val="24"/>
          <w:szCs w:val="24"/>
          <w:highlight w:val="none"/>
        </w:rPr>
        <w:t>承诺，格式自拟。</w:t>
      </w:r>
    </w:p>
    <w:p w14:paraId="4DF269FC">
      <w:pPr>
        <w:widowControl/>
        <w:spacing w:line="360" w:lineRule="auto"/>
        <w:ind w:firstLine="482" w:firstLineChars="200"/>
        <w:jc w:val="left"/>
        <w:rPr>
          <w:rFonts w:ascii="宋体" w:hAnsi="宋体" w:eastAsia="宋体" w:cs="宋体"/>
          <w:b/>
          <w:color w:val="auto"/>
          <w:kern w:val="0"/>
          <w:sz w:val="24"/>
          <w:highlight w:val="none"/>
          <w:lang w:bidi="ar"/>
        </w:rPr>
      </w:pPr>
      <w:r>
        <w:rPr>
          <w:rFonts w:hint="eastAsia" w:ascii="宋体" w:hAnsi="宋体" w:eastAsia="宋体" w:cs="宋体"/>
          <w:b/>
          <w:color w:val="auto"/>
          <w:kern w:val="0"/>
          <w:sz w:val="24"/>
          <w:highlight w:val="none"/>
          <w:lang w:bidi="ar"/>
        </w:rPr>
        <w:t>注：本次磋商实行资格后审，资格评审以投标文件为准，其上传资料真实性由供应商自行承担，同时供应商要完善主体库。</w:t>
      </w:r>
    </w:p>
    <w:p w14:paraId="7194BED6">
      <w:pPr>
        <w:spacing w:line="360" w:lineRule="auto"/>
        <w:ind w:firstLine="566" w:firstLineChars="236"/>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三、获取</w:t>
      </w:r>
      <w:r>
        <w:rPr>
          <w:rFonts w:hint="eastAsia" w:asciiTheme="minorEastAsia" w:hAnsiTheme="minorEastAsia" w:cstheme="minorEastAsia"/>
          <w:color w:val="auto"/>
          <w:sz w:val="24"/>
          <w:szCs w:val="24"/>
          <w:highlight w:val="none"/>
          <w:lang w:val="en-US" w:eastAsia="zh-CN"/>
        </w:rPr>
        <w:t>竞争性磋商</w:t>
      </w:r>
      <w:r>
        <w:rPr>
          <w:rFonts w:hint="eastAsia" w:asciiTheme="minorEastAsia" w:hAnsiTheme="minorEastAsia" w:cstheme="minorEastAsia"/>
          <w:color w:val="auto"/>
          <w:sz w:val="24"/>
          <w:szCs w:val="24"/>
          <w:highlight w:val="none"/>
        </w:rPr>
        <w:t>文件</w:t>
      </w:r>
    </w:p>
    <w:p w14:paraId="016D0272">
      <w:pPr>
        <w:spacing w:line="360" w:lineRule="auto"/>
        <w:ind w:firstLine="566" w:firstLineChars="236"/>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1.时间：2025年9月27日至2025年10月14日，</w:t>
      </w:r>
      <w:r>
        <w:rPr>
          <w:rFonts w:hint="eastAsia" w:asciiTheme="minorEastAsia" w:hAnsiTheme="minorEastAsia" w:cstheme="minorEastAsia"/>
          <w:color w:val="auto"/>
          <w:sz w:val="24"/>
          <w:szCs w:val="24"/>
          <w:highlight w:val="none"/>
          <w:lang w:val="en-US" w:eastAsia="zh-CN"/>
        </w:rPr>
        <w:t>每天上午00:00至12:00，下午12:00至23:59（北京时间，法定节假日除外。）</w:t>
      </w:r>
    </w:p>
    <w:p w14:paraId="50221029">
      <w:pPr>
        <w:spacing w:line="360" w:lineRule="auto"/>
        <w:ind w:firstLine="566" w:firstLineChars="236"/>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2.地点：三门峡市公共资源交易中心网</w:t>
      </w:r>
    </w:p>
    <w:p w14:paraId="114DC8F0">
      <w:pPr>
        <w:spacing w:line="360" w:lineRule="auto"/>
        <w:ind w:firstLine="566" w:firstLineChars="236"/>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3.方式：供应商凭CA数字证书通过三门峡市公共资源交易中心网（网址：http://gzjy.smx.gov.cn/），点击交易平台选择“市场主体登录”，登陆系统后，点击采购业务-业务管理-招标文件领取菜单-点击领取按钮-领取.smxzf格式的电子招标文件。</w:t>
      </w:r>
    </w:p>
    <w:p w14:paraId="27C90915">
      <w:pPr>
        <w:spacing w:line="360" w:lineRule="auto"/>
        <w:ind w:left="563" w:leftChars="268"/>
        <w:jc w:val="left"/>
        <w:rPr>
          <w:rFonts w:asciiTheme="minorEastAsia" w:hAnsiTheme="minorEastAsia" w:cstheme="minorEastAsia"/>
          <w:color w:val="auto"/>
          <w:highlight w:val="none"/>
        </w:rPr>
      </w:pPr>
      <w:r>
        <w:rPr>
          <w:rFonts w:hint="eastAsia" w:asciiTheme="minorEastAsia" w:hAnsiTheme="minorEastAsia" w:cstheme="minorEastAsia"/>
          <w:color w:val="auto"/>
          <w:sz w:val="24"/>
          <w:szCs w:val="24"/>
          <w:highlight w:val="none"/>
        </w:rPr>
        <w:t>办理CA证书：http://gzjy.smx.gov.cn/bzzx/008001/20231102/4defc9b5-408e-47f2-9e9f-1f376a06ee1f.html</w:t>
      </w:r>
    </w:p>
    <w:p w14:paraId="5BF9735F">
      <w:pPr>
        <w:spacing w:line="360" w:lineRule="auto"/>
        <w:ind w:firstLine="566" w:firstLineChars="236"/>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4.售价：0元</w:t>
      </w:r>
    </w:p>
    <w:p w14:paraId="021BC855">
      <w:pPr>
        <w:spacing w:line="360" w:lineRule="auto"/>
        <w:ind w:firstLine="566" w:firstLineChars="236"/>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四、投标截止时间(投标文件递交截止时间)及地点</w:t>
      </w:r>
    </w:p>
    <w:p w14:paraId="4E201E7C">
      <w:pPr>
        <w:spacing w:line="360" w:lineRule="auto"/>
        <w:ind w:firstLine="566" w:firstLineChars="236"/>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1.时间：</w:t>
      </w:r>
      <w:r>
        <w:rPr>
          <w:rFonts w:hint="eastAsia" w:asciiTheme="minorEastAsia" w:hAnsiTheme="minorEastAsia" w:cstheme="minorEastAsia"/>
          <w:color w:val="auto"/>
          <w:sz w:val="24"/>
          <w:szCs w:val="24"/>
          <w:highlight w:val="none"/>
          <w:lang w:eastAsia="zh-CN"/>
        </w:rPr>
        <w:t>20</w:t>
      </w:r>
      <w:r>
        <w:rPr>
          <w:rFonts w:hint="eastAsia" w:asciiTheme="minorEastAsia" w:hAnsiTheme="minorEastAsia" w:cstheme="minorEastAsia"/>
          <w:color w:val="auto"/>
          <w:sz w:val="24"/>
          <w:szCs w:val="24"/>
          <w:highlight w:val="none"/>
          <w:lang w:eastAsia="zh-CN"/>
        </w:rPr>
        <w:t>25</w:t>
      </w:r>
      <w:r>
        <w:rPr>
          <w:rFonts w:hint="eastAsia" w:asciiTheme="minorEastAsia" w:hAnsiTheme="minorEastAsia" w:cstheme="minorEastAsia"/>
          <w:color w:val="auto"/>
          <w:sz w:val="24"/>
          <w:szCs w:val="24"/>
          <w:highlight w:val="none"/>
        </w:rPr>
        <w:t>年</w:t>
      </w:r>
      <w:r>
        <w:rPr>
          <w:rFonts w:hint="eastAsia" w:asciiTheme="minorEastAsia" w:hAnsiTheme="minorEastAsia" w:cstheme="minorEastAsia"/>
          <w:color w:val="auto"/>
          <w:sz w:val="24"/>
          <w:szCs w:val="24"/>
          <w:highlight w:val="none"/>
          <w:lang w:val="en-US" w:eastAsia="zh-CN"/>
        </w:rPr>
        <w:t>10</w:t>
      </w:r>
      <w:r>
        <w:rPr>
          <w:rFonts w:hint="eastAsia" w:asciiTheme="minorEastAsia" w:hAnsiTheme="minorEastAsia" w:cstheme="minorEastAsia"/>
          <w:color w:val="auto"/>
          <w:sz w:val="24"/>
          <w:szCs w:val="24"/>
          <w:highlight w:val="none"/>
        </w:rPr>
        <w:t>月</w:t>
      </w:r>
      <w:r>
        <w:rPr>
          <w:rFonts w:hint="eastAsia" w:asciiTheme="minorEastAsia" w:hAnsiTheme="minorEastAsia" w:cstheme="minorEastAsia"/>
          <w:color w:val="auto"/>
          <w:sz w:val="24"/>
          <w:szCs w:val="24"/>
          <w:highlight w:val="none"/>
          <w:lang w:val="en-US" w:eastAsia="zh-CN"/>
        </w:rPr>
        <w:t>15</w:t>
      </w:r>
      <w:r>
        <w:rPr>
          <w:rFonts w:hint="eastAsia" w:asciiTheme="minorEastAsia" w:hAnsiTheme="minorEastAsia" w:cstheme="minorEastAsia"/>
          <w:color w:val="auto"/>
          <w:sz w:val="24"/>
          <w:szCs w:val="24"/>
          <w:highlight w:val="none"/>
        </w:rPr>
        <w:t>日0</w:t>
      </w:r>
      <w:r>
        <w:rPr>
          <w:rFonts w:hint="eastAsia" w:asciiTheme="minorEastAsia" w:hAnsiTheme="minorEastAsia" w:cstheme="minorEastAsia"/>
          <w:color w:val="auto"/>
          <w:sz w:val="24"/>
          <w:szCs w:val="24"/>
          <w:highlight w:val="none"/>
          <w:lang w:val="en-US" w:eastAsia="zh-CN"/>
        </w:rPr>
        <w:t>8</w:t>
      </w:r>
      <w:r>
        <w:rPr>
          <w:rFonts w:hint="eastAsia" w:asciiTheme="minorEastAsia" w:hAnsiTheme="minorEastAsia" w:cstheme="minorEastAsia"/>
          <w:color w:val="auto"/>
          <w:sz w:val="24"/>
          <w:szCs w:val="24"/>
          <w:highlight w:val="none"/>
        </w:rPr>
        <w:t>时</w:t>
      </w:r>
      <w:r>
        <w:rPr>
          <w:rFonts w:hint="eastAsia" w:asciiTheme="minorEastAsia" w:hAnsiTheme="minorEastAsia" w:cstheme="minorEastAsia"/>
          <w:color w:val="auto"/>
          <w:sz w:val="24"/>
          <w:szCs w:val="24"/>
          <w:highlight w:val="none"/>
          <w:lang w:val="en-US" w:eastAsia="zh-CN"/>
        </w:rPr>
        <w:t>2</w:t>
      </w:r>
      <w:r>
        <w:rPr>
          <w:rFonts w:hint="eastAsia" w:asciiTheme="minorEastAsia" w:hAnsiTheme="minorEastAsia" w:cstheme="minorEastAsia"/>
          <w:color w:val="auto"/>
          <w:sz w:val="24"/>
          <w:szCs w:val="24"/>
          <w:highlight w:val="none"/>
        </w:rPr>
        <w:t>0</w:t>
      </w:r>
      <w:r>
        <w:rPr>
          <w:rFonts w:hint="eastAsia" w:asciiTheme="minorEastAsia" w:hAnsiTheme="minorEastAsia" w:cstheme="minorEastAsia"/>
          <w:color w:val="auto"/>
          <w:sz w:val="24"/>
          <w:szCs w:val="24"/>
          <w:highlight w:val="none"/>
        </w:rPr>
        <w:t>分。</w:t>
      </w:r>
    </w:p>
    <w:p w14:paraId="7C7197CD">
      <w:pPr>
        <w:spacing w:line="360" w:lineRule="auto"/>
        <w:ind w:firstLine="566" w:firstLineChars="236"/>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2.地点：加密电子投标文件须在投标截止时间前通过三门峡市公共资源交易中心电子交易平台加密上传。</w:t>
      </w:r>
    </w:p>
    <w:p w14:paraId="6FA1BD15">
      <w:pPr>
        <w:spacing w:line="360" w:lineRule="auto"/>
        <w:ind w:firstLine="566" w:firstLineChars="236"/>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rPr>
        <w:t>五、开标时间及地点</w:t>
      </w:r>
      <w:r>
        <w:rPr>
          <w:rFonts w:hint="eastAsia" w:asciiTheme="minorEastAsia" w:hAnsiTheme="minorEastAsia" w:cstheme="minorEastAsia"/>
          <w:color w:val="auto"/>
          <w:sz w:val="24"/>
          <w:szCs w:val="24"/>
          <w:highlight w:val="none"/>
          <w:lang w:val="en-US" w:eastAsia="zh-CN"/>
        </w:rPr>
        <w:tab/>
      </w:r>
    </w:p>
    <w:p w14:paraId="565CD65C">
      <w:pPr>
        <w:spacing w:line="360" w:lineRule="auto"/>
        <w:ind w:firstLine="566" w:firstLineChars="236"/>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1.时间：</w:t>
      </w:r>
      <w:r>
        <w:rPr>
          <w:rFonts w:hint="eastAsia" w:asciiTheme="minorEastAsia" w:hAnsiTheme="minorEastAsia" w:cstheme="minorEastAsia"/>
          <w:color w:val="auto"/>
          <w:sz w:val="24"/>
          <w:szCs w:val="24"/>
          <w:highlight w:val="none"/>
          <w:lang w:eastAsia="zh-CN"/>
        </w:rPr>
        <w:t>2025</w:t>
      </w:r>
      <w:r>
        <w:rPr>
          <w:rFonts w:hint="eastAsia" w:asciiTheme="minorEastAsia" w:hAnsiTheme="minorEastAsia" w:cstheme="minorEastAsia"/>
          <w:color w:val="auto"/>
          <w:sz w:val="24"/>
          <w:szCs w:val="24"/>
          <w:highlight w:val="none"/>
        </w:rPr>
        <w:t>年</w:t>
      </w:r>
      <w:r>
        <w:rPr>
          <w:rFonts w:hint="eastAsia" w:asciiTheme="minorEastAsia" w:hAnsiTheme="minorEastAsia" w:cstheme="minorEastAsia"/>
          <w:color w:val="auto"/>
          <w:sz w:val="24"/>
          <w:szCs w:val="24"/>
          <w:highlight w:val="none"/>
          <w:lang w:val="en-US" w:eastAsia="zh-CN"/>
        </w:rPr>
        <w:t>10</w:t>
      </w:r>
      <w:r>
        <w:rPr>
          <w:rFonts w:hint="eastAsia" w:asciiTheme="minorEastAsia" w:hAnsiTheme="minorEastAsia" w:cstheme="minorEastAsia"/>
          <w:color w:val="auto"/>
          <w:sz w:val="24"/>
          <w:szCs w:val="24"/>
          <w:highlight w:val="none"/>
        </w:rPr>
        <w:t>月</w:t>
      </w:r>
      <w:r>
        <w:rPr>
          <w:rFonts w:hint="eastAsia" w:asciiTheme="minorEastAsia" w:hAnsiTheme="minorEastAsia" w:cstheme="minorEastAsia"/>
          <w:color w:val="auto"/>
          <w:sz w:val="24"/>
          <w:szCs w:val="24"/>
          <w:highlight w:val="none"/>
          <w:lang w:val="en-US" w:eastAsia="zh-CN"/>
        </w:rPr>
        <w:t>15</w:t>
      </w:r>
      <w:r>
        <w:rPr>
          <w:rFonts w:hint="eastAsia" w:asciiTheme="minorEastAsia" w:hAnsiTheme="minorEastAsia" w:cstheme="minorEastAsia"/>
          <w:color w:val="auto"/>
          <w:sz w:val="24"/>
          <w:szCs w:val="24"/>
          <w:highlight w:val="none"/>
        </w:rPr>
        <w:t>日0</w:t>
      </w:r>
      <w:r>
        <w:rPr>
          <w:rFonts w:hint="eastAsia" w:asciiTheme="minorEastAsia" w:hAnsiTheme="minorEastAsia" w:cstheme="minorEastAsia"/>
          <w:color w:val="auto"/>
          <w:sz w:val="24"/>
          <w:szCs w:val="24"/>
          <w:highlight w:val="none"/>
          <w:lang w:val="en-US" w:eastAsia="zh-CN"/>
        </w:rPr>
        <w:t>8</w:t>
      </w:r>
      <w:r>
        <w:rPr>
          <w:rFonts w:hint="eastAsia" w:asciiTheme="minorEastAsia" w:hAnsiTheme="minorEastAsia" w:cstheme="minorEastAsia"/>
          <w:color w:val="auto"/>
          <w:sz w:val="24"/>
          <w:szCs w:val="24"/>
          <w:highlight w:val="none"/>
        </w:rPr>
        <w:t>时</w:t>
      </w:r>
      <w:r>
        <w:rPr>
          <w:rFonts w:hint="eastAsia" w:asciiTheme="minorEastAsia" w:hAnsiTheme="minorEastAsia" w:cstheme="minorEastAsia"/>
          <w:color w:val="auto"/>
          <w:sz w:val="24"/>
          <w:szCs w:val="24"/>
          <w:highlight w:val="none"/>
          <w:lang w:val="en-US" w:eastAsia="zh-CN"/>
        </w:rPr>
        <w:t>2</w:t>
      </w:r>
      <w:r>
        <w:rPr>
          <w:rFonts w:hint="eastAsia" w:asciiTheme="minorEastAsia" w:hAnsiTheme="minorEastAsia" w:cstheme="minorEastAsia"/>
          <w:color w:val="auto"/>
          <w:sz w:val="24"/>
          <w:szCs w:val="24"/>
          <w:highlight w:val="none"/>
        </w:rPr>
        <w:t>0分。</w:t>
      </w:r>
    </w:p>
    <w:p w14:paraId="4B1A573C">
      <w:pPr>
        <w:spacing w:line="360" w:lineRule="auto"/>
        <w:ind w:firstLine="566" w:firstLineChars="236"/>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cstheme="minorEastAsia"/>
          <w:color w:val="auto"/>
          <w:sz w:val="24"/>
          <w:szCs w:val="24"/>
          <w:highlight w:val="none"/>
        </w:rPr>
        <w:t>2.地点：</w:t>
      </w:r>
      <w:r>
        <w:rPr>
          <w:rFonts w:hint="eastAsia" w:asciiTheme="minorEastAsia" w:hAnsiTheme="minorEastAsia" w:cstheme="minorEastAsia"/>
          <w:color w:val="auto"/>
          <w:sz w:val="24"/>
          <w:szCs w:val="24"/>
          <w:highlight w:val="none"/>
          <w:lang w:val="en-US" w:eastAsia="zh-CN"/>
        </w:rPr>
        <w:t>渑池县公共资源交易中心六楼开标一室</w:t>
      </w:r>
    </w:p>
    <w:p w14:paraId="6546EE9A">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六、发布公告的媒介</w:t>
      </w:r>
    </w:p>
    <w:p w14:paraId="62B32D34">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本次公告在</w:t>
      </w:r>
      <w:r>
        <w:rPr>
          <w:rFonts w:hint="eastAsia" w:asciiTheme="minorEastAsia" w:hAnsiTheme="minorEastAsia" w:cstheme="minorEastAsia"/>
          <w:color w:val="auto"/>
          <w:sz w:val="24"/>
          <w:szCs w:val="24"/>
          <w:highlight w:val="none"/>
          <w:lang w:val="en-US" w:eastAsia="zh-CN"/>
        </w:rPr>
        <w:t>《</w:t>
      </w:r>
      <w:r>
        <w:rPr>
          <w:rFonts w:hint="eastAsia" w:ascii="宋体" w:hAnsi="宋体" w:cs="Calibri"/>
          <w:color w:val="auto"/>
          <w:kern w:val="0"/>
          <w:sz w:val="24"/>
          <w:highlight w:val="none"/>
          <w:lang w:eastAsia="zh-CN"/>
        </w:rPr>
        <w:t>中国采购与招标网</w:t>
      </w:r>
      <w:r>
        <w:rPr>
          <w:rFonts w:hint="eastAsia" w:asciiTheme="minorEastAsia" w:hAnsiTheme="minorEastAsia" w:cstheme="minorEastAsia"/>
          <w:color w:val="auto"/>
          <w:sz w:val="24"/>
          <w:szCs w:val="24"/>
          <w:highlight w:val="none"/>
          <w:lang w:val="en-US" w:eastAsia="zh-CN"/>
        </w:rPr>
        <w:t>》</w:t>
      </w:r>
      <w:r>
        <w:rPr>
          <w:rFonts w:hint="eastAsia" w:asciiTheme="minorEastAsia" w:hAnsiTheme="minorEastAsia" w:cstheme="minorEastAsia"/>
          <w:color w:val="auto"/>
          <w:sz w:val="24"/>
          <w:szCs w:val="24"/>
          <w:highlight w:val="none"/>
        </w:rPr>
        <w:t>、</w:t>
      </w:r>
      <w:r>
        <w:rPr>
          <w:rFonts w:hint="eastAsia" w:asciiTheme="minorEastAsia" w:hAnsiTheme="minorEastAsia" w:cstheme="minorEastAsia"/>
          <w:color w:val="auto"/>
          <w:sz w:val="24"/>
          <w:szCs w:val="24"/>
          <w:highlight w:val="none"/>
          <w:lang w:eastAsia="zh-CN"/>
        </w:rPr>
        <w:t>《</w:t>
      </w:r>
      <w:r>
        <w:rPr>
          <w:rFonts w:hint="eastAsia" w:asciiTheme="minorEastAsia" w:hAnsiTheme="minorEastAsia" w:cstheme="minorEastAsia"/>
          <w:color w:val="auto"/>
          <w:sz w:val="24"/>
          <w:szCs w:val="24"/>
          <w:highlight w:val="none"/>
          <w:lang w:val="en-US" w:eastAsia="zh-CN"/>
        </w:rPr>
        <w:t>河南省政府采购网</w:t>
      </w:r>
      <w:r>
        <w:rPr>
          <w:rFonts w:hint="eastAsia" w:asciiTheme="minorEastAsia" w:hAnsiTheme="minorEastAsia" w:cstheme="minorEastAsia"/>
          <w:color w:val="auto"/>
          <w:sz w:val="24"/>
          <w:szCs w:val="24"/>
          <w:highlight w:val="none"/>
          <w:lang w:eastAsia="zh-CN"/>
        </w:rPr>
        <w:t>》、</w:t>
      </w:r>
      <w:r>
        <w:rPr>
          <w:rFonts w:hint="eastAsia" w:asciiTheme="minorEastAsia" w:hAnsiTheme="minorEastAsia" w:cstheme="minorEastAsia"/>
          <w:color w:val="auto"/>
          <w:sz w:val="24"/>
          <w:szCs w:val="24"/>
          <w:highlight w:val="none"/>
        </w:rPr>
        <w:t>《三门峡市公共资源交易中心》上发布。</w:t>
      </w:r>
    </w:p>
    <w:p w14:paraId="642AF508">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七、其他补充事宜</w:t>
      </w:r>
    </w:p>
    <w:p w14:paraId="10AEDC71">
      <w:pPr>
        <w:spacing w:line="360" w:lineRule="auto"/>
        <w:ind w:firstLine="484" w:firstLineChars="202"/>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1.本项目为不见面开标项目，开标当日，供应商无需到开标现场参加开标会议，供应商应当在投标截止时间前，登陆不见面开标大厅选择登陆三门峡市公共资源电子招投标系统进行登陆（网址为</w:t>
      </w:r>
      <w:r>
        <w:rPr>
          <w:rFonts w:asciiTheme="minorEastAsia" w:hAnsiTheme="minorEastAsia" w:cstheme="minorEastAsia"/>
          <w:color w:val="auto"/>
          <w:sz w:val="24"/>
          <w:szCs w:val="24"/>
          <w:highlight w:val="none"/>
        </w:rPr>
        <w:t>http://120.194.249.36:10094/BidOpening/bidopeninghallaction/hall/login</w:t>
      </w:r>
      <w:r>
        <w:rPr>
          <w:rFonts w:hint="eastAsia" w:asciiTheme="minorEastAsia" w:hAnsiTheme="minorEastAsia" w:cstheme="minorEastAsia"/>
          <w:color w:val="auto"/>
          <w:sz w:val="24"/>
          <w:szCs w:val="24"/>
          <w:highlight w:val="none"/>
        </w:rPr>
        <w:t>）,在线准时参加开标活动并进行投标文件解密等。每位供应商的解密时间为开标时间起30分钟内完成。因供应商原因未能解密、解密失败或解密超时的将被拒绝。</w:t>
      </w:r>
    </w:p>
    <w:p w14:paraId="6787799B">
      <w:pPr>
        <w:spacing w:line="360" w:lineRule="auto"/>
        <w:ind w:firstLine="484" w:firstLineChars="202"/>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2.本项目为电子化、无纸化交易项目，开标时不再接受任何纸质资料，为保证您能投标成功，请需仔细阅读招标文件和三门峡市公共资源交易中心官网业务办理指南。</w:t>
      </w:r>
    </w:p>
    <w:p w14:paraId="20A5A93B">
      <w:pPr>
        <w:spacing w:line="360" w:lineRule="auto"/>
        <w:ind w:firstLine="484" w:firstLineChars="202"/>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3.根据《河南省财政厅关于优化政府采购营商环境有关问题的通知》（豫财购【2019】4号）第6条的规定，投标保证金不再收取。</w:t>
      </w:r>
    </w:p>
    <w:p w14:paraId="747068B0">
      <w:pPr>
        <w:spacing w:line="360" w:lineRule="auto"/>
        <w:ind w:firstLine="484" w:firstLineChars="202"/>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4.</w:t>
      </w:r>
      <w:r>
        <w:rPr>
          <w:rFonts w:hint="eastAsia"/>
          <w:color w:val="auto"/>
          <w:sz w:val="24"/>
          <w:szCs w:val="24"/>
          <w:highlight w:val="none"/>
        </w:rPr>
        <w:t xml:space="preserve"> </w:t>
      </w:r>
      <w:r>
        <w:rPr>
          <w:rFonts w:hint="eastAsia" w:asciiTheme="minorEastAsia" w:hAnsiTheme="minorEastAsia" w:cstheme="minorEastAsia"/>
          <w:color w:val="auto"/>
          <w:sz w:val="24"/>
          <w:szCs w:val="24"/>
          <w:highlight w:val="none"/>
        </w:rPr>
        <w:t>资格评（预）审部分：资格评（预）以投标文件为准，其上传资料真实性由</w:t>
      </w:r>
      <w:r>
        <w:rPr>
          <w:rFonts w:hint="eastAsia" w:asciiTheme="minorEastAsia" w:hAnsiTheme="minorEastAsia" w:cstheme="minorEastAsia"/>
          <w:color w:val="auto"/>
          <w:sz w:val="24"/>
          <w:szCs w:val="24"/>
          <w:highlight w:val="none"/>
          <w:lang w:eastAsia="zh-CN"/>
        </w:rPr>
        <w:t>供应商</w:t>
      </w:r>
      <w:r>
        <w:rPr>
          <w:rFonts w:hint="eastAsia" w:asciiTheme="minorEastAsia" w:hAnsiTheme="minorEastAsia" w:cstheme="minorEastAsia"/>
          <w:color w:val="auto"/>
          <w:sz w:val="24"/>
          <w:szCs w:val="24"/>
          <w:highlight w:val="none"/>
        </w:rPr>
        <w:t>自行承担。同时，</w:t>
      </w:r>
      <w:r>
        <w:rPr>
          <w:rFonts w:hint="eastAsia" w:asciiTheme="minorEastAsia" w:hAnsiTheme="minorEastAsia" w:cstheme="minorEastAsia"/>
          <w:color w:val="auto"/>
          <w:sz w:val="24"/>
          <w:szCs w:val="24"/>
          <w:highlight w:val="none"/>
          <w:lang w:eastAsia="zh-CN"/>
        </w:rPr>
        <w:t>供应商</w:t>
      </w:r>
      <w:r>
        <w:rPr>
          <w:rFonts w:hint="eastAsia" w:asciiTheme="minorEastAsia" w:hAnsiTheme="minorEastAsia" w:cstheme="minorEastAsia"/>
          <w:color w:val="auto"/>
          <w:sz w:val="24"/>
          <w:szCs w:val="24"/>
          <w:highlight w:val="none"/>
        </w:rPr>
        <w:t>应在开标前自行完善主体库信息。</w:t>
      </w:r>
    </w:p>
    <w:p w14:paraId="7B8F83CF">
      <w:pPr>
        <w:spacing w:line="360" w:lineRule="auto"/>
        <w:ind w:firstLine="484" w:firstLineChars="202"/>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5.评标打分部分：评标打分部分仍按照100分制原则进行，涉及到资格审查、企业荣誉、企业业绩等计分部分时，以投标单位自行上传到投标文件中的相应内容为准。</w:t>
      </w:r>
    </w:p>
    <w:p w14:paraId="45247A2C">
      <w:pPr>
        <w:spacing w:line="360" w:lineRule="auto"/>
        <w:ind w:firstLine="484" w:firstLineChars="202"/>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6.在招标文件中要求供应商按照投标文件格式进行投标文件编制，在投标文件编制时，应明确将供应商企业基本情况、人员情况、财务情况、业绩情况编入投标文件，便于进行资格审查及评标打分。</w:t>
      </w:r>
    </w:p>
    <w:p w14:paraId="2007EE15">
      <w:pPr>
        <w:spacing w:line="360" w:lineRule="auto"/>
        <w:ind w:firstLine="484" w:firstLineChars="202"/>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7.我单位（采购人）严格按三财购【2021】9号文要求的时限发布中标结果公告，发出中标通知书，签订采购合同，上传采购合同。</w:t>
      </w:r>
    </w:p>
    <w:p w14:paraId="34D731E8">
      <w:pPr>
        <w:spacing w:line="360" w:lineRule="auto"/>
        <w:ind w:firstLine="484" w:firstLineChars="202"/>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八、凡对本次招标提出询问，请按照以下方式联系</w:t>
      </w:r>
    </w:p>
    <w:p w14:paraId="069C7522">
      <w:pPr>
        <w:spacing w:line="360" w:lineRule="auto"/>
        <w:ind w:firstLine="484" w:firstLineChars="202"/>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w:t>
      </w:r>
      <w:bookmarkStart w:id="27" w:name="_Hlk139302531"/>
      <w:r>
        <w:rPr>
          <w:rFonts w:hint="eastAsia" w:asciiTheme="minorEastAsia" w:hAnsiTheme="minorEastAsia" w:cstheme="minorEastAsia"/>
          <w:color w:val="auto"/>
          <w:sz w:val="24"/>
          <w:szCs w:val="24"/>
          <w:highlight w:val="none"/>
        </w:rPr>
        <w:t>监督单位：渑池县政府采购办公室</w:t>
      </w:r>
      <w:bookmarkEnd w:id="27"/>
    </w:p>
    <w:p w14:paraId="392C9C91">
      <w:pPr>
        <w:spacing w:line="360" w:lineRule="auto"/>
        <w:ind w:firstLine="484" w:firstLineChars="202"/>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联系方式：</w:t>
      </w:r>
      <w:bookmarkStart w:id="28" w:name="_Hlk139302540"/>
      <w:r>
        <w:rPr>
          <w:rFonts w:hint="eastAsia" w:asciiTheme="minorEastAsia" w:hAnsiTheme="minorEastAsia" w:cstheme="minorEastAsia"/>
          <w:color w:val="auto"/>
          <w:sz w:val="24"/>
          <w:szCs w:val="24"/>
          <w:highlight w:val="none"/>
        </w:rPr>
        <w:t>0398-4818677</w:t>
      </w:r>
      <w:bookmarkEnd w:id="28"/>
    </w:p>
    <w:p w14:paraId="02322332">
      <w:pPr>
        <w:spacing w:line="360" w:lineRule="auto"/>
        <w:ind w:firstLine="484" w:firstLineChars="202"/>
        <w:rPr>
          <w:rFonts w:hint="eastAsia" w:asciiTheme="minorEastAsia" w:hAnsiTheme="minorEastAsia" w:cstheme="minorEastAsia"/>
          <w:color w:val="auto"/>
          <w:sz w:val="24"/>
          <w:szCs w:val="24"/>
          <w:highlight w:val="none"/>
          <w:lang w:eastAsia="zh-CN"/>
        </w:rPr>
      </w:pPr>
      <w:bookmarkStart w:id="29" w:name="_Toc27640"/>
      <w:bookmarkStart w:id="30" w:name="_Toc8198"/>
      <w:r>
        <w:rPr>
          <w:rFonts w:hint="eastAsia" w:asciiTheme="minorEastAsia" w:hAnsiTheme="minorEastAsia" w:cstheme="minorEastAsia"/>
          <w:color w:val="auto"/>
          <w:sz w:val="24"/>
          <w:szCs w:val="24"/>
          <w:highlight w:val="none"/>
        </w:rPr>
        <w:t>2、采购人：</w:t>
      </w:r>
      <w:bookmarkEnd w:id="29"/>
      <w:bookmarkEnd w:id="30"/>
      <w:r>
        <w:rPr>
          <w:rFonts w:hint="eastAsia" w:asciiTheme="minorEastAsia" w:hAnsiTheme="minorEastAsia" w:cstheme="minorEastAsia"/>
          <w:color w:val="auto"/>
          <w:sz w:val="24"/>
          <w:szCs w:val="24"/>
          <w:highlight w:val="none"/>
          <w:lang w:eastAsia="zh-CN"/>
        </w:rPr>
        <w:t>渑池县第三小学</w:t>
      </w:r>
    </w:p>
    <w:p w14:paraId="2C7A1FC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eastAsia" w:asciiTheme="minorEastAsia" w:hAnsiTheme="minorEastAsia" w:cstheme="minorEastAsia"/>
          <w:color w:val="auto"/>
          <w:sz w:val="24"/>
          <w:szCs w:val="24"/>
          <w:highlight w:val="none"/>
          <w:lang w:val="en-US"/>
        </w:rPr>
      </w:pPr>
      <w:bookmarkStart w:id="31" w:name="_Toc6612"/>
      <w:r>
        <w:rPr>
          <w:rFonts w:hint="eastAsia" w:asciiTheme="minorEastAsia" w:hAnsiTheme="minorEastAsia" w:cstheme="minorEastAsia"/>
          <w:color w:val="auto"/>
          <w:sz w:val="24"/>
          <w:szCs w:val="24"/>
          <w:highlight w:val="none"/>
        </w:rPr>
        <w:t>地址：</w:t>
      </w:r>
      <w:r>
        <w:rPr>
          <w:rFonts w:hint="eastAsia" w:asciiTheme="minorEastAsia" w:hAnsiTheme="minorEastAsia" w:cstheme="minorEastAsia"/>
          <w:color w:val="auto"/>
          <w:sz w:val="24"/>
          <w:szCs w:val="24"/>
          <w:highlight w:val="none"/>
          <w:lang w:val="en-US" w:eastAsia="zh-CN"/>
        </w:rPr>
        <w:t>渑池县黄花工业区</w:t>
      </w:r>
    </w:p>
    <w:p w14:paraId="23A07EE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联 系 人：</w:t>
      </w:r>
      <w:r>
        <w:rPr>
          <w:rFonts w:hint="eastAsia" w:asciiTheme="minorEastAsia" w:hAnsiTheme="minorEastAsia" w:cstheme="minorEastAsia"/>
          <w:color w:val="auto"/>
          <w:sz w:val="24"/>
          <w:szCs w:val="24"/>
          <w:highlight w:val="none"/>
          <w:lang w:val="en-US" w:eastAsia="zh-CN"/>
        </w:rPr>
        <w:t>张</w:t>
      </w:r>
      <w:r>
        <w:rPr>
          <w:rFonts w:hint="eastAsia" w:asciiTheme="minorEastAsia" w:hAnsiTheme="minorEastAsia" w:cstheme="minorEastAsia"/>
          <w:color w:val="auto"/>
          <w:sz w:val="24"/>
          <w:szCs w:val="24"/>
          <w:highlight w:val="none"/>
        </w:rPr>
        <w:t>先生</w:t>
      </w:r>
    </w:p>
    <w:p w14:paraId="3574910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rPr>
        <w:t>联系电话：1</w:t>
      </w:r>
      <w:r>
        <w:rPr>
          <w:rFonts w:hint="eastAsia" w:asciiTheme="minorEastAsia" w:hAnsiTheme="minorEastAsia" w:cstheme="minorEastAsia"/>
          <w:color w:val="auto"/>
          <w:sz w:val="24"/>
          <w:szCs w:val="24"/>
          <w:highlight w:val="none"/>
          <w:lang w:val="en-US" w:eastAsia="zh-CN"/>
        </w:rPr>
        <w:t>5890290277</w:t>
      </w:r>
    </w:p>
    <w:p w14:paraId="1EA58FF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eastAsia" w:ascii="宋体" w:hAnsi="宋体" w:cs="宋体"/>
          <w:color w:val="auto"/>
          <w:kern w:val="0"/>
          <w:sz w:val="24"/>
          <w:szCs w:val="24"/>
          <w:highlight w:val="none"/>
          <w:lang w:val="en-US" w:eastAsia="zh-CN"/>
        </w:rPr>
      </w:pPr>
      <w:r>
        <w:rPr>
          <w:rFonts w:hint="eastAsia" w:asciiTheme="minorEastAsia" w:hAnsiTheme="minorEastAsia" w:cstheme="minorEastAsia"/>
          <w:color w:val="auto"/>
          <w:sz w:val="24"/>
          <w:szCs w:val="24"/>
          <w:highlight w:val="none"/>
        </w:rPr>
        <w:t>3、</w:t>
      </w:r>
      <w:bookmarkEnd w:id="31"/>
      <w:r>
        <w:rPr>
          <w:rFonts w:hint="eastAsia" w:asciiTheme="minorEastAsia" w:hAnsiTheme="minorEastAsia" w:cstheme="minorEastAsia"/>
          <w:color w:val="auto"/>
          <w:sz w:val="24"/>
          <w:szCs w:val="24"/>
          <w:highlight w:val="none"/>
        </w:rPr>
        <w:t>采购</w:t>
      </w:r>
      <w:r>
        <w:rPr>
          <w:rFonts w:hint="eastAsia" w:ascii="宋体" w:hAnsi="宋体" w:eastAsia="宋体" w:cs="宋体"/>
          <w:color w:val="auto"/>
          <w:sz w:val="24"/>
          <w:szCs w:val="24"/>
          <w:highlight w:val="none"/>
        </w:rPr>
        <w:t>代理机构：</w:t>
      </w:r>
      <w:r>
        <w:rPr>
          <w:rFonts w:hint="eastAsia" w:ascii="宋体" w:hAnsi="宋体" w:cs="宋体"/>
          <w:color w:val="auto"/>
          <w:kern w:val="0"/>
          <w:sz w:val="24"/>
          <w:szCs w:val="24"/>
          <w:highlight w:val="none"/>
          <w:lang w:val="en-US" w:eastAsia="zh-CN"/>
        </w:rPr>
        <w:t>大业信息技术（河南）有限公司</w:t>
      </w:r>
    </w:p>
    <w:p w14:paraId="0F75218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地址：河南省郑州市管城回族区紫荆山路63号9层911号</w:t>
      </w:r>
    </w:p>
    <w:p w14:paraId="018AF87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联系人：候女士</w:t>
      </w:r>
    </w:p>
    <w:p w14:paraId="37C35C6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ascii="宋体" w:hAnsi="宋体" w:cs="宋体"/>
          <w:color w:val="auto"/>
          <w:sz w:val="24"/>
          <w:highlight w:val="none"/>
        </w:rPr>
      </w:pPr>
      <w:r>
        <w:rPr>
          <w:rFonts w:hint="eastAsia" w:ascii="宋体" w:hAnsi="宋体" w:cs="宋体"/>
          <w:color w:val="auto"/>
          <w:kern w:val="0"/>
          <w:sz w:val="24"/>
          <w:szCs w:val="24"/>
          <w:highlight w:val="none"/>
          <w:lang w:val="en-US" w:eastAsia="zh-CN"/>
        </w:rPr>
        <w:t>联系方式：17886686505</w:t>
      </w:r>
      <w:r>
        <w:rPr>
          <w:rFonts w:hint="eastAsia" w:ascii="宋体" w:hAnsi="宋体" w:cs="宋体"/>
          <w:color w:val="auto"/>
          <w:sz w:val="24"/>
          <w:highlight w:val="none"/>
        </w:rPr>
        <w:br w:type="page"/>
      </w:r>
    </w:p>
    <w:p w14:paraId="0647C828">
      <w:pPr>
        <w:pStyle w:val="4"/>
        <w:bidi w:val="0"/>
        <w:jc w:val="center"/>
        <w:outlineLvl w:val="0"/>
        <w:rPr>
          <w:color w:val="auto"/>
          <w:highlight w:val="none"/>
        </w:rPr>
      </w:pPr>
      <w:bookmarkStart w:id="32" w:name="_Toc18788"/>
      <w:bookmarkStart w:id="33" w:name="_Toc31308"/>
      <w:bookmarkStart w:id="34" w:name="_Toc29756"/>
      <w:bookmarkStart w:id="35" w:name="_Toc10227"/>
      <w:bookmarkStart w:id="36" w:name="_Toc32032"/>
      <w:bookmarkStart w:id="37" w:name="_Toc43302780"/>
      <w:r>
        <w:rPr>
          <w:rFonts w:hint="eastAsia"/>
          <w:color w:val="auto"/>
          <w:highlight w:val="none"/>
        </w:rPr>
        <w:t>第二章</w:t>
      </w:r>
      <w:bookmarkEnd w:id="32"/>
      <w:r>
        <w:rPr>
          <w:rFonts w:hint="eastAsia"/>
          <w:color w:val="auto"/>
          <w:highlight w:val="none"/>
        </w:rPr>
        <w:t xml:space="preserve">  供应商须知</w:t>
      </w:r>
      <w:bookmarkEnd w:id="33"/>
      <w:bookmarkEnd w:id="34"/>
      <w:bookmarkEnd w:id="35"/>
      <w:bookmarkEnd w:id="36"/>
      <w:bookmarkEnd w:id="37"/>
    </w:p>
    <w:p w14:paraId="3D5670A1">
      <w:pPr>
        <w:widowControl/>
        <w:jc w:val="center"/>
        <w:rPr>
          <w:color w:val="auto"/>
          <w:sz w:val="24"/>
          <w:highlight w:val="none"/>
        </w:rPr>
      </w:pPr>
      <w:bookmarkStart w:id="38" w:name="_Toc44996337"/>
      <w:bookmarkEnd w:id="38"/>
      <w:r>
        <w:rPr>
          <w:rFonts w:hint="eastAsia"/>
          <w:color w:val="auto"/>
          <w:sz w:val="24"/>
          <w:highlight w:val="none"/>
        </w:rPr>
        <w:t>供应商须知前附表</w:t>
      </w:r>
    </w:p>
    <w:tbl>
      <w:tblPr>
        <w:tblStyle w:val="21"/>
        <w:tblW w:w="9120" w:type="dxa"/>
        <w:jc w:val="center"/>
        <w:tblLayout w:type="fixed"/>
        <w:tblCellMar>
          <w:top w:w="0" w:type="dxa"/>
          <w:left w:w="108" w:type="dxa"/>
          <w:bottom w:w="0" w:type="dxa"/>
          <w:right w:w="108" w:type="dxa"/>
        </w:tblCellMar>
      </w:tblPr>
      <w:tblGrid>
        <w:gridCol w:w="697"/>
        <w:gridCol w:w="2070"/>
        <w:gridCol w:w="6353"/>
      </w:tblGrid>
      <w:tr w14:paraId="69E285D1">
        <w:tblPrEx>
          <w:tblCellMar>
            <w:top w:w="0" w:type="dxa"/>
            <w:left w:w="108" w:type="dxa"/>
            <w:bottom w:w="0" w:type="dxa"/>
            <w:right w:w="108" w:type="dxa"/>
          </w:tblCellMar>
        </w:tblPrEx>
        <w:trPr>
          <w:trHeight w:val="411"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102A7F89">
            <w:pPr>
              <w:widowControl/>
              <w:jc w:val="center"/>
              <w:rPr>
                <w:rFonts w:ascii="宋体" w:hAnsi="宋体" w:cs="Calibri"/>
                <w:color w:val="auto"/>
                <w:sz w:val="24"/>
                <w:highlight w:val="none"/>
              </w:rPr>
            </w:pPr>
            <w:r>
              <w:rPr>
                <w:rFonts w:hint="eastAsia" w:ascii="宋体" w:hAnsi="宋体" w:cs="Calibri"/>
                <w:color w:val="auto"/>
                <w:kern w:val="0"/>
                <w:sz w:val="24"/>
                <w:highlight w:val="none"/>
              </w:rPr>
              <w:t>序号</w:t>
            </w:r>
          </w:p>
        </w:tc>
        <w:tc>
          <w:tcPr>
            <w:tcW w:w="2070" w:type="dxa"/>
            <w:tcBorders>
              <w:top w:val="single" w:color="auto" w:sz="4" w:space="0"/>
              <w:left w:val="nil"/>
              <w:bottom w:val="single" w:color="auto" w:sz="4" w:space="0"/>
              <w:right w:val="single" w:color="auto" w:sz="4" w:space="0"/>
            </w:tcBorders>
            <w:vAlign w:val="center"/>
          </w:tcPr>
          <w:p w14:paraId="2BC43C9D">
            <w:pPr>
              <w:widowControl/>
              <w:ind w:firstLine="240" w:firstLineChars="100"/>
              <w:jc w:val="center"/>
              <w:rPr>
                <w:rFonts w:ascii="宋体" w:hAnsi="宋体" w:cs="Calibri"/>
                <w:color w:val="auto"/>
                <w:sz w:val="24"/>
                <w:highlight w:val="none"/>
              </w:rPr>
            </w:pPr>
            <w:r>
              <w:rPr>
                <w:rFonts w:hint="eastAsia" w:ascii="宋体" w:hAnsi="宋体" w:cs="Calibri"/>
                <w:color w:val="auto"/>
                <w:kern w:val="0"/>
                <w:sz w:val="24"/>
                <w:highlight w:val="none"/>
              </w:rPr>
              <w:t>条款名称</w:t>
            </w:r>
          </w:p>
        </w:tc>
        <w:tc>
          <w:tcPr>
            <w:tcW w:w="6353" w:type="dxa"/>
            <w:tcBorders>
              <w:top w:val="single" w:color="auto" w:sz="4" w:space="0"/>
              <w:left w:val="nil"/>
              <w:bottom w:val="single" w:color="auto" w:sz="4" w:space="0"/>
              <w:right w:val="single" w:color="auto" w:sz="4" w:space="0"/>
            </w:tcBorders>
            <w:vAlign w:val="center"/>
          </w:tcPr>
          <w:p w14:paraId="245D634E">
            <w:pPr>
              <w:widowControl/>
              <w:ind w:left="-48" w:leftChars="-23"/>
              <w:jc w:val="center"/>
              <w:rPr>
                <w:rFonts w:ascii="宋体" w:hAnsi="宋体" w:cs="Calibri"/>
                <w:color w:val="auto"/>
                <w:sz w:val="24"/>
                <w:highlight w:val="none"/>
              </w:rPr>
            </w:pPr>
            <w:r>
              <w:rPr>
                <w:rFonts w:hint="eastAsia" w:ascii="宋体" w:hAnsi="宋体" w:cs="Calibri"/>
                <w:color w:val="auto"/>
                <w:kern w:val="0"/>
                <w:sz w:val="24"/>
                <w:highlight w:val="none"/>
              </w:rPr>
              <w:t>编列内容</w:t>
            </w:r>
          </w:p>
        </w:tc>
      </w:tr>
      <w:tr w14:paraId="1375B07B">
        <w:tblPrEx>
          <w:tblCellMar>
            <w:top w:w="0" w:type="dxa"/>
            <w:left w:w="108" w:type="dxa"/>
            <w:bottom w:w="0" w:type="dxa"/>
            <w:right w:w="108" w:type="dxa"/>
          </w:tblCellMar>
        </w:tblPrEx>
        <w:trPr>
          <w:trHeight w:val="2016"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27625F12">
            <w:pPr>
              <w:widowControl/>
              <w:jc w:val="center"/>
              <w:rPr>
                <w:rFonts w:ascii="宋体" w:hAnsi="宋体" w:cs="Calibri"/>
                <w:color w:val="auto"/>
                <w:sz w:val="24"/>
                <w:highlight w:val="none"/>
              </w:rPr>
            </w:pPr>
            <w:r>
              <w:rPr>
                <w:rFonts w:hint="eastAsia" w:ascii="宋体" w:hAnsi="宋体" w:cs="Calibri"/>
                <w:color w:val="auto"/>
                <w:kern w:val="0"/>
                <w:sz w:val="24"/>
                <w:highlight w:val="none"/>
              </w:rPr>
              <w:t>1</w:t>
            </w:r>
          </w:p>
        </w:tc>
        <w:tc>
          <w:tcPr>
            <w:tcW w:w="2070" w:type="dxa"/>
            <w:tcBorders>
              <w:top w:val="single" w:color="auto" w:sz="4" w:space="0"/>
              <w:left w:val="nil"/>
              <w:bottom w:val="single" w:color="auto" w:sz="4" w:space="0"/>
              <w:right w:val="single" w:color="auto" w:sz="4" w:space="0"/>
            </w:tcBorders>
            <w:vAlign w:val="center"/>
          </w:tcPr>
          <w:p w14:paraId="7A049BD2">
            <w:pPr>
              <w:widowControl/>
              <w:jc w:val="center"/>
              <w:rPr>
                <w:rFonts w:ascii="宋体" w:hAnsi="宋体" w:cs="Calibri"/>
                <w:color w:val="auto"/>
                <w:sz w:val="24"/>
                <w:highlight w:val="none"/>
              </w:rPr>
            </w:pPr>
            <w:r>
              <w:rPr>
                <w:rFonts w:hint="eastAsia" w:ascii="宋体" w:hAnsi="宋体" w:cs="Calibri"/>
                <w:color w:val="auto"/>
                <w:sz w:val="24"/>
                <w:highlight w:val="none"/>
              </w:rPr>
              <w:t>采购人</w:t>
            </w:r>
          </w:p>
        </w:tc>
        <w:tc>
          <w:tcPr>
            <w:tcW w:w="6353" w:type="dxa"/>
            <w:tcBorders>
              <w:top w:val="single" w:color="auto" w:sz="4" w:space="0"/>
              <w:left w:val="nil"/>
              <w:bottom w:val="single" w:color="auto" w:sz="4" w:space="0"/>
              <w:right w:val="single" w:color="auto" w:sz="4" w:space="0"/>
            </w:tcBorders>
            <w:vAlign w:val="center"/>
          </w:tcPr>
          <w:p w14:paraId="1C98C600">
            <w:pPr>
              <w:spacing w:line="360" w:lineRule="auto"/>
              <w:rPr>
                <w:rFonts w:hint="default" w:asciiTheme="minorEastAsia" w:hAnsiTheme="minorEastAsia" w:cstheme="minorEastAsia"/>
                <w:color w:val="auto"/>
                <w:sz w:val="24"/>
                <w:szCs w:val="24"/>
                <w:highlight w:val="none"/>
                <w:lang w:val="en-US" w:eastAsia="zh-CN"/>
              </w:rPr>
            </w:pPr>
            <w:r>
              <w:rPr>
                <w:rFonts w:hint="default" w:asciiTheme="minorEastAsia" w:hAnsiTheme="minorEastAsia" w:cstheme="minorEastAsia"/>
                <w:color w:val="auto"/>
                <w:sz w:val="24"/>
                <w:szCs w:val="24"/>
                <w:highlight w:val="none"/>
                <w:lang w:val="en-US" w:eastAsia="zh-CN"/>
              </w:rPr>
              <w:t>采购人：</w:t>
            </w:r>
            <w:r>
              <w:rPr>
                <w:rFonts w:hint="eastAsia" w:asciiTheme="minorEastAsia" w:hAnsiTheme="minorEastAsia" w:cstheme="minorEastAsia"/>
                <w:color w:val="auto"/>
                <w:sz w:val="24"/>
                <w:szCs w:val="24"/>
                <w:highlight w:val="none"/>
                <w:lang w:val="en-US" w:eastAsia="zh-CN"/>
              </w:rPr>
              <w:t>渑池县第三小学</w:t>
            </w:r>
          </w:p>
          <w:p w14:paraId="3F5851AD">
            <w:pPr>
              <w:spacing w:line="360" w:lineRule="auto"/>
              <w:rPr>
                <w:rFonts w:hint="default" w:asciiTheme="minorEastAsia" w:hAnsiTheme="minorEastAsia" w:cstheme="minorEastAsia"/>
                <w:color w:val="auto"/>
                <w:sz w:val="24"/>
                <w:szCs w:val="24"/>
                <w:highlight w:val="none"/>
                <w:lang w:val="en-US"/>
              </w:rPr>
            </w:pPr>
            <w:r>
              <w:rPr>
                <w:rFonts w:hint="eastAsia" w:asciiTheme="minorEastAsia" w:hAnsiTheme="minorEastAsia" w:cstheme="minorEastAsia"/>
                <w:color w:val="auto"/>
                <w:sz w:val="24"/>
                <w:szCs w:val="24"/>
                <w:highlight w:val="none"/>
              </w:rPr>
              <w:t>地址：</w:t>
            </w:r>
            <w:r>
              <w:rPr>
                <w:rFonts w:hint="eastAsia" w:asciiTheme="minorEastAsia" w:hAnsiTheme="minorEastAsia" w:cstheme="minorEastAsia"/>
                <w:color w:val="auto"/>
                <w:sz w:val="24"/>
                <w:szCs w:val="24"/>
                <w:highlight w:val="none"/>
                <w:lang w:val="en-US" w:eastAsia="zh-CN"/>
              </w:rPr>
              <w:t>渑池县黄花工业区</w:t>
            </w:r>
          </w:p>
          <w:p w14:paraId="515DE867">
            <w:pPr>
              <w:spacing w:line="360" w:lineRule="auto"/>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联 系 人：</w:t>
            </w:r>
            <w:r>
              <w:rPr>
                <w:rFonts w:hint="eastAsia" w:asciiTheme="minorEastAsia" w:hAnsiTheme="minorEastAsia" w:cstheme="minorEastAsia"/>
                <w:color w:val="auto"/>
                <w:sz w:val="24"/>
                <w:szCs w:val="24"/>
                <w:highlight w:val="none"/>
                <w:lang w:val="en-US" w:eastAsia="zh-CN"/>
              </w:rPr>
              <w:t>张</w:t>
            </w:r>
            <w:r>
              <w:rPr>
                <w:rFonts w:hint="eastAsia" w:asciiTheme="minorEastAsia" w:hAnsiTheme="minorEastAsia" w:cstheme="minorEastAsia"/>
                <w:color w:val="auto"/>
                <w:sz w:val="24"/>
                <w:szCs w:val="24"/>
                <w:highlight w:val="none"/>
              </w:rPr>
              <w:t>先生</w:t>
            </w:r>
          </w:p>
          <w:p w14:paraId="399EC552">
            <w:pPr>
              <w:spacing w:line="360" w:lineRule="auto"/>
              <w:rPr>
                <w:rFonts w:hint="default" w:ascii="宋体" w:hAnsi="宋体" w:cs="宋体" w:eastAsiaTheme="minorEastAsia"/>
                <w:color w:val="auto"/>
                <w:sz w:val="24"/>
                <w:highlight w:val="none"/>
                <w:lang w:val="en-US" w:eastAsia="zh-CN"/>
              </w:rPr>
            </w:pPr>
            <w:r>
              <w:rPr>
                <w:rFonts w:hint="eastAsia" w:asciiTheme="minorEastAsia" w:hAnsiTheme="minorEastAsia" w:cstheme="minorEastAsia"/>
                <w:color w:val="auto"/>
                <w:sz w:val="24"/>
                <w:szCs w:val="24"/>
                <w:highlight w:val="none"/>
              </w:rPr>
              <w:t>联系电话：1</w:t>
            </w:r>
            <w:r>
              <w:rPr>
                <w:rFonts w:hint="eastAsia" w:asciiTheme="minorEastAsia" w:hAnsiTheme="minorEastAsia" w:cstheme="minorEastAsia"/>
                <w:color w:val="auto"/>
                <w:sz w:val="24"/>
                <w:szCs w:val="24"/>
                <w:highlight w:val="none"/>
                <w:lang w:val="en-US" w:eastAsia="zh-CN"/>
              </w:rPr>
              <w:t>5890290277</w:t>
            </w:r>
          </w:p>
        </w:tc>
      </w:tr>
      <w:tr w14:paraId="2E8D8E12">
        <w:tblPrEx>
          <w:tblCellMar>
            <w:top w:w="0" w:type="dxa"/>
            <w:left w:w="108" w:type="dxa"/>
            <w:bottom w:w="0" w:type="dxa"/>
            <w:right w:w="108" w:type="dxa"/>
          </w:tblCellMar>
        </w:tblPrEx>
        <w:trPr>
          <w:trHeight w:val="1996"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68CDB471">
            <w:pPr>
              <w:widowControl/>
              <w:jc w:val="center"/>
              <w:rPr>
                <w:rFonts w:ascii="宋体" w:hAnsi="宋体" w:cs="Calibri"/>
                <w:color w:val="auto"/>
                <w:sz w:val="24"/>
                <w:highlight w:val="none"/>
              </w:rPr>
            </w:pPr>
            <w:r>
              <w:rPr>
                <w:rFonts w:hint="eastAsia" w:ascii="宋体" w:hAnsi="宋体" w:cs="Calibri"/>
                <w:color w:val="auto"/>
                <w:kern w:val="0"/>
                <w:sz w:val="24"/>
                <w:highlight w:val="none"/>
              </w:rPr>
              <w:t>2</w:t>
            </w:r>
          </w:p>
        </w:tc>
        <w:tc>
          <w:tcPr>
            <w:tcW w:w="2070" w:type="dxa"/>
            <w:tcBorders>
              <w:top w:val="single" w:color="auto" w:sz="4" w:space="0"/>
              <w:left w:val="nil"/>
              <w:bottom w:val="single" w:color="auto" w:sz="4" w:space="0"/>
              <w:right w:val="single" w:color="auto" w:sz="4" w:space="0"/>
            </w:tcBorders>
            <w:vAlign w:val="center"/>
          </w:tcPr>
          <w:p w14:paraId="0C085126">
            <w:pPr>
              <w:widowControl/>
              <w:jc w:val="center"/>
              <w:rPr>
                <w:rFonts w:ascii="宋体" w:hAnsi="宋体" w:cs="Calibri"/>
                <w:color w:val="auto"/>
                <w:sz w:val="24"/>
                <w:highlight w:val="none"/>
              </w:rPr>
            </w:pPr>
            <w:r>
              <w:rPr>
                <w:rFonts w:hint="eastAsia" w:ascii="宋体" w:hAnsi="宋体" w:cs="Calibri"/>
                <w:color w:val="auto"/>
                <w:kern w:val="0"/>
                <w:sz w:val="24"/>
                <w:highlight w:val="none"/>
              </w:rPr>
              <w:t>采购代理机构</w:t>
            </w:r>
          </w:p>
        </w:tc>
        <w:tc>
          <w:tcPr>
            <w:tcW w:w="6353" w:type="dxa"/>
            <w:tcBorders>
              <w:top w:val="single" w:color="auto" w:sz="4" w:space="0"/>
              <w:left w:val="nil"/>
              <w:bottom w:val="single" w:color="auto" w:sz="4" w:space="0"/>
              <w:right w:val="single" w:color="auto" w:sz="4" w:space="0"/>
            </w:tcBorders>
            <w:vAlign w:val="center"/>
          </w:tcPr>
          <w:p w14:paraId="4C8D8EA7">
            <w:pPr>
              <w:spacing w:line="480" w:lineRule="exact"/>
              <w:jc w:val="left"/>
              <w:outlineLvl w:val="0"/>
              <w:rPr>
                <w:rFonts w:hint="default" w:ascii="宋体" w:hAnsi="宋体" w:cs="宋体" w:eastAsiaTheme="minorEastAsia"/>
                <w:color w:val="auto"/>
                <w:sz w:val="24"/>
                <w:highlight w:val="none"/>
                <w:lang w:val="en-US" w:eastAsia="zh-CN"/>
              </w:rPr>
            </w:pPr>
            <w:r>
              <w:rPr>
                <w:rFonts w:hint="default" w:ascii="宋体" w:hAnsi="宋体" w:cs="宋体" w:eastAsiaTheme="minorEastAsia"/>
                <w:color w:val="auto"/>
                <w:sz w:val="24"/>
                <w:highlight w:val="none"/>
                <w:lang w:val="en-US" w:eastAsia="zh-CN"/>
              </w:rPr>
              <w:t>采购代理机构：大业信息技术（河南）有限公司</w:t>
            </w:r>
          </w:p>
          <w:p w14:paraId="12513AE8">
            <w:pPr>
              <w:spacing w:line="480" w:lineRule="exact"/>
              <w:jc w:val="left"/>
              <w:outlineLvl w:val="0"/>
              <w:rPr>
                <w:rFonts w:hint="default" w:ascii="宋体" w:hAnsi="宋体" w:cs="宋体" w:eastAsiaTheme="minorEastAsia"/>
                <w:color w:val="auto"/>
                <w:sz w:val="24"/>
                <w:highlight w:val="none"/>
                <w:lang w:val="en-US" w:eastAsia="zh-CN"/>
              </w:rPr>
            </w:pPr>
            <w:r>
              <w:rPr>
                <w:rFonts w:hint="default" w:ascii="宋体" w:hAnsi="宋体" w:cs="宋体" w:eastAsiaTheme="minorEastAsia"/>
                <w:color w:val="auto"/>
                <w:sz w:val="24"/>
                <w:highlight w:val="none"/>
                <w:lang w:val="en-US" w:eastAsia="zh-CN"/>
              </w:rPr>
              <w:t>地址：河南省郑州市管城回族区紫荆山路63号9层911号</w:t>
            </w:r>
          </w:p>
          <w:p w14:paraId="44F07192">
            <w:pPr>
              <w:spacing w:line="480" w:lineRule="exact"/>
              <w:jc w:val="left"/>
              <w:outlineLvl w:val="0"/>
              <w:rPr>
                <w:rFonts w:hint="default" w:ascii="宋体" w:hAnsi="宋体" w:cs="宋体" w:eastAsiaTheme="minorEastAsia"/>
                <w:color w:val="auto"/>
                <w:sz w:val="24"/>
                <w:highlight w:val="none"/>
                <w:lang w:val="en-US" w:eastAsia="zh-CN"/>
              </w:rPr>
            </w:pPr>
            <w:r>
              <w:rPr>
                <w:rFonts w:hint="default" w:ascii="宋体" w:hAnsi="宋体" w:cs="宋体" w:eastAsiaTheme="minorEastAsia"/>
                <w:color w:val="auto"/>
                <w:sz w:val="24"/>
                <w:highlight w:val="none"/>
                <w:lang w:val="en-US" w:eastAsia="zh-CN"/>
              </w:rPr>
              <w:t>联系人：候女士</w:t>
            </w:r>
          </w:p>
          <w:p w14:paraId="00645789">
            <w:pPr>
              <w:spacing w:line="480" w:lineRule="exact"/>
              <w:jc w:val="left"/>
              <w:outlineLvl w:val="0"/>
              <w:rPr>
                <w:rFonts w:hint="default" w:ascii="宋体" w:hAnsi="宋体" w:cs="宋体" w:eastAsiaTheme="minorEastAsia"/>
                <w:color w:val="auto"/>
                <w:sz w:val="24"/>
                <w:highlight w:val="none"/>
                <w:lang w:val="en-US" w:eastAsia="zh-CN"/>
              </w:rPr>
            </w:pPr>
            <w:r>
              <w:rPr>
                <w:rFonts w:hint="default" w:ascii="宋体" w:hAnsi="宋体" w:cs="宋体" w:eastAsiaTheme="minorEastAsia"/>
                <w:color w:val="auto"/>
                <w:sz w:val="24"/>
                <w:highlight w:val="none"/>
                <w:lang w:val="en-US" w:eastAsia="zh-CN"/>
              </w:rPr>
              <w:t>联系方式：17886686505</w:t>
            </w:r>
          </w:p>
        </w:tc>
      </w:tr>
      <w:tr w14:paraId="1C7F146E">
        <w:tblPrEx>
          <w:tblCellMar>
            <w:top w:w="0" w:type="dxa"/>
            <w:left w:w="108" w:type="dxa"/>
            <w:bottom w:w="0" w:type="dxa"/>
            <w:right w:w="108" w:type="dxa"/>
          </w:tblCellMar>
        </w:tblPrEx>
        <w:trPr>
          <w:trHeight w:val="52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06EE9D57">
            <w:pPr>
              <w:widowControl/>
              <w:jc w:val="center"/>
              <w:rPr>
                <w:rFonts w:ascii="宋体" w:hAnsi="宋体" w:cs="Calibri"/>
                <w:color w:val="auto"/>
                <w:sz w:val="24"/>
                <w:highlight w:val="none"/>
              </w:rPr>
            </w:pPr>
            <w:r>
              <w:rPr>
                <w:rFonts w:hint="eastAsia" w:ascii="宋体" w:hAnsi="宋体" w:cs="Calibri"/>
                <w:color w:val="auto"/>
                <w:kern w:val="0"/>
                <w:sz w:val="24"/>
                <w:highlight w:val="none"/>
              </w:rPr>
              <w:t>3</w:t>
            </w:r>
          </w:p>
        </w:tc>
        <w:tc>
          <w:tcPr>
            <w:tcW w:w="2070" w:type="dxa"/>
            <w:tcBorders>
              <w:top w:val="single" w:color="auto" w:sz="4" w:space="0"/>
              <w:left w:val="nil"/>
              <w:bottom w:val="single" w:color="auto" w:sz="4" w:space="0"/>
              <w:right w:val="single" w:color="auto" w:sz="4" w:space="0"/>
            </w:tcBorders>
            <w:vAlign w:val="center"/>
          </w:tcPr>
          <w:p w14:paraId="23AFBA36">
            <w:pPr>
              <w:widowControl/>
              <w:jc w:val="center"/>
              <w:rPr>
                <w:rFonts w:ascii="宋体" w:hAnsi="宋体" w:cs="Calibri"/>
                <w:color w:val="auto"/>
                <w:sz w:val="24"/>
                <w:highlight w:val="none"/>
              </w:rPr>
            </w:pPr>
            <w:r>
              <w:rPr>
                <w:rFonts w:hint="eastAsia" w:ascii="宋体" w:hAnsi="宋体" w:cs="Calibri"/>
                <w:color w:val="auto"/>
                <w:kern w:val="0"/>
                <w:sz w:val="24"/>
                <w:highlight w:val="none"/>
              </w:rPr>
              <w:t>项目名称</w:t>
            </w:r>
          </w:p>
        </w:tc>
        <w:tc>
          <w:tcPr>
            <w:tcW w:w="6353" w:type="dxa"/>
            <w:tcBorders>
              <w:top w:val="single" w:color="auto" w:sz="4" w:space="0"/>
              <w:left w:val="nil"/>
              <w:bottom w:val="single" w:color="auto" w:sz="4" w:space="0"/>
              <w:right w:val="single" w:color="auto" w:sz="4" w:space="0"/>
            </w:tcBorders>
            <w:vAlign w:val="center"/>
          </w:tcPr>
          <w:p w14:paraId="253819C9">
            <w:pPr>
              <w:spacing w:line="360" w:lineRule="auto"/>
              <w:rPr>
                <w:rFonts w:ascii="宋体" w:hAnsi="宋体" w:cs="Calibri"/>
                <w:color w:val="auto"/>
                <w:sz w:val="24"/>
                <w:highlight w:val="none"/>
              </w:rPr>
            </w:pPr>
            <w:r>
              <w:rPr>
                <w:rFonts w:hint="eastAsia" w:asciiTheme="minorEastAsia" w:hAnsiTheme="minorEastAsia" w:cstheme="minorEastAsia"/>
                <w:color w:val="auto"/>
                <w:sz w:val="24"/>
                <w:szCs w:val="24"/>
                <w:highlight w:val="none"/>
                <w:lang w:eastAsia="zh-CN"/>
              </w:rPr>
              <w:t>渑池县第三小学综合楼多功能室项目</w:t>
            </w:r>
          </w:p>
        </w:tc>
      </w:tr>
      <w:tr w14:paraId="299471C8">
        <w:tblPrEx>
          <w:tblCellMar>
            <w:top w:w="0" w:type="dxa"/>
            <w:left w:w="108" w:type="dxa"/>
            <w:bottom w:w="0" w:type="dxa"/>
            <w:right w:w="108" w:type="dxa"/>
          </w:tblCellMar>
        </w:tblPrEx>
        <w:trPr>
          <w:trHeight w:val="57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5B68C539">
            <w:pPr>
              <w:widowControl/>
              <w:jc w:val="center"/>
              <w:rPr>
                <w:rFonts w:ascii="宋体" w:hAnsi="宋体" w:cs="Calibri"/>
                <w:color w:val="auto"/>
                <w:sz w:val="24"/>
                <w:highlight w:val="none"/>
              </w:rPr>
            </w:pPr>
            <w:r>
              <w:rPr>
                <w:rFonts w:hint="eastAsia" w:ascii="宋体" w:hAnsi="宋体" w:cs="Calibri"/>
                <w:color w:val="auto"/>
                <w:kern w:val="0"/>
                <w:sz w:val="24"/>
                <w:highlight w:val="none"/>
              </w:rPr>
              <w:t>4</w:t>
            </w:r>
          </w:p>
        </w:tc>
        <w:tc>
          <w:tcPr>
            <w:tcW w:w="2070" w:type="dxa"/>
            <w:tcBorders>
              <w:top w:val="single" w:color="auto" w:sz="4" w:space="0"/>
              <w:left w:val="nil"/>
              <w:bottom w:val="single" w:color="auto" w:sz="4" w:space="0"/>
              <w:right w:val="single" w:color="auto" w:sz="4" w:space="0"/>
            </w:tcBorders>
            <w:vAlign w:val="center"/>
          </w:tcPr>
          <w:p w14:paraId="7A4FD5FB">
            <w:pPr>
              <w:widowControl/>
              <w:jc w:val="center"/>
              <w:rPr>
                <w:rFonts w:ascii="宋体" w:hAnsi="宋体" w:cs="Calibri"/>
                <w:color w:val="auto"/>
                <w:kern w:val="0"/>
                <w:sz w:val="24"/>
                <w:highlight w:val="none"/>
              </w:rPr>
            </w:pPr>
            <w:r>
              <w:rPr>
                <w:rFonts w:hint="eastAsia" w:ascii="宋体" w:hAnsi="宋体" w:cs="Calibri"/>
                <w:color w:val="auto"/>
                <w:kern w:val="0"/>
                <w:sz w:val="24"/>
                <w:highlight w:val="none"/>
              </w:rPr>
              <w:t>资金来源</w:t>
            </w:r>
          </w:p>
        </w:tc>
        <w:tc>
          <w:tcPr>
            <w:tcW w:w="6353" w:type="dxa"/>
            <w:tcBorders>
              <w:top w:val="single" w:color="auto" w:sz="4" w:space="0"/>
              <w:left w:val="nil"/>
              <w:bottom w:val="single" w:color="auto" w:sz="4" w:space="0"/>
              <w:right w:val="single" w:color="auto" w:sz="4" w:space="0"/>
            </w:tcBorders>
            <w:vAlign w:val="center"/>
          </w:tcPr>
          <w:p w14:paraId="7DB91DAC">
            <w:pPr>
              <w:widowControl/>
              <w:rPr>
                <w:rFonts w:ascii="宋体" w:hAnsi="宋体" w:cs="Calibri"/>
                <w:color w:val="auto"/>
                <w:kern w:val="0"/>
                <w:sz w:val="24"/>
                <w:highlight w:val="none"/>
              </w:rPr>
            </w:pPr>
            <w:r>
              <w:rPr>
                <w:rFonts w:hint="eastAsia" w:ascii="宋体" w:hAnsi="宋体" w:cs="Calibri"/>
                <w:color w:val="auto"/>
                <w:kern w:val="0"/>
                <w:sz w:val="24"/>
                <w:highlight w:val="none"/>
                <w:shd w:val="clear" w:color="auto" w:fill="FFFFFF"/>
                <w:lang w:val="en-US" w:eastAsia="zh-CN"/>
              </w:rPr>
              <w:t>财政资金</w:t>
            </w:r>
          </w:p>
        </w:tc>
      </w:tr>
      <w:tr w14:paraId="3E1D32FB">
        <w:tblPrEx>
          <w:tblCellMar>
            <w:top w:w="0" w:type="dxa"/>
            <w:left w:w="108" w:type="dxa"/>
            <w:bottom w:w="0" w:type="dxa"/>
            <w:right w:w="108" w:type="dxa"/>
          </w:tblCellMar>
        </w:tblPrEx>
        <w:trPr>
          <w:trHeight w:val="555"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6A29B233">
            <w:pPr>
              <w:widowControl/>
              <w:jc w:val="center"/>
              <w:rPr>
                <w:rFonts w:ascii="宋体" w:hAnsi="宋体" w:cs="Calibri"/>
                <w:color w:val="auto"/>
                <w:sz w:val="24"/>
                <w:highlight w:val="none"/>
              </w:rPr>
            </w:pPr>
            <w:r>
              <w:rPr>
                <w:rFonts w:hint="eastAsia" w:ascii="宋体" w:hAnsi="宋体" w:cs="Calibri"/>
                <w:color w:val="auto"/>
                <w:kern w:val="0"/>
                <w:sz w:val="24"/>
                <w:highlight w:val="none"/>
              </w:rPr>
              <w:t>5</w:t>
            </w:r>
          </w:p>
        </w:tc>
        <w:tc>
          <w:tcPr>
            <w:tcW w:w="2070" w:type="dxa"/>
            <w:tcBorders>
              <w:top w:val="single" w:color="auto" w:sz="4" w:space="0"/>
              <w:left w:val="nil"/>
              <w:bottom w:val="single" w:color="auto" w:sz="4" w:space="0"/>
              <w:right w:val="single" w:color="auto" w:sz="4" w:space="0"/>
            </w:tcBorders>
            <w:vAlign w:val="center"/>
          </w:tcPr>
          <w:p w14:paraId="1B1EF400">
            <w:pPr>
              <w:widowControl/>
              <w:jc w:val="center"/>
              <w:rPr>
                <w:rFonts w:ascii="宋体" w:hAnsi="宋体" w:cs="Calibri"/>
                <w:color w:val="auto"/>
                <w:sz w:val="24"/>
                <w:highlight w:val="none"/>
              </w:rPr>
            </w:pPr>
            <w:r>
              <w:rPr>
                <w:rFonts w:hint="eastAsia" w:ascii="宋体" w:hAnsi="宋体" w:cs="Calibri"/>
                <w:color w:val="auto"/>
                <w:kern w:val="0"/>
                <w:sz w:val="24"/>
                <w:highlight w:val="none"/>
              </w:rPr>
              <w:t>项目编号</w:t>
            </w:r>
          </w:p>
        </w:tc>
        <w:tc>
          <w:tcPr>
            <w:tcW w:w="6353" w:type="dxa"/>
            <w:tcBorders>
              <w:top w:val="single" w:color="auto" w:sz="4" w:space="0"/>
              <w:left w:val="nil"/>
              <w:bottom w:val="single" w:color="auto" w:sz="4" w:space="0"/>
              <w:right w:val="single" w:color="auto" w:sz="4" w:space="0"/>
            </w:tcBorders>
            <w:vAlign w:val="center"/>
          </w:tcPr>
          <w:p w14:paraId="17184B3B">
            <w:pPr>
              <w:widowControl/>
              <w:rPr>
                <w:rFonts w:hint="default" w:ascii="宋体" w:hAnsi="宋体" w:cs="Calibri" w:eastAsiaTheme="minorEastAsia"/>
                <w:color w:val="auto"/>
                <w:sz w:val="24"/>
                <w:highlight w:val="none"/>
                <w:shd w:val="clear" w:color="auto" w:fill="FFFFFF"/>
                <w:lang w:val="en-US" w:eastAsia="zh-CN"/>
              </w:rPr>
            </w:pPr>
            <w:r>
              <w:rPr>
                <w:rFonts w:hint="eastAsia" w:ascii="宋体" w:hAnsi="宋体" w:cs="宋体"/>
                <w:color w:val="auto"/>
                <w:sz w:val="24"/>
                <w:highlight w:val="none"/>
                <w:lang w:val="en-US" w:eastAsia="zh-CN"/>
              </w:rPr>
              <w:t>MCGZ[2025]282-ZC220、渑池竞磋采购-2025-139</w:t>
            </w:r>
          </w:p>
        </w:tc>
      </w:tr>
      <w:tr w14:paraId="20960E35">
        <w:tblPrEx>
          <w:tblCellMar>
            <w:top w:w="0" w:type="dxa"/>
            <w:left w:w="108" w:type="dxa"/>
            <w:bottom w:w="0" w:type="dxa"/>
            <w:right w:w="108" w:type="dxa"/>
          </w:tblCellMar>
        </w:tblPrEx>
        <w:trPr>
          <w:trHeight w:val="628"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38D27ECC">
            <w:pPr>
              <w:widowControl/>
              <w:jc w:val="center"/>
              <w:rPr>
                <w:rFonts w:ascii="宋体" w:hAnsi="宋体" w:cs="Calibri"/>
                <w:color w:val="auto"/>
                <w:sz w:val="24"/>
                <w:highlight w:val="none"/>
              </w:rPr>
            </w:pPr>
            <w:r>
              <w:rPr>
                <w:rFonts w:hint="eastAsia" w:ascii="宋体" w:hAnsi="宋体" w:cs="Calibri"/>
                <w:color w:val="auto"/>
                <w:kern w:val="0"/>
                <w:sz w:val="24"/>
                <w:highlight w:val="none"/>
              </w:rPr>
              <w:t>6</w:t>
            </w:r>
          </w:p>
        </w:tc>
        <w:tc>
          <w:tcPr>
            <w:tcW w:w="2070" w:type="dxa"/>
            <w:tcBorders>
              <w:top w:val="single" w:color="auto" w:sz="4" w:space="0"/>
              <w:left w:val="nil"/>
              <w:bottom w:val="single" w:color="auto" w:sz="4" w:space="0"/>
              <w:right w:val="single" w:color="auto" w:sz="4" w:space="0"/>
            </w:tcBorders>
            <w:vAlign w:val="center"/>
          </w:tcPr>
          <w:p w14:paraId="71C5051F">
            <w:pPr>
              <w:widowControl/>
              <w:jc w:val="center"/>
              <w:rPr>
                <w:rFonts w:ascii="宋体" w:hAnsi="宋体" w:cs="Calibri"/>
                <w:color w:val="auto"/>
                <w:kern w:val="0"/>
                <w:sz w:val="24"/>
                <w:highlight w:val="none"/>
              </w:rPr>
            </w:pPr>
            <w:r>
              <w:rPr>
                <w:rFonts w:hint="eastAsia" w:ascii="宋体" w:hAnsi="宋体" w:cs="Calibri"/>
                <w:color w:val="auto"/>
                <w:kern w:val="0"/>
                <w:sz w:val="24"/>
                <w:highlight w:val="none"/>
              </w:rPr>
              <w:t>质量要求</w:t>
            </w:r>
          </w:p>
        </w:tc>
        <w:tc>
          <w:tcPr>
            <w:tcW w:w="6353" w:type="dxa"/>
            <w:tcBorders>
              <w:top w:val="single" w:color="auto" w:sz="4" w:space="0"/>
              <w:left w:val="nil"/>
              <w:bottom w:val="single" w:color="auto" w:sz="4" w:space="0"/>
              <w:right w:val="single" w:color="auto" w:sz="4" w:space="0"/>
            </w:tcBorders>
            <w:vAlign w:val="center"/>
          </w:tcPr>
          <w:p w14:paraId="4D38ADE7">
            <w:pPr>
              <w:widowControl/>
              <w:rPr>
                <w:rFonts w:hint="eastAsia" w:ascii="宋体" w:hAnsi="宋体" w:cs="Calibri" w:eastAsiaTheme="minorEastAsia"/>
                <w:color w:val="auto"/>
                <w:kern w:val="0"/>
                <w:sz w:val="24"/>
                <w:highlight w:val="none"/>
                <w:lang w:eastAsia="zh-CN"/>
              </w:rPr>
            </w:pPr>
            <w:r>
              <w:rPr>
                <w:rFonts w:hint="eastAsia" w:ascii="宋体" w:hAnsi="宋体" w:cs="宋体"/>
                <w:color w:val="auto"/>
                <w:sz w:val="24"/>
                <w:highlight w:val="none"/>
                <w:lang w:eastAsia="zh-CN"/>
              </w:rPr>
              <w:t>合格</w:t>
            </w:r>
          </w:p>
        </w:tc>
      </w:tr>
      <w:tr w14:paraId="257B5036">
        <w:tblPrEx>
          <w:tblCellMar>
            <w:top w:w="0" w:type="dxa"/>
            <w:left w:w="108" w:type="dxa"/>
            <w:bottom w:w="0" w:type="dxa"/>
            <w:right w:w="108" w:type="dxa"/>
          </w:tblCellMar>
        </w:tblPrEx>
        <w:trPr>
          <w:trHeight w:val="628"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600CFB76">
            <w:pPr>
              <w:widowControl/>
              <w:jc w:val="center"/>
              <w:rPr>
                <w:rFonts w:ascii="宋体" w:hAnsi="宋体" w:cs="Calibri"/>
                <w:color w:val="auto"/>
                <w:kern w:val="0"/>
                <w:sz w:val="24"/>
                <w:highlight w:val="none"/>
              </w:rPr>
            </w:pPr>
            <w:r>
              <w:rPr>
                <w:rFonts w:hint="eastAsia" w:ascii="宋体" w:hAnsi="宋体" w:cs="Calibri"/>
                <w:color w:val="auto"/>
                <w:kern w:val="0"/>
                <w:sz w:val="24"/>
                <w:highlight w:val="none"/>
              </w:rPr>
              <w:t>7</w:t>
            </w:r>
          </w:p>
        </w:tc>
        <w:tc>
          <w:tcPr>
            <w:tcW w:w="2070" w:type="dxa"/>
            <w:tcBorders>
              <w:top w:val="single" w:color="auto" w:sz="4" w:space="0"/>
              <w:left w:val="nil"/>
              <w:bottom w:val="single" w:color="auto" w:sz="4" w:space="0"/>
              <w:right w:val="single" w:color="auto" w:sz="4" w:space="0"/>
            </w:tcBorders>
            <w:vAlign w:val="center"/>
          </w:tcPr>
          <w:p w14:paraId="4070F776">
            <w:pPr>
              <w:widowControl/>
              <w:jc w:val="center"/>
              <w:rPr>
                <w:rFonts w:ascii="宋体" w:hAnsi="宋体" w:cs="Calibri"/>
                <w:color w:val="auto"/>
                <w:kern w:val="0"/>
                <w:sz w:val="24"/>
                <w:highlight w:val="none"/>
              </w:rPr>
            </w:pPr>
            <w:r>
              <w:rPr>
                <w:rFonts w:hint="eastAsia" w:ascii="宋体" w:hAnsi="宋体" w:cs="Calibri"/>
                <w:color w:val="auto"/>
                <w:kern w:val="0"/>
                <w:sz w:val="24"/>
                <w:highlight w:val="none"/>
              </w:rPr>
              <w:t>质保期</w:t>
            </w:r>
          </w:p>
        </w:tc>
        <w:tc>
          <w:tcPr>
            <w:tcW w:w="6353" w:type="dxa"/>
            <w:tcBorders>
              <w:top w:val="single" w:color="auto" w:sz="4" w:space="0"/>
              <w:left w:val="nil"/>
              <w:bottom w:val="single" w:color="auto" w:sz="4" w:space="0"/>
              <w:right w:val="single" w:color="auto" w:sz="4" w:space="0"/>
            </w:tcBorders>
            <w:vAlign w:val="center"/>
          </w:tcPr>
          <w:p w14:paraId="20D823AC">
            <w:pPr>
              <w:widowControl/>
              <w:rPr>
                <w:rFonts w:ascii="宋体" w:hAnsi="宋体" w:cs="Calibri"/>
                <w:color w:val="auto"/>
                <w:sz w:val="24"/>
                <w:highlight w:val="none"/>
              </w:rPr>
            </w:pPr>
            <w:r>
              <w:rPr>
                <w:rFonts w:hint="eastAsia" w:ascii="宋体" w:hAnsi="宋体" w:cs="Calibri"/>
                <w:color w:val="auto"/>
                <w:sz w:val="24"/>
                <w:highlight w:val="none"/>
              </w:rPr>
              <w:t>一年</w:t>
            </w:r>
          </w:p>
        </w:tc>
      </w:tr>
      <w:tr w14:paraId="56066DD4">
        <w:tblPrEx>
          <w:tblCellMar>
            <w:top w:w="0" w:type="dxa"/>
            <w:left w:w="108" w:type="dxa"/>
            <w:bottom w:w="0" w:type="dxa"/>
            <w:right w:w="108" w:type="dxa"/>
          </w:tblCellMar>
        </w:tblPrEx>
        <w:trPr>
          <w:trHeight w:val="498"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0DE09651">
            <w:pPr>
              <w:widowControl/>
              <w:jc w:val="center"/>
              <w:rPr>
                <w:rFonts w:ascii="宋体" w:hAnsi="宋体" w:cs="Calibri"/>
                <w:color w:val="auto"/>
                <w:kern w:val="0"/>
                <w:sz w:val="24"/>
                <w:highlight w:val="none"/>
              </w:rPr>
            </w:pPr>
            <w:r>
              <w:rPr>
                <w:rFonts w:hint="eastAsia" w:ascii="宋体" w:hAnsi="宋体" w:cs="Calibri"/>
                <w:color w:val="auto"/>
                <w:kern w:val="0"/>
                <w:sz w:val="24"/>
                <w:highlight w:val="none"/>
              </w:rPr>
              <w:t>8</w:t>
            </w:r>
          </w:p>
        </w:tc>
        <w:tc>
          <w:tcPr>
            <w:tcW w:w="2070" w:type="dxa"/>
            <w:tcBorders>
              <w:top w:val="single" w:color="auto" w:sz="4" w:space="0"/>
              <w:left w:val="nil"/>
              <w:bottom w:val="single" w:color="auto" w:sz="4" w:space="0"/>
              <w:right w:val="single" w:color="auto" w:sz="4" w:space="0"/>
            </w:tcBorders>
            <w:vAlign w:val="center"/>
          </w:tcPr>
          <w:p w14:paraId="2D08BD42">
            <w:pPr>
              <w:widowControl/>
              <w:jc w:val="center"/>
              <w:rPr>
                <w:rFonts w:ascii="宋体" w:hAnsi="宋体" w:cs="Calibri"/>
                <w:color w:val="auto"/>
                <w:kern w:val="0"/>
                <w:sz w:val="24"/>
                <w:highlight w:val="none"/>
              </w:rPr>
            </w:pPr>
            <w:r>
              <w:rPr>
                <w:rFonts w:hint="eastAsia" w:ascii="宋体" w:hAnsi="宋体" w:cs="Calibri"/>
                <w:color w:val="auto"/>
                <w:kern w:val="0"/>
                <w:sz w:val="24"/>
                <w:highlight w:val="none"/>
              </w:rPr>
              <w:t>供货期</w:t>
            </w:r>
          </w:p>
        </w:tc>
        <w:tc>
          <w:tcPr>
            <w:tcW w:w="6353" w:type="dxa"/>
            <w:tcBorders>
              <w:top w:val="single" w:color="auto" w:sz="4" w:space="0"/>
              <w:left w:val="nil"/>
              <w:bottom w:val="single" w:color="auto" w:sz="4" w:space="0"/>
              <w:right w:val="single" w:color="auto" w:sz="4" w:space="0"/>
            </w:tcBorders>
            <w:vAlign w:val="center"/>
          </w:tcPr>
          <w:p w14:paraId="723BCAEC">
            <w:pPr>
              <w:widowControl/>
              <w:rPr>
                <w:rFonts w:ascii="宋体" w:hAnsi="宋体" w:cs="Calibri"/>
                <w:color w:val="auto"/>
                <w:sz w:val="24"/>
                <w:highlight w:val="none"/>
              </w:rPr>
            </w:pPr>
            <w:r>
              <w:rPr>
                <w:rFonts w:hint="eastAsia" w:ascii="宋体" w:hAnsi="宋体" w:cs="宋体"/>
                <w:color w:val="auto"/>
                <w:sz w:val="24"/>
                <w:highlight w:val="none"/>
              </w:rPr>
              <w:t>自合同签订之日起</w:t>
            </w:r>
            <w:r>
              <w:rPr>
                <w:rFonts w:hint="eastAsia" w:ascii="宋体" w:hAnsi="宋体" w:cs="宋体"/>
                <w:color w:val="auto"/>
                <w:sz w:val="24"/>
                <w:highlight w:val="none"/>
                <w:lang w:val="en-US" w:eastAsia="zh-CN"/>
              </w:rPr>
              <w:t>30日历天内</w:t>
            </w:r>
          </w:p>
        </w:tc>
      </w:tr>
      <w:tr w14:paraId="45B3CFC4">
        <w:tblPrEx>
          <w:tblCellMar>
            <w:top w:w="0" w:type="dxa"/>
            <w:left w:w="108" w:type="dxa"/>
            <w:bottom w:w="0" w:type="dxa"/>
            <w:right w:w="108" w:type="dxa"/>
          </w:tblCellMar>
        </w:tblPrEx>
        <w:trPr>
          <w:trHeight w:val="52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66688474">
            <w:pPr>
              <w:widowControl/>
              <w:jc w:val="center"/>
              <w:rPr>
                <w:rFonts w:ascii="宋体" w:hAnsi="宋体" w:cs="Calibri"/>
                <w:color w:val="auto"/>
                <w:sz w:val="24"/>
                <w:highlight w:val="none"/>
              </w:rPr>
            </w:pPr>
            <w:r>
              <w:rPr>
                <w:rFonts w:hint="eastAsia" w:ascii="宋体" w:hAnsi="宋体" w:cs="Calibri"/>
                <w:color w:val="auto"/>
                <w:kern w:val="0"/>
                <w:sz w:val="24"/>
                <w:highlight w:val="none"/>
              </w:rPr>
              <w:t>9</w:t>
            </w:r>
          </w:p>
        </w:tc>
        <w:tc>
          <w:tcPr>
            <w:tcW w:w="2070" w:type="dxa"/>
            <w:tcBorders>
              <w:top w:val="single" w:color="auto" w:sz="4" w:space="0"/>
              <w:left w:val="nil"/>
              <w:bottom w:val="single" w:color="auto" w:sz="4" w:space="0"/>
              <w:right w:val="single" w:color="auto" w:sz="4" w:space="0"/>
            </w:tcBorders>
            <w:vAlign w:val="center"/>
          </w:tcPr>
          <w:p w14:paraId="6F9AB0A0">
            <w:pPr>
              <w:widowControl/>
              <w:jc w:val="center"/>
              <w:rPr>
                <w:rFonts w:ascii="宋体" w:hAnsi="宋体" w:cs="Calibri"/>
                <w:color w:val="auto"/>
                <w:sz w:val="24"/>
                <w:highlight w:val="none"/>
              </w:rPr>
            </w:pPr>
            <w:r>
              <w:rPr>
                <w:rFonts w:hint="eastAsia" w:ascii="宋体" w:hAnsi="宋体" w:cs="Calibri"/>
                <w:color w:val="auto"/>
                <w:kern w:val="0"/>
                <w:sz w:val="24"/>
                <w:highlight w:val="none"/>
              </w:rPr>
              <w:t>资格要求</w:t>
            </w:r>
          </w:p>
        </w:tc>
        <w:tc>
          <w:tcPr>
            <w:tcW w:w="6353" w:type="dxa"/>
            <w:tcBorders>
              <w:top w:val="single" w:color="auto" w:sz="4" w:space="0"/>
              <w:left w:val="nil"/>
              <w:bottom w:val="single" w:color="auto" w:sz="4" w:space="0"/>
              <w:right w:val="single" w:color="auto" w:sz="4" w:space="0"/>
            </w:tcBorders>
            <w:vAlign w:val="center"/>
          </w:tcPr>
          <w:p w14:paraId="614F92F4">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1.满足《中华人民共和国政府采购法》第二十二条规定：</w:t>
            </w:r>
          </w:p>
          <w:p w14:paraId="796DC641">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2.落实政府采购政策满足的资格要求：</w:t>
            </w:r>
            <w:r>
              <w:rPr>
                <w:rFonts w:hint="eastAsia" w:ascii="宋体" w:hAnsi="宋体" w:cs="宋体"/>
                <w:color w:val="auto"/>
                <w:sz w:val="24"/>
                <w:szCs w:val="24"/>
                <w:highlight w:val="none"/>
                <w:lang w:eastAsia="zh-CN"/>
              </w:rPr>
              <w:t>本项目非专门面向中小微企业采购项目，执行优先采购节能环保、环境标志性产品，促进中小企业（监狱企业、残疾人福利性企业）发展等政府采购政策。</w:t>
            </w:r>
            <w:r>
              <w:rPr>
                <w:rFonts w:hint="eastAsia" w:asciiTheme="minorEastAsia" w:hAnsiTheme="minorEastAsia" w:cstheme="minorEastAsia"/>
                <w:color w:val="auto"/>
                <w:sz w:val="24"/>
                <w:szCs w:val="24"/>
                <w:highlight w:val="none"/>
              </w:rPr>
              <w:t>。</w:t>
            </w:r>
          </w:p>
          <w:p w14:paraId="558D3D20">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3.本项目的特定资格要求：</w:t>
            </w:r>
          </w:p>
          <w:p w14:paraId="732245CA">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3.</w:t>
            </w:r>
            <w:r>
              <w:rPr>
                <w:rFonts w:hint="eastAsia" w:asciiTheme="minorEastAsia" w:hAnsiTheme="minorEastAsia" w:cstheme="minorEastAsia"/>
                <w:color w:val="auto"/>
                <w:sz w:val="24"/>
                <w:szCs w:val="24"/>
                <w:highlight w:val="none"/>
              </w:rPr>
              <w:t>1供应商具有有效的营业执照；</w:t>
            </w:r>
          </w:p>
          <w:p w14:paraId="78881B6B">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3</w:t>
            </w:r>
            <w:r>
              <w:rPr>
                <w:rFonts w:hint="eastAsia" w:asciiTheme="minorEastAsia" w:hAnsiTheme="minorEastAsia" w:cstheme="minorEastAsia"/>
                <w:color w:val="auto"/>
                <w:sz w:val="24"/>
                <w:szCs w:val="24"/>
                <w:highlight w:val="none"/>
                <w:lang w:val="en-US" w:eastAsia="zh-CN"/>
              </w:rPr>
              <w:t>.2</w:t>
            </w:r>
            <w:r>
              <w:rPr>
                <w:rFonts w:hint="eastAsia" w:asciiTheme="minorEastAsia" w:hAnsiTheme="minorEastAsia" w:cstheme="minorEastAsia"/>
                <w:color w:val="auto"/>
                <w:sz w:val="24"/>
                <w:szCs w:val="24"/>
                <w:highlight w:val="none"/>
              </w:rPr>
              <w:t>供应商出具无行贿犯罪记录，在中国裁判文书网自行查询或自行承诺（查询对象：企业、法定代表人）；</w:t>
            </w:r>
          </w:p>
          <w:p w14:paraId="50BE2ABC">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3.3</w:t>
            </w:r>
            <w:r>
              <w:rPr>
                <w:rFonts w:hint="eastAsia" w:asciiTheme="minorEastAsia" w:hAnsiTheme="minorEastAsia" w:cstheme="minorEastAsia"/>
                <w:color w:val="auto"/>
                <w:sz w:val="24"/>
                <w:szCs w:val="24"/>
                <w:highlight w:val="none"/>
              </w:rPr>
              <w:t>供应商需提供无商业贿赂及无不正当竞争行为的承诺书；</w:t>
            </w:r>
          </w:p>
          <w:p w14:paraId="3920D388">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3.4</w:t>
            </w:r>
            <w:r>
              <w:rPr>
                <w:rFonts w:hint="eastAsia" w:asciiTheme="minorEastAsia" w:hAnsiTheme="minorEastAsia" w:cstheme="minorEastAsia"/>
                <w:color w:val="auto"/>
                <w:sz w:val="24"/>
                <w:szCs w:val="24"/>
                <w:highlight w:val="none"/>
              </w:rPr>
              <w:t>未列入“中国执行信息公开网”http://zxgk.court.gov.cn/shixin网站的“失信被执行人”名单、“信用中国”www.creditchina.gov.cn网站的“重大税收违法失信主体”及中国政府采购网”www.ccgp.gov.cn网站的“政府采购严重违法失信行为记录名单”；（提供“中国执行信息公开网”、“信用中国”和“中国政府采购网”网站的查询信息截图，加盖单位公章，截图需显示查询时间，查询时间：自公告发布之日起至投标截止时间前）；</w:t>
            </w:r>
          </w:p>
          <w:p w14:paraId="1EE733E3">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3.5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日期为本项目公告发布之后至开标截止时间止））</w:t>
            </w:r>
            <w:r>
              <w:rPr>
                <w:rFonts w:hint="eastAsia" w:asciiTheme="minorEastAsia" w:hAnsiTheme="minorEastAsia" w:cstheme="minorEastAsia"/>
                <w:color w:val="auto"/>
                <w:sz w:val="24"/>
                <w:szCs w:val="24"/>
                <w:highlight w:val="none"/>
              </w:rPr>
              <w:t>；</w:t>
            </w:r>
          </w:p>
          <w:p w14:paraId="09C4A8E4">
            <w:pPr>
              <w:widowControl/>
              <w:spacing w:line="480" w:lineRule="exact"/>
              <w:jc w:val="both"/>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3.6</w:t>
            </w:r>
            <w:r>
              <w:rPr>
                <w:rFonts w:hint="eastAsia" w:asciiTheme="minorEastAsia" w:hAnsiTheme="minorEastAsia" w:cstheme="minorEastAsia"/>
                <w:color w:val="auto"/>
                <w:sz w:val="24"/>
                <w:szCs w:val="24"/>
                <w:highlight w:val="none"/>
              </w:rPr>
              <w:t>本项目不接受联合体投标</w:t>
            </w:r>
            <w:r>
              <w:rPr>
                <w:rFonts w:hint="eastAsia" w:asciiTheme="minorEastAsia" w:hAnsiTheme="minorEastAsia" w:cstheme="minorEastAsia"/>
                <w:color w:val="auto"/>
                <w:sz w:val="24"/>
                <w:szCs w:val="24"/>
                <w:highlight w:val="none"/>
                <w:lang w:eastAsia="zh-CN"/>
              </w:rPr>
              <w:t>，</w:t>
            </w:r>
            <w:r>
              <w:rPr>
                <w:rFonts w:hint="eastAsia" w:asciiTheme="minorEastAsia" w:hAnsiTheme="minorEastAsia" w:cstheme="minorEastAsia"/>
                <w:color w:val="auto"/>
                <w:sz w:val="24"/>
                <w:szCs w:val="24"/>
                <w:highlight w:val="none"/>
              </w:rPr>
              <w:t>提供非联合体</w:t>
            </w:r>
            <w:r>
              <w:rPr>
                <w:rFonts w:hint="eastAsia" w:asciiTheme="minorEastAsia" w:hAnsiTheme="minorEastAsia" w:cstheme="minorEastAsia"/>
                <w:color w:val="auto"/>
                <w:sz w:val="24"/>
                <w:szCs w:val="24"/>
                <w:highlight w:val="none"/>
                <w:lang w:val="en-US" w:eastAsia="zh-CN"/>
              </w:rPr>
              <w:t>投标</w:t>
            </w:r>
            <w:r>
              <w:rPr>
                <w:rFonts w:hint="eastAsia" w:asciiTheme="minorEastAsia" w:hAnsiTheme="minorEastAsia" w:cstheme="minorEastAsia"/>
                <w:color w:val="auto"/>
                <w:sz w:val="24"/>
                <w:szCs w:val="24"/>
                <w:highlight w:val="none"/>
              </w:rPr>
              <w:t>承诺，格式自拟。</w:t>
            </w:r>
          </w:p>
          <w:p w14:paraId="043DAC13">
            <w:pPr>
              <w:widowControl/>
              <w:spacing w:line="480" w:lineRule="exact"/>
              <w:jc w:val="both"/>
              <w:rPr>
                <w:rFonts w:ascii="宋体" w:hAnsi="宋体" w:eastAsia="宋体" w:cs="宋体"/>
                <w:b/>
                <w:color w:val="auto"/>
                <w:kern w:val="0"/>
                <w:sz w:val="24"/>
                <w:highlight w:val="none"/>
                <w:lang w:bidi="ar"/>
              </w:rPr>
            </w:pPr>
            <w:r>
              <w:rPr>
                <w:rFonts w:hint="eastAsia" w:ascii="宋体" w:hAnsi="宋体" w:eastAsia="宋体" w:cs="宋体"/>
                <w:b/>
                <w:color w:val="auto"/>
                <w:kern w:val="0"/>
                <w:sz w:val="24"/>
                <w:highlight w:val="none"/>
                <w:lang w:bidi="ar"/>
              </w:rPr>
              <w:t>注：本次磋商实行资格后审，资格评审以投标文件为准，其上传资料真实性由供应商自行承担，同时供应商要完善主体库。</w:t>
            </w:r>
          </w:p>
        </w:tc>
      </w:tr>
      <w:tr w14:paraId="02653AB4">
        <w:tblPrEx>
          <w:tblCellMar>
            <w:top w:w="0" w:type="dxa"/>
            <w:left w:w="108" w:type="dxa"/>
            <w:bottom w:w="0" w:type="dxa"/>
            <w:right w:w="108" w:type="dxa"/>
          </w:tblCellMar>
        </w:tblPrEx>
        <w:trPr>
          <w:trHeight w:val="57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1B657FF4">
            <w:pPr>
              <w:widowControl/>
              <w:spacing w:line="360" w:lineRule="auto"/>
              <w:jc w:val="center"/>
              <w:rPr>
                <w:rFonts w:ascii="宋体" w:hAnsi="宋体" w:cs="Calibri"/>
                <w:color w:val="auto"/>
                <w:sz w:val="24"/>
                <w:highlight w:val="none"/>
              </w:rPr>
            </w:pPr>
            <w:r>
              <w:rPr>
                <w:rFonts w:hint="eastAsia" w:ascii="宋体" w:hAnsi="宋体" w:cs="Calibri"/>
                <w:color w:val="auto"/>
                <w:kern w:val="0"/>
                <w:sz w:val="24"/>
                <w:highlight w:val="none"/>
              </w:rPr>
              <w:t>10</w:t>
            </w:r>
          </w:p>
        </w:tc>
        <w:tc>
          <w:tcPr>
            <w:tcW w:w="2070" w:type="dxa"/>
            <w:tcBorders>
              <w:top w:val="single" w:color="auto" w:sz="4" w:space="0"/>
              <w:left w:val="nil"/>
              <w:bottom w:val="single" w:color="auto" w:sz="4" w:space="0"/>
              <w:right w:val="single" w:color="auto" w:sz="4" w:space="0"/>
            </w:tcBorders>
            <w:vAlign w:val="center"/>
          </w:tcPr>
          <w:p w14:paraId="22E7BA03">
            <w:pPr>
              <w:widowControl/>
              <w:spacing w:line="360" w:lineRule="auto"/>
              <w:jc w:val="center"/>
              <w:rPr>
                <w:rFonts w:ascii="宋体" w:hAnsi="宋体" w:cs="Calibri"/>
                <w:color w:val="auto"/>
                <w:sz w:val="24"/>
                <w:highlight w:val="none"/>
              </w:rPr>
            </w:pPr>
            <w:r>
              <w:rPr>
                <w:rFonts w:hint="eastAsia" w:ascii="宋体" w:hAnsi="宋体" w:cs="Calibri"/>
                <w:color w:val="auto"/>
                <w:kern w:val="0"/>
                <w:sz w:val="24"/>
                <w:highlight w:val="none"/>
              </w:rPr>
              <w:t>投标保证金</w:t>
            </w:r>
          </w:p>
        </w:tc>
        <w:tc>
          <w:tcPr>
            <w:tcW w:w="6353" w:type="dxa"/>
            <w:tcBorders>
              <w:top w:val="single" w:color="auto" w:sz="4" w:space="0"/>
              <w:left w:val="nil"/>
              <w:bottom w:val="single" w:color="auto" w:sz="4" w:space="0"/>
              <w:right w:val="single" w:color="auto" w:sz="4" w:space="0"/>
            </w:tcBorders>
            <w:vAlign w:val="center"/>
          </w:tcPr>
          <w:p w14:paraId="0244FD87">
            <w:pPr>
              <w:widowControl/>
              <w:spacing w:line="360" w:lineRule="auto"/>
              <w:rPr>
                <w:rFonts w:ascii="宋体" w:hAnsi="宋体" w:cs="Calibri"/>
                <w:color w:val="auto"/>
                <w:sz w:val="24"/>
                <w:highlight w:val="none"/>
              </w:rPr>
            </w:pPr>
            <w:r>
              <w:rPr>
                <w:rFonts w:hint="eastAsia" w:ascii="宋体" w:hAnsi="宋体"/>
                <w:color w:val="auto"/>
                <w:sz w:val="24"/>
                <w:highlight w:val="none"/>
              </w:rPr>
              <w:t>根据《河南省财政厅关于优化政府采购营商环境有关问题的通知》（豫财购【2019】4号）第6条的规定，投标保证金不再收取。</w:t>
            </w:r>
          </w:p>
        </w:tc>
      </w:tr>
      <w:tr w14:paraId="13DE2582">
        <w:tblPrEx>
          <w:tblCellMar>
            <w:top w:w="0" w:type="dxa"/>
            <w:left w:w="108" w:type="dxa"/>
            <w:bottom w:w="0" w:type="dxa"/>
            <w:right w:w="108" w:type="dxa"/>
          </w:tblCellMar>
        </w:tblPrEx>
        <w:trPr>
          <w:trHeight w:val="954"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28A23A9B">
            <w:pPr>
              <w:widowControl/>
              <w:spacing w:line="360" w:lineRule="auto"/>
              <w:jc w:val="center"/>
              <w:rPr>
                <w:rFonts w:ascii="宋体" w:hAnsi="宋体" w:cs="Calibri"/>
                <w:color w:val="auto"/>
                <w:sz w:val="24"/>
                <w:highlight w:val="none"/>
              </w:rPr>
            </w:pPr>
            <w:r>
              <w:rPr>
                <w:rFonts w:hint="eastAsia" w:ascii="宋体" w:hAnsi="宋体" w:cs="Calibri"/>
                <w:color w:val="auto"/>
                <w:kern w:val="0"/>
                <w:sz w:val="24"/>
                <w:highlight w:val="none"/>
              </w:rPr>
              <w:t>11</w:t>
            </w:r>
          </w:p>
        </w:tc>
        <w:tc>
          <w:tcPr>
            <w:tcW w:w="2070" w:type="dxa"/>
            <w:tcBorders>
              <w:top w:val="single" w:color="auto" w:sz="4" w:space="0"/>
              <w:left w:val="nil"/>
              <w:bottom w:val="single" w:color="auto" w:sz="4" w:space="0"/>
              <w:right w:val="single" w:color="auto" w:sz="4" w:space="0"/>
            </w:tcBorders>
            <w:vAlign w:val="center"/>
          </w:tcPr>
          <w:p w14:paraId="067CEC2E">
            <w:pPr>
              <w:widowControl/>
              <w:spacing w:line="360" w:lineRule="auto"/>
              <w:jc w:val="center"/>
              <w:rPr>
                <w:rFonts w:ascii="宋体" w:hAnsi="宋体" w:cs="Calibri"/>
                <w:color w:val="auto"/>
                <w:sz w:val="24"/>
                <w:highlight w:val="none"/>
              </w:rPr>
            </w:pPr>
            <w:r>
              <w:rPr>
                <w:rFonts w:hint="eastAsia" w:ascii="宋体" w:hAnsi="宋体" w:cs="Calibri"/>
                <w:color w:val="auto"/>
                <w:kern w:val="0"/>
                <w:sz w:val="24"/>
                <w:highlight w:val="none"/>
              </w:rPr>
              <w:t>响应性文件递交截止时间及地点</w:t>
            </w:r>
          </w:p>
        </w:tc>
        <w:tc>
          <w:tcPr>
            <w:tcW w:w="6353" w:type="dxa"/>
            <w:tcBorders>
              <w:top w:val="single" w:color="auto" w:sz="4" w:space="0"/>
              <w:left w:val="nil"/>
              <w:bottom w:val="single" w:color="auto" w:sz="4" w:space="0"/>
              <w:right w:val="single" w:color="auto" w:sz="4" w:space="0"/>
            </w:tcBorders>
            <w:vAlign w:val="center"/>
          </w:tcPr>
          <w:p w14:paraId="5B1358F9">
            <w:pPr>
              <w:widowControl/>
              <w:spacing w:line="360" w:lineRule="auto"/>
              <w:jc w:val="left"/>
              <w:rPr>
                <w:rFonts w:ascii="宋体" w:hAnsi="宋体" w:cs="Calibri"/>
                <w:b/>
                <w:bCs/>
                <w:color w:val="auto"/>
                <w:kern w:val="0"/>
                <w:sz w:val="24"/>
                <w:highlight w:val="none"/>
              </w:rPr>
            </w:pPr>
            <w:r>
              <w:rPr>
                <w:rFonts w:hint="eastAsia" w:ascii="宋体" w:hAnsi="宋体" w:cs="Calibri"/>
                <w:b/>
                <w:bCs/>
                <w:color w:val="auto"/>
                <w:kern w:val="0"/>
                <w:sz w:val="24"/>
                <w:highlight w:val="none"/>
                <w:lang w:eastAsia="zh-CN"/>
              </w:rPr>
              <w:t>2025</w:t>
            </w:r>
            <w:r>
              <w:rPr>
                <w:rFonts w:hint="eastAsia" w:ascii="宋体" w:hAnsi="宋体" w:cs="Calibri"/>
                <w:b/>
                <w:bCs/>
                <w:color w:val="auto"/>
                <w:kern w:val="0"/>
                <w:sz w:val="24"/>
                <w:highlight w:val="none"/>
              </w:rPr>
              <w:t>年</w:t>
            </w:r>
            <w:r>
              <w:rPr>
                <w:rFonts w:hint="eastAsia" w:ascii="宋体" w:hAnsi="宋体" w:cs="Calibri"/>
                <w:b/>
                <w:bCs/>
                <w:color w:val="auto"/>
                <w:kern w:val="0"/>
                <w:sz w:val="24"/>
                <w:highlight w:val="none"/>
                <w:lang w:val="en-US" w:eastAsia="zh-CN"/>
              </w:rPr>
              <w:t>10月15日8时20分</w:t>
            </w:r>
            <w:r>
              <w:rPr>
                <w:rFonts w:hint="eastAsia" w:ascii="宋体" w:hAnsi="宋体" w:cs="Calibri"/>
                <w:b/>
                <w:bCs/>
                <w:color w:val="auto"/>
                <w:kern w:val="0"/>
                <w:sz w:val="24"/>
                <w:highlight w:val="none"/>
              </w:rPr>
              <w:t>（北京时间）</w:t>
            </w:r>
          </w:p>
          <w:p w14:paraId="0D96D8DA">
            <w:pPr>
              <w:widowControl/>
              <w:spacing w:line="360" w:lineRule="auto"/>
              <w:jc w:val="left"/>
              <w:rPr>
                <w:rFonts w:ascii="宋体" w:hAnsi="宋体" w:cs="Calibri"/>
                <w:b/>
                <w:bCs/>
                <w:color w:val="auto"/>
                <w:kern w:val="0"/>
                <w:sz w:val="24"/>
                <w:highlight w:val="none"/>
              </w:rPr>
            </w:pPr>
            <w:r>
              <w:rPr>
                <w:rFonts w:hint="eastAsia" w:ascii="宋体" w:hAnsi="宋体" w:cs="宋体"/>
                <w:color w:val="auto"/>
                <w:sz w:val="24"/>
                <w:highlight w:val="none"/>
              </w:rPr>
              <w:t>上传至三门峡市公共资源交易中心系统</w:t>
            </w:r>
          </w:p>
        </w:tc>
      </w:tr>
      <w:tr w14:paraId="08A81246">
        <w:tblPrEx>
          <w:tblCellMar>
            <w:top w:w="0" w:type="dxa"/>
            <w:left w:w="108" w:type="dxa"/>
            <w:bottom w:w="0" w:type="dxa"/>
            <w:right w:w="108" w:type="dxa"/>
          </w:tblCellMar>
        </w:tblPrEx>
        <w:trPr>
          <w:trHeight w:val="467"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712CFE93">
            <w:pPr>
              <w:widowControl/>
              <w:spacing w:line="360" w:lineRule="auto"/>
              <w:jc w:val="center"/>
              <w:rPr>
                <w:rFonts w:ascii="宋体" w:hAnsi="宋体" w:cs="Calibri"/>
                <w:color w:val="auto"/>
                <w:sz w:val="24"/>
                <w:highlight w:val="none"/>
              </w:rPr>
            </w:pPr>
            <w:r>
              <w:rPr>
                <w:rFonts w:hint="eastAsia" w:ascii="宋体" w:hAnsi="宋体" w:cs="Calibri"/>
                <w:color w:val="auto"/>
                <w:kern w:val="0"/>
                <w:sz w:val="24"/>
                <w:highlight w:val="none"/>
              </w:rPr>
              <w:t>12</w:t>
            </w:r>
          </w:p>
        </w:tc>
        <w:tc>
          <w:tcPr>
            <w:tcW w:w="2070" w:type="dxa"/>
            <w:tcBorders>
              <w:top w:val="single" w:color="auto" w:sz="4" w:space="0"/>
              <w:left w:val="nil"/>
              <w:bottom w:val="single" w:color="auto" w:sz="4" w:space="0"/>
              <w:right w:val="single" w:color="auto" w:sz="4" w:space="0"/>
            </w:tcBorders>
            <w:vAlign w:val="center"/>
          </w:tcPr>
          <w:p w14:paraId="512CA1FE">
            <w:pPr>
              <w:widowControl/>
              <w:spacing w:line="360" w:lineRule="auto"/>
              <w:jc w:val="center"/>
              <w:rPr>
                <w:rFonts w:ascii="宋体" w:hAnsi="宋体" w:cs="Calibri"/>
                <w:color w:val="auto"/>
                <w:sz w:val="24"/>
                <w:highlight w:val="none"/>
              </w:rPr>
            </w:pPr>
            <w:r>
              <w:rPr>
                <w:rFonts w:hint="eastAsia" w:ascii="宋体" w:hAnsi="宋体" w:cs="Calibri"/>
                <w:color w:val="auto"/>
                <w:kern w:val="0"/>
                <w:sz w:val="24"/>
                <w:highlight w:val="none"/>
              </w:rPr>
              <w:t>开标时间及地点</w:t>
            </w:r>
          </w:p>
        </w:tc>
        <w:tc>
          <w:tcPr>
            <w:tcW w:w="6353" w:type="dxa"/>
            <w:tcBorders>
              <w:top w:val="single" w:color="auto" w:sz="4" w:space="0"/>
              <w:left w:val="nil"/>
              <w:bottom w:val="single" w:color="auto" w:sz="4" w:space="0"/>
              <w:right w:val="single" w:color="auto" w:sz="4" w:space="0"/>
            </w:tcBorders>
            <w:vAlign w:val="center"/>
          </w:tcPr>
          <w:p w14:paraId="335E9298">
            <w:pPr>
              <w:widowControl/>
              <w:spacing w:line="360" w:lineRule="auto"/>
              <w:jc w:val="left"/>
              <w:rPr>
                <w:rFonts w:ascii="宋体" w:hAnsi="宋体" w:cs="Calibri"/>
                <w:b/>
                <w:bCs/>
                <w:color w:val="auto"/>
                <w:kern w:val="0"/>
                <w:sz w:val="24"/>
                <w:highlight w:val="none"/>
              </w:rPr>
            </w:pPr>
            <w:r>
              <w:rPr>
                <w:rFonts w:hint="eastAsia" w:ascii="宋体" w:hAnsi="宋体" w:cs="Calibri"/>
                <w:b/>
                <w:bCs/>
                <w:color w:val="auto"/>
                <w:kern w:val="0"/>
                <w:sz w:val="24"/>
                <w:highlight w:val="none"/>
                <w:lang w:eastAsia="zh-CN"/>
              </w:rPr>
              <w:t>2025</w:t>
            </w:r>
            <w:r>
              <w:rPr>
                <w:rFonts w:hint="eastAsia" w:ascii="宋体" w:hAnsi="宋体" w:cs="Calibri"/>
                <w:b/>
                <w:bCs/>
                <w:color w:val="auto"/>
                <w:kern w:val="0"/>
                <w:sz w:val="24"/>
                <w:highlight w:val="none"/>
              </w:rPr>
              <w:t>年</w:t>
            </w:r>
            <w:r>
              <w:rPr>
                <w:rFonts w:hint="eastAsia" w:ascii="宋体" w:hAnsi="宋体" w:cs="Calibri"/>
                <w:b/>
                <w:bCs/>
                <w:color w:val="auto"/>
                <w:kern w:val="0"/>
                <w:sz w:val="24"/>
                <w:highlight w:val="none"/>
                <w:lang w:val="en-US" w:eastAsia="zh-CN"/>
              </w:rPr>
              <w:t>10月15日8时20分</w:t>
            </w:r>
            <w:r>
              <w:rPr>
                <w:rFonts w:hint="eastAsia" w:ascii="宋体" w:hAnsi="宋体" w:cs="Calibri"/>
                <w:b/>
                <w:bCs/>
                <w:color w:val="auto"/>
                <w:kern w:val="0"/>
                <w:sz w:val="24"/>
                <w:highlight w:val="none"/>
              </w:rPr>
              <w:t>（北京时间）</w:t>
            </w:r>
          </w:p>
          <w:p w14:paraId="17E79047">
            <w:pPr>
              <w:widowControl/>
              <w:spacing w:line="360" w:lineRule="auto"/>
              <w:jc w:val="left"/>
              <w:rPr>
                <w:rFonts w:hint="eastAsia" w:ascii="宋体" w:hAnsi="宋体" w:cs="Calibri" w:eastAsiaTheme="minorEastAsia"/>
                <w:b/>
                <w:bCs/>
                <w:color w:val="auto"/>
                <w:kern w:val="0"/>
                <w:sz w:val="24"/>
                <w:highlight w:val="none"/>
                <w:lang w:eastAsia="zh-CN"/>
              </w:rPr>
            </w:pPr>
            <w:r>
              <w:rPr>
                <w:rFonts w:hint="eastAsia" w:ascii="宋体" w:hAnsi="宋体" w:cs="宋体"/>
                <w:color w:val="auto"/>
                <w:sz w:val="24"/>
                <w:highlight w:val="none"/>
                <w:lang w:eastAsia="zh-CN"/>
              </w:rPr>
              <w:t>渑池县公共资源交易中心六楼开标一室</w:t>
            </w:r>
          </w:p>
        </w:tc>
      </w:tr>
      <w:tr w14:paraId="74DB5843">
        <w:tblPrEx>
          <w:tblCellMar>
            <w:top w:w="0" w:type="dxa"/>
            <w:left w:w="108" w:type="dxa"/>
            <w:bottom w:w="0" w:type="dxa"/>
            <w:right w:w="108" w:type="dxa"/>
          </w:tblCellMar>
        </w:tblPrEx>
        <w:trPr>
          <w:trHeight w:val="518"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7E37AB8F">
            <w:pPr>
              <w:widowControl/>
              <w:spacing w:line="360" w:lineRule="auto"/>
              <w:jc w:val="center"/>
              <w:rPr>
                <w:rFonts w:ascii="宋体" w:hAnsi="宋体" w:cs="Calibri"/>
                <w:color w:val="auto"/>
                <w:sz w:val="24"/>
                <w:highlight w:val="none"/>
              </w:rPr>
            </w:pPr>
            <w:r>
              <w:rPr>
                <w:rFonts w:hint="eastAsia" w:ascii="宋体" w:hAnsi="宋体" w:cs="Calibri"/>
                <w:color w:val="auto"/>
                <w:kern w:val="0"/>
                <w:sz w:val="24"/>
                <w:highlight w:val="none"/>
              </w:rPr>
              <w:t>13</w:t>
            </w:r>
          </w:p>
        </w:tc>
        <w:tc>
          <w:tcPr>
            <w:tcW w:w="2070" w:type="dxa"/>
            <w:tcBorders>
              <w:top w:val="single" w:color="auto" w:sz="4" w:space="0"/>
              <w:left w:val="nil"/>
              <w:bottom w:val="single" w:color="auto" w:sz="4" w:space="0"/>
              <w:right w:val="single" w:color="auto" w:sz="4" w:space="0"/>
            </w:tcBorders>
            <w:vAlign w:val="center"/>
          </w:tcPr>
          <w:p w14:paraId="5BC3533D">
            <w:pPr>
              <w:widowControl/>
              <w:spacing w:line="360" w:lineRule="auto"/>
              <w:jc w:val="center"/>
              <w:rPr>
                <w:rFonts w:ascii="宋体" w:hAnsi="宋体" w:cs="Calibri"/>
                <w:b/>
                <w:bCs/>
                <w:color w:val="auto"/>
                <w:sz w:val="24"/>
                <w:highlight w:val="none"/>
              </w:rPr>
            </w:pPr>
            <w:r>
              <w:rPr>
                <w:rFonts w:hint="eastAsia" w:ascii="宋体" w:hAnsi="宋体" w:cs="Calibri"/>
                <w:color w:val="auto"/>
                <w:sz w:val="24"/>
                <w:highlight w:val="none"/>
              </w:rPr>
              <w:t>招标控制价</w:t>
            </w:r>
          </w:p>
        </w:tc>
        <w:tc>
          <w:tcPr>
            <w:tcW w:w="6353" w:type="dxa"/>
            <w:tcBorders>
              <w:top w:val="single" w:color="auto" w:sz="4" w:space="0"/>
              <w:left w:val="nil"/>
              <w:bottom w:val="single" w:color="auto" w:sz="4" w:space="0"/>
              <w:right w:val="single" w:color="auto" w:sz="4" w:space="0"/>
            </w:tcBorders>
            <w:vAlign w:val="center"/>
          </w:tcPr>
          <w:p w14:paraId="07123EB9">
            <w:pPr>
              <w:widowControl/>
              <w:spacing w:line="360" w:lineRule="auto"/>
              <w:jc w:val="left"/>
              <w:rPr>
                <w:rFonts w:hint="eastAsia" w:ascii="宋体" w:hAnsi="宋体" w:cs="Calibri" w:eastAsiaTheme="minorEastAsia"/>
                <w:b/>
                <w:bCs/>
                <w:color w:val="auto"/>
                <w:sz w:val="24"/>
                <w:highlight w:val="none"/>
                <w:lang w:eastAsia="zh-CN"/>
              </w:rPr>
            </w:pPr>
            <w:r>
              <w:rPr>
                <w:rFonts w:hint="eastAsia" w:ascii="宋体" w:hAnsi="宋体" w:cs="Calibri"/>
                <w:b/>
                <w:bCs/>
                <w:color w:val="auto"/>
                <w:sz w:val="24"/>
                <w:highlight w:val="none"/>
                <w:lang w:val="en-US" w:eastAsia="zh-CN"/>
              </w:rPr>
              <w:t>682330.46元</w:t>
            </w:r>
          </w:p>
          <w:p w14:paraId="6B80600C">
            <w:pPr>
              <w:widowControl/>
              <w:spacing w:line="360" w:lineRule="auto"/>
              <w:jc w:val="left"/>
              <w:rPr>
                <w:rFonts w:ascii="宋体" w:hAnsi="宋体" w:cs="Calibri"/>
                <w:b/>
                <w:bCs/>
                <w:color w:val="auto"/>
                <w:sz w:val="24"/>
                <w:highlight w:val="none"/>
              </w:rPr>
            </w:pPr>
            <w:r>
              <w:rPr>
                <w:rFonts w:hint="eastAsia" w:ascii="宋体" w:hAnsi="宋体" w:cs="Calibri"/>
                <w:b/>
                <w:bCs/>
                <w:color w:val="auto"/>
                <w:sz w:val="24"/>
                <w:highlight w:val="none"/>
              </w:rPr>
              <w:t>供应商的投标报价不得超过最高投标限价，否则视为无效报价。</w:t>
            </w:r>
          </w:p>
        </w:tc>
      </w:tr>
      <w:tr w14:paraId="6DDC5E23">
        <w:tblPrEx>
          <w:tblCellMar>
            <w:top w:w="0" w:type="dxa"/>
            <w:left w:w="108" w:type="dxa"/>
            <w:bottom w:w="0" w:type="dxa"/>
            <w:right w:w="108" w:type="dxa"/>
          </w:tblCellMar>
        </w:tblPrEx>
        <w:trPr>
          <w:trHeight w:val="2022"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1C31C42B">
            <w:pPr>
              <w:widowControl/>
              <w:spacing w:line="360" w:lineRule="auto"/>
              <w:jc w:val="center"/>
              <w:rPr>
                <w:rFonts w:ascii="宋体" w:hAnsi="宋体" w:cs="Calibri"/>
                <w:color w:val="auto"/>
                <w:sz w:val="24"/>
                <w:highlight w:val="none"/>
              </w:rPr>
            </w:pPr>
            <w:r>
              <w:rPr>
                <w:rFonts w:hint="eastAsia" w:ascii="宋体" w:hAnsi="宋体" w:cs="Calibri"/>
                <w:color w:val="auto"/>
                <w:kern w:val="0"/>
                <w:sz w:val="24"/>
                <w:highlight w:val="none"/>
              </w:rPr>
              <w:t>14</w:t>
            </w:r>
          </w:p>
        </w:tc>
        <w:tc>
          <w:tcPr>
            <w:tcW w:w="2070" w:type="dxa"/>
            <w:tcBorders>
              <w:top w:val="single" w:color="auto" w:sz="4" w:space="0"/>
              <w:left w:val="nil"/>
              <w:bottom w:val="single" w:color="auto" w:sz="4" w:space="0"/>
              <w:right w:val="single" w:color="auto" w:sz="4" w:space="0"/>
            </w:tcBorders>
            <w:vAlign w:val="center"/>
          </w:tcPr>
          <w:p w14:paraId="3CB09EAB">
            <w:pPr>
              <w:widowControl/>
              <w:spacing w:line="360" w:lineRule="auto"/>
              <w:jc w:val="center"/>
              <w:rPr>
                <w:rFonts w:ascii="宋体" w:hAnsi="宋体" w:cs="Calibri"/>
                <w:color w:val="auto"/>
                <w:kern w:val="0"/>
                <w:sz w:val="24"/>
                <w:highlight w:val="none"/>
              </w:rPr>
            </w:pPr>
            <w:r>
              <w:rPr>
                <w:rFonts w:hint="eastAsia" w:ascii="宋体" w:hAnsi="宋体" w:cs="Calibri"/>
                <w:color w:val="auto"/>
                <w:kern w:val="0"/>
                <w:sz w:val="24"/>
                <w:highlight w:val="none"/>
              </w:rPr>
              <w:t>磋商小组的</w:t>
            </w:r>
          </w:p>
          <w:p w14:paraId="4EB0C978">
            <w:pPr>
              <w:widowControl/>
              <w:spacing w:line="360" w:lineRule="auto"/>
              <w:jc w:val="center"/>
              <w:rPr>
                <w:rFonts w:ascii="宋体" w:hAnsi="宋体" w:cs="Calibri"/>
                <w:color w:val="auto"/>
                <w:sz w:val="24"/>
                <w:highlight w:val="none"/>
              </w:rPr>
            </w:pPr>
            <w:r>
              <w:rPr>
                <w:rFonts w:hint="eastAsia" w:ascii="宋体" w:hAnsi="宋体" w:cs="Calibri"/>
                <w:color w:val="auto"/>
                <w:kern w:val="0"/>
                <w:sz w:val="24"/>
                <w:highlight w:val="none"/>
              </w:rPr>
              <w:t>组建</w:t>
            </w:r>
          </w:p>
        </w:tc>
        <w:tc>
          <w:tcPr>
            <w:tcW w:w="6353" w:type="dxa"/>
            <w:tcBorders>
              <w:top w:val="single" w:color="auto" w:sz="4" w:space="0"/>
              <w:left w:val="nil"/>
              <w:bottom w:val="single" w:color="auto" w:sz="4" w:space="0"/>
              <w:right w:val="single" w:color="auto" w:sz="4" w:space="0"/>
            </w:tcBorders>
            <w:vAlign w:val="center"/>
          </w:tcPr>
          <w:p w14:paraId="462A306C">
            <w:pPr>
              <w:widowControl/>
              <w:spacing w:line="360" w:lineRule="auto"/>
              <w:jc w:val="left"/>
              <w:rPr>
                <w:rFonts w:ascii="宋体" w:hAnsi="宋体" w:cs="Calibri"/>
                <w:color w:val="auto"/>
                <w:sz w:val="24"/>
                <w:highlight w:val="none"/>
              </w:rPr>
            </w:pPr>
            <w:r>
              <w:rPr>
                <w:rFonts w:hint="eastAsia" w:ascii="宋体" w:hAnsi="宋体" w:cs="Calibri"/>
                <w:color w:val="auto"/>
                <w:sz w:val="24"/>
                <w:highlight w:val="none"/>
              </w:rPr>
              <w:t>磋商小组构成：3人；</w:t>
            </w:r>
          </w:p>
          <w:p w14:paraId="65D0358B">
            <w:pPr>
              <w:widowControl/>
              <w:spacing w:line="360" w:lineRule="auto"/>
              <w:jc w:val="left"/>
              <w:rPr>
                <w:rFonts w:ascii="宋体" w:hAnsi="宋体" w:cs="Calibri"/>
                <w:color w:val="auto"/>
                <w:sz w:val="24"/>
                <w:highlight w:val="none"/>
              </w:rPr>
            </w:pPr>
            <w:r>
              <w:rPr>
                <w:rFonts w:hint="eastAsia" w:ascii="宋体" w:hAnsi="宋体" w:cs="Calibri"/>
                <w:color w:val="auto"/>
                <w:sz w:val="24"/>
                <w:highlight w:val="none"/>
              </w:rPr>
              <w:t>其中招标人代表1人，经济、技术类专家2人；</w:t>
            </w:r>
          </w:p>
          <w:p w14:paraId="23EC1A67">
            <w:pPr>
              <w:widowControl/>
              <w:spacing w:line="360" w:lineRule="auto"/>
              <w:jc w:val="left"/>
              <w:rPr>
                <w:rFonts w:ascii="宋体" w:hAnsi="宋体" w:cs="Calibri"/>
                <w:color w:val="auto"/>
                <w:sz w:val="24"/>
                <w:highlight w:val="none"/>
              </w:rPr>
            </w:pPr>
            <w:r>
              <w:rPr>
                <w:rFonts w:hint="eastAsia" w:ascii="宋体" w:hAnsi="宋体" w:cs="Calibri"/>
                <w:color w:val="auto"/>
                <w:sz w:val="24"/>
                <w:highlight w:val="none"/>
              </w:rPr>
              <w:t>评标专家确定方式：</w:t>
            </w:r>
            <w:r>
              <w:rPr>
                <w:rFonts w:hint="eastAsia" w:ascii="宋体" w:hAnsi="宋体" w:eastAsia="宋体" w:cs="宋体"/>
                <w:color w:val="auto"/>
                <w:kern w:val="0"/>
                <w:sz w:val="24"/>
                <w:szCs w:val="24"/>
                <w:highlight w:val="none"/>
              </w:rPr>
              <w:t>开标当天从河南省政府采购网专家库</w:t>
            </w:r>
            <w:r>
              <w:rPr>
                <w:rFonts w:hint="eastAsia" w:ascii="宋体" w:hAnsi="宋体" w:eastAsia="宋体" w:cs="宋体"/>
                <w:color w:val="auto"/>
                <w:kern w:val="0"/>
                <w:sz w:val="24"/>
                <w:szCs w:val="24"/>
                <w:highlight w:val="none"/>
                <w:lang w:val="en-US" w:eastAsia="zh-CN"/>
              </w:rPr>
              <w:t>随机</w:t>
            </w:r>
            <w:r>
              <w:rPr>
                <w:rFonts w:hint="eastAsia" w:ascii="宋体" w:hAnsi="宋体" w:eastAsia="宋体" w:cs="宋体"/>
                <w:color w:val="auto"/>
                <w:kern w:val="0"/>
                <w:sz w:val="24"/>
                <w:szCs w:val="24"/>
                <w:highlight w:val="none"/>
              </w:rPr>
              <w:t>抽取。</w:t>
            </w:r>
          </w:p>
        </w:tc>
      </w:tr>
      <w:tr w14:paraId="251FBAEC">
        <w:tblPrEx>
          <w:tblCellMar>
            <w:top w:w="0" w:type="dxa"/>
            <w:left w:w="108" w:type="dxa"/>
            <w:bottom w:w="0" w:type="dxa"/>
            <w:right w:w="108" w:type="dxa"/>
          </w:tblCellMar>
        </w:tblPrEx>
        <w:trPr>
          <w:trHeight w:val="9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4F1BE2EB">
            <w:pPr>
              <w:widowControl/>
              <w:spacing w:line="360" w:lineRule="auto"/>
              <w:jc w:val="center"/>
              <w:rPr>
                <w:rFonts w:ascii="宋体" w:hAnsi="宋体" w:cs="Calibri"/>
                <w:color w:val="auto"/>
                <w:sz w:val="24"/>
                <w:highlight w:val="none"/>
              </w:rPr>
            </w:pPr>
            <w:r>
              <w:rPr>
                <w:rFonts w:hint="eastAsia" w:ascii="宋体" w:hAnsi="宋体" w:cs="Calibri"/>
                <w:color w:val="auto"/>
                <w:kern w:val="0"/>
                <w:sz w:val="24"/>
                <w:highlight w:val="none"/>
              </w:rPr>
              <w:t>15</w:t>
            </w:r>
          </w:p>
        </w:tc>
        <w:tc>
          <w:tcPr>
            <w:tcW w:w="2070" w:type="dxa"/>
            <w:tcBorders>
              <w:top w:val="single" w:color="auto" w:sz="4" w:space="0"/>
              <w:left w:val="nil"/>
              <w:bottom w:val="single" w:color="auto" w:sz="4" w:space="0"/>
              <w:right w:val="single" w:color="auto" w:sz="4" w:space="0"/>
            </w:tcBorders>
            <w:vAlign w:val="center"/>
          </w:tcPr>
          <w:p w14:paraId="2847688F">
            <w:pPr>
              <w:widowControl/>
              <w:spacing w:line="360" w:lineRule="auto"/>
              <w:jc w:val="center"/>
              <w:rPr>
                <w:rFonts w:ascii="宋体" w:hAnsi="宋体" w:cs="Calibri"/>
                <w:color w:val="auto"/>
                <w:kern w:val="0"/>
                <w:sz w:val="24"/>
                <w:highlight w:val="none"/>
              </w:rPr>
            </w:pPr>
            <w:r>
              <w:rPr>
                <w:rFonts w:hint="eastAsia" w:ascii="宋体" w:hAnsi="宋体" w:cs="Calibri"/>
                <w:color w:val="auto"/>
                <w:kern w:val="0"/>
                <w:sz w:val="24"/>
                <w:highlight w:val="none"/>
              </w:rPr>
              <w:t>授权评委小组推荐中标候选人</w:t>
            </w:r>
          </w:p>
        </w:tc>
        <w:tc>
          <w:tcPr>
            <w:tcW w:w="6353" w:type="dxa"/>
            <w:tcBorders>
              <w:top w:val="single" w:color="auto" w:sz="4" w:space="0"/>
              <w:left w:val="nil"/>
              <w:bottom w:val="single" w:color="auto" w:sz="4" w:space="0"/>
              <w:right w:val="single" w:color="auto" w:sz="4" w:space="0"/>
            </w:tcBorders>
            <w:vAlign w:val="center"/>
          </w:tcPr>
          <w:p w14:paraId="6B772BBD">
            <w:pPr>
              <w:widowControl/>
              <w:spacing w:line="360" w:lineRule="auto"/>
              <w:jc w:val="left"/>
              <w:rPr>
                <w:rFonts w:ascii="宋体" w:hAnsi="宋体" w:cs="Calibri"/>
                <w:color w:val="auto"/>
                <w:kern w:val="0"/>
                <w:sz w:val="24"/>
                <w:highlight w:val="none"/>
              </w:rPr>
            </w:pPr>
            <w:r>
              <w:rPr>
                <w:rFonts w:hint="eastAsia" w:ascii="宋体" w:hAnsi="宋体" w:cs="Calibri"/>
                <w:color w:val="auto"/>
                <w:kern w:val="0"/>
                <w:sz w:val="24"/>
                <w:highlight w:val="none"/>
              </w:rPr>
              <w:t>是，推荐的中标候选人数：3个</w:t>
            </w:r>
          </w:p>
        </w:tc>
      </w:tr>
      <w:tr w14:paraId="273D1AE5">
        <w:tblPrEx>
          <w:tblCellMar>
            <w:top w:w="0" w:type="dxa"/>
            <w:left w:w="108" w:type="dxa"/>
            <w:bottom w:w="0" w:type="dxa"/>
            <w:right w:w="108" w:type="dxa"/>
          </w:tblCellMar>
        </w:tblPrEx>
        <w:trPr>
          <w:trHeight w:val="9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2361975B">
            <w:pPr>
              <w:widowControl/>
              <w:spacing w:line="360" w:lineRule="auto"/>
              <w:jc w:val="center"/>
              <w:rPr>
                <w:rFonts w:ascii="宋体" w:hAnsi="宋体" w:cs="Calibri"/>
                <w:color w:val="auto"/>
                <w:kern w:val="0"/>
                <w:sz w:val="24"/>
                <w:highlight w:val="none"/>
              </w:rPr>
            </w:pPr>
            <w:r>
              <w:rPr>
                <w:rFonts w:hint="eastAsia" w:ascii="宋体" w:hAnsi="宋体" w:cs="Calibri"/>
                <w:color w:val="auto"/>
                <w:kern w:val="0"/>
                <w:sz w:val="24"/>
                <w:highlight w:val="none"/>
              </w:rPr>
              <w:t>16</w:t>
            </w:r>
          </w:p>
        </w:tc>
        <w:tc>
          <w:tcPr>
            <w:tcW w:w="2070" w:type="dxa"/>
            <w:tcBorders>
              <w:top w:val="single" w:color="auto" w:sz="4" w:space="0"/>
              <w:left w:val="nil"/>
              <w:bottom w:val="single" w:color="auto" w:sz="4" w:space="0"/>
              <w:right w:val="single" w:color="auto" w:sz="4" w:space="0"/>
            </w:tcBorders>
            <w:vAlign w:val="center"/>
          </w:tcPr>
          <w:p w14:paraId="203F7290">
            <w:pPr>
              <w:widowControl/>
              <w:spacing w:line="360" w:lineRule="auto"/>
              <w:jc w:val="center"/>
              <w:rPr>
                <w:rFonts w:ascii="宋体" w:hAnsi="宋体" w:cs="Calibri"/>
                <w:color w:val="auto"/>
                <w:kern w:val="0"/>
                <w:sz w:val="24"/>
                <w:highlight w:val="none"/>
              </w:rPr>
            </w:pPr>
            <w:r>
              <w:rPr>
                <w:rFonts w:hint="eastAsia" w:ascii="宋体" w:hAnsi="宋体" w:cs="Calibri"/>
                <w:color w:val="auto"/>
                <w:kern w:val="0"/>
                <w:sz w:val="24"/>
                <w:highlight w:val="none"/>
              </w:rPr>
              <w:t>结果公示</w:t>
            </w:r>
          </w:p>
        </w:tc>
        <w:tc>
          <w:tcPr>
            <w:tcW w:w="6353" w:type="dxa"/>
            <w:tcBorders>
              <w:top w:val="single" w:color="auto" w:sz="4" w:space="0"/>
              <w:left w:val="nil"/>
              <w:bottom w:val="single" w:color="auto" w:sz="4" w:space="0"/>
              <w:right w:val="single" w:color="auto" w:sz="4" w:space="0"/>
            </w:tcBorders>
            <w:vAlign w:val="center"/>
          </w:tcPr>
          <w:p w14:paraId="258B3AAB">
            <w:pPr>
              <w:widowControl/>
              <w:spacing w:line="360" w:lineRule="auto"/>
              <w:jc w:val="left"/>
              <w:rPr>
                <w:rFonts w:ascii="宋体" w:hAnsi="宋体" w:cs="Calibri"/>
                <w:color w:val="auto"/>
                <w:kern w:val="0"/>
                <w:sz w:val="24"/>
                <w:highlight w:val="none"/>
              </w:rPr>
            </w:pPr>
            <w:r>
              <w:rPr>
                <w:rFonts w:hint="eastAsia" w:ascii="宋体" w:hAnsi="宋体" w:cs="Calibri"/>
                <w:color w:val="auto"/>
                <w:kern w:val="0"/>
                <w:sz w:val="24"/>
                <w:highlight w:val="none"/>
              </w:rPr>
              <w:t>在《</w:t>
            </w:r>
            <w:r>
              <w:rPr>
                <w:rFonts w:hint="eastAsia" w:ascii="宋体" w:hAnsi="宋体" w:cs="Calibri"/>
                <w:color w:val="auto"/>
                <w:kern w:val="0"/>
                <w:sz w:val="24"/>
                <w:highlight w:val="none"/>
                <w:lang w:eastAsia="zh-CN"/>
              </w:rPr>
              <w:t>中国采购与招标网</w:t>
            </w:r>
            <w:r>
              <w:rPr>
                <w:rFonts w:hint="eastAsia" w:ascii="宋体" w:hAnsi="宋体" w:cs="Calibri"/>
                <w:color w:val="auto"/>
                <w:kern w:val="0"/>
                <w:sz w:val="24"/>
                <w:highlight w:val="none"/>
              </w:rPr>
              <w:t>》、《河南省政府采购网》和《三门峡市公共资源交易中心网》三个网站同步中标结果公告。</w:t>
            </w:r>
          </w:p>
          <w:p w14:paraId="28515B14">
            <w:pPr>
              <w:widowControl/>
              <w:spacing w:line="360" w:lineRule="auto"/>
              <w:jc w:val="left"/>
              <w:rPr>
                <w:rFonts w:ascii="宋体" w:hAnsi="宋体" w:cs="Calibri"/>
                <w:color w:val="auto"/>
                <w:kern w:val="0"/>
                <w:sz w:val="24"/>
                <w:highlight w:val="none"/>
              </w:rPr>
            </w:pPr>
            <w:r>
              <w:rPr>
                <w:rFonts w:hint="eastAsia" w:ascii="宋体" w:hAnsi="宋体" w:cs="Calibri"/>
                <w:color w:val="auto"/>
                <w:kern w:val="0"/>
                <w:sz w:val="24"/>
                <w:highlight w:val="none"/>
              </w:rPr>
              <w:t>招标人以书面形式向中标人发出中标通知书，同时向未中标企业以书面或电子形式告知未中标原因。</w:t>
            </w:r>
          </w:p>
        </w:tc>
      </w:tr>
      <w:tr w14:paraId="72D04849">
        <w:tblPrEx>
          <w:tblCellMar>
            <w:top w:w="0" w:type="dxa"/>
            <w:left w:w="108" w:type="dxa"/>
            <w:bottom w:w="0" w:type="dxa"/>
            <w:right w:w="108" w:type="dxa"/>
          </w:tblCellMar>
        </w:tblPrEx>
        <w:trPr>
          <w:trHeight w:val="514"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1FFA05ED">
            <w:pPr>
              <w:widowControl/>
              <w:spacing w:line="360" w:lineRule="auto"/>
              <w:jc w:val="center"/>
              <w:rPr>
                <w:rFonts w:ascii="宋体" w:hAnsi="宋体" w:cs="Calibri"/>
                <w:color w:val="auto"/>
                <w:sz w:val="24"/>
                <w:highlight w:val="none"/>
              </w:rPr>
            </w:pPr>
            <w:r>
              <w:rPr>
                <w:rFonts w:hint="eastAsia" w:ascii="宋体" w:hAnsi="宋体" w:cs="Calibri"/>
                <w:color w:val="auto"/>
                <w:kern w:val="0"/>
                <w:sz w:val="24"/>
                <w:highlight w:val="none"/>
              </w:rPr>
              <w:t>17</w:t>
            </w:r>
          </w:p>
        </w:tc>
        <w:tc>
          <w:tcPr>
            <w:tcW w:w="2070" w:type="dxa"/>
            <w:tcBorders>
              <w:top w:val="single" w:color="auto" w:sz="4" w:space="0"/>
              <w:left w:val="nil"/>
              <w:bottom w:val="single" w:color="auto" w:sz="4" w:space="0"/>
              <w:right w:val="single" w:color="auto" w:sz="4" w:space="0"/>
            </w:tcBorders>
            <w:vAlign w:val="center"/>
          </w:tcPr>
          <w:p w14:paraId="1B11E14E">
            <w:pPr>
              <w:widowControl/>
              <w:spacing w:line="360" w:lineRule="auto"/>
              <w:jc w:val="center"/>
              <w:rPr>
                <w:rFonts w:ascii="宋体" w:hAnsi="宋体" w:cs="Calibri"/>
                <w:color w:val="auto"/>
                <w:kern w:val="0"/>
                <w:sz w:val="24"/>
                <w:highlight w:val="none"/>
              </w:rPr>
            </w:pPr>
            <w:r>
              <w:rPr>
                <w:rFonts w:hint="eastAsia" w:ascii="宋体" w:hAnsi="宋体" w:cs="Calibri"/>
                <w:color w:val="auto"/>
                <w:kern w:val="0"/>
                <w:sz w:val="24"/>
                <w:highlight w:val="none"/>
              </w:rPr>
              <w:t>签订合同时间</w:t>
            </w:r>
          </w:p>
        </w:tc>
        <w:tc>
          <w:tcPr>
            <w:tcW w:w="6353" w:type="dxa"/>
            <w:tcBorders>
              <w:top w:val="single" w:color="auto" w:sz="4" w:space="0"/>
              <w:left w:val="nil"/>
              <w:bottom w:val="single" w:color="auto" w:sz="4" w:space="0"/>
              <w:right w:val="single" w:color="auto" w:sz="4" w:space="0"/>
            </w:tcBorders>
            <w:vAlign w:val="center"/>
          </w:tcPr>
          <w:p w14:paraId="73638571">
            <w:pPr>
              <w:widowControl/>
              <w:spacing w:line="360" w:lineRule="auto"/>
              <w:jc w:val="left"/>
              <w:rPr>
                <w:rFonts w:ascii="宋体" w:hAnsi="宋体" w:cs="Calibri"/>
                <w:color w:val="auto"/>
                <w:kern w:val="0"/>
                <w:sz w:val="24"/>
                <w:highlight w:val="none"/>
              </w:rPr>
            </w:pPr>
            <w:r>
              <w:rPr>
                <w:rFonts w:hint="eastAsia" w:ascii="宋体" w:hAnsi="宋体" w:cs="Calibri"/>
                <w:color w:val="auto"/>
                <w:kern w:val="0"/>
                <w:sz w:val="24"/>
                <w:highlight w:val="none"/>
              </w:rPr>
              <w:t>中标通知书发出后30日内</w:t>
            </w:r>
          </w:p>
        </w:tc>
      </w:tr>
      <w:tr w14:paraId="0623FDE2">
        <w:tblPrEx>
          <w:tblCellMar>
            <w:top w:w="0" w:type="dxa"/>
            <w:left w:w="108" w:type="dxa"/>
            <w:bottom w:w="0" w:type="dxa"/>
            <w:right w:w="108" w:type="dxa"/>
          </w:tblCellMar>
        </w:tblPrEx>
        <w:trPr>
          <w:trHeight w:val="9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116AB3D3">
            <w:pPr>
              <w:widowControl/>
              <w:spacing w:line="360" w:lineRule="auto"/>
              <w:jc w:val="center"/>
              <w:rPr>
                <w:rFonts w:ascii="宋体" w:hAnsi="宋体" w:cs="Calibri"/>
                <w:color w:val="auto"/>
                <w:sz w:val="24"/>
                <w:highlight w:val="none"/>
              </w:rPr>
            </w:pPr>
            <w:r>
              <w:rPr>
                <w:rFonts w:hint="eastAsia" w:ascii="宋体" w:hAnsi="宋体" w:cs="Calibri"/>
                <w:color w:val="auto"/>
                <w:kern w:val="0"/>
                <w:sz w:val="24"/>
                <w:highlight w:val="none"/>
              </w:rPr>
              <w:t>18</w:t>
            </w:r>
          </w:p>
        </w:tc>
        <w:tc>
          <w:tcPr>
            <w:tcW w:w="2070" w:type="dxa"/>
            <w:tcBorders>
              <w:top w:val="single" w:color="auto" w:sz="4" w:space="0"/>
              <w:left w:val="nil"/>
              <w:bottom w:val="single" w:color="auto" w:sz="4" w:space="0"/>
              <w:right w:val="single" w:color="auto" w:sz="4" w:space="0"/>
            </w:tcBorders>
            <w:vAlign w:val="center"/>
          </w:tcPr>
          <w:p w14:paraId="0440537F">
            <w:pPr>
              <w:widowControl/>
              <w:spacing w:line="360" w:lineRule="auto"/>
              <w:jc w:val="center"/>
              <w:rPr>
                <w:rFonts w:ascii="宋体" w:hAnsi="宋体" w:cs="Calibri"/>
                <w:color w:val="auto"/>
                <w:kern w:val="0"/>
                <w:sz w:val="24"/>
                <w:highlight w:val="none"/>
              </w:rPr>
            </w:pPr>
            <w:r>
              <w:rPr>
                <w:rFonts w:hint="eastAsia" w:ascii="宋体" w:hAnsi="宋体" w:cs="Calibri"/>
                <w:color w:val="auto"/>
                <w:kern w:val="0"/>
                <w:sz w:val="24"/>
                <w:highlight w:val="none"/>
              </w:rPr>
              <w:t>投标有效期</w:t>
            </w:r>
          </w:p>
        </w:tc>
        <w:tc>
          <w:tcPr>
            <w:tcW w:w="6353" w:type="dxa"/>
            <w:tcBorders>
              <w:top w:val="single" w:color="auto" w:sz="4" w:space="0"/>
              <w:left w:val="nil"/>
              <w:bottom w:val="single" w:color="auto" w:sz="4" w:space="0"/>
              <w:right w:val="single" w:color="auto" w:sz="4" w:space="0"/>
            </w:tcBorders>
            <w:vAlign w:val="center"/>
          </w:tcPr>
          <w:p w14:paraId="284B275E">
            <w:pPr>
              <w:widowControl/>
              <w:spacing w:line="360" w:lineRule="auto"/>
              <w:jc w:val="left"/>
              <w:rPr>
                <w:rFonts w:ascii="宋体" w:hAnsi="宋体" w:cs="Calibri"/>
                <w:color w:val="auto"/>
                <w:kern w:val="0"/>
                <w:sz w:val="24"/>
                <w:highlight w:val="none"/>
              </w:rPr>
            </w:pPr>
            <w:r>
              <w:rPr>
                <w:rFonts w:hint="eastAsia" w:ascii="宋体" w:hAnsi="宋体" w:cs="Calibri"/>
                <w:color w:val="auto"/>
                <w:kern w:val="0"/>
                <w:sz w:val="24"/>
                <w:highlight w:val="none"/>
              </w:rPr>
              <w:t>投标截止之日起60日历天</w:t>
            </w:r>
          </w:p>
        </w:tc>
      </w:tr>
      <w:tr w14:paraId="5E889331">
        <w:tblPrEx>
          <w:tblCellMar>
            <w:top w:w="0" w:type="dxa"/>
            <w:left w:w="108" w:type="dxa"/>
            <w:bottom w:w="0" w:type="dxa"/>
            <w:right w:w="108" w:type="dxa"/>
          </w:tblCellMar>
        </w:tblPrEx>
        <w:trPr>
          <w:trHeight w:val="9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35ADBF7D">
            <w:pPr>
              <w:widowControl/>
              <w:spacing w:line="360" w:lineRule="auto"/>
              <w:jc w:val="center"/>
              <w:rPr>
                <w:rFonts w:ascii="宋体" w:hAnsi="宋体" w:cs="Calibri"/>
                <w:color w:val="auto"/>
                <w:kern w:val="0"/>
                <w:sz w:val="24"/>
                <w:highlight w:val="none"/>
              </w:rPr>
            </w:pPr>
            <w:r>
              <w:rPr>
                <w:rFonts w:hint="eastAsia" w:ascii="宋体" w:hAnsi="宋体" w:cs="Calibri"/>
                <w:color w:val="auto"/>
                <w:kern w:val="0"/>
                <w:sz w:val="24"/>
                <w:highlight w:val="none"/>
              </w:rPr>
              <w:t>19</w:t>
            </w:r>
          </w:p>
        </w:tc>
        <w:tc>
          <w:tcPr>
            <w:tcW w:w="2070" w:type="dxa"/>
            <w:tcBorders>
              <w:top w:val="single" w:color="auto" w:sz="4" w:space="0"/>
              <w:left w:val="nil"/>
              <w:bottom w:val="single" w:color="auto" w:sz="4" w:space="0"/>
              <w:right w:val="single" w:color="auto" w:sz="4" w:space="0"/>
            </w:tcBorders>
            <w:vAlign w:val="center"/>
          </w:tcPr>
          <w:p w14:paraId="5E0526D6">
            <w:pPr>
              <w:widowControl/>
              <w:spacing w:line="360" w:lineRule="auto"/>
              <w:jc w:val="center"/>
              <w:rPr>
                <w:rFonts w:ascii="宋体" w:hAnsi="宋体" w:cs="Calibri"/>
                <w:color w:val="auto"/>
                <w:kern w:val="0"/>
                <w:sz w:val="24"/>
                <w:highlight w:val="none"/>
              </w:rPr>
            </w:pPr>
            <w:r>
              <w:rPr>
                <w:rFonts w:hint="eastAsia" w:ascii="宋体" w:hAnsi="宋体" w:cs="Calibri"/>
                <w:color w:val="auto"/>
                <w:kern w:val="0"/>
                <w:sz w:val="24"/>
                <w:highlight w:val="none"/>
              </w:rPr>
              <w:t>履约保证金</w:t>
            </w:r>
          </w:p>
        </w:tc>
        <w:tc>
          <w:tcPr>
            <w:tcW w:w="6353" w:type="dxa"/>
            <w:tcBorders>
              <w:top w:val="single" w:color="auto" w:sz="4" w:space="0"/>
              <w:left w:val="nil"/>
              <w:bottom w:val="single" w:color="auto" w:sz="4" w:space="0"/>
              <w:right w:val="single" w:color="auto" w:sz="4" w:space="0"/>
            </w:tcBorders>
            <w:vAlign w:val="center"/>
          </w:tcPr>
          <w:p w14:paraId="22EA708D">
            <w:pPr>
              <w:widowControl/>
              <w:spacing w:line="360" w:lineRule="auto"/>
              <w:jc w:val="left"/>
              <w:rPr>
                <w:rFonts w:ascii="宋体" w:hAnsi="宋体" w:cs="Calibri"/>
                <w:color w:val="auto"/>
                <w:kern w:val="0"/>
                <w:sz w:val="24"/>
                <w:highlight w:val="none"/>
              </w:rPr>
            </w:pPr>
            <w:r>
              <w:rPr>
                <w:rFonts w:hint="eastAsia" w:ascii="宋体" w:hAnsi="宋体" w:cs="Calibri"/>
                <w:color w:val="auto"/>
                <w:kern w:val="0"/>
                <w:sz w:val="24"/>
                <w:highlight w:val="none"/>
              </w:rPr>
              <w:t>本项目不收取履约保证金</w:t>
            </w:r>
          </w:p>
        </w:tc>
      </w:tr>
      <w:tr w14:paraId="33336EAF">
        <w:tblPrEx>
          <w:tblCellMar>
            <w:top w:w="0" w:type="dxa"/>
            <w:left w:w="108" w:type="dxa"/>
            <w:bottom w:w="0" w:type="dxa"/>
            <w:right w:w="108" w:type="dxa"/>
          </w:tblCellMar>
        </w:tblPrEx>
        <w:trPr>
          <w:trHeight w:val="9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23CF3BA9">
            <w:pPr>
              <w:widowControl/>
              <w:spacing w:line="360" w:lineRule="auto"/>
              <w:jc w:val="center"/>
              <w:rPr>
                <w:rFonts w:ascii="宋体" w:hAnsi="宋体" w:cs="Calibri"/>
                <w:color w:val="auto"/>
                <w:kern w:val="0"/>
                <w:sz w:val="24"/>
                <w:highlight w:val="none"/>
              </w:rPr>
            </w:pPr>
            <w:r>
              <w:rPr>
                <w:rFonts w:hint="eastAsia" w:ascii="宋体" w:hAnsi="宋体" w:cs="Calibri"/>
                <w:color w:val="auto"/>
                <w:kern w:val="0"/>
                <w:sz w:val="24"/>
                <w:highlight w:val="none"/>
              </w:rPr>
              <w:t>20</w:t>
            </w:r>
          </w:p>
        </w:tc>
        <w:tc>
          <w:tcPr>
            <w:tcW w:w="2070" w:type="dxa"/>
            <w:tcBorders>
              <w:top w:val="single" w:color="auto" w:sz="4" w:space="0"/>
              <w:left w:val="nil"/>
              <w:bottom w:val="single" w:color="auto" w:sz="4" w:space="0"/>
              <w:right w:val="single" w:color="auto" w:sz="4" w:space="0"/>
            </w:tcBorders>
            <w:vAlign w:val="center"/>
          </w:tcPr>
          <w:p w14:paraId="0BF97F47">
            <w:pPr>
              <w:spacing w:line="560" w:lineRule="exact"/>
              <w:jc w:val="center"/>
              <w:rPr>
                <w:rFonts w:asciiTheme="minorEastAsia" w:hAnsiTheme="minorEastAsia" w:cstheme="minorEastAsia"/>
                <w:color w:val="auto"/>
                <w:sz w:val="24"/>
                <w:szCs w:val="28"/>
                <w:highlight w:val="none"/>
              </w:rPr>
            </w:pPr>
            <w:r>
              <w:rPr>
                <w:rFonts w:hint="eastAsia" w:ascii="宋体" w:hAnsi="宋体" w:cs="Calibri"/>
                <w:color w:val="auto"/>
                <w:sz w:val="24"/>
                <w:highlight w:val="none"/>
              </w:rPr>
              <w:t>报价及费用</w:t>
            </w:r>
          </w:p>
        </w:tc>
        <w:tc>
          <w:tcPr>
            <w:tcW w:w="6353" w:type="dxa"/>
            <w:tcBorders>
              <w:top w:val="single" w:color="auto" w:sz="4" w:space="0"/>
              <w:left w:val="nil"/>
              <w:bottom w:val="single" w:color="auto" w:sz="4" w:space="0"/>
              <w:right w:val="single" w:color="auto" w:sz="4" w:space="0"/>
            </w:tcBorders>
            <w:vAlign w:val="center"/>
          </w:tcPr>
          <w:p w14:paraId="3290C952">
            <w:pPr>
              <w:spacing w:line="420" w:lineRule="exact"/>
              <w:rPr>
                <w:rFonts w:ascii="宋体" w:hAnsi="宋体" w:cs="Calibri"/>
                <w:color w:val="auto"/>
                <w:sz w:val="24"/>
                <w:highlight w:val="none"/>
              </w:rPr>
            </w:pPr>
            <w:r>
              <w:rPr>
                <w:rFonts w:hint="eastAsia" w:ascii="宋体" w:hAnsi="宋体" w:cs="Calibri"/>
                <w:color w:val="auto"/>
                <w:sz w:val="24"/>
                <w:highlight w:val="none"/>
              </w:rPr>
              <w:t>1．本项目应以人民币报价，供应商应就该项目完整投标（报价、服务、税费、售后服务等综合费用），招标人不另外支付其他任何费用；</w:t>
            </w:r>
          </w:p>
          <w:p w14:paraId="20E7D692">
            <w:pPr>
              <w:spacing w:line="420" w:lineRule="exact"/>
              <w:rPr>
                <w:rFonts w:ascii="宋体" w:hAnsi="宋体" w:cs="Calibri"/>
                <w:color w:val="auto"/>
                <w:sz w:val="24"/>
                <w:highlight w:val="none"/>
              </w:rPr>
            </w:pPr>
            <w:r>
              <w:rPr>
                <w:rFonts w:hint="eastAsia" w:ascii="宋体" w:hAnsi="宋体" w:cs="Calibri"/>
                <w:color w:val="auto"/>
                <w:sz w:val="24"/>
                <w:highlight w:val="none"/>
              </w:rPr>
              <w:t>2. 招标代理服务费按《河南省招标代理服务收费指导意见》豫招标（2023）002号向中标人收取。供应商的投标报价应当包含该代理费用。</w:t>
            </w:r>
          </w:p>
        </w:tc>
      </w:tr>
      <w:tr w14:paraId="4C6E3FA6">
        <w:tblPrEx>
          <w:tblCellMar>
            <w:top w:w="0" w:type="dxa"/>
            <w:left w:w="108" w:type="dxa"/>
            <w:bottom w:w="0" w:type="dxa"/>
            <w:right w:w="108" w:type="dxa"/>
          </w:tblCellMar>
        </w:tblPrEx>
        <w:trPr>
          <w:trHeight w:val="357"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0E1BF832">
            <w:pPr>
              <w:widowControl/>
              <w:spacing w:line="360" w:lineRule="auto"/>
              <w:jc w:val="center"/>
              <w:rPr>
                <w:rFonts w:ascii="宋体" w:hAnsi="宋体" w:cs="Calibri"/>
                <w:color w:val="auto"/>
                <w:kern w:val="0"/>
                <w:sz w:val="24"/>
                <w:highlight w:val="none"/>
              </w:rPr>
            </w:pPr>
            <w:r>
              <w:rPr>
                <w:rFonts w:hint="eastAsia" w:ascii="宋体" w:hAnsi="宋体" w:cs="Calibri"/>
                <w:color w:val="auto"/>
                <w:kern w:val="0"/>
                <w:sz w:val="24"/>
                <w:highlight w:val="none"/>
              </w:rPr>
              <w:t>2</w:t>
            </w:r>
            <w:r>
              <w:rPr>
                <w:rFonts w:ascii="宋体" w:hAnsi="宋体" w:cs="Calibri"/>
                <w:color w:val="auto"/>
                <w:kern w:val="0"/>
                <w:sz w:val="24"/>
                <w:highlight w:val="none"/>
              </w:rPr>
              <w:t>1</w:t>
            </w:r>
          </w:p>
        </w:tc>
        <w:tc>
          <w:tcPr>
            <w:tcW w:w="2070" w:type="dxa"/>
            <w:tcBorders>
              <w:top w:val="single" w:color="auto" w:sz="4" w:space="0"/>
              <w:left w:val="nil"/>
              <w:bottom w:val="single" w:color="auto" w:sz="4" w:space="0"/>
              <w:right w:val="single" w:color="auto" w:sz="4" w:space="0"/>
            </w:tcBorders>
            <w:vAlign w:val="center"/>
          </w:tcPr>
          <w:p w14:paraId="4C7BC82E">
            <w:pPr>
              <w:spacing w:line="360" w:lineRule="auto"/>
              <w:jc w:val="center"/>
              <w:rPr>
                <w:rFonts w:ascii="宋体" w:hAnsi="宋体" w:cs="Calibri"/>
                <w:color w:val="auto"/>
                <w:sz w:val="24"/>
                <w:highlight w:val="none"/>
              </w:rPr>
            </w:pPr>
            <w:r>
              <w:rPr>
                <w:rFonts w:hint="eastAsia" w:ascii="宋体" w:hAnsi="宋体" w:cs="Calibri"/>
                <w:color w:val="auto"/>
                <w:sz w:val="24"/>
                <w:highlight w:val="none"/>
              </w:rPr>
              <w:t>偏离</w:t>
            </w:r>
          </w:p>
        </w:tc>
        <w:tc>
          <w:tcPr>
            <w:tcW w:w="6353" w:type="dxa"/>
            <w:tcBorders>
              <w:top w:val="single" w:color="auto" w:sz="4" w:space="0"/>
              <w:left w:val="nil"/>
              <w:bottom w:val="single" w:color="auto" w:sz="4" w:space="0"/>
              <w:right w:val="single" w:color="auto" w:sz="4" w:space="0"/>
            </w:tcBorders>
            <w:vAlign w:val="center"/>
          </w:tcPr>
          <w:p w14:paraId="0B97E3EB">
            <w:pPr>
              <w:spacing w:line="360" w:lineRule="auto"/>
              <w:jc w:val="left"/>
              <w:rPr>
                <w:rFonts w:ascii="宋体" w:hAnsi="宋体" w:cs="Calibri"/>
                <w:color w:val="auto"/>
                <w:sz w:val="24"/>
                <w:highlight w:val="none"/>
              </w:rPr>
            </w:pPr>
            <w:r>
              <w:rPr>
                <w:rFonts w:hint="eastAsia" w:ascii="宋体" w:hAnsi="宋体" w:cs="Calibri"/>
                <w:color w:val="auto"/>
                <w:sz w:val="24"/>
                <w:highlight w:val="none"/>
              </w:rPr>
              <w:t>允许</w:t>
            </w:r>
            <w:r>
              <w:rPr>
                <w:rFonts w:hint="eastAsia" w:ascii="宋体" w:hAnsi="宋体" w:cs="Calibri"/>
                <w:color w:val="auto"/>
                <w:sz w:val="24"/>
                <w:highlight w:val="none"/>
                <w:lang w:val="en-US" w:eastAsia="zh-CN"/>
              </w:rPr>
              <w:t>正</w:t>
            </w:r>
            <w:r>
              <w:rPr>
                <w:rFonts w:hint="eastAsia" w:ascii="宋体" w:hAnsi="宋体" w:cs="Calibri"/>
                <w:color w:val="auto"/>
                <w:sz w:val="24"/>
                <w:highlight w:val="none"/>
              </w:rPr>
              <w:t>偏离。</w:t>
            </w:r>
          </w:p>
        </w:tc>
      </w:tr>
      <w:tr w14:paraId="25000600">
        <w:tblPrEx>
          <w:tblCellMar>
            <w:top w:w="0" w:type="dxa"/>
            <w:left w:w="108" w:type="dxa"/>
            <w:bottom w:w="0" w:type="dxa"/>
            <w:right w:w="108" w:type="dxa"/>
          </w:tblCellMar>
        </w:tblPrEx>
        <w:trPr>
          <w:trHeight w:val="442"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3C190C5D">
            <w:pPr>
              <w:widowControl/>
              <w:spacing w:line="360" w:lineRule="auto"/>
              <w:jc w:val="center"/>
              <w:rPr>
                <w:rFonts w:ascii="宋体" w:hAnsi="宋体" w:cs="Calibri"/>
                <w:color w:val="auto"/>
                <w:sz w:val="24"/>
                <w:highlight w:val="none"/>
              </w:rPr>
            </w:pPr>
            <w:r>
              <w:rPr>
                <w:rFonts w:hint="eastAsia" w:ascii="宋体" w:hAnsi="宋体" w:cs="Calibri"/>
                <w:color w:val="auto"/>
                <w:kern w:val="0"/>
                <w:sz w:val="24"/>
                <w:highlight w:val="none"/>
              </w:rPr>
              <w:t>2</w:t>
            </w:r>
            <w:r>
              <w:rPr>
                <w:rFonts w:ascii="宋体" w:hAnsi="宋体" w:cs="Calibri"/>
                <w:color w:val="auto"/>
                <w:kern w:val="0"/>
                <w:sz w:val="24"/>
                <w:highlight w:val="none"/>
              </w:rPr>
              <w:t>2</w:t>
            </w:r>
          </w:p>
        </w:tc>
        <w:tc>
          <w:tcPr>
            <w:tcW w:w="2070" w:type="dxa"/>
            <w:tcBorders>
              <w:top w:val="single" w:color="auto" w:sz="4" w:space="0"/>
              <w:left w:val="nil"/>
              <w:bottom w:val="single" w:color="auto" w:sz="4" w:space="0"/>
              <w:right w:val="single" w:color="auto" w:sz="4" w:space="0"/>
            </w:tcBorders>
            <w:vAlign w:val="center"/>
          </w:tcPr>
          <w:p w14:paraId="53AE333B">
            <w:pPr>
              <w:widowControl/>
              <w:spacing w:line="360" w:lineRule="auto"/>
              <w:jc w:val="center"/>
              <w:rPr>
                <w:rFonts w:ascii="宋体" w:hAnsi="宋体" w:cs="Calibri"/>
                <w:color w:val="auto"/>
                <w:kern w:val="0"/>
                <w:sz w:val="24"/>
                <w:highlight w:val="none"/>
              </w:rPr>
            </w:pPr>
            <w:r>
              <w:rPr>
                <w:rFonts w:hint="eastAsia" w:ascii="宋体" w:hAnsi="宋体" w:cs="Calibri"/>
                <w:color w:val="auto"/>
                <w:kern w:val="0"/>
                <w:sz w:val="24"/>
                <w:highlight w:val="none"/>
              </w:rPr>
              <w:t>解释</w:t>
            </w:r>
          </w:p>
        </w:tc>
        <w:tc>
          <w:tcPr>
            <w:tcW w:w="6353" w:type="dxa"/>
            <w:tcBorders>
              <w:top w:val="single" w:color="auto" w:sz="4" w:space="0"/>
              <w:left w:val="nil"/>
              <w:bottom w:val="single" w:color="auto" w:sz="4" w:space="0"/>
              <w:right w:val="single" w:color="auto" w:sz="4" w:space="0"/>
            </w:tcBorders>
            <w:vAlign w:val="center"/>
          </w:tcPr>
          <w:p w14:paraId="748D10DA">
            <w:pPr>
              <w:widowControl/>
              <w:spacing w:line="360" w:lineRule="auto"/>
              <w:jc w:val="left"/>
              <w:rPr>
                <w:rFonts w:ascii="宋体" w:hAnsi="宋体" w:cs="Calibri"/>
                <w:color w:val="auto"/>
                <w:kern w:val="0"/>
                <w:sz w:val="24"/>
                <w:highlight w:val="none"/>
              </w:rPr>
            </w:pPr>
            <w:r>
              <w:rPr>
                <w:rFonts w:hint="eastAsia" w:ascii="宋体" w:hAnsi="宋体" w:cs="Calibri"/>
                <w:color w:val="auto"/>
                <w:kern w:val="0"/>
                <w:sz w:val="24"/>
                <w:highlight w:val="none"/>
              </w:rPr>
              <w:t>本竞争性磋商文件的解释权属于采购人。</w:t>
            </w:r>
          </w:p>
        </w:tc>
      </w:tr>
      <w:tr w14:paraId="4479E82F">
        <w:tblPrEx>
          <w:tblCellMar>
            <w:top w:w="0" w:type="dxa"/>
            <w:left w:w="108" w:type="dxa"/>
            <w:bottom w:w="0" w:type="dxa"/>
            <w:right w:w="108" w:type="dxa"/>
          </w:tblCellMar>
        </w:tblPrEx>
        <w:trPr>
          <w:trHeight w:val="683"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222ED2DC">
            <w:pPr>
              <w:widowControl/>
              <w:spacing w:line="360" w:lineRule="auto"/>
              <w:jc w:val="center"/>
              <w:rPr>
                <w:rFonts w:ascii="宋体" w:hAnsi="宋体" w:cs="Calibri"/>
                <w:color w:val="auto"/>
                <w:sz w:val="24"/>
                <w:highlight w:val="none"/>
              </w:rPr>
            </w:pPr>
            <w:r>
              <w:rPr>
                <w:rFonts w:hint="eastAsia" w:ascii="宋体" w:hAnsi="宋体" w:cs="Calibri"/>
                <w:color w:val="auto"/>
                <w:kern w:val="0"/>
                <w:sz w:val="24"/>
                <w:highlight w:val="none"/>
              </w:rPr>
              <w:t>2</w:t>
            </w:r>
            <w:r>
              <w:rPr>
                <w:rFonts w:ascii="宋体" w:hAnsi="宋体" w:cs="Calibri"/>
                <w:color w:val="auto"/>
                <w:kern w:val="0"/>
                <w:sz w:val="24"/>
                <w:highlight w:val="none"/>
              </w:rPr>
              <w:t>3</w:t>
            </w:r>
          </w:p>
        </w:tc>
        <w:tc>
          <w:tcPr>
            <w:tcW w:w="2070" w:type="dxa"/>
            <w:tcBorders>
              <w:top w:val="single" w:color="auto" w:sz="4" w:space="0"/>
              <w:left w:val="nil"/>
              <w:bottom w:val="single" w:color="auto" w:sz="4" w:space="0"/>
              <w:right w:val="single" w:color="auto" w:sz="4" w:space="0"/>
            </w:tcBorders>
            <w:vAlign w:val="center"/>
          </w:tcPr>
          <w:p w14:paraId="1866A2D4">
            <w:pPr>
              <w:widowControl/>
              <w:spacing w:line="360" w:lineRule="auto"/>
              <w:jc w:val="center"/>
              <w:rPr>
                <w:rFonts w:ascii="宋体" w:hAnsi="宋体" w:cs="Calibri"/>
                <w:color w:val="auto"/>
                <w:sz w:val="24"/>
                <w:highlight w:val="none"/>
              </w:rPr>
            </w:pPr>
            <w:r>
              <w:rPr>
                <w:rFonts w:hint="eastAsia" w:ascii="宋体" w:hAnsi="宋体" w:cs="Calibri"/>
                <w:b/>
                <w:bCs/>
                <w:color w:val="auto"/>
                <w:kern w:val="0"/>
                <w:sz w:val="24"/>
                <w:highlight w:val="none"/>
              </w:rPr>
              <w:t>电子化交易注意事项</w:t>
            </w:r>
          </w:p>
        </w:tc>
        <w:tc>
          <w:tcPr>
            <w:tcW w:w="6353" w:type="dxa"/>
            <w:tcBorders>
              <w:top w:val="single" w:color="auto" w:sz="4" w:space="0"/>
              <w:left w:val="nil"/>
              <w:bottom w:val="single" w:color="auto" w:sz="4" w:space="0"/>
              <w:right w:val="single" w:color="auto" w:sz="4" w:space="0"/>
            </w:tcBorders>
            <w:vAlign w:val="center"/>
          </w:tcPr>
          <w:p w14:paraId="6BEF4220">
            <w:pPr>
              <w:spacing w:line="400" w:lineRule="exact"/>
              <w:rPr>
                <w:rFonts w:ascii="宋体" w:hAnsi="宋体"/>
                <w:color w:val="auto"/>
                <w:sz w:val="24"/>
                <w:highlight w:val="none"/>
              </w:rPr>
            </w:pPr>
            <w:r>
              <w:rPr>
                <w:rFonts w:hint="eastAsia" w:ascii="宋体" w:hAnsi="宋体"/>
                <w:color w:val="auto"/>
                <w:sz w:val="24"/>
                <w:highlight w:val="none"/>
              </w:rPr>
              <w:t>本项目为电子化交易项目，投标文件是供应商、投标人（以下简称“供应商”）通过中心投标文件制作系统制作，并经过电子签章和加密后生成的电子版投标文件。供应商投标时，不须提交纸质文件资料。</w:t>
            </w:r>
          </w:p>
          <w:p w14:paraId="7E2DE58B">
            <w:pPr>
              <w:spacing w:line="400" w:lineRule="exact"/>
              <w:rPr>
                <w:rFonts w:ascii="宋体" w:hAnsi="宋体"/>
                <w:color w:val="auto"/>
                <w:sz w:val="24"/>
                <w:highlight w:val="none"/>
              </w:rPr>
            </w:pPr>
            <w:r>
              <w:rPr>
                <w:rFonts w:hint="eastAsia" w:ascii="宋体" w:hAnsi="宋体"/>
                <w:color w:val="auto"/>
                <w:sz w:val="24"/>
                <w:highlight w:val="none"/>
              </w:rPr>
              <w:t>电子化投标文件具体制作教材请供应商通过CA证书登录三门峡市公共资源电子化交易系统在 “交易智库”中下载操作流程</w:t>
            </w:r>
          </w:p>
          <w:p w14:paraId="6B649579">
            <w:pPr>
              <w:spacing w:line="400" w:lineRule="exact"/>
              <w:rPr>
                <w:rFonts w:ascii="宋体" w:hAnsi="宋体"/>
                <w:color w:val="auto"/>
                <w:sz w:val="24"/>
                <w:highlight w:val="none"/>
              </w:rPr>
            </w:pPr>
            <w:r>
              <w:rPr>
                <w:rFonts w:hint="eastAsia" w:ascii="宋体" w:hAnsi="宋体"/>
                <w:color w:val="auto"/>
                <w:sz w:val="24"/>
                <w:highlight w:val="none"/>
              </w:rPr>
              <w:t>温馨提示：本项目为电子化、无纸化交易项目，供应商时不接受任何纸质资料，为保证您能投标成功，请需仔细阅读以下条款。</w:t>
            </w:r>
          </w:p>
          <w:p w14:paraId="583AD7D6">
            <w:pPr>
              <w:spacing w:line="400" w:lineRule="exact"/>
              <w:rPr>
                <w:rFonts w:ascii="宋体" w:hAnsi="宋体"/>
                <w:color w:val="auto"/>
                <w:sz w:val="24"/>
                <w:highlight w:val="none"/>
              </w:rPr>
            </w:pPr>
            <w:r>
              <w:rPr>
                <w:rFonts w:hint="eastAsia" w:ascii="宋体" w:hAnsi="宋体"/>
                <w:color w:val="auto"/>
                <w:sz w:val="24"/>
                <w:highlight w:val="none"/>
              </w:rPr>
              <w:t>一、电子化投标</w:t>
            </w:r>
          </w:p>
          <w:p w14:paraId="5CE87200">
            <w:pPr>
              <w:spacing w:line="400" w:lineRule="exact"/>
              <w:rPr>
                <w:rFonts w:ascii="宋体" w:hAnsi="宋体"/>
                <w:color w:val="auto"/>
                <w:sz w:val="24"/>
                <w:highlight w:val="none"/>
              </w:rPr>
            </w:pPr>
            <w:r>
              <w:rPr>
                <w:rFonts w:hint="eastAsia" w:ascii="宋体" w:hAnsi="宋体"/>
                <w:color w:val="auto"/>
                <w:sz w:val="24"/>
                <w:highlight w:val="none"/>
              </w:rPr>
              <w:t>（一）电子化投标文件的签章</w:t>
            </w:r>
          </w:p>
          <w:p w14:paraId="7CED9ECA">
            <w:pPr>
              <w:spacing w:line="400" w:lineRule="exact"/>
              <w:rPr>
                <w:rFonts w:ascii="宋体" w:hAnsi="宋体"/>
                <w:color w:val="auto"/>
                <w:sz w:val="24"/>
                <w:highlight w:val="none"/>
              </w:rPr>
            </w:pPr>
            <w:r>
              <w:rPr>
                <w:rFonts w:hint="eastAsia" w:ascii="宋体" w:hAnsi="宋体"/>
                <w:color w:val="auto"/>
                <w:sz w:val="24"/>
                <w:highlight w:val="none"/>
              </w:rPr>
              <w:t>1、供应商在生成电子化投标文件后，应对电子化投标文件进行签章，未进行签章的视为无效投标。</w:t>
            </w:r>
          </w:p>
          <w:p w14:paraId="38C76768">
            <w:pPr>
              <w:spacing w:line="400" w:lineRule="exact"/>
              <w:jc w:val="left"/>
              <w:rPr>
                <w:rFonts w:ascii="宋体" w:hAnsi="宋体"/>
                <w:color w:val="auto"/>
                <w:sz w:val="24"/>
                <w:highlight w:val="none"/>
              </w:rPr>
            </w:pPr>
            <w:r>
              <w:rPr>
                <w:rFonts w:hint="eastAsia" w:ascii="宋体" w:hAnsi="宋体"/>
                <w:color w:val="auto"/>
                <w:sz w:val="24"/>
                <w:highlight w:val="none"/>
              </w:rPr>
              <w:t>2、投标文件中要求法定代表人或授权委托人签字或盖章的，供应商在进行电子化投标文件签章时，以签盖法定代表人签章为准。电子化投标文件具体制作教材请供应商通过CA证书登录三门峡市公共资源电子化交易系统在右上角“交易智库”中查看。电子化投标文件工具请点击</w:t>
            </w:r>
            <w:r>
              <w:rPr>
                <w:rFonts w:ascii="宋体" w:hAnsi="宋体"/>
                <w:color w:val="auto"/>
                <w:sz w:val="24"/>
                <w:highlight w:val="none"/>
              </w:rPr>
              <w:t>https://download.bqpoint.com/download/downloadlist.html?SoftTypeCode=03</w:t>
            </w:r>
            <w:r>
              <w:rPr>
                <w:rFonts w:hint="eastAsia" w:ascii="宋体" w:hAnsi="宋体"/>
                <w:color w:val="auto"/>
                <w:sz w:val="24"/>
                <w:highlight w:val="none"/>
              </w:rPr>
              <w:t>进行下载。</w:t>
            </w:r>
          </w:p>
          <w:p w14:paraId="32103AFD">
            <w:pPr>
              <w:spacing w:line="400" w:lineRule="exact"/>
              <w:rPr>
                <w:rFonts w:ascii="宋体" w:hAnsi="宋体"/>
                <w:color w:val="auto"/>
                <w:sz w:val="24"/>
                <w:highlight w:val="none"/>
              </w:rPr>
            </w:pPr>
            <w:r>
              <w:rPr>
                <w:rFonts w:hint="eastAsia" w:ascii="宋体" w:hAnsi="宋体"/>
                <w:color w:val="auto"/>
                <w:sz w:val="24"/>
                <w:highlight w:val="none"/>
              </w:rPr>
              <w:t>（二）电子化投标文件的格式及上传投标</w:t>
            </w:r>
          </w:p>
          <w:p w14:paraId="7A6018D5">
            <w:pPr>
              <w:spacing w:line="400" w:lineRule="exact"/>
              <w:jc w:val="left"/>
              <w:rPr>
                <w:rFonts w:ascii="宋体" w:hAnsi="宋体"/>
                <w:color w:val="auto"/>
                <w:sz w:val="24"/>
                <w:highlight w:val="none"/>
              </w:rPr>
            </w:pPr>
            <w:r>
              <w:rPr>
                <w:rFonts w:hint="eastAsia" w:ascii="宋体" w:hAnsi="宋体"/>
                <w:color w:val="auto"/>
                <w:sz w:val="24"/>
                <w:highlight w:val="none"/>
              </w:rPr>
              <w:t>1、供应商所上传的电子化投标文件，应是通过中心投标文件制作系统制作的（投标文件制作工具下载地址：</w:t>
            </w:r>
            <w:r>
              <w:rPr>
                <w:rFonts w:ascii="宋体" w:hAnsi="宋体"/>
                <w:color w:val="auto"/>
                <w:sz w:val="24"/>
                <w:highlight w:val="none"/>
              </w:rPr>
              <w:t>https://download.bqpoint.com/download/downloadlist.html?SoftTypeCode=03</w:t>
            </w:r>
            <w:r>
              <w:rPr>
                <w:rFonts w:hint="eastAsia" w:ascii="宋体" w:hAnsi="宋体"/>
                <w:color w:val="auto"/>
                <w:sz w:val="24"/>
                <w:highlight w:val="none"/>
              </w:rPr>
              <w:t>），经过签章和加密后生成的电子版投标文件。其中包含用于投标文件上传的主文件（后缀为.smxtf）和用于应急补救的投标文件备份文件（后缀为.nsmxtf）。备份文件主要用于电子化开标出现技术问题后的补救，请供应商随身携带。</w:t>
            </w:r>
          </w:p>
          <w:p w14:paraId="4A83EEAA">
            <w:pPr>
              <w:spacing w:line="400" w:lineRule="exact"/>
              <w:rPr>
                <w:rFonts w:ascii="宋体" w:hAnsi="宋体"/>
                <w:color w:val="auto"/>
                <w:sz w:val="24"/>
                <w:highlight w:val="none"/>
              </w:rPr>
            </w:pPr>
            <w:r>
              <w:rPr>
                <w:rFonts w:hint="eastAsia" w:ascii="宋体" w:hAnsi="宋体"/>
                <w:color w:val="auto"/>
                <w:sz w:val="24"/>
                <w:highlight w:val="none"/>
              </w:rPr>
              <w:t>注：供应商投报多个标段的，需要每个标段单独制作电子投标文件。</w:t>
            </w:r>
          </w:p>
          <w:p w14:paraId="4CA5468A">
            <w:pPr>
              <w:spacing w:line="400" w:lineRule="exact"/>
              <w:rPr>
                <w:rFonts w:ascii="宋体" w:hAnsi="宋体"/>
                <w:color w:val="auto"/>
                <w:sz w:val="24"/>
                <w:highlight w:val="none"/>
              </w:rPr>
            </w:pPr>
            <w:r>
              <w:rPr>
                <w:rFonts w:hint="eastAsia" w:ascii="宋体" w:hAnsi="宋体"/>
                <w:color w:val="auto"/>
                <w:sz w:val="24"/>
                <w:highlight w:val="none"/>
              </w:rPr>
              <w:t>2、电子化投标文件应在投标截止时间前成功上传至三门峡市公共资源电子化交易系统。至投标截止时间止，仍未上传成功的电子化投标文件将不予接收。</w:t>
            </w:r>
          </w:p>
          <w:p w14:paraId="05B2B161">
            <w:pPr>
              <w:spacing w:line="400" w:lineRule="exact"/>
              <w:rPr>
                <w:rFonts w:ascii="宋体" w:hAnsi="宋体"/>
                <w:color w:val="auto"/>
                <w:sz w:val="24"/>
                <w:highlight w:val="none"/>
              </w:rPr>
            </w:pPr>
            <w:r>
              <w:rPr>
                <w:rFonts w:hint="eastAsia" w:ascii="宋体" w:hAnsi="宋体"/>
                <w:color w:val="auto"/>
                <w:sz w:val="24"/>
                <w:highlight w:val="none"/>
              </w:rPr>
              <w:t>注：如按照电子化投标操作教材制作完成的电子化投标文件无法上传的，供应商应在投标截止时间前尽早的联系中心技术人员，以便有充分的时间进行处理。供应商应充分考虑到处理技术问题和上传数据等工作所需的时间问题，投标文件未在投标截止时间前成功上传的，其投标文件不予接收。</w:t>
            </w:r>
          </w:p>
          <w:p w14:paraId="5F9FB78B">
            <w:pPr>
              <w:spacing w:line="400" w:lineRule="exact"/>
              <w:rPr>
                <w:rFonts w:ascii="宋体" w:hAnsi="宋体"/>
                <w:color w:val="auto"/>
                <w:sz w:val="24"/>
                <w:highlight w:val="none"/>
              </w:rPr>
            </w:pPr>
            <w:r>
              <w:rPr>
                <w:rFonts w:hint="eastAsia" w:ascii="宋体" w:hAnsi="宋体"/>
                <w:color w:val="auto"/>
                <w:sz w:val="24"/>
                <w:highlight w:val="none"/>
              </w:rPr>
              <w:t>技术联系电话：400-998-0000</w:t>
            </w:r>
          </w:p>
          <w:p w14:paraId="597ACE98">
            <w:pPr>
              <w:spacing w:line="400" w:lineRule="exact"/>
              <w:rPr>
                <w:rFonts w:ascii="宋体" w:hAnsi="宋体"/>
                <w:color w:val="auto"/>
                <w:sz w:val="24"/>
                <w:highlight w:val="none"/>
              </w:rPr>
            </w:pPr>
            <w:r>
              <w:rPr>
                <w:rFonts w:hint="eastAsia" w:ascii="宋体" w:hAnsi="宋体"/>
                <w:color w:val="auto"/>
                <w:sz w:val="24"/>
                <w:highlight w:val="none"/>
              </w:rPr>
              <w:t>主体库咨询电话:0398-3117815</w:t>
            </w:r>
          </w:p>
          <w:p w14:paraId="441A2A48">
            <w:pPr>
              <w:spacing w:line="400" w:lineRule="exact"/>
              <w:rPr>
                <w:rFonts w:ascii="宋体" w:hAnsi="宋体"/>
                <w:color w:val="auto"/>
                <w:sz w:val="24"/>
                <w:highlight w:val="none"/>
              </w:rPr>
            </w:pPr>
            <w:r>
              <w:rPr>
                <w:rFonts w:hint="eastAsia" w:ascii="宋体" w:hAnsi="宋体"/>
                <w:color w:val="auto"/>
                <w:sz w:val="24"/>
                <w:highlight w:val="none"/>
              </w:rPr>
              <w:t>CA证书制发:0398-2181635</w:t>
            </w:r>
          </w:p>
          <w:p w14:paraId="23F81134">
            <w:pPr>
              <w:spacing w:line="400" w:lineRule="exact"/>
              <w:rPr>
                <w:rFonts w:ascii="宋体" w:hAnsi="宋体"/>
                <w:color w:val="auto"/>
                <w:sz w:val="24"/>
                <w:highlight w:val="none"/>
              </w:rPr>
            </w:pPr>
            <w:r>
              <w:rPr>
                <w:rFonts w:hint="eastAsia" w:ascii="宋体" w:hAnsi="宋体"/>
                <w:color w:val="auto"/>
                <w:sz w:val="24"/>
                <w:highlight w:val="none"/>
              </w:rPr>
              <w:t>科技信息科:0398-3117095</w:t>
            </w:r>
          </w:p>
          <w:p w14:paraId="03D97A12">
            <w:pPr>
              <w:spacing w:line="400" w:lineRule="exact"/>
              <w:rPr>
                <w:rFonts w:ascii="宋体" w:hAnsi="宋体"/>
                <w:color w:val="auto"/>
                <w:sz w:val="24"/>
                <w:highlight w:val="none"/>
              </w:rPr>
            </w:pPr>
            <w:r>
              <w:rPr>
                <w:rFonts w:hint="eastAsia" w:ascii="宋体" w:hAnsi="宋体"/>
                <w:color w:val="auto"/>
                <w:sz w:val="24"/>
                <w:highlight w:val="none"/>
              </w:rPr>
              <w:t>（三）电子化项目开标、解密、唱标、评标</w:t>
            </w:r>
          </w:p>
          <w:p w14:paraId="2751B9CB">
            <w:pPr>
              <w:wordWrap w:val="0"/>
              <w:spacing w:line="400" w:lineRule="exact"/>
              <w:ind w:firstLine="357"/>
              <w:rPr>
                <w:rFonts w:ascii="宋体" w:hAnsi="宋体"/>
                <w:color w:val="auto"/>
                <w:sz w:val="24"/>
                <w:highlight w:val="none"/>
              </w:rPr>
            </w:pPr>
            <w:r>
              <w:rPr>
                <w:rFonts w:hint="eastAsia" w:ascii="宋体" w:hAnsi="宋体"/>
                <w:color w:val="auto"/>
                <w:sz w:val="24"/>
                <w:highlight w:val="none"/>
              </w:rPr>
              <w:t>1、本项目采用电子化、无纸化进行招标，开标当日，供应商无需到开标现场参加开标会议，供应商应当在投标截止时间前，登陆不见面开标大厅选择登陆三门峡市公共资源电子招投标系统进行登陆（</w:t>
            </w:r>
            <w:r>
              <w:rPr>
                <w:rFonts w:hint="eastAsia" w:ascii="宋体" w:hAnsi="宋体" w:cs="宋体"/>
                <w:color w:val="auto"/>
                <w:sz w:val="24"/>
                <w:szCs w:val="24"/>
                <w:highlight w:val="none"/>
              </w:rPr>
              <w:t>网址为</w:t>
            </w:r>
            <w:r>
              <w:rPr>
                <w:rFonts w:ascii="宋体" w:hAnsi="宋体" w:cs="宋体"/>
                <w:color w:val="auto"/>
                <w:sz w:val="24"/>
                <w:szCs w:val="24"/>
                <w:highlight w:val="none"/>
              </w:rPr>
              <w:t>http://120.194.249.36:10094/BidOpening/bidopeninghallaction/hall/login</w:t>
            </w:r>
            <w:r>
              <w:rPr>
                <w:rFonts w:hint="eastAsia" w:ascii="宋体" w:hAnsi="宋体"/>
                <w:color w:val="auto"/>
                <w:sz w:val="24"/>
                <w:highlight w:val="none"/>
              </w:rPr>
              <w:t>）,在线准时参加开标活动并进行投标文件解密等。</w:t>
            </w:r>
          </w:p>
          <w:p w14:paraId="10F1EC41">
            <w:pPr>
              <w:spacing w:line="400" w:lineRule="exact"/>
              <w:rPr>
                <w:rFonts w:ascii="宋体" w:hAnsi="宋体"/>
                <w:color w:val="auto"/>
                <w:sz w:val="24"/>
                <w:highlight w:val="none"/>
              </w:rPr>
            </w:pPr>
            <w:r>
              <w:rPr>
                <w:rFonts w:hint="eastAsia" w:ascii="宋体" w:hAnsi="宋体"/>
                <w:color w:val="auto"/>
                <w:sz w:val="24"/>
                <w:highlight w:val="none"/>
              </w:rPr>
              <w:t>2、电子化投标文件采用一次加密方式。开标时，由供应商使用CA 证书，在规定时间内对其电子化投标文件进行解密。每位供应商的解密时间为开标时间起30 分钟内，如在规定时间内未完成解密的，其投标文件不予开标、唱标。</w:t>
            </w:r>
          </w:p>
          <w:p w14:paraId="7DFC54FB">
            <w:pPr>
              <w:spacing w:line="400" w:lineRule="exact"/>
              <w:rPr>
                <w:rFonts w:ascii="宋体" w:hAnsi="宋体"/>
                <w:color w:val="auto"/>
                <w:sz w:val="24"/>
                <w:highlight w:val="none"/>
              </w:rPr>
            </w:pPr>
            <w:r>
              <w:rPr>
                <w:rFonts w:hint="eastAsia" w:ascii="宋体" w:hAnsi="宋体"/>
                <w:color w:val="auto"/>
                <w:sz w:val="24"/>
                <w:highlight w:val="none"/>
              </w:rPr>
              <w:t>3、电子化投标文件解密异常的处理</w:t>
            </w:r>
          </w:p>
          <w:p w14:paraId="4869A598">
            <w:pPr>
              <w:spacing w:line="400" w:lineRule="exact"/>
              <w:rPr>
                <w:rFonts w:ascii="宋体" w:hAnsi="宋体"/>
                <w:color w:val="auto"/>
                <w:sz w:val="24"/>
                <w:highlight w:val="none"/>
              </w:rPr>
            </w:pPr>
            <w:r>
              <w:rPr>
                <w:rFonts w:hint="eastAsia" w:ascii="宋体" w:hAnsi="宋体"/>
                <w:color w:val="auto"/>
                <w:sz w:val="24"/>
                <w:highlight w:val="none"/>
              </w:rPr>
              <w:t>如出现供应商的电子投标文件无法解密等异常情况，供应商应及时致电中介服务机构说明。投标文件异常，按以下步骤进行处理：</w:t>
            </w:r>
          </w:p>
          <w:p w14:paraId="439EB6B4">
            <w:pPr>
              <w:spacing w:line="400" w:lineRule="exact"/>
              <w:rPr>
                <w:rFonts w:ascii="宋体" w:hAnsi="宋体"/>
                <w:color w:val="auto"/>
                <w:sz w:val="24"/>
                <w:highlight w:val="none"/>
              </w:rPr>
            </w:pPr>
            <w:r>
              <w:rPr>
                <w:rFonts w:hint="eastAsia" w:ascii="宋体" w:hAnsi="宋体"/>
                <w:color w:val="auto"/>
                <w:sz w:val="24"/>
                <w:highlight w:val="none"/>
              </w:rPr>
              <w:t>（1）首先由技术人员进行问题排查。</w:t>
            </w:r>
          </w:p>
          <w:p w14:paraId="5C076B10">
            <w:pPr>
              <w:spacing w:line="400" w:lineRule="exact"/>
              <w:rPr>
                <w:rFonts w:ascii="宋体" w:hAnsi="宋体"/>
                <w:color w:val="auto"/>
                <w:sz w:val="24"/>
                <w:highlight w:val="none"/>
              </w:rPr>
            </w:pPr>
            <w:r>
              <w:rPr>
                <w:rFonts w:hint="eastAsia" w:ascii="宋体" w:hAnsi="宋体"/>
                <w:color w:val="auto"/>
                <w:sz w:val="24"/>
                <w:highlight w:val="none"/>
              </w:rPr>
              <w:t>（2）经技术人员排查后，是供应商文件自身问题导致投标文件无法解密的，该投标文件将不予接收、解密和唱标。开标会议继续进行。</w:t>
            </w:r>
          </w:p>
          <w:p w14:paraId="2324C6BA">
            <w:pPr>
              <w:spacing w:line="400" w:lineRule="exact"/>
              <w:rPr>
                <w:rFonts w:ascii="宋体" w:hAnsi="宋体"/>
                <w:color w:val="auto"/>
                <w:sz w:val="24"/>
                <w:highlight w:val="none"/>
              </w:rPr>
            </w:pPr>
            <w:r>
              <w:rPr>
                <w:rFonts w:hint="eastAsia" w:ascii="宋体" w:hAnsi="宋体"/>
                <w:color w:val="auto"/>
                <w:sz w:val="24"/>
                <w:highlight w:val="none"/>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166B8362">
            <w:pPr>
              <w:spacing w:line="400" w:lineRule="exact"/>
              <w:rPr>
                <w:rFonts w:ascii="宋体" w:hAnsi="宋体"/>
                <w:color w:val="auto"/>
                <w:sz w:val="24"/>
                <w:highlight w:val="none"/>
              </w:rPr>
            </w:pPr>
            <w:r>
              <w:rPr>
                <w:rFonts w:hint="eastAsia" w:ascii="宋体" w:hAnsi="宋体"/>
                <w:color w:val="auto"/>
                <w:sz w:val="24"/>
                <w:highlight w:val="none"/>
              </w:rPr>
              <w:t>4、待所有供应商投标文件解密完成后，由中介服务机构操作，对所有已解密投标文件进行唱标。</w:t>
            </w:r>
          </w:p>
          <w:p w14:paraId="7FC8FC92">
            <w:pPr>
              <w:spacing w:line="400" w:lineRule="exact"/>
              <w:rPr>
                <w:rFonts w:ascii="宋体" w:hAnsi="宋体"/>
                <w:color w:val="auto"/>
                <w:sz w:val="24"/>
                <w:highlight w:val="none"/>
              </w:rPr>
            </w:pPr>
            <w:r>
              <w:rPr>
                <w:rFonts w:hint="eastAsia" w:ascii="宋体" w:hAnsi="宋体"/>
                <w:color w:val="auto"/>
                <w:sz w:val="24"/>
                <w:highlight w:val="none"/>
              </w:rPr>
              <w:t>供应商应保证在开标期间电话、电脑、网络能够正常工作，供应商因停电、电脑病毒、网络堵塞等原因，未在规定的解密时间内对投标文件进行解密的，其投标文件不予接收、唱标。</w:t>
            </w:r>
          </w:p>
          <w:p w14:paraId="1754F8D6">
            <w:pPr>
              <w:spacing w:line="400" w:lineRule="exact"/>
              <w:rPr>
                <w:rFonts w:ascii="宋体" w:hAnsi="宋体"/>
                <w:color w:val="auto"/>
                <w:sz w:val="24"/>
                <w:highlight w:val="none"/>
              </w:rPr>
            </w:pPr>
            <w:r>
              <w:rPr>
                <w:rFonts w:hint="eastAsia" w:ascii="宋体" w:hAnsi="宋体"/>
                <w:color w:val="auto"/>
                <w:sz w:val="24"/>
                <w:highlight w:val="none"/>
              </w:rPr>
              <w:t>5、开标时供应商可登录到交易系统中在开标解密栏中点击报价一览表查看自己的投标报价。如对自己的唱标内容有异议的，应在供应商解密成功后10分钟内向中介服务机构电话质疑。中介服务机构应在监督人员的监督下进行免提通话接受供应商的质疑并做好书面记录。供应商未在规定时间内提出质疑的，视为认可唱标内容。</w:t>
            </w:r>
          </w:p>
          <w:p w14:paraId="66314109">
            <w:pPr>
              <w:spacing w:line="400" w:lineRule="exact"/>
              <w:rPr>
                <w:rFonts w:ascii="宋体" w:hAnsi="宋体"/>
                <w:color w:val="auto"/>
                <w:sz w:val="24"/>
                <w:highlight w:val="none"/>
              </w:rPr>
            </w:pPr>
            <w:r>
              <w:rPr>
                <w:rFonts w:hint="eastAsia" w:ascii="宋体" w:hAnsi="宋体"/>
                <w:color w:val="auto"/>
                <w:sz w:val="24"/>
                <w:highlight w:val="none"/>
              </w:rPr>
              <w:t>6、评标时，磋商小组对电子化投标文件有质疑的，将通过电子化交易系统对供应商发起质疑，并在监督人员的监督下，用免提模式致电需要答复的供应商对质疑进行回复。供应商的回复文件必须以经过供应商和其法定代表人签章的PDF格式文件为准，并通过电子化交易系统提交至磋商小组。</w:t>
            </w:r>
          </w:p>
          <w:p w14:paraId="6DBB2A82">
            <w:pPr>
              <w:spacing w:line="400" w:lineRule="exact"/>
              <w:rPr>
                <w:rFonts w:ascii="宋体" w:hAnsi="宋体"/>
                <w:color w:val="auto"/>
                <w:sz w:val="24"/>
                <w:highlight w:val="none"/>
              </w:rPr>
            </w:pPr>
            <w:r>
              <w:rPr>
                <w:rFonts w:hint="eastAsia" w:ascii="宋体" w:hAnsi="宋体"/>
                <w:color w:val="auto"/>
                <w:sz w:val="24"/>
                <w:highlight w:val="none"/>
              </w:rPr>
              <w:t>7、如磋商小组对需要回复的供应商连续三次致电未接通的，视为供应商放弃回复，磋商小组将自行对需要回复的内容进行认定。</w:t>
            </w:r>
          </w:p>
          <w:p w14:paraId="734A56F7">
            <w:pPr>
              <w:spacing w:line="400" w:lineRule="exact"/>
              <w:rPr>
                <w:rFonts w:ascii="宋体" w:hAnsi="宋体"/>
                <w:color w:val="auto"/>
                <w:sz w:val="24"/>
                <w:highlight w:val="none"/>
              </w:rPr>
            </w:pPr>
            <w:r>
              <w:rPr>
                <w:rFonts w:hint="eastAsia" w:ascii="宋体" w:hAnsi="宋体"/>
                <w:color w:val="auto"/>
                <w:sz w:val="24"/>
                <w:highlight w:val="none"/>
              </w:rPr>
              <w:t>二、相关证书原件的提交</w:t>
            </w:r>
          </w:p>
          <w:p w14:paraId="4CE4C8E1">
            <w:pPr>
              <w:spacing w:line="400" w:lineRule="exact"/>
              <w:rPr>
                <w:rFonts w:ascii="宋体" w:hAnsi="宋体"/>
                <w:color w:val="auto"/>
                <w:sz w:val="24"/>
                <w:highlight w:val="none"/>
              </w:rPr>
            </w:pPr>
            <w:r>
              <w:rPr>
                <w:rFonts w:hint="eastAsia" w:ascii="宋体" w:hAnsi="宋体"/>
                <w:color w:val="auto"/>
                <w:sz w:val="24"/>
                <w:highlight w:val="none"/>
              </w:rPr>
              <w:t>本项目实行资格后审，资格评审以投标文件为准，其上传资料真实性由供应商自行承担，同时，供应商要完善主体库。</w:t>
            </w:r>
          </w:p>
          <w:p w14:paraId="56C3F9AF">
            <w:pPr>
              <w:spacing w:line="400" w:lineRule="exact"/>
              <w:rPr>
                <w:rFonts w:ascii="宋体" w:hAnsi="宋体"/>
                <w:color w:val="auto"/>
                <w:sz w:val="24"/>
                <w:highlight w:val="none"/>
              </w:rPr>
            </w:pPr>
            <w:r>
              <w:rPr>
                <w:rFonts w:hint="eastAsia" w:ascii="宋体" w:hAnsi="宋体"/>
                <w:color w:val="auto"/>
                <w:sz w:val="24"/>
                <w:highlight w:val="none"/>
              </w:rPr>
              <w:t>提示：本项目为电子化、无纸化交易项目，开标时不再接受任何纸质资料，为保证您能投标成功，请需仔细阅读以上条款。</w:t>
            </w:r>
          </w:p>
        </w:tc>
      </w:tr>
    </w:tbl>
    <w:p w14:paraId="7A50CA33">
      <w:pPr>
        <w:pStyle w:val="18"/>
        <w:spacing w:line="460" w:lineRule="exact"/>
        <w:jc w:val="center"/>
        <w:outlineLvl w:val="1"/>
        <w:rPr>
          <w:rFonts w:ascii="宋体" w:hAnsi="宋体" w:eastAsia="宋体" w:cs="宋体"/>
          <w:b/>
          <w:color w:val="auto"/>
          <w:kern w:val="0"/>
          <w:highlight w:val="none"/>
        </w:rPr>
      </w:pPr>
      <w:r>
        <w:rPr>
          <w:rFonts w:hint="eastAsia" w:ascii="宋体" w:hAnsi="宋体"/>
          <w:b/>
          <w:bCs/>
          <w:color w:val="auto"/>
          <w:kern w:val="0"/>
          <w:highlight w:val="none"/>
        </w:rPr>
        <w:br w:type="page"/>
      </w:r>
      <w:bookmarkStart w:id="39" w:name="_Toc120614214"/>
      <w:bookmarkEnd w:id="39"/>
      <w:bookmarkStart w:id="40" w:name="_Toc517178993"/>
      <w:bookmarkEnd w:id="40"/>
      <w:bookmarkStart w:id="41" w:name="_Toc16770549"/>
      <w:bookmarkEnd w:id="41"/>
      <w:bookmarkStart w:id="42" w:name="_Toc513029203"/>
      <w:bookmarkEnd w:id="42"/>
      <w:bookmarkStart w:id="43" w:name="_Toc20823275"/>
      <w:bookmarkEnd w:id="43"/>
      <w:bookmarkStart w:id="44" w:name="_Toc16938519"/>
      <w:bookmarkEnd w:id="44"/>
      <w:bookmarkStart w:id="45" w:name="_Toc32643"/>
      <w:bookmarkStart w:id="46" w:name="_Toc4714_WPSOffice_Level1"/>
      <w:bookmarkStart w:id="47" w:name="_Toc3111_WPSOffice_Level1"/>
      <w:bookmarkStart w:id="48" w:name="_Toc2341_WPSOffice_Level1"/>
      <w:bookmarkStart w:id="49" w:name="_Toc27375_WPSOffice_Level1"/>
      <w:r>
        <w:rPr>
          <w:rFonts w:hint="eastAsia" w:ascii="宋体" w:hAnsi="宋体" w:eastAsia="宋体" w:cs="宋体"/>
          <w:b/>
          <w:color w:val="auto"/>
          <w:highlight w:val="none"/>
        </w:rPr>
        <w:t>1.总则</w:t>
      </w:r>
    </w:p>
    <w:p w14:paraId="642185D6">
      <w:pPr>
        <w:wordWrap w:val="0"/>
        <w:spacing w:line="460" w:lineRule="exact"/>
        <w:ind w:firstLine="480" w:firstLineChars="200"/>
        <w:jc w:val="left"/>
        <w:outlineLvl w:val="2"/>
        <w:rPr>
          <w:rFonts w:ascii="宋体" w:hAnsi="宋体" w:eastAsia="宋体" w:cs="宋体"/>
          <w:color w:val="auto"/>
          <w:sz w:val="24"/>
          <w:szCs w:val="24"/>
          <w:highlight w:val="none"/>
        </w:rPr>
      </w:pPr>
      <w:bookmarkStart w:id="50" w:name="_Toc513029204"/>
      <w:bookmarkEnd w:id="50"/>
      <w:bookmarkStart w:id="51" w:name="_Toc16938520"/>
      <w:bookmarkEnd w:id="51"/>
      <w:bookmarkStart w:id="52" w:name="_Toc20823276"/>
      <w:bookmarkEnd w:id="52"/>
      <w:bookmarkStart w:id="53" w:name="_Toc528078009"/>
      <w:r>
        <w:rPr>
          <w:rFonts w:hint="eastAsia" w:ascii="宋体" w:hAnsi="宋体" w:eastAsia="宋体" w:cs="宋体"/>
          <w:color w:val="auto"/>
          <w:sz w:val="24"/>
          <w:szCs w:val="24"/>
          <w:highlight w:val="none"/>
        </w:rPr>
        <w:t>1.1.1</w:t>
      </w:r>
      <w:bookmarkEnd w:id="53"/>
      <w:r>
        <w:rPr>
          <w:rFonts w:hint="eastAsia" w:ascii="宋体" w:hAnsi="宋体" w:eastAsia="宋体" w:cs="宋体"/>
          <w:color w:val="auto"/>
          <w:sz w:val="24"/>
          <w:szCs w:val="24"/>
          <w:highlight w:val="none"/>
        </w:rPr>
        <w:t>采购方式及定义</w:t>
      </w:r>
    </w:p>
    <w:p w14:paraId="3C07953E">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本次采购采用竞争性磋商方式（以下简称磋商），本竞争性磋商文件仅适用于竞争性磋商公告中所述项目。</w:t>
      </w:r>
    </w:p>
    <w:p w14:paraId="6C22383E">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合格的供应商</w:t>
      </w:r>
    </w:p>
    <w:p w14:paraId="4C8E76D3">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1.满足竞争性磋商公告中供应商的资格条件的规定。</w:t>
      </w:r>
    </w:p>
    <w:p w14:paraId="0D20BA1F">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2.满足本文件实质性条款的规定。</w:t>
      </w:r>
    </w:p>
    <w:p w14:paraId="72C360F2">
      <w:pPr>
        <w:wordWrap w:val="0"/>
        <w:spacing w:line="460" w:lineRule="exact"/>
        <w:ind w:firstLine="480" w:firstLineChars="200"/>
        <w:jc w:val="left"/>
        <w:outlineLvl w:val="2"/>
        <w:rPr>
          <w:rFonts w:ascii="宋体" w:hAnsi="宋体" w:eastAsia="宋体" w:cs="宋体"/>
          <w:color w:val="auto"/>
          <w:sz w:val="24"/>
          <w:szCs w:val="24"/>
          <w:highlight w:val="none"/>
        </w:rPr>
      </w:pPr>
      <w:bookmarkStart w:id="54" w:name="_Toc20823278"/>
      <w:bookmarkEnd w:id="54"/>
      <w:bookmarkStart w:id="55" w:name="_Toc16938522"/>
      <w:bookmarkEnd w:id="55"/>
      <w:bookmarkStart w:id="56" w:name="_Toc513029206"/>
      <w:bookmarkEnd w:id="56"/>
      <w:bookmarkStart w:id="57" w:name="_Toc528078010"/>
      <w:r>
        <w:rPr>
          <w:rFonts w:hint="eastAsia" w:ascii="宋体" w:hAnsi="宋体" w:eastAsia="宋体" w:cs="宋体"/>
          <w:color w:val="auto"/>
          <w:sz w:val="24"/>
          <w:szCs w:val="24"/>
          <w:highlight w:val="none"/>
        </w:rPr>
        <w:t>1.1.2</w:t>
      </w:r>
      <w:bookmarkEnd w:id="57"/>
      <w:r>
        <w:rPr>
          <w:rFonts w:hint="eastAsia" w:ascii="宋体" w:hAnsi="宋体" w:eastAsia="宋体" w:cs="宋体"/>
          <w:color w:val="auto"/>
          <w:sz w:val="24"/>
          <w:szCs w:val="24"/>
          <w:highlight w:val="none"/>
        </w:rPr>
        <w:t>适用法律</w:t>
      </w:r>
    </w:p>
    <w:p w14:paraId="354BD042">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本次竞争性磋商及由此产生的合同受中华人民共和国有关的法律法规制约和保护。</w:t>
      </w:r>
    </w:p>
    <w:p w14:paraId="61F1A11E">
      <w:pPr>
        <w:wordWrap w:val="0"/>
        <w:spacing w:line="460" w:lineRule="exact"/>
        <w:ind w:firstLine="480" w:firstLineChars="200"/>
        <w:jc w:val="left"/>
        <w:outlineLvl w:val="2"/>
        <w:rPr>
          <w:rFonts w:ascii="宋体" w:hAnsi="宋体" w:eastAsia="宋体" w:cs="宋体"/>
          <w:color w:val="auto"/>
          <w:sz w:val="24"/>
          <w:szCs w:val="24"/>
          <w:highlight w:val="none"/>
        </w:rPr>
      </w:pPr>
      <w:bookmarkStart w:id="58" w:name="_Toc462564067"/>
      <w:bookmarkEnd w:id="58"/>
      <w:bookmarkStart w:id="59" w:name="_Toc513029207"/>
      <w:bookmarkEnd w:id="59"/>
      <w:bookmarkStart w:id="60" w:name="_Toc16938523"/>
      <w:bookmarkEnd w:id="60"/>
      <w:bookmarkStart w:id="61" w:name="_Toc20823279"/>
      <w:bookmarkEnd w:id="61"/>
      <w:bookmarkStart w:id="62" w:name="_Toc528078011"/>
      <w:r>
        <w:rPr>
          <w:rFonts w:hint="eastAsia" w:ascii="宋体" w:hAnsi="宋体" w:eastAsia="宋体" w:cs="宋体"/>
          <w:color w:val="auto"/>
          <w:sz w:val="24"/>
          <w:szCs w:val="24"/>
          <w:highlight w:val="none"/>
        </w:rPr>
        <w:t>1.1.3</w:t>
      </w:r>
      <w:bookmarkEnd w:id="62"/>
      <w:r>
        <w:rPr>
          <w:rFonts w:hint="eastAsia" w:ascii="宋体" w:hAnsi="宋体" w:eastAsia="宋体" w:cs="宋体"/>
          <w:color w:val="auto"/>
          <w:sz w:val="24"/>
          <w:szCs w:val="24"/>
          <w:highlight w:val="none"/>
        </w:rPr>
        <w:t>磋商费用</w:t>
      </w:r>
    </w:p>
    <w:p w14:paraId="37DBBEB3">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次竞争性磋商磋商服务费：招标代理服务费参照《河南省招标代理服务收费指导意见》豫招协（2023）002号文件中，河南省招标代理服务收费计算标准计取。领取中标通知书前由中标人支付。供应商的投标报价应当包含该代理费用。</w:t>
      </w:r>
    </w:p>
    <w:p w14:paraId="54D31D58">
      <w:pPr>
        <w:wordWrap w:val="0"/>
        <w:spacing w:line="460" w:lineRule="exact"/>
        <w:ind w:left="566" w:leftChars="218" w:hanging="108" w:hangingChars="45"/>
        <w:jc w:val="left"/>
        <w:outlineLvl w:val="1"/>
        <w:rPr>
          <w:rFonts w:ascii="宋体" w:hAnsi="宋体" w:eastAsia="宋体" w:cs="宋体"/>
          <w:color w:val="auto"/>
          <w:kern w:val="0"/>
          <w:sz w:val="24"/>
          <w:szCs w:val="24"/>
          <w:highlight w:val="none"/>
        </w:rPr>
      </w:pPr>
      <w:bookmarkStart w:id="63" w:name="_Toc517178994"/>
      <w:bookmarkEnd w:id="63"/>
      <w:bookmarkStart w:id="64" w:name="_Toc513029209"/>
      <w:bookmarkEnd w:id="64"/>
      <w:bookmarkStart w:id="65" w:name="_Toc505350554"/>
      <w:bookmarkEnd w:id="65"/>
      <w:bookmarkStart w:id="66" w:name="_Toc16938525"/>
      <w:bookmarkEnd w:id="66"/>
      <w:bookmarkStart w:id="67" w:name="_Toc20823281"/>
      <w:bookmarkEnd w:id="67"/>
      <w:bookmarkStart w:id="68" w:name="_Toc403987206"/>
      <w:bookmarkEnd w:id="68"/>
      <w:bookmarkStart w:id="69" w:name="_Toc120614215"/>
      <w:bookmarkEnd w:id="69"/>
      <w:bookmarkStart w:id="70" w:name="_Toc504491968"/>
      <w:bookmarkEnd w:id="70"/>
      <w:bookmarkStart w:id="71" w:name="_Toc528078012"/>
      <w:r>
        <w:rPr>
          <w:rFonts w:hint="eastAsia" w:ascii="宋体" w:hAnsi="宋体" w:eastAsia="宋体" w:cs="宋体"/>
          <w:color w:val="auto"/>
          <w:sz w:val="24"/>
          <w:szCs w:val="24"/>
          <w:highlight w:val="none"/>
        </w:rPr>
        <w:t>2.</w:t>
      </w:r>
      <w:bookmarkEnd w:id="71"/>
      <w:r>
        <w:rPr>
          <w:rFonts w:hint="eastAsia" w:ascii="宋体" w:hAnsi="宋体" w:eastAsia="宋体" w:cs="宋体"/>
          <w:color w:val="auto"/>
          <w:sz w:val="24"/>
          <w:szCs w:val="24"/>
          <w:highlight w:val="none"/>
        </w:rPr>
        <w:t>竞争性磋商文件</w:t>
      </w:r>
    </w:p>
    <w:p w14:paraId="04FA5430">
      <w:pPr>
        <w:wordWrap w:val="0"/>
        <w:spacing w:line="460" w:lineRule="exact"/>
        <w:ind w:firstLine="480" w:firstLineChars="200"/>
        <w:jc w:val="left"/>
        <w:outlineLvl w:val="2"/>
        <w:rPr>
          <w:rFonts w:ascii="宋体" w:hAnsi="宋体" w:eastAsia="宋体" w:cs="宋体"/>
          <w:color w:val="auto"/>
          <w:sz w:val="24"/>
          <w:szCs w:val="24"/>
          <w:highlight w:val="none"/>
        </w:rPr>
      </w:pPr>
      <w:bookmarkStart w:id="72" w:name="_Toc20823282"/>
      <w:bookmarkEnd w:id="72"/>
      <w:bookmarkStart w:id="73" w:name="_Toc513029210"/>
      <w:bookmarkEnd w:id="73"/>
      <w:bookmarkStart w:id="74" w:name="_Toc16938526"/>
      <w:bookmarkEnd w:id="74"/>
      <w:bookmarkStart w:id="75" w:name="_Toc528078013"/>
      <w:r>
        <w:rPr>
          <w:rFonts w:hint="eastAsia" w:ascii="宋体" w:hAnsi="宋体" w:eastAsia="宋体" w:cs="宋体"/>
          <w:color w:val="auto"/>
          <w:sz w:val="24"/>
          <w:szCs w:val="24"/>
          <w:highlight w:val="none"/>
        </w:rPr>
        <w:t>2.1</w:t>
      </w:r>
      <w:bookmarkEnd w:id="75"/>
      <w:r>
        <w:rPr>
          <w:rFonts w:hint="eastAsia" w:ascii="宋体" w:hAnsi="宋体" w:eastAsia="宋体" w:cs="宋体"/>
          <w:color w:val="auto"/>
          <w:sz w:val="24"/>
          <w:szCs w:val="24"/>
          <w:highlight w:val="none"/>
        </w:rPr>
        <w:t>竞争性磋商文件构成</w:t>
      </w:r>
    </w:p>
    <w:p w14:paraId="1B2E2EAD">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2.1.1竞争性磋商公告</w:t>
      </w:r>
    </w:p>
    <w:p w14:paraId="447ED45F">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2.1.2供应商须知</w:t>
      </w:r>
    </w:p>
    <w:p w14:paraId="7EE1879B">
      <w:pPr>
        <w:wordWrap w:val="0"/>
        <w:spacing w:line="460" w:lineRule="exact"/>
        <w:ind w:firstLine="480" w:firstLineChars="200"/>
        <w:jc w:val="left"/>
        <w:outlineLvl w:val="3"/>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2.1.3评标办法（综合评估法）</w:t>
      </w:r>
    </w:p>
    <w:p w14:paraId="70F25CBB">
      <w:pPr>
        <w:wordWrap w:val="0"/>
        <w:spacing w:line="460" w:lineRule="exact"/>
        <w:ind w:firstLine="480" w:firstLineChars="200"/>
        <w:jc w:val="left"/>
        <w:outlineLvl w:val="3"/>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2.1.4合同主要条款及格式</w:t>
      </w:r>
    </w:p>
    <w:p w14:paraId="60B7BD77">
      <w:pPr>
        <w:wordWrap w:val="0"/>
        <w:spacing w:line="460" w:lineRule="exact"/>
        <w:ind w:firstLine="480" w:firstLineChars="200"/>
        <w:jc w:val="left"/>
        <w:outlineLvl w:val="3"/>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2.1.5采购清单及技术参数</w:t>
      </w:r>
    </w:p>
    <w:p w14:paraId="792B6914">
      <w:pPr>
        <w:wordWrap w:val="0"/>
        <w:spacing w:line="460" w:lineRule="exact"/>
        <w:ind w:firstLine="480" w:firstLineChars="200"/>
        <w:jc w:val="left"/>
        <w:outlineLvl w:val="3"/>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2.1.6投标文件格式</w:t>
      </w:r>
    </w:p>
    <w:p w14:paraId="294AE796">
      <w:pPr>
        <w:wordWrap w:val="0"/>
        <w:spacing w:line="460" w:lineRule="exact"/>
        <w:ind w:firstLine="480" w:firstLineChars="200"/>
        <w:jc w:val="left"/>
        <w:outlineLvl w:val="2"/>
        <w:rPr>
          <w:rFonts w:ascii="宋体" w:hAnsi="宋体" w:eastAsia="宋体" w:cs="宋体"/>
          <w:color w:val="auto"/>
          <w:sz w:val="24"/>
          <w:szCs w:val="24"/>
          <w:highlight w:val="none"/>
        </w:rPr>
      </w:pPr>
      <w:bookmarkStart w:id="76" w:name="_Toc16938527"/>
      <w:bookmarkEnd w:id="76"/>
      <w:bookmarkStart w:id="77" w:name="_Toc513029211"/>
      <w:bookmarkEnd w:id="77"/>
      <w:bookmarkStart w:id="78" w:name="_Toc20823283"/>
      <w:bookmarkEnd w:id="78"/>
      <w:bookmarkStart w:id="79" w:name="_Toc462564070"/>
      <w:bookmarkEnd w:id="79"/>
      <w:bookmarkStart w:id="80" w:name="_Toc528078014"/>
      <w:r>
        <w:rPr>
          <w:rFonts w:hint="eastAsia" w:ascii="宋体" w:hAnsi="宋体" w:eastAsia="宋体" w:cs="宋体"/>
          <w:color w:val="auto"/>
          <w:sz w:val="24"/>
          <w:szCs w:val="24"/>
          <w:highlight w:val="none"/>
        </w:rPr>
        <w:t>2.2</w:t>
      </w:r>
      <w:bookmarkEnd w:id="80"/>
      <w:r>
        <w:rPr>
          <w:rFonts w:hint="eastAsia" w:ascii="宋体" w:hAnsi="宋体" w:eastAsia="宋体" w:cs="宋体"/>
          <w:color w:val="auto"/>
          <w:sz w:val="24"/>
          <w:szCs w:val="24"/>
          <w:highlight w:val="none"/>
        </w:rPr>
        <w:t>竞争性磋商文件的澄清及修改</w:t>
      </w:r>
    </w:p>
    <w:p w14:paraId="27FCB4B2">
      <w:pPr>
        <w:wordWrap w:val="0"/>
        <w:spacing w:line="460" w:lineRule="exact"/>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2.2.1供应商应仔细阅读和检查磋商文件的全部内容。如发现电子文件缺页或附件不全，应及时向采购人提出，以便补齐。如有疑问，应在投标截止日期5日前在三门峡市公共资源交易系统中提出咨询并打电话至采购代理机构，要求采购人对磋商文件予以澄清。</w:t>
      </w:r>
    </w:p>
    <w:p w14:paraId="3FBDFD5A">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2.2.2磋商文件的澄清以澄清回复的方式在三门峡市公共资源交易系统中回复所有报名完成供应商或发布澄清公告，但不指明澄清问题的来源。澄清磋商文件实质性内容且影响响应文件编制的，应当顺延提交首次响应文件截止时间。</w:t>
      </w:r>
      <w:r>
        <w:rPr>
          <w:rFonts w:ascii="宋体" w:hAnsi="宋体" w:eastAsia="宋体" w:cs="宋体"/>
          <w:color w:val="auto"/>
          <w:sz w:val="24"/>
          <w:szCs w:val="24"/>
          <w:highlight w:val="none"/>
        </w:rPr>
        <w:t xml:space="preserve">    </w:t>
      </w:r>
    </w:p>
    <w:p w14:paraId="425D31ED">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2.2.3提交首次响应文件截止之日前，采购人、采购代理公司可以对已发出的磋商文件进行必要的澄清或者修改，澄清或者修改的内容作为磋商文件的组成部分。澄清或者修改的内容可能影响响应文件编制的，采购人、采购代理公司将在提交首次响应文件截止时间至少5日前，在相关网上发布变更公告形式通知所有获取磋商文件的供应商。不足5日的，应当顺延提交首次响应文件截止时间。</w:t>
      </w:r>
    </w:p>
    <w:p w14:paraId="0E478BE3">
      <w:pPr>
        <w:wordWrap w:val="0"/>
        <w:spacing w:line="460" w:lineRule="exact"/>
        <w:ind w:firstLine="480" w:firstLineChars="200"/>
        <w:jc w:val="left"/>
        <w:outlineLvl w:val="3"/>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2.2.4供应商应自行查看澄清或变更信息。</w:t>
      </w:r>
    </w:p>
    <w:p w14:paraId="01C000E6">
      <w:pPr>
        <w:wordWrap w:val="0"/>
        <w:spacing w:line="460" w:lineRule="exact"/>
        <w:ind w:firstLine="480" w:firstLineChars="200"/>
        <w:jc w:val="left"/>
        <w:outlineLvl w:val="1"/>
        <w:rPr>
          <w:rFonts w:ascii="宋体" w:hAnsi="宋体" w:eastAsia="宋体" w:cs="宋体"/>
          <w:color w:val="auto"/>
          <w:kern w:val="0"/>
          <w:sz w:val="24"/>
          <w:szCs w:val="24"/>
          <w:highlight w:val="none"/>
        </w:rPr>
      </w:pPr>
      <w:bookmarkStart w:id="81" w:name="_Toc462564072"/>
      <w:bookmarkEnd w:id="81"/>
      <w:bookmarkStart w:id="82" w:name="_Toc505350555"/>
      <w:bookmarkEnd w:id="82"/>
      <w:bookmarkStart w:id="83" w:name="_Toc528078015"/>
      <w:bookmarkEnd w:id="83"/>
      <w:bookmarkStart w:id="84" w:name="_Toc504491969"/>
      <w:bookmarkEnd w:id="84"/>
      <w:bookmarkStart w:id="85" w:name="_Toc120614216"/>
      <w:bookmarkEnd w:id="85"/>
      <w:bookmarkStart w:id="86" w:name="_Toc517178995"/>
      <w:bookmarkEnd w:id="86"/>
      <w:bookmarkStart w:id="87" w:name="_Toc20823285"/>
      <w:bookmarkEnd w:id="87"/>
      <w:bookmarkStart w:id="88" w:name="_Toc403987207"/>
      <w:bookmarkEnd w:id="88"/>
      <w:bookmarkStart w:id="89" w:name="_Toc16938529"/>
      <w:bookmarkEnd w:id="89"/>
      <w:r>
        <w:rPr>
          <w:rFonts w:hint="eastAsia" w:ascii="宋体" w:hAnsi="宋体" w:eastAsia="宋体" w:cs="宋体"/>
          <w:color w:val="auto"/>
          <w:sz w:val="24"/>
          <w:szCs w:val="24"/>
          <w:highlight w:val="none"/>
        </w:rPr>
        <w:t>3.磋商响应文件的编制及递交</w:t>
      </w:r>
    </w:p>
    <w:p w14:paraId="75C4BF9E">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电子化交易项目竞争性磋商响应文件（以下简称“响应文件”）是投标人、供应商（以下简称“供应商”）通过中心响应文件制作系统制作，并经过签章和加密后生成的电子版响应文件。供应商投标时，将不再接受任何纸质文件资料。</w:t>
      </w:r>
    </w:p>
    <w:p w14:paraId="7E3B1E71">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电子化响应文件具体制作教材请供应商通过CA证书登录三门峡市公共资源电子化交易系统在“组建下载”中查看。</w:t>
      </w:r>
    </w:p>
    <w:p w14:paraId="142EE04A">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温馨提示：本项目为电子化、无纸化交易项目，开标时不接受任何纸质资料，为保证您能投标成功，请需仔细阅读以下条款。</w:t>
      </w:r>
    </w:p>
    <w:p w14:paraId="2D24244F">
      <w:pPr>
        <w:wordWrap w:val="0"/>
        <w:spacing w:line="460" w:lineRule="exact"/>
        <w:ind w:firstLine="480" w:firstLineChars="200"/>
        <w:jc w:val="left"/>
        <w:outlineLvl w:val="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一、电子化投标</w:t>
      </w:r>
    </w:p>
    <w:p w14:paraId="2AEE14F9">
      <w:pPr>
        <w:wordWrap w:val="0"/>
        <w:spacing w:line="460" w:lineRule="exact"/>
        <w:ind w:firstLine="480" w:firstLineChars="200"/>
        <w:jc w:val="left"/>
        <w:outlineLvl w:val="3"/>
        <w:rPr>
          <w:rFonts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（一）电子化响应文件的签章</w:t>
      </w:r>
    </w:p>
    <w:p w14:paraId="4B472D2C">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1、供应商在生成电子化响应文件后，应对电子化响应文件进行签章，未进行签章的视为无效投标。</w:t>
      </w:r>
    </w:p>
    <w:p w14:paraId="42735C15">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磋商文件中要求法定代表人或授权委托人签字或盖章的，供应商在进行电子化响应文件签章时，以签盖法定代表人签章为准。电子化响应文件具体制作教材请供应商通过CA证书登录三门峡市公共资源电子化交易系统在右上角“组建下载”中查看。</w:t>
      </w:r>
    </w:p>
    <w:p w14:paraId="4C105077">
      <w:pPr>
        <w:wordWrap w:val="0"/>
        <w:spacing w:line="460" w:lineRule="exact"/>
        <w:ind w:firstLine="480" w:firstLineChars="200"/>
        <w:jc w:val="left"/>
        <w:outlineLvl w:val="3"/>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（二）电子化响应文件的格式及上传投标</w:t>
      </w:r>
    </w:p>
    <w:p w14:paraId="33B19994">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1、供应商所上传的电子化响应文件，应是通过中心响应文件制作系统制作的，经过签章和加密后生成的电子版响应文件。</w:t>
      </w:r>
    </w:p>
    <w:p w14:paraId="4B054DA8">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2、电子化响应文件应在投标截止时间前成功上传至三门峡市公共资源电子化交易系统。至投标截止时间止，仍未上传成功的电子化响应文件将不予接收。</w:t>
      </w:r>
    </w:p>
    <w:p w14:paraId="5DFC9489">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如按照电子化投标操作教材制作完成的电子化响应文件无法上传的，供应商应在投标截止时间前尽早的联系中心技术人员，以便有充分的时间进行处理。供应商应充分考虑到处理技术问题和上传数据等工作所需的时间问题，响应文件未在投标截止时间前成功上传的，其响应文件不予接收。</w:t>
      </w:r>
    </w:p>
    <w:p w14:paraId="394023E9">
      <w:pPr>
        <w:wordWrap w:val="0"/>
        <w:spacing w:line="460" w:lineRule="exact"/>
        <w:ind w:firstLine="480" w:firstLineChars="200"/>
        <w:jc w:val="left"/>
        <w:outlineLvl w:val="3"/>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（三）电子化项目开标、解密、唱标、磋商</w:t>
      </w:r>
    </w:p>
    <w:p w14:paraId="4EED7B3B">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1、本项目采用电子化、无纸化进行招标，供应商可以通过网络登录交易平台进入项目开标大厅远程在线参加开标会议。</w:t>
      </w:r>
    </w:p>
    <w:p w14:paraId="0F9F6C9F">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电子化响应文件采用双重加密方式。开标时，请供应商使用CA证书登录交易平台，进入本项目开标大厅点击解密来完成响应文件的解密工作。每位供应商的解密时间为开标时间起30分钟内完成。待所有供应商全部解密完成后，再由中介服务机构使用CA证书对响应文件进行再次解密。</w:t>
      </w:r>
    </w:p>
    <w:p w14:paraId="74D3C557">
      <w:pPr>
        <w:wordWrap w:val="0"/>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3、电子化响应文件解密异常的处理</w:t>
      </w:r>
    </w:p>
    <w:p w14:paraId="359922EF">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如出现供应商的电子响应文件无法解密等异常情况，供应商应及时致电中介服务机构说明。响应文件异常，按以下步骤进行处理：</w:t>
      </w:r>
    </w:p>
    <w:p w14:paraId="1F5F9320">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（1）首先由技术人员进行问题排查。</w:t>
      </w:r>
    </w:p>
    <w:p w14:paraId="5387FE2E">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（2）经技术人员排查后，是供应商文件自身问题导致响应文件无法解密的，该响应文件将不予接收、解密和唱标。开标会议继续进行。</w:t>
      </w:r>
    </w:p>
    <w:p w14:paraId="410BA699">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经技术人员排查后，如果是电子化交易系统问题造成响应文件无法解密的，将由技术人员对问题进行处理。如短时间内问题无法解决的，将由中介服务机构向监督部门申请，经监督部门同意后，暂停开标会议，待问题解决后继续开标。</w:t>
      </w:r>
    </w:p>
    <w:p w14:paraId="01AFE22B">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4、供应商应保证在开标期间电话、电脑、网络能够正常工作，供应商因停电、电脑病毒、网络堵塞等原因，未在规定的解密时间内对响应文件进行解密的，其响应文件不予接收、唱标。</w:t>
      </w:r>
    </w:p>
    <w:p w14:paraId="16CD4365">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磋商小组对电子化响应文件有质疑的，将通过电子化交易系统对供应商发起质疑，并在监督人员的监督下，用免提模式致电需要答复的供应商对质疑进行回复。供应商的回复文件必须以经过供应商和其法定代表人签章的PDF格式文件为准，并通过电子化交易系统提交至磋商小组。</w:t>
      </w:r>
    </w:p>
    <w:p w14:paraId="7978016E">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6、如磋商小组对需要回复的供应商连续三次致电未接通的，视为供应商放弃回复，磋商小组将自行对需要回复的内容进行认定。</w:t>
      </w:r>
    </w:p>
    <w:p w14:paraId="14E4D796">
      <w:pPr>
        <w:wordWrap w:val="0"/>
        <w:spacing w:line="460" w:lineRule="exact"/>
        <w:ind w:firstLine="480" w:firstLineChars="200"/>
        <w:jc w:val="left"/>
        <w:outlineLvl w:val="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二、相关证书原件的提交</w:t>
      </w:r>
    </w:p>
    <w:p w14:paraId="56327577">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本项目实行资格后审，竞争性磋商文件中要求供应商提交营业执照、业绩、荣誉及单位人员等相关资料，供应商需将原件扫描件制作到电子响应文件中</w:t>
      </w:r>
    </w:p>
    <w:p w14:paraId="61554267">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供应商需应仔细阅读操作手册，保证上传内容齐全，真实有效，原件扫描件清晰可辨。因供应商上传原因导致应得分项而未得分或资格审查不合格等情况的，由供应商自行承担责任。</w:t>
      </w:r>
    </w:p>
    <w:p w14:paraId="093C5CF9">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提示：本项目为电子化、无纸化交易项目，开标时不再接受任何纸质资料，为保证您能投标成功，请需仔细阅读以上条款。</w:t>
      </w:r>
    </w:p>
    <w:p w14:paraId="00792BF4">
      <w:pPr>
        <w:wordWrap w:val="0"/>
        <w:spacing w:line="460" w:lineRule="exact"/>
        <w:ind w:firstLine="480" w:firstLineChars="200"/>
        <w:jc w:val="left"/>
        <w:outlineLvl w:val="1"/>
        <w:rPr>
          <w:rFonts w:ascii="宋体" w:hAnsi="宋体" w:eastAsia="宋体" w:cs="宋体"/>
          <w:color w:val="auto"/>
          <w:sz w:val="24"/>
          <w:szCs w:val="24"/>
          <w:highlight w:val="none"/>
        </w:rPr>
      </w:pPr>
      <w:bookmarkStart w:id="90" w:name="_Toc528078016"/>
      <w:bookmarkEnd w:id="90"/>
      <w:r>
        <w:rPr>
          <w:rFonts w:hint="eastAsia" w:ascii="宋体" w:hAnsi="宋体" w:eastAsia="宋体" w:cs="宋体"/>
          <w:color w:val="auto"/>
          <w:sz w:val="24"/>
          <w:szCs w:val="24"/>
          <w:highlight w:val="none"/>
        </w:rPr>
        <w:t>3.初次报价表</w:t>
      </w:r>
    </w:p>
    <w:p w14:paraId="5D01C51C">
      <w:pPr>
        <w:wordWrap w:val="0"/>
        <w:spacing w:line="460" w:lineRule="exact"/>
        <w:ind w:firstLine="480" w:firstLineChars="200"/>
        <w:jc w:val="left"/>
        <w:outlineLvl w:val="2"/>
        <w:rPr>
          <w:rFonts w:ascii="宋体" w:hAnsi="宋体" w:eastAsia="宋体" w:cs="宋体"/>
          <w:color w:val="auto"/>
          <w:sz w:val="24"/>
          <w:szCs w:val="24"/>
          <w:highlight w:val="none"/>
        </w:rPr>
      </w:pPr>
      <w:bookmarkStart w:id="91" w:name="_Toc528078017"/>
      <w:bookmarkEnd w:id="91"/>
      <w:r>
        <w:rPr>
          <w:rFonts w:hint="eastAsia" w:ascii="宋体" w:hAnsi="宋体" w:eastAsia="宋体" w:cs="宋体"/>
          <w:color w:val="auto"/>
          <w:sz w:val="24"/>
          <w:szCs w:val="24"/>
          <w:highlight w:val="none"/>
        </w:rPr>
        <w:t>3.1供应商应按照竞争性磋商文件规定格式填报</w:t>
      </w:r>
      <w:bookmarkStart w:id="92" w:name="_Hlt26670399"/>
      <w:bookmarkEnd w:id="92"/>
      <w:r>
        <w:rPr>
          <w:rFonts w:hint="eastAsia" w:ascii="宋体" w:hAnsi="宋体" w:eastAsia="宋体" w:cs="宋体"/>
          <w:color w:val="auto"/>
          <w:sz w:val="24"/>
          <w:szCs w:val="24"/>
          <w:highlight w:val="none"/>
        </w:rPr>
        <w:t>初次报价表。每项费用允许有一个报价，任何有选择的报价将不予接受。</w:t>
      </w:r>
    </w:p>
    <w:p w14:paraId="26C2CC30">
      <w:pPr>
        <w:wordWrap w:val="0"/>
        <w:spacing w:line="460" w:lineRule="exact"/>
        <w:ind w:firstLine="480" w:firstLineChars="200"/>
        <w:jc w:val="left"/>
        <w:outlineLvl w:val="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3.2有关费用处理</w:t>
      </w:r>
    </w:p>
    <w:p w14:paraId="58482AAB">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本项目应以人民币报价，供应商应就该项目完整投标（报价、服务、税费、售后服务等综合费用），采购人不另外支付其他任何费用；</w:t>
      </w:r>
    </w:p>
    <w:p w14:paraId="1C10E50C">
      <w:pPr>
        <w:wordWrap w:val="0"/>
        <w:spacing w:line="460" w:lineRule="exact"/>
        <w:ind w:firstLine="480" w:firstLineChars="200"/>
        <w:jc w:val="left"/>
        <w:outlineLvl w:val="2"/>
        <w:rPr>
          <w:rFonts w:ascii="宋体" w:hAnsi="宋体" w:eastAsia="宋体" w:cs="宋体"/>
          <w:color w:val="auto"/>
          <w:sz w:val="24"/>
          <w:szCs w:val="24"/>
          <w:highlight w:val="none"/>
        </w:rPr>
      </w:pPr>
      <w:bookmarkStart w:id="93" w:name="_Toc528078018"/>
      <w:bookmarkEnd w:id="93"/>
      <w:r>
        <w:rPr>
          <w:rFonts w:hint="eastAsia" w:ascii="宋体" w:hAnsi="宋体" w:eastAsia="宋体" w:cs="宋体"/>
          <w:color w:val="auto"/>
          <w:sz w:val="24"/>
          <w:szCs w:val="24"/>
          <w:highlight w:val="none"/>
        </w:rPr>
        <w:t>3.3其它费用处理</w:t>
      </w:r>
    </w:p>
    <w:p w14:paraId="5F3EC4F3">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竞争性磋商文件未列明，而供应商认为必需的费用也需列入报价。</w:t>
      </w:r>
    </w:p>
    <w:p w14:paraId="1C128727">
      <w:pPr>
        <w:wordWrap w:val="0"/>
        <w:spacing w:line="460" w:lineRule="exact"/>
        <w:ind w:firstLine="480" w:firstLineChars="200"/>
        <w:jc w:val="left"/>
        <w:outlineLvl w:val="2"/>
        <w:rPr>
          <w:rFonts w:ascii="宋体" w:hAnsi="宋体" w:eastAsia="宋体" w:cs="宋体"/>
          <w:color w:val="auto"/>
          <w:sz w:val="24"/>
          <w:szCs w:val="24"/>
          <w:highlight w:val="none"/>
        </w:rPr>
      </w:pPr>
      <w:bookmarkStart w:id="94" w:name="_Toc528078019"/>
      <w:bookmarkEnd w:id="94"/>
      <w:r>
        <w:rPr>
          <w:rFonts w:hint="eastAsia" w:ascii="宋体" w:hAnsi="宋体" w:eastAsia="宋体" w:cs="宋体"/>
          <w:color w:val="auto"/>
          <w:sz w:val="24"/>
          <w:szCs w:val="24"/>
          <w:highlight w:val="none"/>
        </w:rPr>
        <w:t>3.4响应文件货币</w:t>
      </w:r>
    </w:p>
    <w:p w14:paraId="18B838EE">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响应文件中的货物单价和总价无特殊规定的采用人民币报价，以元为单位标注。竞争性磋商文件中另有规定的按规定执行。</w:t>
      </w:r>
    </w:p>
    <w:p w14:paraId="785DA9E7">
      <w:pPr>
        <w:wordWrap w:val="0"/>
        <w:spacing w:line="460" w:lineRule="exact"/>
        <w:ind w:firstLine="480" w:firstLineChars="200"/>
        <w:jc w:val="left"/>
        <w:outlineLvl w:val="2"/>
        <w:rPr>
          <w:rFonts w:ascii="宋体" w:hAnsi="宋体" w:eastAsia="宋体" w:cs="宋体"/>
          <w:color w:val="auto"/>
          <w:sz w:val="24"/>
          <w:szCs w:val="24"/>
          <w:highlight w:val="none"/>
        </w:rPr>
      </w:pPr>
      <w:bookmarkStart w:id="95" w:name="_Toc528078020"/>
      <w:bookmarkEnd w:id="95"/>
      <w:r>
        <w:rPr>
          <w:rFonts w:hint="eastAsia" w:ascii="宋体" w:hAnsi="宋体" w:eastAsia="宋体" w:cs="宋体"/>
          <w:color w:val="auto"/>
          <w:sz w:val="24"/>
          <w:szCs w:val="24"/>
          <w:highlight w:val="none"/>
        </w:rPr>
        <w:t>3.5初次报价表上的价格应按下列方式填写：</w:t>
      </w:r>
    </w:p>
    <w:p w14:paraId="0EBEC1DE">
      <w:pPr>
        <w:wordWrap w:val="0"/>
        <w:spacing w:line="460" w:lineRule="exact"/>
        <w:ind w:firstLine="480" w:firstLineChars="200"/>
        <w:jc w:val="left"/>
        <w:rPr>
          <w:rFonts w:ascii="宋体" w:hAnsi="宋体" w:eastAsia="宋体" w:cs="宋体"/>
          <w:color w:val="auto"/>
          <w:sz w:val="24"/>
          <w:szCs w:val="24"/>
          <w:highlight w:val="none"/>
        </w:rPr>
      </w:pPr>
      <w:bookmarkStart w:id="96" w:name="_Hlt26954842"/>
      <w:bookmarkEnd w:id="96"/>
      <w:bookmarkStart w:id="97" w:name="_Hlt26670425"/>
      <w:bookmarkEnd w:id="97"/>
      <w:bookmarkStart w:id="98" w:name="_Hlt26668983"/>
      <w:bookmarkEnd w:id="98"/>
      <w:bookmarkStart w:id="99" w:name="_Hlt26954844"/>
      <w:bookmarkEnd w:id="99"/>
      <w:bookmarkStart w:id="100" w:name="_Hlt26670403"/>
      <w:bookmarkEnd w:id="100"/>
      <w:r>
        <w:rPr>
          <w:rFonts w:hint="eastAsia" w:ascii="宋体" w:hAnsi="宋体" w:eastAsia="宋体" w:cs="宋体"/>
          <w:color w:val="auto"/>
          <w:sz w:val="24"/>
          <w:szCs w:val="24"/>
          <w:highlight w:val="none"/>
        </w:rPr>
        <w:t>3.5.1项目总价：包括买方服务需求所涉及的所有费用。</w:t>
      </w:r>
    </w:p>
    <w:p w14:paraId="0A1E4F45">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3.5.2各项报价的总和等于总价</w:t>
      </w:r>
    </w:p>
    <w:p w14:paraId="25CD682A">
      <w:pPr>
        <w:wordWrap w:val="0"/>
        <w:spacing w:line="460" w:lineRule="exact"/>
        <w:ind w:firstLine="480" w:firstLineChars="200"/>
        <w:jc w:val="left"/>
        <w:outlineLvl w:val="1"/>
        <w:rPr>
          <w:rFonts w:ascii="宋体" w:hAnsi="宋体" w:eastAsia="宋体" w:cs="宋体"/>
          <w:color w:val="auto"/>
          <w:kern w:val="0"/>
          <w:sz w:val="24"/>
          <w:szCs w:val="24"/>
          <w:highlight w:val="none"/>
        </w:rPr>
      </w:pPr>
      <w:bookmarkStart w:id="101" w:name="_Hlt26670486"/>
      <w:bookmarkEnd w:id="101"/>
      <w:bookmarkStart w:id="102" w:name="_Toc517178996"/>
      <w:bookmarkEnd w:id="102"/>
      <w:bookmarkStart w:id="103" w:name="_Hlt26954848"/>
      <w:bookmarkEnd w:id="103"/>
      <w:bookmarkStart w:id="104" w:name="_Hlt26954846"/>
      <w:bookmarkEnd w:id="104"/>
      <w:bookmarkStart w:id="105" w:name="_Hlt26670482"/>
      <w:bookmarkEnd w:id="105"/>
      <w:bookmarkStart w:id="106" w:name="_Toc505350556"/>
      <w:bookmarkEnd w:id="106"/>
      <w:bookmarkStart w:id="107" w:name="_Hlt26954731"/>
      <w:bookmarkEnd w:id="107"/>
      <w:bookmarkStart w:id="108" w:name="_Toc528078025"/>
      <w:r>
        <w:rPr>
          <w:rFonts w:hint="eastAsia" w:ascii="宋体" w:hAnsi="宋体" w:eastAsia="宋体" w:cs="宋体"/>
          <w:color w:val="auto"/>
          <w:sz w:val="24"/>
          <w:szCs w:val="24"/>
          <w:highlight w:val="none"/>
        </w:rPr>
        <w:t>4.磋商与评审</w:t>
      </w:r>
      <w:bookmarkEnd w:id="108"/>
      <w:bookmarkStart w:id="109" w:name="_Toc528078026"/>
      <w:bookmarkEnd w:id="109"/>
    </w:p>
    <w:p w14:paraId="48A64705">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机构根据采购项目的特点依法组建磋商小组。磋商小组由采购人代表和有关技术、经济等方面的专家组成，成员为3人。其中：技术、经济等方面的专家不能少于磋商小组成员的2/3。采购人代表不得担任磋商小组组长。2名磋商小组成员确定方式：</w:t>
      </w:r>
      <w:r>
        <w:rPr>
          <w:rFonts w:hint="eastAsia" w:ascii="宋体" w:hAnsi="宋体" w:eastAsia="宋体" w:cs="宋体"/>
          <w:color w:val="auto"/>
          <w:kern w:val="0"/>
          <w:sz w:val="24"/>
          <w:szCs w:val="24"/>
          <w:highlight w:val="none"/>
        </w:rPr>
        <w:t>开标当天从河南省政府采购网专家库</w:t>
      </w:r>
      <w:r>
        <w:rPr>
          <w:rFonts w:hint="eastAsia" w:ascii="宋体" w:hAnsi="宋体" w:eastAsia="宋体" w:cs="宋体"/>
          <w:color w:val="auto"/>
          <w:kern w:val="0"/>
          <w:sz w:val="24"/>
          <w:szCs w:val="24"/>
          <w:highlight w:val="none"/>
          <w:lang w:val="en-US" w:eastAsia="zh-CN"/>
        </w:rPr>
        <w:t>随机</w:t>
      </w:r>
      <w:r>
        <w:rPr>
          <w:rFonts w:hint="eastAsia" w:ascii="宋体" w:hAnsi="宋体" w:eastAsia="宋体" w:cs="宋体"/>
          <w:color w:val="auto"/>
          <w:kern w:val="0"/>
          <w:sz w:val="24"/>
          <w:szCs w:val="24"/>
          <w:highlight w:val="none"/>
        </w:rPr>
        <w:t>抽取。</w:t>
      </w:r>
      <w:bookmarkStart w:id="110" w:name="_Toc528078027"/>
      <w:bookmarkEnd w:id="110"/>
    </w:p>
    <w:p w14:paraId="0A97BD71">
      <w:pPr>
        <w:wordWrap w:val="0"/>
        <w:spacing w:line="460" w:lineRule="exact"/>
        <w:ind w:firstLine="480" w:firstLineChars="200"/>
        <w:jc w:val="left"/>
        <w:outlineLvl w:val="1"/>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5、磋商小组工作原则</w:t>
      </w:r>
    </w:p>
    <w:p w14:paraId="0052A3F8">
      <w:pPr>
        <w:wordWrap w:val="0"/>
        <w:spacing w:line="460" w:lineRule="exact"/>
        <w:ind w:firstLine="480" w:firstLineChars="200"/>
        <w:jc w:val="left"/>
        <w:outlineLvl w:val="2"/>
        <w:rPr>
          <w:rFonts w:ascii="宋体" w:hAnsi="宋体" w:eastAsia="宋体" w:cs="宋体"/>
          <w:color w:val="auto"/>
          <w:sz w:val="24"/>
          <w:szCs w:val="24"/>
          <w:highlight w:val="none"/>
        </w:rPr>
      </w:pPr>
      <w:bookmarkStart w:id="111" w:name="_Toc528078029"/>
      <w:bookmarkEnd w:id="111"/>
      <w:r>
        <w:rPr>
          <w:rFonts w:hint="eastAsia" w:ascii="宋体" w:hAnsi="宋体" w:eastAsia="宋体" w:cs="宋体"/>
          <w:color w:val="auto"/>
          <w:sz w:val="24"/>
          <w:szCs w:val="24"/>
          <w:highlight w:val="none"/>
        </w:rPr>
        <w:t>磋商小组成员应当按照客观、公正、审慎的原则，根据磋商文件规定的评审程序、评审方法和评审标准进行独立评审。未实质性响应磋商文件的响应文件按无效响应处理，磋商小组应当告知提交响应文件的供应商。磋商文件内容违反国家有关强制性规定的，磋商小组应当停止评审并向采购人或者采购代理机构说明情况。</w:t>
      </w:r>
    </w:p>
    <w:p w14:paraId="149E0F43">
      <w:pPr>
        <w:wordWrap w:val="0"/>
        <w:spacing w:line="460" w:lineRule="exact"/>
        <w:ind w:firstLine="480" w:firstLineChars="200"/>
        <w:jc w:val="left"/>
        <w:outlineLvl w:val="1"/>
        <w:rPr>
          <w:rFonts w:ascii="宋体" w:hAnsi="宋体" w:eastAsia="宋体" w:cs="宋体"/>
          <w:color w:val="auto"/>
          <w:sz w:val="24"/>
          <w:szCs w:val="24"/>
          <w:highlight w:val="none"/>
        </w:rPr>
      </w:pPr>
      <w:bookmarkStart w:id="112" w:name="_Toc528078030"/>
      <w:bookmarkEnd w:id="112"/>
      <w:r>
        <w:rPr>
          <w:rFonts w:hint="eastAsia" w:ascii="宋体" w:hAnsi="宋体" w:eastAsia="宋体" w:cs="宋体"/>
          <w:color w:val="auto"/>
          <w:sz w:val="24"/>
          <w:szCs w:val="24"/>
          <w:highlight w:val="none"/>
        </w:rPr>
        <w:t>6、响应文件审查</w:t>
      </w:r>
    </w:p>
    <w:p w14:paraId="3C779379">
      <w:pPr>
        <w:wordWrap w:val="0"/>
        <w:spacing w:line="460" w:lineRule="exact"/>
        <w:ind w:firstLine="480" w:firstLineChars="200"/>
        <w:jc w:val="left"/>
        <w:outlineLvl w:val="2"/>
        <w:rPr>
          <w:rFonts w:ascii="宋体" w:hAnsi="宋体" w:eastAsia="宋体" w:cs="宋体"/>
          <w:color w:val="auto"/>
          <w:sz w:val="24"/>
          <w:szCs w:val="24"/>
          <w:highlight w:val="none"/>
        </w:rPr>
      </w:pPr>
      <w:bookmarkStart w:id="113" w:name="_Toc528078031"/>
      <w:bookmarkEnd w:id="113"/>
      <w:r>
        <w:rPr>
          <w:rFonts w:hint="eastAsia" w:ascii="宋体" w:hAnsi="宋体" w:eastAsia="宋体" w:cs="宋体"/>
          <w:color w:val="auto"/>
          <w:sz w:val="24"/>
          <w:szCs w:val="24"/>
          <w:highlight w:val="none"/>
        </w:rPr>
        <w:t>磋商小组在对响应文件的有效性、完整性和响应程度进行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w:t>
      </w:r>
    </w:p>
    <w:p w14:paraId="1C46F29F">
      <w:pPr>
        <w:wordWrap w:val="0"/>
        <w:spacing w:line="460" w:lineRule="exact"/>
        <w:ind w:firstLine="480" w:firstLineChars="200"/>
        <w:jc w:val="left"/>
        <w:outlineLvl w:val="1"/>
        <w:rPr>
          <w:rFonts w:ascii="宋体" w:hAnsi="宋体" w:eastAsia="宋体" w:cs="宋体"/>
          <w:color w:val="auto"/>
          <w:sz w:val="24"/>
          <w:szCs w:val="24"/>
          <w:highlight w:val="none"/>
        </w:rPr>
      </w:pPr>
      <w:bookmarkStart w:id="114" w:name="_Toc513029232"/>
      <w:bookmarkEnd w:id="114"/>
      <w:bookmarkStart w:id="115" w:name="_Toc16938548"/>
      <w:bookmarkEnd w:id="115"/>
      <w:bookmarkStart w:id="116" w:name="_Toc20823304"/>
      <w:bookmarkEnd w:id="116"/>
      <w:r>
        <w:rPr>
          <w:rFonts w:hint="eastAsia" w:ascii="宋体" w:hAnsi="宋体" w:eastAsia="宋体" w:cs="宋体"/>
          <w:color w:val="auto"/>
          <w:sz w:val="24"/>
          <w:szCs w:val="24"/>
          <w:highlight w:val="none"/>
        </w:rPr>
        <w:t>7、磋商程序、最后报价、综合评分</w:t>
      </w:r>
    </w:p>
    <w:p w14:paraId="6F741119">
      <w:pPr>
        <w:wordWrap w:val="0"/>
        <w:spacing w:line="460" w:lineRule="exact"/>
        <w:ind w:firstLine="480" w:firstLineChars="200"/>
        <w:jc w:val="left"/>
        <w:outlineLvl w:val="2"/>
        <w:rPr>
          <w:rFonts w:ascii="宋体" w:hAnsi="宋体" w:eastAsia="宋体" w:cs="宋体"/>
          <w:color w:val="auto"/>
          <w:sz w:val="24"/>
          <w:szCs w:val="24"/>
          <w:highlight w:val="none"/>
        </w:rPr>
      </w:pPr>
      <w:bookmarkStart w:id="117" w:name="_Toc528078034"/>
      <w:bookmarkEnd w:id="117"/>
      <w:r>
        <w:rPr>
          <w:rFonts w:hint="eastAsia" w:ascii="宋体" w:hAnsi="宋体" w:eastAsia="宋体" w:cs="宋体"/>
          <w:color w:val="auto"/>
          <w:sz w:val="24"/>
          <w:szCs w:val="24"/>
          <w:highlight w:val="none"/>
        </w:rPr>
        <w:t>7.1磋商小组所有成员应当集中与供应商分别进行磋商，并给予所有参加磋商的供应商平等的磋商机会。</w:t>
      </w:r>
    </w:p>
    <w:p w14:paraId="6884CE89">
      <w:pPr>
        <w:wordWrap w:val="0"/>
        <w:spacing w:line="460" w:lineRule="exact"/>
        <w:ind w:firstLine="480" w:firstLineChars="200"/>
        <w:jc w:val="left"/>
        <w:outlineLvl w:val="2"/>
        <w:rPr>
          <w:rFonts w:ascii="宋体" w:hAnsi="宋体" w:eastAsia="宋体" w:cs="宋体"/>
          <w:color w:val="auto"/>
          <w:sz w:val="24"/>
          <w:szCs w:val="24"/>
          <w:highlight w:val="none"/>
        </w:rPr>
      </w:pPr>
      <w:bookmarkStart w:id="118" w:name="_Toc528078035"/>
      <w:bookmarkEnd w:id="118"/>
      <w:r>
        <w:rPr>
          <w:rFonts w:hint="eastAsia" w:ascii="宋体" w:hAnsi="宋体" w:eastAsia="宋体" w:cs="宋体"/>
          <w:color w:val="auto"/>
          <w:sz w:val="24"/>
          <w:szCs w:val="24"/>
          <w:highlight w:val="none"/>
        </w:rPr>
        <w:t>7.2在磋商过程中，磋商小组可以根据磋商文件和磋商情况实质性变动采购需求中的技术、服务要求以及合同草案条款，但不得变动磋商文件中的其他内容。对磋商文件做出的实质性变动是磋商文件的有效组成部分，磋商小组应当及时以书面形式同时通知所有参加磋商的供应商。供应商应当按照磋商文件的变动情况和磋商小组的要求重新提交响应文件，并由其法定代表人或授权代表签字或者加盖公章。</w:t>
      </w:r>
    </w:p>
    <w:p w14:paraId="0BFA98E6">
      <w:pPr>
        <w:wordWrap w:val="0"/>
        <w:spacing w:line="460" w:lineRule="exact"/>
        <w:ind w:firstLine="480" w:firstLineChars="200"/>
        <w:jc w:val="left"/>
        <w:outlineLvl w:val="2"/>
        <w:rPr>
          <w:rFonts w:ascii="宋体" w:hAnsi="宋体" w:eastAsia="宋体" w:cs="宋体"/>
          <w:color w:val="auto"/>
          <w:sz w:val="24"/>
          <w:szCs w:val="24"/>
          <w:highlight w:val="none"/>
        </w:rPr>
      </w:pPr>
      <w:bookmarkStart w:id="119" w:name="_Toc528078036"/>
      <w:bookmarkEnd w:id="119"/>
      <w:r>
        <w:rPr>
          <w:rFonts w:hint="eastAsia" w:ascii="宋体" w:hAnsi="宋体" w:eastAsia="宋体" w:cs="宋体"/>
          <w:color w:val="auto"/>
          <w:sz w:val="24"/>
          <w:szCs w:val="24"/>
          <w:highlight w:val="none"/>
        </w:rPr>
        <w:t>7.3磋商文件能够详细列明采购标的的技术、服务要求的，磋商结束后，磋商小组将要求所有实质性响应的供应商在规定时间内提交最后报价。最后报价是供应商响应文件的有效组成部分。</w:t>
      </w:r>
    </w:p>
    <w:p w14:paraId="372BA4C2">
      <w:pPr>
        <w:wordWrap w:val="0"/>
        <w:spacing w:line="460" w:lineRule="exact"/>
        <w:ind w:firstLine="480" w:firstLineChars="200"/>
        <w:jc w:val="left"/>
        <w:outlineLvl w:val="2"/>
        <w:rPr>
          <w:rFonts w:ascii="宋体" w:hAnsi="宋体" w:eastAsia="宋体" w:cs="宋体"/>
          <w:color w:val="auto"/>
          <w:sz w:val="24"/>
          <w:szCs w:val="24"/>
          <w:highlight w:val="none"/>
        </w:rPr>
      </w:pPr>
      <w:bookmarkStart w:id="120" w:name="_Toc528078037"/>
      <w:bookmarkEnd w:id="120"/>
      <w:r>
        <w:rPr>
          <w:rFonts w:hint="eastAsia" w:ascii="宋体" w:hAnsi="宋体" w:eastAsia="宋体" w:cs="宋体"/>
          <w:color w:val="auto"/>
          <w:sz w:val="24"/>
          <w:szCs w:val="24"/>
          <w:highlight w:val="none"/>
        </w:rPr>
        <w:t>7.4已提交响应文件的供应商，在提交最后报价之前，可以根据磋商情况退出磋商。</w:t>
      </w:r>
    </w:p>
    <w:p w14:paraId="5C024A13">
      <w:pPr>
        <w:wordWrap w:val="0"/>
        <w:spacing w:line="460" w:lineRule="exact"/>
        <w:ind w:firstLine="480" w:firstLineChars="200"/>
        <w:jc w:val="left"/>
        <w:outlineLvl w:val="2"/>
        <w:rPr>
          <w:rFonts w:ascii="宋体" w:hAnsi="宋体" w:eastAsia="宋体" w:cs="宋体"/>
          <w:color w:val="auto"/>
          <w:sz w:val="24"/>
          <w:szCs w:val="24"/>
          <w:highlight w:val="none"/>
        </w:rPr>
      </w:pPr>
      <w:bookmarkStart w:id="121" w:name="_Toc528078038"/>
      <w:bookmarkEnd w:id="121"/>
      <w:r>
        <w:rPr>
          <w:rFonts w:hint="eastAsia" w:ascii="宋体" w:hAnsi="宋体" w:eastAsia="宋体" w:cs="宋体"/>
          <w:color w:val="auto"/>
          <w:sz w:val="24"/>
          <w:szCs w:val="24"/>
          <w:highlight w:val="none"/>
        </w:rPr>
        <w:t>7.5经磋商确定最终采购需求和提交最后报价的供应商后，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w:t>
      </w:r>
    </w:p>
    <w:p w14:paraId="4BA765FB">
      <w:pPr>
        <w:wordWrap w:val="0"/>
        <w:spacing w:line="460" w:lineRule="exact"/>
        <w:ind w:firstLine="480" w:firstLineChars="200"/>
        <w:jc w:val="left"/>
        <w:outlineLvl w:val="2"/>
        <w:rPr>
          <w:rFonts w:hint="eastAsia" w:ascii="宋体" w:hAnsi="宋体" w:eastAsia="宋体" w:cs="宋体"/>
          <w:color w:val="auto"/>
          <w:sz w:val="24"/>
          <w:szCs w:val="24"/>
          <w:highlight w:val="none"/>
        </w:rPr>
      </w:pPr>
      <w:bookmarkStart w:id="122" w:name="_Toc528078039"/>
      <w:bookmarkEnd w:id="122"/>
      <w:r>
        <w:rPr>
          <w:rFonts w:hint="eastAsia" w:ascii="宋体" w:hAnsi="宋体" w:eastAsia="宋体" w:cs="宋体"/>
          <w:color w:val="auto"/>
          <w:sz w:val="24"/>
          <w:szCs w:val="24"/>
          <w:highlight w:val="none"/>
        </w:rPr>
        <w:t>7.6评审时，磋商小组各成员独立对每个有效响应的文件进行评价、打分，然后汇总每个供应商每项评分因素的得分。</w:t>
      </w:r>
    </w:p>
    <w:p w14:paraId="47ED4CA5">
      <w:pPr>
        <w:wordWrap w:val="0"/>
        <w:spacing w:line="460" w:lineRule="exact"/>
        <w:ind w:firstLine="480" w:firstLineChars="200"/>
        <w:jc w:val="left"/>
        <w:outlineLvl w:val="2"/>
        <w:rPr>
          <w:rFonts w:ascii="宋体" w:hAnsi="宋体" w:eastAsia="宋体" w:cs="宋体"/>
          <w:color w:val="auto"/>
          <w:sz w:val="24"/>
          <w:szCs w:val="24"/>
          <w:highlight w:val="none"/>
        </w:rPr>
      </w:pPr>
      <w:bookmarkStart w:id="123" w:name="_Toc528078040"/>
      <w:bookmarkEnd w:id="123"/>
      <w:r>
        <w:rPr>
          <w:rFonts w:hint="eastAsia" w:ascii="宋体" w:hAnsi="宋体" w:eastAsia="宋体" w:cs="宋体"/>
          <w:color w:val="auto"/>
          <w:sz w:val="24"/>
          <w:szCs w:val="24"/>
          <w:highlight w:val="none"/>
        </w:rPr>
        <w:t>磋商小组应当根据综合评分情况，按照评审得分由高到低顺序推荐1-3名成交候选供应商，并编写评审报告。评审得</w:t>
      </w:r>
      <w:r>
        <w:rPr>
          <w:rFonts w:hint="eastAsia" w:ascii="Times New Roman" w:hAnsi="Times New Roman" w:eastAsia="宋体" w:cs="Times New Roman"/>
          <w:color w:val="auto"/>
          <w:sz w:val="24"/>
          <w:szCs w:val="24"/>
          <w:highlight w:val="none"/>
        </w:rPr>
        <w:t>分相同的，按照最后报价由低到高的顺序推荐。评审得分且最后报价相同的，按照技术指标优劣顺序推荐。</w:t>
      </w:r>
    </w:p>
    <w:p w14:paraId="57AFA8B6">
      <w:pPr>
        <w:wordWrap w:val="0"/>
        <w:spacing w:line="460" w:lineRule="exact"/>
        <w:ind w:firstLine="480" w:firstLineChars="200"/>
        <w:jc w:val="left"/>
        <w:outlineLvl w:val="2"/>
        <w:rPr>
          <w:rFonts w:ascii="宋体" w:hAnsi="宋体" w:eastAsia="宋体" w:cs="宋体"/>
          <w:color w:val="auto"/>
          <w:sz w:val="24"/>
          <w:szCs w:val="24"/>
          <w:highlight w:val="none"/>
        </w:rPr>
      </w:pPr>
      <w:bookmarkStart w:id="124" w:name="_Toc528078041"/>
      <w:bookmarkEnd w:id="124"/>
      <w:r>
        <w:rPr>
          <w:rFonts w:hint="eastAsia" w:ascii="宋体" w:hAnsi="宋体" w:eastAsia="宋体" w:cs="宋体"/>
          <w:color w:val="auto"/>
          <w:sz w:val="24"/>
          <w:szCs w:val="24"/>
          <w:highlight w:val="none"/>
        </w:rPr>
        <w:t>7.7响应无效和终止磋商活动条款</w:t>
      </w:r>
    </w:p>
    <w:p w14:paraId="200DBA09">
      <w:pPr>
        <w:wordWrap w:val="0"/>
        <w:spacing w:line="460" w:lineRule="exact"/>
        <w:ind w:firstLine="480" w:firstLineChars="200"/>
        <w:jc w:val="left"/>
        <w:rPr>
          <w:rFonts w:ascii="宋体" w:hAnsi="宋体" w:eastAsia="宋体" w:cs="宋体"/>
          <w:color w:val="auto"/>
          <w:sz w:val="24"/>
          <w:szCs w:val="24"/>
          <w:highlight w:val="none"/>
        </w:rPr>
      </w:pPr>
      <w:bookmarkStart w:id="125" w:name="_Toc16938551"/>
      <w:bookmarkEnd w:id="125"/>
      <w:bookmarkStart w:id="126" w:name="_Toc513029235"/>
      <w:bookmarkEnd w:id="126"/>
      <w:r>
        <w:rPr>
          <w:rFonts w:hint="eastAsia" w:ascii="宋体" w:hAnsi="宋体" w:eastAsia="宋体" w:cs="宋体"/>
          <w:color w:val="auto"/>
          <w:sz w:val="24"/>
          <w:szCs w:val="24"/>
          <w:highlight w:val="none"/>
        </w:rPr>
        <w:t>1）未按照竞争性磋商文件规定要求签署、盖章的；</w:t>
      </w:r>
    </w:p>
    <w:p w14:paraId="033E2713">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2）供应商不具备竞争性磋商文件中规定资格条件的；</w:t>
      </w:r>
    </w:p>
    <w:p w14:paraId="18721081">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3）不符合法律、法规和竞争性磋商文件中规定的其他实质性要求的；</w:t>
      </w:r>
    </w:p>
    <w:p w14:paraId="12438CE7">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4）其他法律、法规及本竞争性磋商文件规定的属响应无效的情形。</w:t>
      </w:r>
    </w:p>
    <w:p w14:paraId="31BA6DF9">
      <w:pPr>
        <w:wordWrap w:val="0"/>
        <w:spacing w:line="460" w:lineRule="exact"/>
        <w:ind w:firstLine="480" w:firstLineChars="200"/>
        <w:jc w:val="left"/>
        <w:outlineLvl w:val="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7.8终止竞争性磋商采购活动的条款</w:t>
      </w:r>
    </w:p>
    <w:p w14:paraId="22044464">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出现下列情形之一的，采购人将终止竞争性磋商采购活动，发布项目终止公告并说明原因，重新开展采购活动：</w:t>
      </w:r>
    </w:p>
    <w:p w14:paraId="42A679A7">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1）因情况变化，不再符合规定的竞争性磋商采购方式适用情形的；</w:t>
      </w:r>
    </w:p>
    <w:p w14:paraId="28FAF445">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2）出现影响采购公正的违法、违规行为的；</w:t>
      </w:r>
    </w:p>
    <w:p w14:paraId="1CCB4A55">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3)在采购过程中符合要求的供应商的供应商不足2家的。</w:t>
      </w:r>
    </w:p>
    <w:p w14:paraId="1250B796">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7.9根据财库（2015）124号文，竞争性磋商只有2家响应人仍可继续进行。</w:t>
      </w:r>
    </w:p>
    <w:p w14:paraId="4FDF4E06">
      <w:pPr>
        <w:wordWrap w:val="0"/>
        <w:spacing w:line="460" w:lineRule="exact"/>
        <w:ind w:firstLine="480" w:firstLineChars="200"/>
        <w:jc w:val="left"/>
        <w:outlineLvl w:val="1"/>
        <w:rPr>
          <w:rFonts w:ascii="宋体" w:hAnsi="宋体" w:eastAsia="宋体" w:cs="宋体"/>
          <w:color w:val="auto"/>
          <w:kern w:val="0"/>
          <w:sz w:val="24"/>
          <w:szCs w:val="24"/>
          <w:highlight w:val="none"/>
        </w:rPr>
      </w:pPr>
      <w:bookmarkStart w:id="127" w:name="_Toc505350557"/>
      <w:bookmarkEnd w:id="127"/>
      <w:bookmarkStart w:id="128" w:name="_Toc517178997"/>
      <w:bookmarkEnd w:id="128"/>
      <w:bookmarkStart w:id="129" w:name="_Toc504491971"/>
      <w:bookmarkEnd w:id="129"/>
      <w:bookmarkStart w:id="130" w:name="_Toc528078042"/>
      <w:r>
        <w:rPr>
          <w:rFonts w:hint="eastAsia" w:ascii="宋体" w:hAnsi="宋体" w:eastAsia="宋体" w:cs="宋体"/>
          <w:color w:val="auto"/>
          <w:sz w:val="24"/>
          <w:szCs w:val="24"/>
          <w:highlight w:val="none"/>
        </w:rPr>
        <w:t>8.确定成交、询问及质疑</w:t>
      </w:r>
      <w:bookmarkEnd w:id="130"/>
    </w:p>
    <w:p w14:paraId="7C06F544">
      <w:pPr>
        <w:wordWrap w:val="0"/>
        <w:spacing w:line="460" w:lineRule="exact"/>
        <w:ind w:firstLine="480" w:firstLineChars="200"/>
        <w:jc w:val="left"/>
        <w:outlineLvl w:val="2"/>
        <w:rPr>
          <w:rFonts w:ascii="宋体" w:hAnsi="宋体" w:eastAsia="宋体" w:cs="宋体"/>
          <w:color w:val="auto"/>
          <w:sz w:val="24"/>
          <w:szCs w:val="24"/>
          <w:highlight w:val="none"/>
        </w:rPr>
      </w:pPr>
      <w:bookmarkStart w:id="131" w:name="_Toc16938554"/>
      <w:bookmarkEnd w:id="131"/>
      <w:bookmarkStart w:id="132" w:name="_Toc20823310"/>
      <w:bookmarkEnd w:id="132"/>
      <w:bookmarkStart w:id="133" w:name="_Toc528078043"/>
      <w:r>
        <w:rPr>
          <w:rFonts w:hint="eastAsia" w:ascii="宋体" w:hAnsi="宋体" w:eastAsia="宋体" w:cs="宋体"/>
          <w:color w:val="auto"/>
          <w:sz w:val="24"/>
          <w:szCs w:val="24"/>
          <w:highlight w:val="none"/>
        </w:rPr>
        <w:t>8.1</w:t>
      </w:r>
      <w:bookmarkEnd w:id="133"/>
      <w:r>
        <w:rPr>
          <w:rFonts w:hint="eastAsia" w:ascii="宋体" w:hAnsi="宋体" w:eastAsia="宋体" w:cs="宋体"/>
          <w:color w:val="auto"/>
          <w:sz w:val="24"/>
          <w:szCs w:val="24"/>
          <w:highlight w:val="none"/>
        </w:rPr>
        <w:t>确定成交供应商</w:t>
      </w:r>
    </w:p>
    <w:p w14:paraId="102F54F4">
      <w:pPr>
        <w:wordWrap w:val="0"/>
        <w:spacing w:line="4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8.1.1采购代理机构应当在评标结束后2个工作日内将评标报告送采购人。</w:t>
      </w:r>
    </w:p>
    <w:p w14:paraId="0D7ABAEA">
      <w:pPr>
        <w:wordWrap w:val="0"/>
        <w:spacing w:line="46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应当自收到评标报告之日起5个工作日内，在评标报告确定的中标候选人名单中按顺序确定中标人。中标候选人并列的，由采购人或者采购人委托磋商小组按照竞争性磋商文件规定的方式确定中标人；竞争性磋商文件未规定的，采取随机抽取的方式确定。</w:t>
      </w:r>
    </w:p>
    <w:p w14:paraId="1535B281">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8.1.2成交供应商确定后2个工作日内在“《</w:t>
      </w:r>
      <w:r>
        <w:rPr>
          <w:rFonts w:hint="eastAsia" w:ascii="宋体" w:hAnsi="宋体" w:eastAsia="宋体" w:cs="宋体"/>
          <w:color w:val="auto"/>
          <w:sz w:val="24"/>
          <w:szCs w:val="24"/>
          <w:highlight w:val="none"/>
          <w:lang w:eastAsia="zh-CN"/>
        </w:rPr>
        <w:t>中国采购与招标网</w:t>
      </w:r>
      <w:r>
        <w:rPr>
          <w:rFonts w:hint="eastAsia" w:ascii="宋体" w:hAnsi="宋体" w:eastAsia="宋体" w:cs="宋体"/>
          <w:color w:val="auto"/>
          <w:sz w:val="24"/>
          <w:szCs w:val="24"/>
          <w:highlight w:val="none"/>
        </w:rPr>
        <w:t>》、《河南省政府采购网》和《三门峡市公共资源交易中心网》”公告成交结果。</w:t>
      </w:r>
    </w:p>
    <w:p w14:paraId="563E77BB">
      <w:pPr>
        <w:wordWrap w:val="0"/>
        <w:spacing w:line="460" w:lineRule="exact"/>
        <w:ind w:firstLine="480" w:firstLineChars="200"/>
        <w:jc w:val="left"/>
        <w:outlineLvl w:val="2"/>
        <w:rPr>
          <w:rFonts w:ascii="宋体" w:hAnsi="宋体" w:eastAsia="宋体" w:cs="宋体"/>
          <w:color w:val="auto"/>
          <w:sz w:val="24"/>
          <w:szCs w:val="24"/>
          <w:highlight w:val="none"/>
        </w:rPr>
      </w:pPr>
      <w:bookmarkStart w:id="134" w:name="_Toc200451960"/>
      <w:bookmarkEnd w:id="134"/>
      <w:bookmarkStart w:id="135" w:name="_Toc528078044"/>
      <w:r>
        <w:rPr>
          <w:rFonts w:hint="eastAsia" w:ascii="宋体" w:hAnsi="宋体" w:eastAsia="宋体" w:cs="宋体"/>
          <w:color w:val="auto"/>
          <w:sz w:val="24"/>
          <w:szCs w:val="24"/>
          <w:highlight w:val="none"/>
        </w:rPr>
        <w:t>8.2询问及质疑</w:t>
      </w:r>
      <w:bookmarkEnd w:id="135"/>
    </w:p>
    <w:p w14:paraId="595851A0">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8.2.1询问及质疑依据《中华人民共和国政府采购法》、《中华人民共和国政府采购法实施条例》及相关法律法规处理。</w:t>
      </w:r>
    </w:p>
    <w:p w14:paraId="34CB8D6A">
      <w:pPr>
        <w:wordWrap w:val="0"/>
        <w:spacing w:line="460" w:lineRule="exact"/>
        <w:ind w:firstLine="480" w:firstLineChars="200"/>
        <w:jc w:val="left"/>
        <w:outlineLvl w:val="1"/>
        <w:rPr>
          <w:rFonts w:ascii="宋体" w:hAnsi="宋体" w:eastAsia="宋体" w:cs="宋体"/>
          <w:color w:val="auto"/>
          <w:kern w:val="0"/>
          <w:sz w:val="24"/>
          <w:szCs w:val="24"/>
          <w:highlight w:val="none"/>
        </w:rPr>
      </w:pPr>
      <w:bookmarkStart w:id="136" w:name="_Toc504491972"/>
      <w:bookmarkEnd w:id="136"/>
      <w:bookmarkStart w:id="137" w:name="_Toc517178998"/>
      <w:bookmarkEnd w:id="137"/>
      <w:bookmarkStart w:id="138" w:name="_Toc513029236"/>
      <w:bookmarkEnd w:id="138"/>
      <w:bookmarkStart w:id="139" w:name="_Toc120614220"/>
      <w:bookmarkEnd w:id="139"/>
      <w:bookmarkStart w:id="140" w:name="_Toc505350558"/>
      <w:bookmarkEnd w:id="140"/>
      <w:bookmarkStart w:id="141" w:name="_Toc16938552"/>
      <w:bookmarkEnd w:id="141"/>
      <w:bookmarkStart w:id="142" w:name="_Toc403987211"/>
      <w:bookmarkEnd w:id="142"/>
      <w:bookmarkStart w:id="143" w:name="_Toc20823308"/>
      <w:bookmarkEnd w:id="143"/>
      <w:bookmarkStart w:id="144" w:name="_Toc528078045"/>
      <w:r>
        <w:rPr>
          <w:rFonts w:hint="eastAsia" w:ascii="宋体" w:hAnsi="宋体" w:eastAsia="宋体" w:cs="宋体"/>
          <w:color w:val="auto"/>
          <w:sz w:val="24"/>
          <w:szCs w:val="24"/>
          <w:highlight w:val="none"/>
        </w:rPr>
        <w:t>9.</w:t>
      </w:r>
      <w:bookmarkEnd w:id="144"/>
      <w:r>
        <w:rPr>
          <w:rFonts w:hint="eastAsia" w:ascii="宋体" w:hAnsi="宋体" w:eastAsia="宋体" w:cs="宋体"/>
          <w:color w:val="auto"/>
          <w:sz w:val="24"/>
          <w:szCs w:val="24"/>
          <w:highlight w:val="none"/>
        </w:rPr>
        <w:t>授予合同</w:t>
      </w:r>
    </w:p>
    <w:p w14:paraId="677D33FA">
      <w:pPr>
        <w:wordWrap w:val="0"/>
        <w:spacing w:line="460" w:lineRule="exact"/>
        <w:ind w:firstLine="480" w:firstLineChars="200"/>
        <w:jc w:val="left"/>
        <w:outlineLvl w:val="2"/>
        <w:rPr>
          <w:rFonts w:ascii="宋体" w:hAnsi="宋体" w:eastAsia="宋体" w:cs="宋体"/>
          <w:color w:val="auto"/>
          <w:sz w:val="24"/>
          <w:szCs w:val="24"/>
          <w:highlight w:val="none"/>
        </w:rPr>
      </w:pPr>
      <w:bookmarkStart w:id="145" w:name="_Toc16938553"/>
      <w:bookmarkEnd w:id="145"/>
      <w:bookmarkStart w:id="146" w:name="_Toc513029237"/>
      <w:bookmarkEnd w:id="146"/>
      <w:bookmarkStart w:id="147" w:name="_Toc20823309"/>
      <w:bookmarkEnd w:id="147"/>
      <w:bookmarkStart w:id="148" w:name="_Toc528078046"/>
      <w:r>
        <w:rPr>
          <w:rFonts w:hint="eastAsia" w:ascii="宋体" w:hAnsi="宋体" w:eastAsia="宋体" w:cs="宋体"/>
          <w:color w:val="auto"/>
          <w:sz w:val="24"/>
          <w:szCs w:val="24"/>
          <w:highlight w:val="none"/>
        </w:rPr>
        <w:t>9.1签订合同</w:t>
      </w:r>
      <w:bookmarkEnd w:id="148"/>
    </w:p>
    <w:p w14:paraId="3E2D6827">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9.1.1采购人、成交供应商在成交通知书发出之日起30日内（不超过30日），根据竞争性磋商文件确定的事项和成交供应商响应性文件签订合同。双方所签订的合同不得对竞争性磋商文件和成交供应商响应性文件作实质性修改。成交供应商逾期未签订合同，视为成交后无正当理由不与采购人签订合同，按照有关法律规定承担相应的法律责任。采购人逾期不与成交供应商签订合同的，按政府采购的有关规定处理。</w:t>
      </w:r>
    </w:p>
    <w:p w14:paraId="7A0F41BB">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9.1.2竞争性磋商文件、竞争性磋商文件的修改文件、成交供应商的响应性文件、补充或修改的文件及澄清或承诺文件等，均为双方签订合同的组成部分，并与合同一并作为本竞争性磋商文件所列采购项目的互补性法律文件，与合同具有同等法律效力。</w:t>
      </w:r>
    </w:p>
    <w:p w14:paraId="663C9ED3">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9.1.3成交供应商放弃成交、因不可抗力不能履行合同、或者被查实存在影响成交结果的违法行为等情形，不符合成交条件的，采购人可以按照磋商小组提出的成交候选供应商名单排序依次确定其他成交候选供应商为成交供应商，也可以重新组织采购</w:t>
      </w:r>
      <w:bookmarkStart w:id="149" w:name="_Toc16938558"/>
      <w:bookmarkEnd w:id="149"/>
      <w:bookmarkStart w:id="150" w:name="_Toc517178999"/>
      <w:bookmarkEnd w:id="150"/>
      <w:bookmarkStart w:id="151" w:name="_Toc479757207"/>
      <w:bookmarkEnd w:id="151"/>
      <w:bookmarkStart w:id="152" w:name="_Toc20823314"/>
      <w:bookmarkEnd w:id="152"/>
      <w:bookmarkStart w:id="153" w:name="_Toc120614221"/>
      <w:bookmarkEnd w:id="153"/>
      <w:bookmarkStart w:id="154" w:name="_Hlt16619475"/>
      <w:bookmarkEnd w:id="154"/>
      <w:bookmarkStart w:id="155" w:name="_Toc513029242"/>
      <w:bookmarkEnd w:id="155"/>
      <w:bookmarkStart w:id="156" w:name="_Toc528078047"/>
      <w:bookmarkEnd w:id="156"/>
      <w:bookmarkStart w:id="157" w:name="_Toc479757211"/>
      <w:bookmarkEnd w:id="157"/>
      <w:bookmarkStart w:id="158" w:name="_Toc528078062"/>
      <w:r>
        <w:rPr>
          <w:rFonts w:hint="eastAsia" w:ascii="宋体" w:hAnsi="宋体" w:eastAsia="宋体" w:cs="宋体"/>
          <w:color w:val="auto"/>
          <w:sz w:val="24"/>
          <w:szCs w:val="24"/>
          <w:highlight w:val="none"/>
        </w:rPr>
        <w:t>。</w:t>
      </w:r>
      <w:bookmarkEnd w:id="158"/>
    </w:p>
    <w:p w14:paraId="36E20AFC">
      <w:pPr>
        <w:widowControl/>
        <w:spacing w:line="480" w:lineRule="exact"/>
        <w:ind w:firstLine="482" w:firstLineChars="200"/>
        <w:outlineLvl w:val="2"/>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9.</w:t>
      </w:r>
      <w:r>
        <w:rPr>
          <w:rFonts w:ascii="宋体" w:hAnsi="宋体" w:eastAsia="宋体" w:cs="宋体"/>
          <w:b/>
          <w:bCs/>
          <w:color w:val="auto"/>
          <w:sz w:val="24"/>
          <w:szCs w:val="24"/>
          <w:highlight w:val="none"/>
        </w:rPr>
        <w:t>2</w:t>
      </w:r>
      <w:r>
        <w:rPr>
          <w:rFonts w:hint="eastAsia" w:ascii="宋体" w:hAnsi="宋体" w:eastAsia="宋体" w:cs="宋体"/>
          <w:b/>
          <w:bCs/>
          <w:color w:val="auto"/>
          <w:sz w:val="24"/>
          <w:szCs w:val="24"/>
          <w:highlight w:val="none"/>
        </w:rPr>
        <w:t>投诉</w:t>
      </w:r>
    </w:p>
    <w:p w14:paraId="4934E192">
      <w:pPr>
        <w:spacing w:line="500" w:lineRule="exact"/>
        <w:ind w:firstLine="480" w:firstLineChars="200"/>
        <w:rPr>
          <w:rFonts w:ascii="宋体" w:hAnsi="宋体" w:eastAsia="宋体" w:cs="Times New Roman"/>
          <w:color w:val="auto"/>
          <w:sz w:val="24"/>
          <w:szCs w:val="24"/>
          <w:highlight w:val="none"/>
        </w:rPr>
      </w:pPr>
      <w:bookmarkStart w:id="159" w:name="_Toc466566702"/>
      <w:r>
        <w:rPr>
          <w:rFonts w:ascii="宋体" w:hAnsi="宋体" w:eastAsia="宋体" w:cs="Times New Roman"/>
          <w:color w:val="auto"/>
          <w:sz w:val="24"/>
          <w:szCs w:val="24"/>
          <w:highlight w:val="none"/>
        </w:rPr>
        <w:t>9</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.1 供应商或有关当事人对磋商过程、成交结果有异议的，可以向采购人或者采购代理机构提出询问。</w:t>
      </w:r>
    </w:p>
    <w:p w14:paraId="08CBC5B0">
      <w:pPr>
        <w:spacing w:line="500" w:lineRule="exact"/>
        <w:ind w:firstLine="480" w:firstLineChars="200"/>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9</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.2 采购人或者采购代理机构应当在三个工作日内对供应商依法提出的询问作出答复。</w:t>
      </w:r>
    </w:p>
    <w:p w14:paraId="6960DA6E">
      <w:pPr>
        <w:spacing w:line="500" w:lineRule="exact"/>
        <w:ind w:firstLine="480" w:firstLineChars="200"/>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9</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.3 供应商认为竞争性磋商文件、采购过程使自己的权益受到损害的，可以在知道或者应知其权益受到损害之日起七个工作日内，以书面形式向采购人提出质疑。</w:t>
      </w:r>
    </w:p>
    <w:p w14:paraId="59462628">
      <w:pPr>
        <w:spacing w:line="500" w:lineRule="exact"/>
        <w:ind w:firstLine="480" w:firstLineChars="200"/>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9</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.4 供应商认为成交结果使自己的权益受到损害的，可以在成交结果公告期限届满之日起七个工作日内，以书面形式向采购人提出质疑，接收质疑函联系部门、电话及地址详见竞争性磋商公告。在法定质疑期内供应商针对同一采购程序环节的质疑应当一次性提出。</w:t>
      </w:r>
    </w:p>
    <w:p w14:paraId="58F6F089">
      <w:pPr>
        <w:spacing w:line="500" w:lineRule="exact"/>
        <w:ind w:firstLine="480" w:firstLineChars="200"/>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9</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.5 采购人或者采购代理机构应当在收到供应商的书面质疑后七个工作日内作出答复，并以书面形式通知质疑供应商和其他有关供应商，但答复的内容不得涉及商业秘密。</w:t>
      </w:r>
    </w:p>
    <w:p w14:paraId="4F8DB656">
      <w:pPr>
        <w:spacing w:line="500" w:lineRule="exact"/>
        <w:ind w:firstLine="480" w:firstLineChars="200"/>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9</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.6 质疑单位对采购人、采购代理机构的答复不满意或者采购人、采购代理机构未在规定的时间内作出答复的，可以在答复期满后十五个工作日内向同级政府采购监督管理部门投诉。</w:t>
      </w:r>
    </w:p>
    <w:p w14:paraId="3C5BC525">
      <w:pPr>
        <w:spacing w:line="500" w:lineRule="exact"/>
        <w:ind w:firstLine="480" w:firstLineChars="200"/>
        <w:rPr>
          <w:rFonts w:ascii="Calibri" w:hAnsi="Calibri" w:eastAsia="宋体" w:cs="Times New Roman"/>
          <w:color w:val="auto"/>
          <w:kern w:val="0"/>
          <w:sz w:val="24"/>
          <w:szCs w:val="24"/>
          <w:highlight w:val="none"/>
        </w:rPr>
      </w:pPr>
      <w:r>
        <w:rPr>
          <w:rFonts w:ascii="宋体" w:hAnsi="宋体" w:eastAsia="宋体" w:cs="Times New Roman"/>
          <w:color w:val="auto"/>
          <w:sz w:val="24"/>
          <w:szCs w:val="24"/>
          <w:highlight w:val="none"/>
        </w:rPr>
        <w:t>9</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.7 供应商质疑、投诉应当有明确的请求和必要的证明材料。供应商投诉的事项不得超出已质疑事项的范围。</w:t>
      </w:r>
      <w:r>
        <w:rPr>
          <w:rFonts w:hint="eastAsia" w:ascii="Calibri" w:hAnsi="Calibri" w:eastAsia="宋体" w:cs="Times New Roman"/>
          <w:color w:val="auto"/>
          <w:kern w:val="0"/>
          <w:sz w:val="24"/>
          <w:szCs w:val="24"/>
          <w:highlight w:val="none"/>
        </w:rPr>
        <w:t>质疑函应当包括下列内容：</w:t>
      </w:r>
    </w:p>
    <w:p w14:paraId="7A61AA70">
      <w:pPr>
        <w:spacing w:line="48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1、供应商的姓名或者名称、地址、邮编、联系人及联系电话；</w:t>
      </w:r>
    </w:p>
    <w:p w14:paraId="45423B33">
      <w:pPr>
        <w:spacing w:line="48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2、质疑项目的名称、编号；</w:t>
      </w:r>
    </w:p>
    <w:p w14:paraId="5960559E">
      <w:pPr>
        <w:spacing w:line="48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3、具体、明确的质疑事项和与质疑事项相关的请求；</w:t>
      </w:r>
    </w:p>
    <w:p w14:paraId="71429D33">
      <w:pPr>
        <w:spacing w:line="48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4、事实依据；</w:t>
      </w:r>
    </w:p>
    <w:p w14:paraId="3946F472">
      <w:pPr>
        <w:spacing w:line="48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5、必要的法律依据；</w:t>
      </w:r>
    </w:p>
    <w:p w14:paraId="4A7CED2A">
      <w:pPr>
        <w:spacing w:line="48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6、提出质疑的日期。</w:t>
      </w:r>
    </w:p>
    <w:p w14:paraId="7E3CA331">
      <w:pPr>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按照有关法律、法规和规章规定及招标文件要求属于保密或者处于保密阶段的事项，供应商必须提供正常的信息来源或有效证据，供应商不能提供或者拒绝提供合法的信息来源或有效证据的，其质疑将被拒绝；</w:t>
      </w:r>
    </w:p>
    <w:p w14:paraId="1FB782D7">
      <w:pPr>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质疑函应提供充足有效的相关证明材料；如果涉及到产品功能或技术指标的，应出具相关制造商的证明文件；</w:t>
      </w:r>
    </w:p>
    <w:p w14:paraId="1DFBF61F">
      <w:pPr>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质疑材料中有外文资料的，应一并附上中文译本，并以中文译本为准。</w:t>
      </w:r>
    </w:p>
    <w:p w14:paraId="007BBFD6">
      <w:pPr>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供应商质疑实行实名制并须在质疑书上署名。供应商不得进行虚假、恶意质疑，不得以质疑为手段获取不当得利、实现非法目的。</w:t>
      </w:r>
    </w:p>
    <w:p w14:paraId="6B4DB798">
      <w:pPr>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供应商可以委托代理人进行质疑和投诉。其授权委托书应当载明代理人的姓名或者名称、代理事项、具体权限、期限和相关事项。供应商为自然人的，应当由本人签</w:t>
      </w:r>
      <w:bookmarkStart w:id="160" w:name="第四部分_合同条款"/>
      <w:bookmarkEnd w:id="160"/>
      <w:r>
        <w:rPr>
          <w:rFonts w:hint="eastAsia" w:ascii="宋体" w:hAnsi="宋体" w:eastAsia="宋体" w:cs="宋体"/>
          <w:color w:val="auto"/>
          <w:sz w:val="24"/>
          <w:szCs w:val="24"/>
          <w:highlight w:val="none"/>
        </w:rPr>
        <w:t>字；供应商为法人或者其他组织的，应当由法定代表人、主要负责人签字或者盖章，并加盖公章。代理人提出质疑和投诉，应当提交供应商签署的授权委托书。授权委托书应载明委托代理的具体权限和事项。授权委托书应当由委托人签字并加盖单位公章。</w:t>
      </w:r>
    </w:p>
    <w:p w14:paraId="6921F84F">
      <w:pPr>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质疑书提交方式。供应商或者其委托代理人应当当面提交质疑书及相关证明材料。提交质疑书时，供应商应同时提交本人身份证，委托他人代理质疑事宜的，还应提交被委托人的身份证。</w:t>
      </w:r>
    </w:p>
    <w:p w14:paraId="0CA2EABF">
      <w:pPr>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不得虚假质疑和恶意质疑，并对质疑内容的真实性承担责任。供应商或者其他利害关系人通过捏造事实、伪造证明材料等方式提出异议或投诉，阻碍招投标活动正常进行的，属于严重不良行为，监督部门将其列入不良行为记录名单，并依法予以处罚。</w:t>
      </w:r>
    </w:p>
    <w:p w14:paraId="68F7581B">
      <w:pPr>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采购人或招标代理机构将在收到符合上述条件的书面质疑后7个工作日内审查质疑事项，采购人做出答复或相关处理决定，并以书面形式通知质疑供应商和其他有关供应商。</w:t>
      </w:r>
    </w:p>
    <w:p w14:paraId="127FBE39">
      <w:pPr>
        <w:spacing w:line="48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依法提出质疑的供应商对采购人或招标代理机构的答复不满意、以及采购人或招标代理机构未在规定的时间内做出答复的，可以在答复期满后15个工作日内向监督部门投诉。</w:t>
      </w:r>
    </w:p>
    <w:p w14:paraId="4D416517">
      <w:pPr>
        <w:spacing w:line="500" w:lineRule="exact"/>
        <w:ind w:firstLine="480" w:firstLineChars="200"/>
        <w:outlineLvl w:val="3"/>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质疑函格式详见附件1</w:t>
      </w:r>
    </w:p>
    <w:p w14:paraId="186F4E80">
      <w:pPr>
        <w:spacing w:line="48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r>
        <w:rPr>
          <w:rFonts w:ascii="宋体" w:hAnsi="宋体" w:eastAsia="宋体" w:cs="宋体"/>
          <w:color w:val="auto"/>
          <w:sz w:val="24"/>
          <w:szCs w:val="24"/>
          <w:highlight w:val="none"/>
        </w:rPr>
        <w:t>.2.8</w:t>
      </w:r>
      <w:r>
        <w:rPr>
          <w:rFonts w:hint="eastAsia" w:ascii="宋体" w:hAnsi="宋体" w:eastAsia="宋体" w:cs="宋体"/>
          <w:color w:val="auto"/>
          <w:sz w:val="24"/>
          <w:szCs w:val="24"/>
          <w:highlight w:val="none"/>
        </w:rPr>
        <w:t>投诉人在全国范围12个月内三次以上投诉查无实据的，由财政部门列入不良行为记录名单，投诉人有下列行为之一的，属于虚假、恶意投诉，由财政部门列入不良行为记录名单，禁止其1至3年内参加政府采购活动：</w:t>
      </w:r>
    </w:p>
    <w:p w14:paraId="64FBC298">
      <w:pPr>
        <w:spacing w:line="48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1、捏造事实；</w:t>
      </w:r>
    </w:p>
    <w:p w14:paraId="42C132F2">
      <w:pPr>
        <w:spacing w:line="48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2、提供虚假材料；</w:t>
      </w:r>
    </w:p>
    <w:p w14:paraId="1CE6529E">
      <w:pPr>
        <w:spacing w:line="48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3、以非法手段取得证明材料。证据来源的合法性存在明显疑问，投诉人无法证明其取得方式合法的，视为以非法手段取得证明材料。</w:t>
      </w:r>
    </w:p>
    <w:bookmarkEnd w:id="159"/>
    <w:p w14:paraId="31CE1322">
      <w:pPr>
        <w:widowControl/>
        <w:jc w:val="left"/>
        <w:rPr>
          <w:rFonts w:ascii="宋体" w:hAnsi="宋体" w:eastAsia="宋体" w:cs="宋体"/>
          <w:b/>
          <w:color w:val="auto"/>
          <w:sz w:val="24"/>
          <w:szCs w:val="24"/>
          <w:highlight w:val="none"/>
        </w:rPr>
      </w:pPr>
      <w:r>
        <w:rPr>
          <w:rFonts w:ascii="宋体" w:hAnsi="宋体" w:eastAsia="宋体" w:cs="宋体"/>
          <w:b/>
          <w:color w:val="auto"/>
          <w:sz w:val="24"/>
          <w:szCs w:val="24"/>
          <w:highlight w:val="none"/>
        </w:rPr>
        <w:br w:type="page"/>
      </w:r>
    </w:p>
    <w:p w14:paraId="6D427BFE">
      <w:pPr>
        <w:spacing w:line="480" w:lineRule="exact"/>
        <w:ind w:firstLine="405" w:firstLineChars="168"/>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附件1：质疑函范本</w:t>
      </w:r>
    </w:p>
    <w:p w14:paraId="4B994826">
      <w:pPr>
        <w:spacing w:line="480" w:lineRule="exact"/>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质疑函范本</w:t>
      </w:r>
    </w:p>
    <w:p w14:paraId="5AC0CF0C">
      <w:pPr>
        <w:spacing w:line="480" w:lineRule="exact"/>
        <w:ind w:firstLine="480" w:firstLineChars="200"/>
        <w:outlineLvl w:val="3"/>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一、质疑供应商基本信息</w:t>
      </w:r>
    </w:p>
    <w:p w14:paraId="69232CF5">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质疑供应商：                                        </w:t>
      </w:r>
    </w:p>
    <w:p w14:paraId="1C748283">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地址：                          邮编：                                 </w:t>
      </w:r>
    </w:p>
    <w:p w14:paraId="432B17D2">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联系人：                      联系电话：                              </w:t>
      </w:r>
    </w:p>
    <w:p w14:paraId="37B16EDD">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授权代表：                                          </w:t>
      </w:r>
    </w:p>
    <w:p w14:paraId="0DFF0CBD">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联系电话：                                            </w:t>
      </w:r>
    </w:p>
    <w:p w14:paraId="430F51B1">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地址：                         邮编：                                       </w:t>
      </w:r>
    </w:p>
    <w:p w14:paraId="5A1CF222">
      <w:pPr>
        <w:spacing w:line="480" w:lineRule="exact"/>
        <w:ind w:firstLine="480" w:firstLineChars="200"/>
        <w:outlineLvl w:val="3"/>
        <w:rPr>
          <w:rFonts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二、质疑项目基本情况</w:t>
      </w:r>
    </w:p>
    <w:p w14:paraId="4BB12C53">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质疑项目的名称：                                      </w:t>
      </w:r>
    </w:p>
    <w:p w14:paraId="1EF087B6">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质疑项目的编号：               包号：                 </w:t>
      </w:r>
    </w:p>
    <w:p w14:paraId="4C3B4452">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招标人名称：                                         </w:t>
      </w:r>
    </w:p>
    <w:p w14:paraId="21D8A51B">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招标文件获取日期：                                           </w:t>
      </w:r>
    </w:p>
    <w:p w14:paraId="60FE5056">
      <w:pPr>
        <w:spacing w:line="480" w:lineRule="exact"/>
        <w:ind w:firstLine="480" w:firstLineChars="200"/>
        <w:outlineLvl w:val="3"/>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三、质疑事项具体内容</w:t>
      </w:r>
    </w:p>
    <w:p w14:paraId="7C1A9950">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质疑事项1：                                         </w:t>
      </w:r>
    </w:p>
    <w:p w14:paraId="7D8732FE">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事实依据：                                          </w:t>
      </w:r>
    </w:p>
    <w:p w14:paraId="52A1E4EB">
      <w:pPr>
        <w:spacing w:line="480" w:lineRule="exact"/>
        <w:ind w:firstLine="480" w:firstLineChars="200"/>
        <w:rPr>
          <w:rFonts w:ascii="宋体" w:hAnsi="宋体" w:eastAsia="宋体" w:cs="宋体"/>
          <w:color w:val="auto"/>
          <w:kern w:val="0"/>
          <w:sz w:val="24"/>
          <w:szCs w:val="24"/>
          <w:highlight w:val="none"/>
        </w:rPr>
      </w:pPr>
    </w:p>
    <w:p w14:paraId="616C3515">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法律依据：                                          </w:t>
      </w:r>
    </w:p>
    <w:p w14:paraId="5D364B12">
      <w:pPr>
        <w:spacing w:line="480" w:lineRule="exact"/>
        <w:ind w:firstLine="480" w:firstLineChars="200"/>
        <w:rPr>
          <w:rFonts w:ascii="宋体" w:hAnsi="宋体" w:eastAsia="宋体" w:cs="宋体"/>
          <w:color w:val="auto"/>
          <w:kern w:val="0"/>
          <w:sz w:val="24"/>
          <w:szCs w:val="24"/>
          <w:highlight w:val="none"/>
        </w:rPr>
      </w:pPr>
    </w:p>
    <w:p w14:paraId="0650CB16">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质疑事项2</w:t>
      </w:r>
    </w:p>
    <w:p w14:paraId="4F83B261">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p w14:paraId="20C23859">
      <w:pPr>
        <w:spacing w:line="480" w:lineRule="exact"/>
        <w:ind w:firstLine="480" w:firstLineChars="200"/>
        <w:outlineLvl w:val="3"/>
        <w:rPr>
          <w:rFonts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四、与质疑事项相关的质疑请求</w:t>
      </w:r>
    </w:p>
    <w:p w14:paraId="42545DC6">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请求：                                               </w:t>
      </w:r>
    </w:p>
    <w:p w14:paraId="4F4EE5CE">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签字(签章)：                   公章：                      </w:t>
      </w:r>
    </w:p>
    <w:p w14:paraId="1B3B4EDF">
      <w:pPr>
        <w:autoSpaceDE w:val="0"/>
        <w:autoSpaceDN w:val="0"/>
        <w:spacing w:before="90" w:line="312" w:lineRule="auto"/>
        <w:ind w:right="95"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Times New Roman"/>
          <w:color w:val="auto"/>
          <w:sz w:val="24"/>
          <w:szCs w:val="24"/>
          <w:highlight w:val="none"/>
        </w:rPr>
        <w:br w:type="page"/>
      </w:r>
    </w:p>
    <w:p w14:paraId="25C8B7C0">
      <w:pPr>
        <w:pStyle w:val="4"/>
        <w:bidi w:val="0"/>
        <w:jc w:val="center"/>
        <w:outlineLvl w:val="0"/>
        <w:rPr>
          <w:color w:val="auto"/>
          <w:highlight w:val="none"/>
        </w:rPr>
      </w:pPr>
      <w:bookmarkStart w:id="161" w:name="_Toc6120"/>
      <w:bookmarkStart w:id="162" w:name="_Toc14135"/>
      <w:bookmarkStart w:id="163" w:name="_Toc28251"/>
      <w:r>
        <w:rPr>
          <w:rFonts w:hint="eastAsia"/>
          <w:color w:val="auto"/>
          <w:highlight w:val="none"/>
        </w:rPr>
        <w:t>第三章  评标办法（综合评估法）</w:t>
      </w:r>
      <w:bookmarkEnd w:id="45"/>
      <w:bookmarkEnd w:id="46"/>
      <w:bookmarkEnd w:id="47"/>
      <w:bookmarkEnd w:id="48"/>
      <w:bookmarkEnd w:id="49"/>
      <w:bookmarkEnd w:id="161"/>
      <w:bookmarkEnd w:id="162"/>
      <w:bookmarkEnd w:id="163"/>
    </w:p>
    <w:p w14:paraId="26E3C40A">
      <w:pPr>
        <w:widowControl/>
        <w:spacing w:line="400" w:lineRule="exact"/>
        <w:ind w:firstLine="420"/>
        <w:rPr>
          <w:rFonts w:ascii="宋体" w:hAnsi="宋体" w:cs="Calibri"/>
          <w:color w:val="auto"/>
          <w:sz w:val="24"/>
          <w:highlight w:val="none"/>
        </w:rPr>
      </w:pPr>
      <w:bookmarkStart w:id="164" w:name="_Toc466566705"/>
      <w:bookmarkEnd w:id="164"/>
      <w:bookmarkStart w:id="165" w:name="_Toc152045600"/>
      <w:bookmarkEnd w:id="165"/>
      <w:bookmarkStart w:id="166" w:name="_Toc144974567"/>
      <w:bookmarkEnd w:id="166"/>
      <w:bookmarkStart w:id="167" w:name="_Toc179632618"/>
      <w:bookmarkEnd w:id="167"/>
      <w:bookmarkStart w:id="168" w:name="_Toc375053347"/>
      <w:bookmarkEnd w:id="168"/>
      <w:bookmarkStart w:id="169" w:name="_Toc466566794"/>
      <w:bookmarkEnd w:id="169"/>
      <w:bookmarkStart w:id="170" w:name="OLE_LINK1"/>
      <w:r>
        <w:rPr>
          <w:rFonts w:hint="eastAsia" w:ascii="宋体" w:hAnsi="宋体" w:cs="Calibri"/>
          <w:color w:val="auto"/>
          <w:kern w:val="0"/>
          <w:sz w:val="24"/>
          <w:highlight w:val="none"/>
        </w:rPr>
        <w:t>本次项目的评审分为初步审查和详细审查。详细审查采用综合评分法，总分为100分。</w:t>
      </w:r>
      <w:bookmarkEnd w:id="170"/>
      <w:r>
        <w:rPr>
          <w:rFonts w:hint="eastAsia" w:ascii="宋体" w:hAnsi="宋体" w:cs="Calibri"/>
          <w:color w:val="auto"/>
          <w:kern w:val="0"/>
          <w:sz w:val="24"/>
          <w:highlight w:val="none"/>
        </w:rPr>
        <w:t>评审因素如下：</w:t>
      </w:r>
    </w:p>
    <w:p w14:paraId="19AB45B6">
      <w:pPr>
        <w:widowControl/>
        <w:spacing w:line="400" w:lineRule="exact"/>
        <w:rPr>
          <w:rFonts w:ascii="宋体" w:hAnsi="宋体" w:cs="Calibri"/>
          <w:b/>
          <w:bCs/>
          <w:color w:val="auto"/>
          <w:sz w:val="24"/>
          <w:highlight w:val="none"/>
        </w:rPr>
      </w:pPr>
      <w:r>
        <w:rPr>
          <w:rFonts w:hint="eastAsia" w:ascii="宋体" w:hAnsi="宋体" w:cs="Calibri"/>
          <w:b/>
          <w:bCs/>
          <w:color w:val="auto"/>
          <w:kern w:val="0"/>
          <w:sz w:val="24"/>
          <w:highlight w:val="none"/>
        </w:rPr>
        <w:t>一、初步审查</w:t>
      </w:r>
    </w:p>
    <w:tbl>
      <w:tblPr>
        <w:tblStyle w:val="21"/>
        <w:tblW w:w="94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6"/>
        <w:gridCol w:w="987"/>
        <w:gridCol w:w="2551"/>
        <w:gridCol w:w="5398"/>
      </w:tblGrid>
      <w:tr w14:paraId="351F3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13" w:type="dxa"/>
            <w:gridSpan w:val="2"/>
            <w:tcBorders>
              <w:top w:val="single" w:color="auto" w:sz="4" w:space="0"/>
              <w:left w:val="single" w:color="auto" w:sz="4" w:space="0"/>
              <w:bottom w:val="single" w:color="auto" w:sz="4" w:space="0"/>
              <w:right w:val="single" w:color="auto" w:sz="4" w:space="0"/>
            </w:tcBorders>
            <w:vAlign w:val="center"/>
          </w:tcPr>
          <w:p w14:paraId="418157D5">
            <w:pPr>
              <w:spacing w:line="360" w:lineRule="auto"/>
              <w:jc w:val="center"/>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条款号</w:t>
            </w:r>
          </w:p>
        </w:tc>
        <w:tc>
          <w:tcPr>
            <w:tcW w:w="2551" w:type="dxa"/>
            <w:tcBorders>
              <w:top w:val="single" w:color="auto" w:sz="4" w:space="0"/>
              <w:left w:val="nil"/>
              <w:bottom w:val="single" w:color="auto" w:sz="4" w:space="0"/>
              <w:right w:val="single" w:color="auto" w:sz="4" w:space="0"/>
            </w:tcBorders>
            <w:vAlign w:val="center"/>
          </w:tcPr>
          <w:p w14:paraId="504B4353">
            <w:pPr>
              <w:spacing w:line="360" w:lineRule="auto"/>
              <w:ind w:firstLine="60" w:firstLineChars="25"/>
              <w:jc w:val="center"/>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评审因素</w:t>
            </w:r>
          </w:p>
        </w:tc>
        <w:tc>
          <w:tcPr>
            <w:tcW w:w="5398" w:type="dxa"/>
            <w:tcBorders>
              <w:top w:val="single" w:color="auto" w:sz="4" w:space="0"/>
              <w:left w:val="nil"/>
              <w:bottom w:val="single" w:color="auto" w:sz="4" w:space="0"/>
              <w:right w:val="single" w:color="auto" w:sz="4" w:space="0"/>
            </w:tcBorders>
            <w:vAlign w:val="center"/>
          </w:tcPr>
          <w:p w14:paraId="1159D851">
            <w:pPr>
              <w:spacing w:line="360" w:lineRule="auto"/>
              <w:ind w:firstLine="1920" w:firstLineChars="800"/>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评审标准</w:t>
            </w:r>
          </w:p>
        </w:tc>
      </w:tr>
      <w:tr w14:paraId="1E3D5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526" w:type="dxa"/>
            <w:vMerge w:val="restart"/>
            <w:tcBorders>
              <w:top w:val="nil"/>
              <w:left w:val="single" w:color="auto" w:sz="4" w:space="0"/>
              <w:right w:val="single" w:color="auto" w:sz="4" w:space="0"/>
            </w:tcBorders>
            <w:vAlign w:val="center"/>
          </w:tcPr>
          <w:p w14:paraId="31AC2AA9">
            <w:pPr>
              <w:spacing w:line="360" w:lineRule="auto"/>
              <w:jc w:val="center"/>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初</w:t>
            </w:r>
          </w:p>
          <w:p w14:paraId="58A990B8">
            <w:pPr>
              <w:spacing w:line="360" w:lineRule="auto"/>
              <w:jc w:val="center"/>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步</w:t>
            </w:r>
          </w:p>
          <w:p w14:paraId="741A5B4D">
            <w:pPr>
              <w:spacing w:line="360" w:lineRule="auto"/>
              <w:jc w:val="center"/>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评</w:t>
            </w:r>
          </w:p>
          <w:p w14:paraId="1FCB275C">
            <w:pPr>
              <w:spacing w:line="360" w:lineRule="auto"/>
              <w:jc w:val="center"/>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审</w:t>
            </w:r>
          </w:p>
        </w:tc>
        <w:tc>
          <w:tcPr>
            <w:tcW w:w="987" w:type="dxa"/>
            <w:vMerge w:val="restart"/>
            <w:tcBorders>
              <w:top w:val="nil"/>
              <w:left w:val="nil"/>
              <w:bottom w:val="single" w:color="auto" w:sz="4" w:space="0"/>
              <w:right w:val="single" w:color="auto" w:sz="4" w:space="0"/>
            </w:tcBorders>
            <w:vAlign w:val="center"/>
          </w:tcPr>
          <w:p w14:paraId="6C766A73">
            <w:pPr>
              <w:spacing w:line="360" w:lineRule="auto"/>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形式</w:t>
            </w:r>
          </w:p>
          <w:p w14:paraId="6CBC1CB2">
            <w:pPr>
              <w:spacing w:line="360" w:lineRule="auto"/>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评审</w:t>
            </w:r>
          </w:p>
          <w:p w14:paraId="39849DBF">
            <w:pPr>
              <w:spacing w:line="360" w:lineRule="auto"/>
              <w:rPr>
                <w:rFonts w:ascii="宋体" w:hAnsi="宋体" w:eastAsia="宋体" w:cs="Times New Roman"/>
                <w:color w:val="auto"/>
                <w:sz w:val="24"/>
                <w:szCs w:val="21"/>
                <w:highlight w:val="none"/>
              </w:rPr>
            </w:pPr>
            <w:r>
              <w:rPr>
                <w:rFonts w:hint="eastAsia" w:ascii="宋体" w:hAnsi="宋体" w:eastAsia="宋体" w:cs="Times New Roman"/>
                <w:color w:val="auto"/>
                <w:sz w:val="24"/>
                <w:szCs w:val="21"/>
                <w:highlight w:val="none"/>
              </w:rPr>
              <w:t>标准</w:t>
            </w:r>
          </w:p>
        </w:tc>
        <w:tc>
          <w:tcPr>
            <w:tcW w:w="2551" w:type="dxa"/>
            <w:tcBorders>
              <w:top w:val="single" w:color="auto" w:sz="4" w:space="0"/>
              <w:left w:val="nil"/>
              <w:bottom w:val="single" w:color="auto" w:sz="4" w:space="0"/>
              <w:right w:val="single" w:color="auto" w:sz="4" w:space="0"/>
            </w:tcBorders>
            <w:vAlign w:val="center"/>
          </w:tcPr>
          <w:p w14:paraId="44D31788">
            <w:pPr>
              <w:spacing w:line="266" w:lineRule="auto"/>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供应商名称</w:t>
            </w:r>
          </w:p>
        </w:tc>
        <w:tc>
          <w:tcPr>
            <w:tcW w:w="5398" w:type="dxa"/>
            <w:tcBorders>
              <w:top w:val="single" w:color="auto" w:sz="4" w:space="0"/>
              <w:left w:val="nil"/>
              <w:bottom w:val="single" w:color="auto" w:sz="4" w:space="0"/>
              <w:right w:val="single" w:color="auto" w:sz="4" w:space="0"/>
            </w:tcBorders>
            <w:vAlign w:val="center"/>
          </w:tcPr>
          <w:p w14:paraId="30C49297">
            <w:pPr>
              <w:spacing w:line="266" w:lineRule="auto"/>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与营业执照一致</w:t>
            </w:r>
          </w:p>
        </w:tc>
      </w:tr>
      <w:tr w14:paraId="58D79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526" w:type="dxa"/>
            <w:vMerge w:val="continue"/>
            <w:tcBorders>
              <w:left w:val="single" w:color="auto" w:sz="4" w:space="0"/>
              <w:right w:val="single" w:color="auto" w:sz="4" w:space="0"/>
            </w:tcBorders>
            <w:vAlign w:val="center"/>
          </w:tcPr>
          <w:p w14:paraId="44F21B99">
            <w:pPr>
              <w:spacing w:line="360" w:lineRule="auto"/>
              <w:jc w:val="center"/>
              <w:rPr>
                <w:rFonts w:ascii="宋体" w:hAnsi="宋体" w:eastAsia="宋体" w:cs="Courier New"/>
                <w:color w:val="auto"/>
                <w:sz w:val="24"/>
                <w:szCs w:val="21"/>
                <w:highlight w:val="none"/>
              </w:rPr>
            </w:pPr>
          </w:p>
        </w:tc>
        <w:tc>
          <w:tcPr>
            <w:tcW w:w="987" w:type="dxa"/>
            <w:vMerge w:val="continue"/>
            <w:tcBorders>
              <w:top w:val="nil"/>
              <w:left w:val="nil"/>
              <w:bottom w:val="single" w:color="auto" w:sz="4" w:space="0"/>
              <w:right w:val="single" w:color="auto" w:sz="4" w:space="0"/>
            </w:tcBorders>
            <w:vAlign w:val="center"/>
          </w:tcPr>
          <w:p w14:paraId="0E0DE93A">
            <w:pPr>
              <w:widowControl/>
              <w:jc w:val="left"/>
              <w:rPr>
                <w:rFonts w:ascii="宋体" w:hAnsi="宋体" w:eastAsia="宋体" w:cs="Times New Roman"/>
                <w:color w:val="auto"/>
                <w:sz w:val="24"/>
                <w:szCs w:val="21"/>
                <w:highlight w:val="none"/>
              </w:rPr>
            </w:pPr>
          </w:p>
        </w:tc>
        <w:tc>
          <w:tcPr>
            <w:tcW w:w="2551" w:type="dxa"/>
            <w:tcBorders>
              <w:top w:val="single" w:color="auto" w:sz="4" w:space="0"/>
              <w:left w:val="nil"/>
              <w:bottom w:val="single" w:color="auto" w:sz="4" w:space="0"/>
              <w:right w:val="single" w:color="auto" w:sz="4" w:space="0"/>
            </w:tcBorders>
            <w:vAlign w:val="center"/>
          </w:tcPr>
          <w:p w14:paraId="094320E8">
            <w:pPr>
              <w:spacing w:line="266" w:lineRule="auto"/>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签字盖章</w:t>
            </w:r>
          </w:p>
        </w:tc>
        <w:tc>
          <w:tcPr>
            <w:tcW w:w="5398" w:type="dxa"/>
            <w:tcBorders>
              <w:top w:val="single" w:color="auto" w:sz="4" w:space="0"/>
              <w:left w:val="nil"/>
              <w:bottom w:val="single" w:color="auto" w:sz="4" w:space="0"/>
              <w:right w:val="single" w:color="auto" w:sz="4" w:space="0"/>
            </w:tcBorders>
            <w:vAlign w:val="center"/>
          </w:tcPr>
          <w:p w14:paraId="7091E024">
            <w:pPr>
              <w:spacing w:line="266" w:lineRule="auto"/>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有法定代表人或其委托代理人签字或盖章并加盖单位公章</w:t>
            </w:r>
          </w:p>
        </w:tc>
      </w:tr>
      <w:tr w14:paraId="1118B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26" w:type="dxa"/>
            <w:vMerge w:val="continue"/>
            <w:tcBorders>
              <w:left w:val="single" w:color="auto" w:sz="4" w:space="0"/>
              <w:right w:val="single" w:color="auto" w:sz="4" w:space="0"/>
            </w:tcBorders>
            <w:vAlign w:val="center"/>
          </w:tcPr>
          <w:p w14:paraId="03A3F1BF">
            <w:pPr>
              <w:spacing w:line="360" w:lineRule="auto"/>
              <w:jc w:val="center"/>
              <w:rPr>
                <w:rFonts w:ascii="宋体" w:hAnsi="宋体" w:eastAsia="宋体" w:cs="Courier New"/>
                <w:color w:val="auto"/>
                <w:sz w:val="24"/>
                <w:szCs w:val="21"/>
                <w:highlight w:val="none"/>
              </w:rPr>
            </w:pPr>
          </w:p>
        </w:tc>
        <w:tc>
          <w:tcPr>
            <w:tcW w:w="987" w:type="dxa"/>
            <w:vMerge w:val="continue"/>
            <w:tcBorders>
              <w:top w:val="nil"/>
              <w:left w:val="nil"/>
              <w:bottom w:val="single" w:color="auto" w:sz="4" w:space="0"/>
              <w:right w:val="single" w:color="auto" w:sz="4" w:space="0"/>
            </w:tcBorders>
            <w:vAlign w:val="center"/>
          </w:tcPr>
          <w:p w14:paraId="65191CC4">
            <w:pPr>
              <w:widowControl/>
              <w:jc w:val="left"/>
              <w:rPr>
                <w:rFonts w:ascii="宋体" w:hAnsi="宋体" w:eastAsia="宋体" w:cs="Times New Roman"/>
                <w:color w:val="auto"/>
                <w:sz w:val="24"/>
                <w:szCs w:val="21"/>
                <w:highlight w:val="none"/>
              </w:rPr>
            </w:pPr>
          </w:p>
        </w:tc>
        <w:tc>
          <w:tcPr>
            <w:tcW w:w="2551" w:type="dxa"/>
            <w:tcBorders>
              <w:top w:val="single" w:color="auto" w:sz="4" w:space="0"/>
              <w:left w:val="nil"/>
              <w:bottom w:val="single" w:color="auto" w:sz="4" w:space="0"/>
              <w:right w:val="single" w:color="auto" w:sz="4" w:space="0"/>
            </w:tcBorders>
            <w:vAlign w:val="center"/>
          </w:tcPr>
          <w:p w14:paraId="6259B723">
            <w:pPr>
              <w:spacing w:line="266" w:lineRule="auto"/>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报价唯一</w:t>
            </w:r>
          </w:p>
        </w:tc>
        <w:tc>
          <w:tcPr>
            <w:tcW w:w="5398" w:type="dxa"/>
            <w:tcBorders>
              <w:top w:val="single" w:color="auto" w:sz="4" w:space="0"/>
              <w:left w:val="nil"/>
              <w:bottom w:val="single" w:color="auto" w:sz="4" w:space="0"/>
              <w:right w:val="single" w:color="auto" w:sz="4" w:space="0"/>
            </w:tcBorders>
            <w:vAlign w:val="center"/>
          </w:tcPr>
          <w:p w14:paraId="263632C4">
            <w:pPr>
              <w:spacing w:line="266" w:lineRule="auto"/>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只能有一个有效报价，且不超过控制价</w:t>
            </w:r>
          </w:p>
        </w:tc>
      </w:tr>
      <w:tr w14:paraId="198EE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jc w:val="center"/>
        </w:trPr>
        <w:tc>
          <w:tcPr>
            <w:tcW w:w="526" w:type="dxa"/>
            <w:vMerge w:val="continue"/>
            <w:tcBorders>
              <w:left w:val="single" w:color="auto" w:sz="4" w:space="0"/>
              <w:right w:val="single" w:color="auto" w:sz="4" w:space="0"/>
            </w:tcBorders>
            <w:vAlign w:val="center"/>
          </w:tcPr>
          <w:p w14:paraId="3A28CBC5">
            <w:pPr>
              <w:spacing w:line="360" w:lineRule="auto"/>
              <w:jc w:val="center"/>
              <w:rPr>
                <w:rFonts w:ascii="宋体" w:hAnsi="宋体" w:eastAsia="宋体" w:cs="Courier New"/>
                <w:color w:val="auto"/>
                <w:sz w:val="24"/>
                <w:szCs w:val="21"/>
                <w:highlight w:val="none"/>
              </w:rPr>
            </w:pPr>
          </w:p>
        </w:tc>
        <w:tc>
          <w:tcPr>
            <w:tcW w:w="987" w:type="dxa"/>
            <w:vMerge w:val="restart"/>
            <w:tcBorders>
              <w:top w:val="nil"/>
              <w:left w:val="nil"/>
              <w:bottom w:val="single" w:color="auto" w:sz="4" w:space="0"/>
              <w:right w:val="single" w:color="auto" w:sz="4" w:space="0"/>
            </w:tcBorders>
            <w:vAlign w:val="center"/>
          </w:tcPr>
          <w:p w14:paraId="3A1F317F">
            <w:pPr>
              <w:spacing w:line="360" w:lineRule="auto"/>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资格</w:t>
            </w:r>
          </w:p>
          <w:p w14:paraId="23D3F1A5">
            <w:pPr>
              <w:spacing w:line="360" w:lineRule="auto"/>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评审</w:t>
            </w:r>
          </w:p>
          <w:p w14:paraId="72B6417D">
            <w:pPr>
              <w:spacing w:line="360" w:lineRule="auto"/>
              <w:rPr>
                <w:rFonts w:ascii="宋体" w:hAnsi="宋体" w:eastAsia="宋体" w:cs="Times New Roman"/>
                <w:color w:val="auto"/>
                <w:sz w:val="24"/>
                <w:szCs w:val="21"/>
                <w:highlight w:val="none"/>
              </w:rPr>
            </w:pPr>
            <w:r>
              <w:rPr>
                <w:rFonts w:hint="eastAsia" w:ascii="宋体" w:hAnsi="宋体" w:eastAsia="宋体" w:cs="Times New Roman"/>
                <w:color w:val="auto"/>
                <w:sz w:val="24"/>
                <w:szCs w:val="21"/>
                <w:highlight w:val="none"/>
              </w:rPr>
              <w:t>标准</w:t>
            </w:r>
          </w:p>
        </w:tc>
        <w:tc>
          <w:tcPr>
            <w:tcW w:w="2551" w:type="dxa"/>
            <w:tcBorders>
              <w:top w:val="single" w:color="auto" w:sz="4" w:space="0"/>
              <w:left w:val="nil"/>
              <w:bottom w:val="single" w:color="auto" w:sz="4" w:space="0"/>
              <w:right w:val="single" w:color="auto" w:sz="4" w:space="0"/>
            </w:tcBorders>
            <w:vAlign w:val="center"/>
          </w:tcPr>
          <w:p w14:paraId="239E006B">
            <w:pPr>
              <w:spacing w:line="380" w:lineRule="exact"/>
              <w:jc w:val="left"/>
              <w:rPr>
                <w:rFonts w:ascii="宋体" w:hAnsi="宋体" w:eastAsia="宋体" w:cs="Times New Roman"/>
                <w:color w:val="auto"/>
                <w:sz w:val="24"/>
                <w:szCs w:val="21"/>
                <w:highlight w:val="none"/>
              </w:rPr>
            </w:pPr>
            <w:r>
              <w:rPr>
                <w:rFonts w:hint="eastAsia" w:ascii="宋体" w:hAnsi="宋体" w:eastAsia="宋体" w:cs="Times New Roman"/>
                <w:color w:val="auto"/>
                <w:sz w:val="24"/>
                <w:szCs w:val="21"/>
                <w:highlight w:val="none"/>
              </w:rPr>
              <w:t>营业执照</w:t>
            </w:r>
          </w:p>
        </w:tc>
        <w:tc>
          <w:tcPr>
            <w:tcW w:w="5398" w:type="dxa"/>
            <w:tcBorders>
              <w:top w:val="single" w:color="auto" w:sz="4" w:space="0"/>
              <w:left w:val="nil"/>
              <w:bottom w:val="single" w:color="auto" w:sz="4" w:space="0"/>
              <w:right w:val="single" w:color="auto" w:sz="4" w:space="0"/>
            </w:tcBorders>
            <w:vAlign w:val="center"/>
          </w:tcPr>
          <w:p w14:paraId="68488F62">
            <w:pPr>
              <w:adjustRightInd w:val="0"/>
              <w:spacing w:line="360" w:lineRule="auto"/>
              <w:jc w:val="left"/>
              <w:textAlignment w:val="baseline"/>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详见第二章“供应商须知前附表”的规定</w:t>
            </w:r>
          </w:p>
        </w:tc>
      </w:tr>
      <w:tr w14:paraId="1C9F0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526" w:type="dxa"/>
            <w:vMerge w:val="continue"/>
            <w:tcBorders>
              <w:left w:val="single" w:color="auto" w:sz="4" w:space="0"/>
              <w:right w:val="single" w:color="auto" w:sz="4" w:space="0"/>
            </w:tcBorders>
            <w:vAlign w:val="center"/>
          </w:tcPr>
          <w:p w14:paraId="47217403">
            <w:pPr>
              <w:spacing w:line="360" w:lineRule="auto"/>
              <w:jc w:val="center"/>
              <w:rPr>
                <w:rFonts w:ascii="宋体" w:hAnsi="宋体" w:eastAsia="宋体" w:cs="Courier New"/>
                <w:color w:val="auto"/>
                <w:sz w:val="24"/>
                <w:szCs w:val="21"/>
                <w:highlight w:val="none"/>
              </w:rPr>
            </w:pPr>
          </w:p>
        </w:tc>
        <w:tc>
          <w:tcPr>
            <w:tcW w:w="987" w:type="dxa"/>
            <w:vMerge w:val="continue"/>
            <w:tcBorders>
              <w:top w:val="nil"/>
              <w:left w:val="nil"/>
              <w:bottom w:val="single" w:color="auto" w:sz="4" w:space="0"/>
              <w:right w:val="single" w:color="auto" w:sz="4" w:space="0"/>
            </w:tcBorders>
            <w:vAlign w:val="center"/>
          </w:tcPr>
          <w:p w14:paraId="327D1254">
            <w:pPr>
              <w:widowControl/>
              <w:jc w:val="left"/>
              <w:rPr>
                <w:rFonts w:ascii="宋体" w:hAnsi="宋体" w:eastAsia="宋体" w:cs="Times New Roman"/>
                <w:color w:val="auto"/>
                <w:sz w:val="24"/>
                <w:szCs w:val="21"/>
                <w:highlight w:val="none"/>
              </w:rPr>
            </w:pPr>
          </w:p>
        </w:tc>
        <w:tc>
          <w:tcPr>
            <w:tcW w:w="2551" w:type="dxa"/>
            <w:tcBorders>
              <w:top w:val="single" w:color="auto" w:sz="4" w:space="0"/>
              <w:left w:val="nil"/>
              <w:bottom w:val="single" w:color="auto" w:sz="4" w:space="0"/>
              <w:right w:val="single" w:color="auto" w:sz="4" w:space="0"/>
            </w:tcBorders>
            <w:vAlign w:val="center"/>
          </w:tcPr>
          <w:p w14:paraId="638286A6">
            <w:pPr>
              <w:spacing w:line="266" w:lineRule="auto"/>
              <w:rPr>
                <w:rFonts w:ascii="宋体" w:hAnsi="宋体" w:eastAsia="宋体" w:cs="Courier New"/>
                <w:color w:val="auto"/>
                <w:sz w:val="24"/>
                <w:szCs w:val="21"/>
                <w:highlight w:val="none"/>
              </w:rPr>
            </w:pPr>
            <w:r>
              <w:rPr>
                <w:rFonts w:ascii="宋体" w:hAnsi="宋体" w:eastAsia="宋体" w:cs="Courier New"/>
                <w:color w:val="auto"/>
                <w:sz w:val="24"/>
                <w:szCs w:val="21"/>
                <w:highlight w:val="none"/>
              </w:rPr>
              <w:t>无行贿查询结果或承诺</w:t>
            </w:r>
          </w:p>
        </w:tc>
        <w:tc>
          <w:tcPr>
            <w:tcW w:w="5398" w:type="dxa"/>
            <w:tcBorders>
              <w:top w:val="single" w:color="auto" w:sz="4" w:space="0"/>
              <w:left w:val="nil"/>
              <w:bottom w:val="single" w:color="auto" w:sz="4" w:space="0"/>
              <w:right w:val="single" w:color="auto" w:sz="4" w:space="0"/>
            </w:tcBorders>
            <w:vAlign w:val="center"/>
          </w:tcPr>
          <w:p w14:paraId="119F2ABA">
            <w:pPr>
              <w:adjustRightInd w:val="0"/>
              <w:spacing w:line="360" w:lineRule="auto"/>
              <w:jc w:val="left"/>
              <w:textAlignment w:val="baseline"/>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详见第二章“供应商须知前附表”的规定</w:t>
            </w:r>
          </w:p>
        </w:tc>
      </w:tr>
      <w:tr w14:paraId="12DAA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526" w:type="dxa"/>
            <w:vMerge w:val="continue"/>
            <w:tcBorders>
              <w:left w:val="single" w:color="auto" w:sz="4" w:space="0"/>
              <w:right w:val="single" w:color="auto" w:sz="4" w:space="0"/>
            </w:tcBorders>
            <w:vAlign w:val="center"/>
          </w:tcPr>
          <w:p w14:paraId="0230756C">
            <w:pPr>
              <w:spacing w:line="360" w:lineRule="auto"/>
              <w:jc w:val="center"/>
              <w:rPr>
                <w:rFonts w:ascii="宋体" w:hAnsi="宋体" w:eastAsia="宋体" w:cs="Courier New"/>
                <w:color w:val="auto"/>
                <w:sz w:val="24"/>
                <w:szCs w:val="21"/>
                <w:highlight w:val="none"/>
              </w:rPr>
            </w:pPr>
          </w:p>
        </w:tc>
        <w:tc>
          <w:tcPr>
            <w:tcW w:w="987" w:type="dxa"/>
            <w:vMerge w:val="continue"/>
            <w:tcBorders>
              <w:top w:val="nil"/>
              <w:left w:val="nil"/>
              <w:bottom w:val="single" w:color="auto" w:sz="4" w:space="0"/>
              <w:right w:val="single" w:color="auto" w:sz="4" w:space="0"/>
            </w:tcBorders>
            <w:vAlign w:val="center"/>
          </w:tcPr>
          <w:p w14:paraId="4447C19A">
            <w:pPr>
              <w:widowControl/>
              <w:jc w:val="left"/>
              <w:rPr>
                <w:rFonts w:ascii="宋体" w:hAnsi="宋体" w:eastAsia="宋体" w:cs="Times New Roman"/>
                <w:color w:val="auto"/>
                <w:sz w:val="24"/>
                <w:szCs w:val="21"/>
                <w:highlight w:val="none"/>
              </w:rPr>
            </w:pPr>
          </w:p>
        </w:tc>
        <w:tc>
          <w:tcPr>
            <w:tcW w:w="2551" w:type="dxa"/>
            <w:tcBorders>
              <w:top w:val="single" w:color="auto" w:sz="4" w:space="0"/>
              <w:left w:val="nil"/>
              <w:bottom w:val="single" w:color="auto" w:sz="4" w:space="0"/>
              <w:right w:val="single" w:color="auto" w:sz="4" w:space="0"/>
            </w:tcBorders>
            <w:vAlign w:val="center"/>
          </w:tcPr>
          <w:p w14:paraId="3C0116B7">
            <w:pPr>
              <w:spacing w:line="266" w:lineRule="auto"/>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无商业贿赂及无不正当竞争行为承诺书</w:t>
            </w:r>
          </w:p>
        </w:tc>
        <w:tc>
          <w:tcPr>
            <w:tcW w:w="5398" w:type="dxa"/>
            <w:tcBorders>
              <w:top w:val="single" w:color="auto" w:sz="4" w:space="0"/>
              <w:left w:val="nil"/>
              <w:bottom w:val="single" w:color="auto" w:sz="4" w:space="0"/>
              <w:right w:val="single" w:color="auto" w:sz="4" w:space="0"/>
            </w:tcBorders>
            <w:vAlign w:val="center"/>
          </w:tcPr>
          <w:p w14:paraId="03CF84C2">
            <w:pPr>
              <w:adjustRightInd w:val="0"/>
              <w:spacing w:line="360" w:lineRule="auto"/>
              <w:jc w:val="left"/>
              <w:textAlignment w:val="baseline"/>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详见第二章“供应商须知前附表”的规定</w:t>
            </w:r>
          </w:p>
        </w:tc>
      </w:tr>
      <w:tr w14:paraId="338CB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526" w:type="dxa"/>
            <w:vMerge w:val="continue"/>
            <w:tcBorders>
              <w:left w:val="single" w:color="auto" w:sz="4" w:space="0"/>
              <w:right w:val="single" w:color="auto" w:sz="4" w:space="0"/>
            </w:tcBorders>
            <w:vAlign w:val="center"/>
          </w:tcPr>
          <w:p w14:paraId="6AE85668">
            <w:pPr>
              <w:spacing w:line="360" w:lineRule="auto"/>
              <w:jc w:val="center"/>
              <w:rPr>
                <w:rFonts w:ascii="宋体" w:hAnsi="宋体" w:eastAsia="宋体" w:cs="Courier New"/>
                <w:color w:val="auto"/>
                <w:sz w:val="24"/>
                <w:szCs w:val="21"/>
                <w:highlight w:val="none"/>
              </w:rPr>
            </w:pPr>
          </w:p>
        </w:tc>
        <w:tc>
          <w:tcPr>
            <w:tcW w:w="987" w:type="dxa"/>
            <w:vMerge w:val="continue"/>
            <w:tcBorders>
              <w:top w:val="nil"/>
              <w:left w:val="nil"/>
              <w:bottom w:val="single" w:color="auto" w:sz="4" w:space="0"/>
              <w:right w:val="single" w:color="auto" w:sz="4" w:space="0"/>
            </w:tcBorders>
            <w:vAlign w:val="center"/>
          </w:tcPr>
          <w:p w14:paraId="2D9C14E7">
            <w:pPr>
              <w:widowControl/>
              <w:jc w:val="left"/>
              <w:rPr>
                <w:rFonts w:ascii="宋体" w:hAnsi="宋体" w:eastAsia="宋体" w:cs="Times New Roman"/>
                <w:color w:val="auto"/>
                <w:sz w:val="24"/>
                <w:szCs w:val="21"/>
                <w:highlight w:val="none"/>
              </w:rPr>
            </w:pPr>
          </w:p>
        </w:tc>
        <w:tc>
          <w:tcPr>
            <w:tcW w:w="2551" w:type="dxa"/>
            <w:tcBorders>
              <w:top w:val="single" w:color="auto" w:sz="4" w:space="0"/>
              <w:left w:val="nil"/>
              <w:bottom w:val="single" w:color="auto" w:sz="4" w:space="0"/>
              <w:right w:val="single" w:color="auto" w:sz="4" w:space="0"/>
            </w:tcBorders>
            <w:vAlign w:val="center"/>
          </w:tcPr>
          <w:p w14:paraId="3FA0E9FE">
            <w:pPr>
              <w:spacing w:line="266" w:lineRule="auto"/>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“信用中国”、“中国政府采购网”查询结果</w:t>
            </w:r>
          </w:p>
        </w:tc>
        <w:tc>
          <w:tcPr>
            <w:tcW w:w="5398" w:type="dxa"/>
            <w:tcBorders>
              <w:top w:val="single" w:color="auto" w:sz="4" w:space="0"/>
              <w:left w:val="nil"/>
              <w:bottom w:val="single" w:color="auto" w:sz="4" w:space="0"/>
              <w:right w:val="single" w:color="auto" w:sz="4" w:space="0"/>
            </w:tcBorders>
            <w:vAlign w:val="center"/>
          </w:tcPr>
          <w:p w14:paraId="0CDCFAFB">
            <w:pPr>
              <w:adjustRightInd w:val="0"/>
              <w:spacing w:line="360" w:lineRule="auto"/>
              <w:jc w:val="left"/>
              <w:textAlignment w:val="baseline"/>
              <w:rPr>
                <w:rFonts w:ascii="宋体" w:hAnsi="宋体" w:eastAsia="宋体" w:cs="宋体"/>
                <w:color w:val="auto"/>
                <w:sz w:val="24"/>
                <w:szCs w:val="21"/>
                <w:highlight w:val="none"/>
                <w:lang w:val="zh-CN"/>
              </w:rPr>
            </w:pPr>
            <w:r>
              <w:rPr>
                <w:rFonts w:hint="eastAsia" w:ascii="宋体" w:hAnsi="宋体" w:eastAsia="宋体" w:cs="宋体"/>
                <w:color w:val="auto"/>
                <w:sz w:val="24"/>
                <w:szCs w:val="21"/>
                <w:highlight w:val="none"/>
              </w:rPr>
              <w:t>详见第二章“供应商须知前附表”的规定</w:t>
            </w:r>
          </w:p>
        </w:tc>
      </w:tr>
      <w:tr w14:paraId="71EC2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526" w:type="dxa"/>
            <w:vMerge w:val="continue"/>
            <w:tcBorders>
              <w:left w:val="single" w:color="auto" w:sz="4" w:space="0"/>
              <w:right w:val="single" w:color="auto" w:sz="4" w:space="0"/>
            </w:tcBorders>
            <w:vAlign w:val="center"/>
          </w:tcPr>
          <w:p w14:paraId="02B10426">
            <w:pPr>
              <w:spacing w:line="360" w:lineRule="auto"/>
              <w:jc w:val="center"/>
              <w:rPr>
                <w:rFonts w:ascii="宋体" w:hAnsi="宋体" w:eastAsia="宋体" w:cs="Courier New"/>
                <w:color w:val="auto"/>
                <w:sz w:val="24"/>
                <w:szCs w:val="21"/>
                <w:highlight w:val="none"/>
              </w:rPr>
            </w:pPr>
          </w:p>
        </w:tc>
        <w:tc>
          <w:tcPr>
            <w:tcW w:w="987" w:type="dxa"/>
            <w:vMerge w:val="continue"/>
            <w:tcBorders>
              <w:top w:val="nil"/>
              <w:left w:val="nil"/>
              <w:bottom w:val="single" w:color="auto" w:sz="4" w:space="0"/>
              <w:right w:val="single" w:color="auto" w:sz="4" w:space="0"/>
            </w:tcBorders>
            <w:vAlign w:val="center"/>
          </w:tcPr>
          <w:p w14:paraId="4FF1BE7B">
            <w:pPr>
              <w:widowControl/>
              <w:jc w:val="left"/>
              <w:rPr>
                <w:rFonts w:ascii="宋体" w:hAnsi="宋体" w:eastAsia="宋体" w:cs="Times New Roman"/>
                <w:color w:val="auto"/>
                <w:sz w:val="24"/>
                <w:szCs w:val="21"/>
                <w:highlight w:val="none"/>
              </w:rPr>
            </w:pPr>
          </w:p>
        </w:tc>
        <w:tc>
          <w:tcPr>
            <w:tcW w:w="2551" w:type="dxa"/>
            <w:tcBorders>
              <w:top w:val="single" w:color="auto" w:sz="4" w:space="0"/>
              <w:left w:val="nil"/>
              <w:bottom w:val="single" w:color="auto" w:sz="4" w:space="0"/>
              <w:right w:val="single" w:color="auto" w:sz="4" w:space="0"/>
            </w:tcBorders>
            <w:vAlign w:val="center"/>
          </w:tcPr>
          <w:p w14:paraId="06DBBEB8">
            <w:pPr>
              <w:spacing w:line="266" w:lineRule="auto"/>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“国家企业信用信息公示系统”查询结果</w:t>
            </w:r>
          </w:p>
        </w:tc>
        <w:tc>
          <w:tcPr>
            <w:tcW w:w="5398" w:type="dxa"/>
            <w:tcBorders>
              <w:top w:val="single" w:color="auto" w:sz="4" w:space="0"/>
              <w:left w:val="nil"/>
              <w:bottom w:val="single" w:color="auto" w:sz="4" w:space="0"/>
              <w:right w:val="single" w:color="auto" w:sz="4" w:space="0"/>
            </w:tcBorders>
            <w:vAlign w:val="center"/>
          </w:tcPr>
          <w:p w14:paraId="28E11605">
            <w:pPr>
              <w:adjustRightInd w:val="0"/>
              <w:spacing w:line="360" w:lineRule="auto"/>
              <w:jc w:val="left"/>
              <w:textAlignment w:val="baseline"/>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详见第二章“供应商须知前附表”的规定</w:t>
            </w:r>
          </w:p>
        </w:tc>
      </w:tr>
      <w:tr w14:paraId="6137C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526" w:type="dxa"/>
            <w:vMerge w:val="continue"/>
            <w:tcBorders>
              <w:left w:val="single" w:color="auto" w:sz="4" w:space="0"/>
              <w:right w:val="single" w:color="auto" w:sz="4" w:space="0"/>
            </w:tcBorders>
            <w:vAlign w:val="center"/>
          </w:tcPr>
          <w:p w14:paraId="299E2505">
            <w:pPr>
              <w:spacing w:line="360" w:lineRule="auto"/>
              <w:jc w:val="center"/>
              <w:rPr>
                <w:rFonts w:ascii="宋体" w:hAnsi="宋体" w:eastAsia="宋体" w:cs="Courier New"/>
                <w:color w:val="auto"/>
                <w:sz w:val="24"/>
                <w:szCs w:val="21"/>
                <w:highlight w:val="none"/>
              </w:rPr>
            </w:pPr>
          </w:p>
        </w:tc>
        <w:tc>
          <w:tcPr>
            <w:tcW w:w="987" w:type="dxa"/>
            <w:vMerge w:val="restart"/>
            <w:tcBorders>
              <w:top w:val="nil"/>
              <w:left w:val="nil"/>
              <w:bottom w:val="single" w:color="auto" w:sz="4" w:space="0"/>
              <w:right w:val="single" w:color="auto" w:sz="4" w:space="0"/>
            </w:tcBorders>
            <w:vAlign w:val="center"/>
          </w:tcPr>
          <w:p w14:paraId="5EF4FF1B">
            <w:pPr>
              <w:spacing w:line="360" w:lineRule="auto"/>
              <w:jc w:val="center"/>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响</w:t>
            </w:r>
          </w:p>
          <w:p w14:paraId="65E6C4FE">
            <w:pPr>
              <w:spacing w:line="360" w:lineRule="auto"/>
              <w:jc w:val="center"/>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应</w:t>
            </w:r>
          </w:p>
          <w:p w14:paraId="22B2F0DB">
            <w:pPr>
              <w:spacing w:line="360" w:lineRule="auto"/>
              <w:jc w:val="center"/>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评</w:t>
            </w:r>
          </w:p>
          <w:p w14:paraId="0AB55014">
            <w:pPr>
              <w:spacing w:line="360" w:lineRule="auto"/>
              <w:jc w:val="center"/>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审</w:t>
            </w:r>
          </w:p>
          <w:p w14:paraId="069F420A">
            <w:pPr>
              <w:spacing w:line="360" w:lineRule="auto"/>
              <w:jc w:val="center"/>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标</w:t>
            </w:r>
          </w:p>
          <w:p w14:paraId="78EC2D7C">
            <w:pPr>
              <w:spacing w:line="360" w:lineRule="auto"/>
              <w:jc w:val="center"/>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准</w:t>
            </w:r>
          </w:p>
        </w:tc>
        <w:tc>
          <w:tcPr>
            <w:tcW w:w="2551" w:type="dxa"/>
            <w:tcBorders>
              <w:top w:val="single" w:color="auto" w:sz="4" w:space="0"/>
              <w:left w:val="nil"/>
              <w:bottom w:val="single" w:color="auto" w:sz="4" w:space="0"/>
              <w:right w:val="single" w:color="auto" w:sz="4" w:space="0"/>
            </w:tcBorders>
            <w:vAlign w:val="center"/>
          </w:tcPr>
          <w:p w14:paraId="067D243D">
            <w:pPr>
              <w:adjustRightInd w:val="0"/>
              <w:spacing w:line="360" w:lineRule="auto"/>
              <w:jc w:val="center"/>
              <w:textAlignment w:val="baseline"/>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供货期</w:t>
            </w:r>
          </w:p>
        </w:tc>
        <w:tc>
          <w:tcPr>
            <w:tcW w:w="5398" w:type="dxa"/>
            <w:tcBorders>
              <w:top w:val="single" w:color="auto" w:sz="4" w:space="0"/>
              <w:left w:val="nil"/>
              <w:bottom w:val="single" w:color="auto" w:sz="4" w:space="0"/>
              <w:right w:val="single" w:color="auto" w:sz="4" w:space="0"/>
            </w:tcBorders>
            <w:vAlign w:val="center"/>
          </w:tcPr>
          <w:p w14:paraId="01940B57">
            <w:pPr>
              <w:adjustRightInd w:val="0"/>
              <w:spacing w:line="360" w:lineRule="auto"/>
              <w:jc w:val="left"/>
              <w:textAlignment w:val="baseline"/>
              <w:rPr>
                <w:rFonts w:ascii="宋体" w:hAnsi="宋体" w:eastAsia="宋体" w:cs="宋体"/>
                <w:color w:val="auto"/>
                <w:sz w:val="24"/>
                <w:szCs w:val="21"/>
                <w:highlight w:val="none"/>
                <w:lang w:val="zh-CN"/>
              </w:rPr>
            </w:pPr>
            <w:r>
              <w:rPr>
                <w:rFonts w:hint="eastAsia" w:ascii="宋体" w:hAnsi="宋体" w:eastAsia="宋体" w:cs="宋体"/>
                <w:color w:val="auto"/>
                <w:sz w:val="24"/>
                <w:szCs w:val="21"/>
                <w:highlight w:val="none"/>
              </w:rPr>
              <w:t>详见第二章“供应商须知前附表”的规定</w:t>
            </w:r>
          </w:p>
        </w:tc>
      </w:tr>
      <w:tr w14:paraId="329F2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526" w:type="dxa"/>
            <w:vMerge w:val="continue"/>
            <w:tcBorders>
              <w:left w:val="single" w:color="auto" w:sz="4" w:space="0"/>
              <w:right w:val="single" w:color="auto" w:sz="4" w:space="0"/>
            </w:tcBorders>
            <w:vAlign w:val="center"/>
          </w:tcPr>
          <w:p w14:paraId="73FCC3D9">
            <w:pPr>
              <w:spacing w:line="360" w:lineRule="auto"/>
              <w:jc w:val="center"/>
              <w:rPr>
                <w:rFonts w:ascii="宋体" w:hAnsi="宋体" w:eastAsia="宋体" w:cs="Courier New"/>
                <w:color w:val="auto"/>
                <w:sz w:val="24"/>
                <w:szCs w:val="21"/>
                <w:highlight w:val="none"/>
              </w:rPr>
            </w:pPr>
          </w:p>
        </w:tc>
        <w:tc>
          <w:tcPr>
            <w:tcW w:w="987" w:type="dxa"/>
            <w:vMerge w:val="continue"/>
            <w:tcBorders>
              <w:top w:val="nil"/>
              <w:left w:val="nil"/>
              <w:bottom w:val="single" w:color="auto" w:sz="4" w:space="0"/>
              <w:right w:val="single" w:color="auto" w:sz="4" w:space="0"/>
            </w:tcBorders>
            <w:vAlign w:val="center"/>
          </w:tcPr>
          <w:p w14:paraId="35BD372E">
            <w:pPr>
              <w:spacing w:line="360" w:lineRule="auto"/>
              <w:jc w:val="center"/>
              <w:rPr>
                <w:rFonts w:ascii="宋体" w:hAnsi="宋体" w:eastAsia="宋体" w:cs="Courier New"/>
                <w:color w:val="auto"/>
                <w:sz w:val="24"/>
                <w:szCs w:val="21"/>
                <w:highlight w:val="none"/>
              </w:rPr>
            </w:pPr>
          </w:p>
        </w:tc>
        <w:tc>
          <w:tcPr>
            <w:tcW w:w="2551" w:type="dxa"/>
            <w:tcBorders>
              <w:top w:val="single" w:color="auto" w:sz="4" w:space="0"/>
              <w:left w:val="nil"/>
              <w:bottom w:val="single" w:color="auto" w:sz="4" w:space="0"/>
              <w:right w:val="single" w:color="auto" w:sz="4" w:space="0"/>
            </w:tcBorders>
            <w:vAlign w:val="center"/>
          </w:tcPr>
          <w:p w14:paraId="276BD3AD">
            <w:pPr>
              <w:adjustRightInd w:val="0"/>
              <w:spacing w:line="360" w:lineRule="auto"/>
              <w:jc w:val="center"/>
              <w:textAlignment w:val="baseline"/>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质保期</w:t>
            </w:r>
          </w:p>
        </w:tc>
        <w:tc>
          <w:tcPr>
            <w:tcW w:w="5398" w:type="dxa"/>
            <w:tcBorders>
              <w:top w:val="single" w:color="auto" w:sz="4" w:space="0"/>
              <w:left w:val="nil"/>
              <w:bottom w:val="single" w:color="auto" w:sz="4" w:space="0"/>
              <w:right w:val="single" w:color="auto" w:sz="4" w:space="0"/>
            </w:tcBorders>
            <w:vAlign w:val="center"/>
          </w:tcPr>
          <w:p w14:paraId="4066150E">
            <w:pPr>
              <w:adjustRightInd w:val="0"/>
              <w:spacing w:line="360" w:lineRule="auto"/>
              <w:jc w:val="left"/>
              <w:textAlignment w:val="baseline"/>
              <w:rPr>
                <w:rFonts w:ascii="宋体" w:hAnsi="宋体" w:eastAsia="宋体" w:cs="宋体"/>
                <w:color w:val="auto"/>
                <w:sz w:val="24"/>
                <w:szCs w:val="21"/>
                <w:highlight w:val="none"/>
                <w:lang w:val="zh-CN"/>
              </w:rPr>
            </w:pPr>
            <w:r>
              <w:rPr>
                <w:rFonts w:hint="eastAsia" w:ascii="宋体" w:hAnsi="宋体" w:eastAsia="宋体" w:cs="宋体"/>
                <w:color w:val="auto"/>
                <w:sz w:val="24"/>
                <w:szCs w:val="21"/>
                <w:highlight w:val="none"/>
              </w:rPr>
              <w:t>详见第二章“供应商须知前附表”的规定</w:t>
            </w:r>
          </w:p>
        </w:tc>
      </w:tr>
      <w:tr w14:paraId="4D4C3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526" w:type="dxa"/>
            <w:vMerge w:val="continue"/>
            <w:tcBorders>
              <w:left w:val="single" w:color="auto" w:sz="4" w:space="0"/>
              <w:right w:val="single" w:color="auto" w:sz="4" w:space="0"/>
            </w:tcBorders>
            <w:vAlign w:val="center"/>
          </w:tcPr>
          <w:p w14:paraId="259A665C">
            <w:pPr>
              <w:widowControl/>
              <w:jc w:val="left"/>
              <w:rPr>
                <w:rFonts w:ascii="宋体" w:hAnsi="宋体" w:eastAsia="宋体" w:cs="Courier New"/>
                <w:color w:val="auto"/>
                <w:sz w:val="24"/>
                <w:szCs w:val="21"/>
                <w:highlight w:val="none"/>
              </w:rPr>
            </w:pPr>
          </w:p>
        </w:tc>
        <w:tc>
          <w:tcPr>
            <w:tcW w:w="987" w:type="dxa"/>
            <w:vMerge w:val="continue"/>
            <w:tcBorders>
              <w:top w:val="nil"/>
              <w:left w:val="nil"/>
              <w:bottom w:val="single" w:color="auto" w:sz="4" w:space="0"/>
              <w:right w:val="single" w:color="auto" w:sz="4" w:space="0"/>
            </w:tcBorders>
            <w:vAlign w:val="center"/>
          </w:tcPr>
          <w:p w14:paraId="434548EF">
            <w:pPr>
              <w:widowControl/>
              <w:jc w:val="left"/>
              <w:rPr>
                <w:rFonts w:ascii="宋体" w:hAnsi="宋体" w:eastAsia="宋体" w:cs="Courier New"/>
                <w:color w:val="auto"/>
                <w:sz w:val="24"/>
                <w:szCs w:val="21"/>
                <w:highlight w:val="none"/>
              </w:rPr>
            </w:pPr>
          </w:p>
        </w:tc>
        <w:tc>
          <w:tcPr>
            <w:tcW w:w="2551" w:type="dxa"/>
            <w:tcBorders>
              <w:top w:val="single" w:color="auto" w:sz="4" w:space="0"/>
              <w:left w:val="nil"/>
              <w:bottom w:val="single" w:color="auto" w:sz="4" w:space="0"/>
              <w:right w:val="single" w:color="auto" w:sz="4" w:space="0"/>
            </w:tcBorders>
            <w:vAlign w:val="center"/>
          </w:tcPr>
          <w:p w14:paraId="53B2C410">
            <w:pPr>
              <w:adjustRightInd w:val="0"/>
              <w:spacing w:line="360" w:lineRule="auto"/>
              <w:jc w:val="center"/>
              <w:textAlignment w:val="baseline"/>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质量要求</w:t>
            </w:r>
          </w:p>
        </w:tc>
        <w:tc>
          <w:tcPr>
            <w:tcW w:w="5398" w:type="dxa"/>
            <w:tcBorders>
              <w:top w:val="single" w:color="auto" w:sz="4" w:space="0"/>
              <w:left w:val="nil"/>
              <w:bottom w:val="single" w:color="auto" w:sz="4" w:space="0"/>
              <w:right w:val="single" w:color="auto" w:sz="4" w:space="0"/>
            </w:tcBorders>
            <w:vAlign w:val="center"/>
          </w:tcPr>
          <w:p w14:paraId="1F2BC1CB">
            <w:pPr>
              <w:adjustRightInd w:val="0"/>
              <w:spacing w:line="360" w:lineRule="auto"/>
              <w:jc w:val="left"/>
              <w:textAlignment w:val="baseline"/>
              <w:rPr>
                <w:rFonts w:ascii="宋体" w:hAnsi="宋体" w:eastAsia="宋体" w:cs="宋体"/>
                <w:color w:val="auto"/>
                <w:sz w:val="24"/>
                <w:szCs w:val="21"/>
                <w:highlight w:val="none"/>
                <w:lang w:val="zh-CN"/>
              </w:rPr>
            </w:pPr>
            <w:r>
              <w:rPr>
                <w:rFonts w:hint="eastAsia" w:ascii="宋体" w:hAnsi="宋体" w:eastAsia="宋体" w:cs="宋体"/>
                <w:color w:val="auto"/>
                <w:sz w:val="24"/>
                <w:szCs w:val="21"/>
                <w:highlight w:val="none"/>
              </w:rPr>
              <w:t>详见第二章“供应商须知前附表”的规定</w:t>
            </w:r>
          </w:p>
        </w:tc>
      </w:tr>
      <w:tr w14:paraId="5E87C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526" w:type="dxa"/>
            <w:vMerge w:val="continue"/>
            <w:tcBorders>
              <w:left w:val="single" w:color="auto" w:sz="4" w:space="0"/>
              <w:right w:val="single" w:color="auto" w:sz="4" w:space="0"/>
            </w:tcBorders>
            <w:vAlign w:val="center"/>
          </w:tcPr>
          <w:p w14:paraId="1ED3CAD8">
            <w:pPr>
              <w:widowControl/>
              <w:jc w:val="left"/>
              <w:rPr>
                <w:rFonts w:ascii="宋体" w:hAnsi="宋体" w:eastAsia="宋体" w:cs="Courier New"/>
                <w:color w:val="auto"/>
                <w:sz w:val="24"/>
                <w:szCs w:val="21"/>
                <w:highlight w:val="none"/>
              </w:rPr>
            </w:pPr>
          </w:p>
        </w:tc>
        <w:tc>
          <w:tcPr>
            <w:tcW w:w="987" w:type="dxa"/>
            <w:vMerge w:val="continue"/>
            <w:tcBorders>
              <w:top w:val="nil"/>
              <w:left w:val="nil"/>
              <w:bottom w:val="single" w:color="auto" w:sz="4" w:space="0"/>
              <w:right w:val="single" w:color="auto" w:sz="4" w:space="0"/>
            </w:tcBorders>
            <w:vAlign w:val="center"/>
          </w:tcPr>
          <w:p w14:paraId="0AF21D22">
            <w:pPr>
              <w:widowControl/>
              <w:jc w:val="left"/>
              <w:rPr>
                <w:rFonts w:ascii="宋体" w:hAnsi="宋体" w:eastAsia="宋体" w:cs="Courier New"/>
                <w:color w:val="auto"/>
                <w:sz w:val="24"/>
                <w:szCs w:val="21"/>
                <w:highlight w:val="none"/>
              </w:rPr>
            </w:pPr>
          </w:p>
        </w:tc>
        <w:tc>
          <w:tcPr>
            <w:tcW w:w="2551" w:type="dxa"/>
            <w:tcBorders>
              <w:top w:val="single" w:color="auto" w:sz="4" w:space="0"/>
              <w:left w:val="nil"/>
              <w:bottom w:val="single" w:color="auto" w:sz="4" w:space="0"/>
              <w:right w:val="single" w:color="auto" w:sz="4" w:space="0"/>
            </w:tcBorders>
            <w:vAlign w:val="center"/>
          </w:tcPr>
          <w:p w14:paraId="3502230E">
            <w:pPr>
              <w:adjustRightInd w:val="0"/>
              <w:spacing w:line="360" w:lineRule="auto"/>
              <w:jc w:val="center"/>
              <w:textAlignment w:val="baseline"/>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投标有效期</w:t>
            </w:r>
          </w:p>
        </w:tc>
        <w:tc>
          <w:tcPr>
            <w:tcW w:w="5398" w:type="dxa"/>
            <w:tcBorders>
              <w:top w:val="single" w:color="auto" w:sz="4" w:space="0"/>
              <w:left w:val="nil"/>
              <w:bottom w:val="single" w:color="auto" w:sz="4" w:space="0"/>
              <w:right w:val="single" w:color="auto" w:sz="4" w:space="0"/>
            </w:tcBorders>
            <w:vAlign w:val="center"/>
          </w:tcPr>
          <w:p w14:paraId="1F92E0B4">
            <w:pPr>
              <w:adjustRightInd w:val="0"/>
              <w:spacing w:line="360" w:lineRule="auto"/>
              <w:jc w:val="left"/>
              <w:textAlignment w:val="baseline"/>
              <w:rPr>
                <w:rFonts w:ascii="宋体" w:hAnsi="宋体" w:eastAsia="宋体" w:cs="宋体"/>
                <w:color w:val="auto"/>
                <w:sz w:val="24"/>
                <w:szCs w:val="21"/>
                <w:highlight w:val="none"/>
                <w:lang w:val="zh-CN"/>
              </w:rPr>
            </w:pPr>
            <w:r>
              <w:rPr>
                <w:rFonts w:hint="eastAsia" w:ascii="宋体" w:hAnsi="宋体" w:eastAsia="宋体" w:cs="宋体"/>
                <w:color w:val="auto"/>
                <w:sz w:val="24"/>
                <w:szCs w:val="21"/>
                <w:highlight w:val="none"/>
              </w:rPr>
              <w:t>详见第二章“供应商须知前附表”的规定</w:t>
            </w:r>
          </w:p>
        </w:tc>
      </w:tr>
    </w:tbl>
    <w:p w14:paraId="2C076AFC">
      <w:pPr>
        <w:widowControl/>
        <w:spacing w:line="400" w:lineRule="exact"/>
        <w:rPr>
          <w:rFonts w:ascii="宋体" w:hAnsi="宋体" w:cs="Calibri"/>
          <w:b/>
          <w:bCs/>
          <w:color w:val="auto"/>
          <w:kern w:val="0"/>
          <w:sz w:val="24"/>
          <w:highlight w:val="none"/>
        </w:rPr>
      </w:pPr>
    </w:p>
    <w:p w14:paraId="251A60BA">
      <w:pPr>
        <w:widowControl/>
        <w:jc w:val="left"/>
        <w:rPr>
          <w:rFonts w:ascii="宋体" w:hAnsi="宋体" w:cs="Calibri"/>
          <w:b/>
          <w:bCs/>
          <w:color w:val="auto"/>
          <w:kern w:val="0"/>
          <w:sz w:val="24"/>
          <w:highlight w:val="none"/>
        </w:rPr>
      </w:pPr>
      <w:r>
        <w:rPr>
          <w:rFonts w:ascii="宋体" w:hAnsi="宋体" w:cs="Calibri"/>
          <w:b/>
          <w:bCs/>
          <w:color w:val="auto"/>
          <w:kern w:val="0"/>
          <w:sz w:val="24"/>
          <w:highlight w:val="none"/>
        </w:rPr>
        <w:br w:type="page"/>
      </w:r>
    </w:p>
    <w:p w14:paraId="27DF710B">
      <w:pPr>
        <w:widowControl/>
        <w:spacing w:line="400" w:lineRule="exact"/>
        <w:jc w:val="left"/>
        <w:rPr>
          <w:rFonts w:ascii="宋体" w:hAnsi="宋体" w:cs="Calibri"/>
          <w:b/>
          <w:bCs/>
          <w:color w:val="auto"/>
          <w:sz w:val="24"/>
          <w:highlight w:val="none"/>
        </w:rPr>
      </w:pPr>
      <w:r>
        <w:rPr>
          <w:rFonts w:hint="eastAsia" w:ascii="宋体" w:hAnsi="宋体" w:cs="Calibri"/>
          <w:b/>
          <w:bCs/>
          <w:color w:val="auto"/>
          <w:kern w:val="0"/>
          <w:sz w:val="24"/>
          <w:highlight w:val="none"/>
        </w:rPr>
        <w:t>二、详细审查：</w:t>
      </w:r>
    </w:p>
    <w:p w14:paraId="74EC9284">
      <w:pPr>
        <w:widowControl/>
        <w:rPr>
          <w:rFonts w:ascii="宋体" w:hAnsi="宋体" w:eastAsia="宋体" w:cs="宋体"/>
          <w:color w:val="auto"/>
          <w:sz w:val="24"/>
          <w:szCs w:val="32"/>
          <w:highlight w:val="none"/>
        </w:rPr>
      </w:pPr>
      <w:bookmarkStart w:id="171" w:name="_Toc512514899"/>
      <w:bookmarkEnd w:id="171"/>
      <w:bookmarkStart w:id="172" w:name="_Toc16770583"/>
      <w:bookmarkEnd w:id="172"/>
      <w:bookmarkStart w:id="173" w:name="_Toc517179004"/>
      <w:bookmarkEnd w:id="173"/>
      <w:bookmarkStart w:id="174" w:name="_Toc528078063"/>
      <w:bookmarkEnd w:id="174"/>
      <w:bookmarkStart w:id="175" w:name="_Toc13219"/>
      <w:bookmarkStart w:id="176" w:name="_Toc43302814"/>
      <w:r>
        <w:rPr>
          <w:rFonts w:hint="eastAsia" w:ascii="宋体" w:hAnsi="宋体" w:eastAsia="宋体" w:cs="宋体"/>
          <w:color w:val="auto"/>
          <w:sz w:val="24"/>
          <w:szCs w:val="32"/>
          <w:highlight w:val="none"/>
        </w:rPr>
        <w:t>评分标准</w:t>
      </w:r>
      <w:bookmarkEnd w:id="175"/>
      <w:bookmarkEnd w:id="176"/>
    </w:p>
    <w:p w14:paraId="2D3773B0">
      <w:pPr>
        <w:widowControl/>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分值构成(总分100分) 报价分：30分；技术分：</w:t>
      </w:r>
      <w:r>
        <w:rPr>
          <w:rFonts w:hint="eastAsia" w:ascii="宋体" w:hAnsi="宋体" w:eastAsia="宋体" w:cs="宋体"/>
          <w:color w:val="auto"/>
          <w:sz w:val="24"/>
          <w:szCs w:val="24"/>
          <w:highlight w:val="none"/>
          <w:lang w:val="en-US" w:eastAsia="zh-CN"/>
        </w:rPr>
        <w:t>50</w:t>
      </w:r>
      <w:r>
        <w:rPr>
          <w:rFonts w:hint="eastAsia" w:ascii="宋体" w:hAnsi="宋体" w:eastAsia="宋体" w:cs="宋体"/>
          <w:color w:val="auto"/>
          <w:sz w:val="24"/>
          <w:szCs w:val="24"/>
          <w:highlight w:val="none"/>
        </w:rPr>
        <w:t>分；商务分：</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分；</w:t>
      </w:r>
    </w:p>
    <w:p w14:paraId="1EC28EA0">
      <w:pPr>
        <w:widowControl/>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综合得分按公式计算：综合得分=报价得分＋技术得分＋商务得分；</w:t>
      </w:r>
    </w:p>
    <w:tbl>
      <w:tblPr>
        <w:tblStyle w:val="21"/>
        <w:tblpPr w:leftFromText="180" w:rightFromText="180" w:vertAnchor="text" w:horzAnchor="page" w:tblpXSpec="center" w:tblpY="460"/>
        <w:tblOverlap w:val="never"/>
        <w:tblW w:w="97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0"/>
        <w:gridCol w:w="1232"/>
        <w:gridCol w:w="749"/>
        <w:gridCol w:w="6426"/>
      </w:tblGrid>
      <w:tr w14:paraId="0E2E9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0" w:type="dxa"/>
            <w:tcBorders>
              <w:top w:val="single" w:color="auto" w:sz="4" w:space="0"/>
              <w:left w:val="single" w:color="auto" w:sz="4" w:space="0"/>
              <w:bottom w:val="single" w:color="auto" w:sz="4" w:space="0"/>
              <w:right w:val="single" w:color="auto" w:sz="4" w:space="0"/>
            </w:tcBorders>
            <w:noWrap w:val="0"/>
            <w:vAlign w:val="top"/>
          </w:tcPr>
          <w:p w14:paraId="6837B96A">
            <w:pPr>
              <w:widowControl/>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评分项</w:t>
            </w:r>
          </w:p>
        </w:tc>
        <w:tc>
          <w:tcPr>
            <w:tcW w:w="1232" w:type="dxa"/>
            <w:tcBorders>
              <w:top w:val="single" w:color="auto" w:sz="4" w:space="0"/>
              <w:left w:val="nil"/>
              <w:bottom w:val="single" w:color="auto" w:sz="4" w:space="0"/>
              <w:right w:val="single" w:color="auto" w:sz="4" w:space="0"/>
            </w:tcBorders>
            <w:noWrap w:val="0"/>
            <w:vAlign w:val="top"/>
          </w:tcPr>
          <w:p w14:paraId="0799D64B">
            <w:pPr>
              <w:widowControl/>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评审内容</w:t>
            </w:r>
          </w:p>
        </w:tc>
        <w:tc>
          <w:tcPr>
            <w:tcW w:w="749" w:type="dxa"/>
            <w:tcBorders>
              <w:top w:val="single" w:color="auto" w:sz="4" w:space="0"/>
              <w:left w:val="nil"/>
              <w:bottom w:val="single" w:color="auto" w:sz="4" w:space="0"/>
              <w:right w:val="single" w:color="auto" w:sz="4" w:space="0"/>
            </w:tcBorders>
            <w:noWrap w:val="0"/>
            <w:vAlign w:val="top"/>
          </w:tcPr>
          <w:p w14:paraId="5CD75AD9">
            <w:pPr>
              <w:widowControl/>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分值</w:t>
            </w:r>
          </w:p>
        </w:tc>
        <w:tc>
          <w:tcPr>
            <w:tcW w:w="6426" w:type="dxa"/>
            <w:tcBorders>
              <w:top w:val="single" w:color="auto" w:sz="4" w:space="0"/>
              <w:left w:val="nil"/>
              <w:bottom w:val="single" w:color="auto" w:sz="4" w:space="0"/>
              <w:right w:val="single" w:color="auto" w:sz="4" w:space="0"/>
            </w:tcBorders>
            <w:noWrap w:val="0"/>
            <w:vAlign w:val="top"/>
          </w:tcPr>
          <w:p w14:paraId="0DAC068C">
            <w:pPr>
              <w:widowControl/>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评分准则</w:t>
            </w:r>
          </w:p>
        </w:tc>
      </w:tr>
      <w:tr w14:paraId="09569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300" w:type="dxa"/>
            <w:tcBorders>
              <w:top w:val="single" w:color="auto" w:sz="4" w:space="0"/>
              <w:left w:val="single" w:color="auto" w:sz="4" w:space="0"/>
              <w:bottom w:val="single" w:color="auto" w:sz="4" w:space="0"/>
              <w:right w:val="single" w:color="auto" w:sz="4" w:space="0"/>
            </w:tcBorders>
            <w:noWrap w:val="0"/>
            <w:vAlign w:val="center"/>
          </w:tcPr>
          <w:p w14:paraId="3491FBC0">
            <w:pPr>
              <w:widowControl/>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w:t>
            </w:r>
          </w:p>
          <w:p w14:paraId="10AEA571">
            <w:pPr>
              <w:widowControl/>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（30分）</w:t>
            </w:r>
          </w:p>
        </w:tc>
        <w:tc>
          <w:tcPr>
            <w:tcW w:w="1981" w:type="dxa"/>
            <w:gridSpan w:val="2"/>
            <w:tcBorders>
              <w:top w:val="single" w:color="auto" w:sz="4" w:space="0"/>
              <w:left w:val="nil"/>
              <w:bottom w:val="single" w:color="auto" w:sz="4" w:space="0"/>
              <w:right w:val="single" w:color="auto" w:sz="4" w:space="0"/>
            </w:tcBorders>
            <w:noWrap w:val="0"/>
            <w:vAlign w:val="center"/>
          </w:tcPr>
          <w:p w14:paraId="6CE444B7">
            <w:pPr>
              <w:widowControl/>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投标报价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30分</w:t>
            </w:r>
            <w:r>
              <w:rPr>
                <w:rFonts w:hint="eastAsia" w:ascii="宋体" w:hAnsi="宋体" w:eastAsia="宋体" w:cs="宋体"/>
                <w:color w:val="auto"/>
                <w:sz w:val="24"/>
                <w:szCs w:val="24"/>
                <w:highlight w:val="none"/>
                <w:lang w:eastAsia="zh-CN"/>
              </w:rPr>
              <w:t>）</w:t>
            </w:r>
          </w:p>
        </w:tc>
        <w:tc>
          <w:tcPr>
            <w:tcW w:w="6426" w:type="dxa"/>
            <w:tcBorders>
              <w:top w:val="single" w:color="auto" w:sz="4" w:space="0"/>
              <w:left w:val="nil"/>
              <w:bottom w:val="single" w:color="auto" w:sz="4" w:space="0"/>
              <w:right w:val="single" w:color="auto" w:sz="4" w:space="0"/>
            </w:tcBorders>
            <w:noWrap w:val="0"/>
            <w:vAlign w:val="top"/>
          </w:tcPr>
          <w:p w14:paraId="7D25A3B1">
            <w:pPr>
              <w:widowControl/>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（1）本项目</w:t>
            </w:r>
            <w:r>
              <w:rPr>
                <w:rFonts w:hint="eastAsia" w:ascii="宋体" w:hAnsi="宋体" w:eastAsia="宋体" w:cs="宋体"/>
                <w:color w:val="auto"/>
                <w:kern w:val="0"/>
                <w:sz w:val="24"/>
                <w:szCs w:val="24"/>
                <w:highlight w:val="none"/>
                <w:lang w:val="en-US" w:eastAsia="zh-CN"/>
              </w:rPr>
              <w:t>投标人投标</w:t>
            </w:r>
            <w:r>
              <w:rPr>
                <w:rFonts w:hint="eastAsia" w:ascii="宋体" w:hAnsi="宋体" w:eastAsia="宋体" w:cs="宋体"/>
                <w:color w:val="auto"/>
                <w:kern w:val="0"/>
                <w:sz w:val="24"/>
                <w:szCs w:val="24"/>
                <w:highlight w:val="none"/>
              </w:rPr>
              <w:t>报价超出预算金额的，采购人不予接受，且报价无效；</w:t>
            </w:r>
          </w:p>
          <w:p w14:paraId="2033E9A0">
            <w:pPr>
              <w:widowControl/>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（2）有效报价计算得分：有效报价范围内，满足</w:t>
            </w:r>
            <w:r>
              <w:rPr>
                <w:rFonts w:hint="eastAsia" w:ascii="宋体" w:hAnsi="宋体" w:eastAsia="宋体" w:cs="宋体"/>
                <w:color w:val="auto"/>
                <w:kern w:val="0"/>
                <w:sz w:val="24"/>
                <w:szCs w:val="24"/>
                <w:highlight w:val="none"/>
                <w:lang w:eastAsia="zh-CN"/>
              </w:rPr>
              <w:t>磋商文件</w:t>
            </w:r>
            <w:r>
              <w:rPr>
                <w:rFonts w:hint="eastAsia" w:ascii="宋体" w:hAnsi="宋体" w:eastAsia="宋体" w:cs="宋体"/>
                <w:color w:val="auto"/>
                <w:kern w:val="0"/>
                <w:sz w:val="24"/>
                <w:szCs w:val="24"/>
                <w:highlight w:val="none"/>
              </w:rPr>
              <w:t>初步评审要求且</w:t>
            </w:r>
            <w:r>
              <w:rPr>
                <w:rFonts w:hint="eastAsia" w:ascii="宋体" w:hAnsi="宋体" w:eastAsia="宋体" w:cs="宋体"/>
                <w:color w:val="auto"/>
                <w:kern w:val="0"/>
                <w:sz w:val="24"/>
                <w:szCs w:val="24"/>
                <w:highlight w:val="none"/>
                <w:lang w:val="en-US" w:eastAsia="zh-CN"/>
              </w:rPr>
              <w:t>投标人</w:t>
            </w:r>
            <w:r>
              <w:rPr>
                <w:rFonts w:hint="eastAsia" w:ascii="宋体" w:hAnsi="宋体" w:eastAsia="宋体" w:cs="宋体"/>
                <w:color w:val="auto"/>
                <w:kern w:val="0"/>
                <w:sz w:val="24"/>
                <w:szCs w:val="24"/>
                <w:highlight w:val="none"/>
              </w:rPr>
              <w:t>报价最低的</w:t>
            </w:r>
            <w:r>
              <w:rPr>
                <w:rFonts w:hint="eastAsia" w:ascii="宋体" w:hAnsi="宋体" w:eastAsia="宋体" w:cs="宋体"/>
                <w:color w:val="auto"/>
                <w:kern w:val="0"/>
                <w:sz w:val="24"/>
                <w:szCs w:val="24"/>
                <w:highlight w:val="none"/>
                <w:lang w:val="en-US" w:eastAsia="zh-CN"/>
              </w:rPr>
              <w:t>报价</w:t>
            </w:r>
            <w:r>
              <w:rPr>
                <w:rFonts w:hint="eastAsia" w:ascii="宋体" w:hAnsi="宋体" w:eastAsia="宋体" w:cs="宋体"/>
                <w:color w:val="auto"/>
                <w:kern w:val="0"/>
                <w:sz w:val="24"/>
                <w:szCs w:val="24"/>
                <w:highlight w:val="none"/>
              </w:rPr>
              <w:t>为</w:t>
            </w:r>
            <w:r>
              <w:rPr>
                <w:rFonts w:hint="eastAsia" w:ascii="宋体" w:hAnsi="宋体" w:eastAsia="宋体" w:cs="宋体"/>
                <w:color w:val="auto"/>
                <w:kern w:val="0"/>
                <w:sz w:val="24"/>
                <w:szCs w:val="24"/>
                <w:highlight w:val="none"/>
                <w:lang w:val="en-US" w:eastAsia="zh-CN"/>
              </w:rPr>
              <w:t>评标</w:t>
            </w:r>
            <w:r>
              <w:rPr>
                <w:rFonts w:hint="eastAsia" w:ascii="宋体" w:hAnsi="宋体" w:eastAsia="宋体" w:cs="宋体"/>
                <w:color w:val="auto"/>
                <w:kern w:val="0"/>
                <w:sz w:val="24"/>
                <w:szCs w:val="24"/>
                <w:highlight w:val="none"/>
              </w:rPr>
              <w:t>基准价，其价格分为满分30分，其他</w:t>
            </w:r>
            <w:r>
              <w:rPr>
                <w:rFonts w:hint="eastAsia" w:ascii="宋体" w:hAnsi="宋体" w:eastAsia="宋体" w:cs="宋体"/>
                <w:color w:val="auto"/>
                <w:kern w:val="0"/>
                <w:sz w:val="24"/>
                <w:szCs w:val="24"/>
                <w:highlight w:val="none"/>
                <w:lang w:val="en-US" w:eastAsia="zh-CN"/>
              </w:rPr>
              <w:t>投标人</w:t>
            </w:r>
            <w:r>
              <w:rPr>
                <w:rFonts w:hint="eastAsia" w:ascii="宋体" w:hAnsi="宋体" w:eastAsia="宋体" w:cs="宋体"/>
                <w:color w:val="auto"/>
                <w:kern w:val="0"/>
                <w:sz w:val="24"/>
                <w:szCs w:val="24"/>
                <w:highlight w:val="none"/>
              </w:rPr>
              <w:t>的报价分按照下列公式计算：</w:t>
            </w:r>
          </w:p>
          <w:p w14:paraId="167DADA1">
            <w:pPr>
              <w:widowControl/>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报价得分=(评标基准价/投标报价)×30</w:t>
            </w:r>
          </w:p>
          <w:p w14:paraId="372462F7">
            <w:pPr>
              <w:widowControl/>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分值计算保留两位小数。</w:t>
            </w:r>
          </w:p>
          <w:p w14:paraId="31187FB2">
            <w:pPr>
              <w:widowControl/>
              <w:spacing w:line="360" w:lineRule="auto"/>
              <w:rPr>
                <w:rFonts w:ascii="宋体" w:hAnsi="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rPr>
              <w:t>如磋商小组一致认为最低报价明显不合理，有降低质量、不能诚信履约的可能时，磋商小组有权通知供应商进行解释。如供应商未能在规定期限内作出解释，或所作解释不合理，经磋商小组取得一致意见后，对该供应商将不予推荐。</w:t>
            </w:r>
          </w:p>
          <w:p w14:paraId="0FBD2D58">
            <w:pPr>
              <w:widowControl/>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3</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rPr>
              <w:t xml:space="preserve">价格扣除： </w:t>
            </w:r>
          </w:p>
          <w:p w14:paraId="3962E90C">
            <w:pPr>
              <w:widowControl/>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1.</w:t>
            </w:r>
            <w:r>
              <w:rPr>
                <w:rFonts w:hint="eastAsia" w:ascii="宋体" w:hAnsi="宋体" w:cs="宋体"/>
                <w:color w:val="auto"/>
                <w:kern w:val="0"/>
                <w:sz w:val="24"/>
                <w:szCs w:val="24"/>
                <w:highlight w:val="none"/>
              </w:rPr>
              <w:t>根据《政府采购促进中小企业发展管理办法》（财库﹝2020﹞46 号）及《关于进一步加大政府采购支持中小企业力度的通知》(财库﹝2022﹞19号)的规定，对小型、微型企业产品的价格给予10%～20%的扣除，本项目小型、微型企业按20%扣除。对于中型企业产品的价格不予扣除。</w:t>
            </w:r>
          </w:p>
          <w:p w14:paraId="5F26DEA8">
            <w:pPr>
              <w:widowControl/>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所投小微企业产品报价=所投小微企业产品报价×（1-20%）</w:t>
            </w:r>
          </w:p>
          <w:p w14:paraId="42B00513">
            <w:pPr>
              <w:widowControl/>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rPr>
              <w:t>根据财政部司法部《关于政府采购支持监狱企业发展有关问题的通知》（财库〔2014〕68号）规定，对于监狱企业视同为小型、微型企业，价格给予20%的扣除。</w:t>
            </w:r>
          </w:p>
          <w:p w14:paraId="7521B949">
            <w:pPr>
              <w:widowControl/>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所投监狱企业产品报价=所投监狱企业产品报价×（1-20%）</w:t>
            </w:r>
          </w:p>
          <w:p w14:paraId="70373244">
            <w:pPr>
              <w:widowControl/>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3.</w:t>
            </w:r>
            <w:r>
              <w:rPr>
                <w:rFonts w:hint="eastAsia" w:ascii="宋体" w:hAnsi="宋体" w:cs="宋体"/>
                <w:color w:val="auto"/>
                <w:kern w:val="0"/>
                <w:sz w:val="24"/>
                <w:szCs w:val="24"/>
                <w:highlight w:val="none"/>
              </w:rPr>
              <w:t>根据财政部民政部中国残疾人联合会《关于促进残疾人就业政府采购政策的通知》（财库〔2017〕141号）规定，对于残疾人福利性单位视同为小型、微型企业，价格给予20%的扣除。</w:t>
            </w:r>
          </w:p>
          <w:p w14:paraId="0E728418">
            <w:pPr>
              <w:widowControl/>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所投残疾人福利性单位企业产品报价=所投残疾人福利性单位企业产品报价×（1-20%）</w:t>
            </w:r>
          </w:p>
          <w:p w14:paraId="7EC64455">
            <w:pPr>
              <w:widowControl/>
              <w:spacing w:line="360" w:lineRule="auto"/>
              <w:rPr>
                <w:rFonts w:hint="eastAsia" w:ascii="宋体" w:hAnsi="宋体" w:eastAsia="宋体" w:cs="宋体"/>
                <w:color w:val="auto"/>
                <w:sz w:val="24"/>
                <w:szCs w:val="24"/>
                <w:highlight w:val="none"/>
              </w:rPr>
            </w:pPr>
            <w:r>
              <w:rPr>
                <w:rFonts w:hint="eastAsia" w:ascii="宋体" w:hAnsi="宋体" w:cs="宋体"/>
                <w:color w:val="auto"/>
                <w:kern w:val="0"/>
                <w:sz w:val="24"/>
                <w:szCs w:val="24"/>
                <w:highlight w:val="none"/>
              </w:rPr>
              <w:t>同一供应商，中小微企业产品、监狱企业产品、残疾人福利性单位产品的价格扣除优惠只享受一次，不得重复享受。</w:t>
            </w:r>
          </w:p>
        </w:tc>
      </w:tr>
      <w:tr w14:paraId="7BC05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jc w:val="center"/>
        </w:trPr>
        <w:tc>
          <w:tcPr>
            <w:tcW w:w="1300" w:type="dxa"/>
            <w:vMerge w:val="restart"/>
            <w:tcBorders>
              <w:top w:val="single" w:color="auto" w:sz="4" w:space="0"/>
              <w:left w:val="single" w:color="auto" w:sz="4" w:space="0"/>
              <w:right w:val="single" w:color="auto" w:sz="4" w:space="0"/>
            </w:tcBorders>
            <w:noWrap w:val="0"/>
            <w:vAlign w:val="center"/>
          </w:tcPr>
          <w:p w14:paraId="636225AA">
            <w:pPr>
              <w:widowControl/>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技术标</w:t>
            </w:r>
          </w:p>
          <w:p w14:paraId="44D53A8D">
            <w:pPr>
              <w:widowControl/>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（50分）</w:t>
            </w:r>
          </w:p>
        </w:tc>
        <w:tc>
          <w:tcPr>
            <w:tcW w:w="1981" w:type="dxa"/>
            <w:gridSpan w:val="2"/>
            <w:tcBorders>
              <w:top w:val="single" w:color="auto" w:sz="4" w:space="0"/>
              <w:left w:val="nil"/>
              <w:bottom w:val="single" w:color="auto" w:sz="4" w:space="0"/>
              <w:right w:val="single" w:color="auto" w:sz="4" w:space="0"/>
            </w:tcBorders>
            <w:noWrap w:val="0"/>
            <w:vAlign w:val="center"/>
          </w:tcPr>
          <w:p w14:paraId="7AA316F8">
            <w:pPr>
              <w:spacing w:line="4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技术指标响应情况 （</w:t>
            </w:r>
            <w:r>
              <w:rPr>
                <w:rFonts w:hint="eastAsia" w:ascii="宋体" w:hAnsi="宋体" w:eastAsia="宋体" w:cs="宋体"/>
                <w:color w:val="auto"/>
                <w:sz w:val="24"/>
                <w:szCs w:val="24"/>
                <w:highlight w:val="none"/>
                <w:lang w:val="zh-CN" w:eastAsia="zh-CN"/>
              </w:rPr>
              <w:t>0-</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rPr>
              <w:t>分）</w:t>
            </w:r>
          </w:p>
        </w:tc>
        <w:tc>
          <w:tcPr>
            <w:tcW w:w="6426" w:type="dxa"/>
            <w:tcBorders>
              <w:top w:val="single" w:color="auto" w:sz="4" w:space="0"/>
              <w:left w:val="nil"/>
              <w:bottom w:val="single" w:color="auto" w:sz="4" w:space="0"/>
              <w:right w:val="single" w:color="auto" w:sz="4" w:space="0"/>
            </w:tcBorders>
            <w:noWrap w:val="0"/>
            <w:vAlign w:val="center"/>
          </w:tcPr>
          <w:p w14:paraId="78BAB25D">
            <w:pPr>
              <w:spacing w:line="4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供应商所投货物的技术参数能够全部满足</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lang w:val="zh-CN"/>
              </w:rPr>
              <w:t>文件要求的, 得满分</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rPr>
              <w:t>分，技术参数有一项不满足</w:t>
            </w:r>
            <w:r>
              <w:rPr>
                <w:rFonts w:hint="eastAsia" w:ascii="宋体" w:hAnsi="宋体" w:eastAsia="宋体" w:cs="宋体"/>
                <w:color w:val="auto"/>
                <w:sz w:val="24"/>
                <w:szCs w:val="24"/>
                <w:highlight w:val="none"/>
                <w:lang w:val="zh-CN" w:eastAsia="zh-CN"/>
              </w:rPr>
              <w:t>磋商</w:t>
            </w:r>
            <w:r>
              <w:rPr>
                <w:rFonts w:hint="eastAsia" w:ascii="宋体" w:hAnsi="宋体" w:eastAsia="宋体" w:cs="宋体"/>
                <w:color w:val="auto"/>
                <w:sz w:val="24"/>
                <w:szCs w:val="24"/>
                <w:highlight w:val="none"/>
                <w:lang w:val="zh-CN"/>
              </w:rPr>
              <w:t>文件要求的</w:t>
            </w:r>
            <w:r>
              <w:rPr>
                <w:rFonts w:hint="eastAsia" w:ascii="宋体" w:hAnsi="宋体" w:eastAsia="宋体" w:cs="宋体"/>
                <w:color w:val="auto"/>
                <w:sz w:val="24"/>
                <w:szCs w:val="24"/>
                <w:highlight w:val="none"/>
                <w:lang w:val="en-US" w:eastAsia="zh-CN"/>
              </w:rPr>
              <w:t>扣1分</w:t>
            </w:r>
            <w:r>
              <w:rPr>
                <w:rFonts w:hint="eastAsia" w:ascii="宋体" w:hAnsi="宋体" w:eastAsia="宋体" w:cs="宋体"/>
                <w:color w:val="auto"/>
                <w:sz w:val="24"/>
                <w:szCs w:val="24"/>
                <w:highlight w:val="none"/>
                <w:lang w:val="zh-CN"/>
              </w:rPr>
              <w:t>。</w:t>
            </w:r>
          </w:p>
        </w:tc>
      </w:tr>
      <w:tr w14:paraId="26B7A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300" w:type="dxa"/>
            <w:vMerge w:val="continue"/>
            <w:tcBorders>
              <w:left w:val="single" w:color="auto" w:sz="4" w:space="0"/>
              <w:right w:val="single" w:color="auto" w:sz="4" w:space="0"/>
            </w:tcBorders>
            <w:noWrap w:val="0"/>
            <w:vAlign w:val="center"/>
          </w:tcPr>
          <w:p w14:paraId="361A61EF">
            <w:pPr>
              <w:widowControl/>
              <w:spacing w:line="360" w:lineRule="auto"/>
              <w:rPr>
                <w:rFonts w:hint="eastAsia" w:ascii="宋体" w:hAnsi="宋体" w:eastAsia="宋体" w:cs="宋体"/>
                <w:color w:val="auto"/>
                <w:sz w:val="24"/>
                <w:szCs w:val="24"/>
                <w:highlight w:val="none"/>
              </w:rPr>
            </w:pPr>
          </w:p>
        </w:tc>
        <w:tc>
          <w:tcPr>
            <w:tcW w:w="1981" w:type="dxa"/>
            <w:gridSpan w:val="2"/>
            <w:tcBorders>
              <w:top w:val="single" w:color="auto" w:sz="4" w:space="0"/>
              <w:left w:val="nil"/>
              <w:bottom w:val="single" w:color="auto" w:sz="4" w:space="0"/>
              <w:right w:val="single" w:color="auto" w:sz="4" w:space="0"/>
            </w:tcBorders>
            <w:noWrap w:val="0"/>
            <w:vAlign w:val="center"/>
          </w:tcPr>
          <w:p w14:paraId="44A728CF">
            <w:pPr>
              <w:spacing w:line="360" w:lineRule="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z w:val="24"/>
                <w:szCs w:val="24"/>
                <w:highlight w:val="none"/>
                <w:lang w:val="en-US"/>
              </w:rPr>
              <w:t>实施方案（</w:t>
            </w:r>
            <w:r>
              <w:rPr>
                <w:rFonts w:hint="eastAsia" w:ascii="宋体" w:hAnsi="宋体" w:eastAsia="宋体" w:cs="宋体"/>
                <w:color w:val="auto"/>
                <w:sz w:val="24"/>
                <w:szCs w:val="24"/>
                <w:highlight w:val="none"/>
                <w:lang w:val="en-US" w:eastAsia="zh-CN"/>
              </w:rPr>
              <w:t>0-5</w:t>
            </w:r>
            <w:r>
              <w:rPr>
                <w:rFonts w:hint="eastAsia" w:ascii="宋体" w:hAnsi="宋体" w:eastAsia="宋体" w:cs="宋体"/>
                <w:color w:val="auto"/>
                <w:sz w:val="24"/>
                <w:szCs w:val="24"/>
                <w:highlight w:val="none"/>
                <w:lang w:val="en-US"/>
              </w:rPr>
              <w:t>分）</w:t>
            </w:r>
          </w:p>
        </w:tc>
        <w:tc>
          <w:tcPr>
            <w:tcW w:w="6426" w:type="dxa"/>
            <w:tcBorders>
              <w:top w:val="single" w:color="auto" w:sz="4" w:space="0"/>
              <w:left w:val="nil"/>
              <w:bottom w:val="single" w:color="auto" w:sz="4" w:space="0"/>
              <w:right w:val="single" w:color="auto" w:sz="4" w:space="0"/>
            </w:tcBorders>
            <w:noWrap w:val="0"/>
            <w:vAlign w:val="center"/>
          </w:tcPr>
          <w:p w14:paraId="3684E0BC">
            <w:pPr>
              <w:spacing w:line="360" w:lineRule="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项目实施方案要素针对性强、完整无缺项、详实、阐述 清晰、重点突出、可操作性强，能完全满足各项内容需求的</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rPr>
              <w:t>得</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en-US"/>
              </w:rPr>
              <w:t xml:space="preserve">分； </w:t>
            </w:r>
          </w:p>
          <w:p w14:paraId="2A1953E2">
            <w:pPr>
              <w:spacing w:line="360" w:lineRule="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项目实施方案较完整且无缺项，虽存在部分内容表述不 足但其内容重点突出、具有可操作性、满足各项内容需求的</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rPr>
              <w:t>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en-US"/>
              </w:rPr>
              <w:t>分；</w:t>
            </w:r>
          </w:p>
          <w:p w14:paraId="7D16720F">
            <w:pPr>
              <w:spacing w:line="360" w:lineRule="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项目实施方案中有缺项的该项不得分；其它小项其内容 重点不太明显、操作的可行性复杂，可能影响到技术偏差的</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rPr>
              <w:t>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en-US"/>
              </w:rPr>
              <w:t>分；</w:t>
            </w:r>
          </w:p>
          <w:p w14:paraId="2013EFD0">
            <w:pPr>
              <w:spacing w:line="360" w:lineRule="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z w:val="24"/>
                <w:szCs w:val="24"/>
                <w:highlight w:val="none"/>
                <w:lang w:val="en-US"/>
              </w:rPr>
              <w:t>未提供方案或者提供的方案与本项目无关的不得分</w:t>
            </w:r>
            <w:r>
              <w:rPr>
                <w:rFonts w:hint="eastAsia" w:ascii="宋体" w:hAnsi="宋体" w:eastAsia="宋体" w:cs="宋体"/>
                <w:color w:val="auto"/>
                <w:spacing w:val="0"/>
                <w:sz w:val="24"/>
                <w:szCs w:val="24"/>
                <w:highlight w:val="none"/>
                <w:lang w:val="en-US"/>
              </w:rPr>
              <w:t>。</w:t>
            </w:r>
          </w:p>
        </w:tc>
      </w:tr>
      <w:tr w14:paraId="4F7BD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300" w:type="dxa"/>
            <w:vMerge w:val="continue"/>
            <w:tcBorders>
              <w:left w:val="single" w:color="auto" w:sz="4" w:space="0"/>
              <w:right w:val="single" w:color="auto" w:sz="4" w:space="0"/>
            </w:tcBorders>
            <w:noWrap w:val="0"/>
            <w:vAlign w:val="center"/>
          </w:tcPr>
          <w:p w14:paraId="7512DD3C">
            <w:pPr>
              <w:widowControl/>
              <w:spacing w:line="360" w:lineRule="auto"/>
              <w:rPr>
                <w:rFonts w:hint="eastAsia" w:ascii="宋体" w:hAnsi="宋体" w:eastAsia="宋体" w:cs="宋体"/>
                <w:color w:val="auto"/>
                <w:sz w:val="24"/>
                <w:szCs w:val="24"/>
                <w:highlight w:val="none"/>
              </w:rPr>
            </w:pPr>
          </w:p>
        </w:tc>
        <w:tc>
          <w:tcPr>
            <w:tcW w:w="1981" w:type="dxa"/>
            <w:gridSpan w:val="2"/>
            <w:tcBorders>
              <w:top w:val="single" w:color="auto" w:sz="4" w:space="0"/>
              <w:left w:val="nil"/>
              <w:bottom w:val="single" w:color="auto" w:sz="4" w:space="0"/>
              <w:right w:val="single" w:color="auto" w:sz="4" w:space="0"/>
            </w:tcBorders>
            <w:noWrap w:val="0"/>
            <w:vAlign w:val="center"/>
          </w:tcPr>
          <w:p w14:paraId="6E2AF2BD">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运输保障方案</w:t>
            </w:r>
          </w:p>
          <w:p w14:paraId="5463DA69">
            <w:pPr>
              <w:pStyle w:val="6"/>
              <w:spacing w:line="360" w:lineRule="auto"/>
              <w:ind w:left="0" w:leftChars="0" w:firstLine="0" w:firstLineChars="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snapToGrid w:val="0"/>
                <w:color w:val="auto"/>
                <w:spacing w:val="-6"/>
                <w:kern w:val="16"/>
                <w:sz w:val="24"/>
                <w:szCs w:val="24"/>
                <w:highlight w:val="none"/>
                <w:lang w:val="en-US" w:eastAsia="zh-CN"/>
              </w:rPr>
              <w:t>（0-5</w:t>
            </w:r>
            <w:r>
              <w:rPr>
                <w:rFonts w:hint="eastAsia" w:ascii="宋体" w:hAnsi="宋体" w:eastAsia="宋体" w:cs="宋体"/>
                <w:snapToGrid w:val="0"/>
                <w:color w:val="auto"/>
                <w:spacing w:val="-6"/>
                <w:kern w:val="16"/>
                <w:sz w:val="24"/>
                <w:szCs w:val="24"/>
                <w:highlight w:val="none"/>
              </w:rPr>
              <w:t>分</w:t>
            </w:r>
            <w:r>
              <w:rPr>
                <w:rFonts w:hint="eastAsia" w:ascii="宋体" w:hAnsi="宋体" w:eastAsia="宋体" w:cs="宋体"/>
                <w:snapToGrid w:val="0"/>
                <w:color w:val="auto"/>
                <w:spacing w:val="-6"/>
                <w:kern w:val="16"/>
                <w:sz w:val="24"/>
                <w:szCs w:val="24"/>
                <w:highlight w:val="none"/>
                <w:lang w:val="en-US" w:eastAsia="zh-CN"/>
              </w:rPr>
              <w:t>）</w:t>
            </w:r>
          </w:p>
        </w:tc>
        <w:tc>
          <w:tcPr>
            <w:tcW w:w="6426" w:type="dxa"/>
            <w:tcBorders>
              <w:top w:val="single" w:color="auto" w:sz="4" w:space="0"/>
              <w:left w:val="nil"/>
              <w:bottom w:val="single" w:color="auto" w:sz="4" w:space="0"/>
              <w:right w:val="single" w:color="auto" w:sz="4" w:space="0"/>
            </w:tcBorders>
            <w:noWrap w:val="0"/>
            <w:vAlign w:val="center"/>
          </w:tcPr>
          <w:p w14:paraId="0391DE78">
            <w:pPr>
              <w:autoSpaceDE w:val="0"/>
              <w:autoSpaceDN w:val="0"/>
              <w:spacing w:before="50" w:line="360" w:lineRule="auto"/>
              <w:ind w:right="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有详细的</w:t>
            </w:r>
            <w:r>
              <w:rPr>
                <w:rFonts w:hint="eastAsia" w:ascii="宋体" w:hAnsi="宋体" w:eastAsia="宋体" w:cs="宋体"/>
                <w:color w:val="auto"/>
                <w:sz w:val="24"/>
                <w:szCs w:val="24"/>
                <w:highlight w:val="none"/>
                <w:lang w:eastAsia="zh-CN"/>
              </w:rPr>
              <w:t>运输</w:t>
            </w:r>
            <w:r>
              <w:rPr>
                <w:rFonts w:hint="eastAsia" w:ascii="宋体" w:hAnsi="宋体" w:eastAsia="宋体" w:cs="宋体"/>
                <w:color w:val="auto"/>
                <w:sz w:val="24"/>
                <w:szCs w:val="24"/>
                <w:highlight w:val="none"/>
              </w:rPr>
              <w:t>保障方案，且具有明确的工作流程，措施科学、完整</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得5分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 </w:t>
            </w:r>
          </w:p>
          <w:p w14:paraId="6BB8A19F">
            <w:pPr>
              <w:autoSpaceDE w:val="0"/>
              <w:autoSpaceDN w:val="0"/>
              <w:spacing w:before="50" w:line="360" w:lineRule="auto"/>
              <w:ind w:right="97"/>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有较详细的</w:t>
            </w:r>
            <w:r>
              <w:rPr>
                <w:rFonts w:hint="eastAsia" w:ascii="宋体" w:hAnsi="宋体" w:eastAsia="宋体" w:cs="宋体"/>
                <w:color w:val="auto"/>
                <w:sz w:val="24"/>
                <w:szCs w:val="24"/>
                <w:highlight w:val="none"/>
                <w:lang w:eastAsia="zh-CN"/>
              </w:rPr>
              <w:t>运输</w:t>
            </w:r>
            <w:r>
              <w:rPr>
                <w:rFonts w:hint="eastAsia" w:ascii="宋体" w:hAnsi="宋体" w:eastAsia="宋体" w:cs="宋体"/>
                <w:color w:val="auto"/>
                <w:sz w:val="24"/>
                <w:szCs w:val="24"/>
                <w:highlight w:val="none"/>
              </w:rPr>
              <w:t>方案，但工作流程一般，措施较为科学</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得3分</w:t>
            </w:r>
            <w:r>
              <w:rPr>
                <w:rFonts w:hint="eastAsia" w:ascii="宋体" w:hAnsi="宋体" w:eastAsia="宋体" w:cs="宋体"/>
                <w:color w:val="auto"/>
                <w:sz w:val="24"/>
                <w:szCs w:val="24"/>
                <w:highlight w:val="none"/>
                <w:lang w:eastAsia="zh-CN"/>
              </w:rPr>
              <w:t>；</w:t>
            </w:r>
          </w:p>
          <w:p w14:paraId="2C092E66">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内容差或者不完整得1分</w:t>
            </w:r>
            <w:r>
              <w:rPr>
                <w:rFonts w:hint="eastAsia" w:ascii="宋体" w:hAnsi="宋体" w:eastAsia="宋体" w:cs="宋体"/>
                <w:color w:val="auto"/>
                <w:sz w:val="24"/>
                <w:szCs w:val="24"/>
                <w:highlight w:val="none"/>
                <w:lang w:eastAsia="zh-CN"/>
              </w:rPr>
              <w:t>；</w:t>
            </w:r>
          </w:p>
          <w:p w14:paraId="751F1C1E">
            <w:pPr>
              <w:spacing w:line="360" w:lineRule="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z w:val="24"/>
                <w:szCs w:val="24"/>
                <w:highlight w:val="none"/>
                <w:lang w:val="en-US" w:eastAsia="zh-CN" w:bidi="zh-CN"/>
              </w:rPr>
              <w:t>缺项或不符合要求不得分；</w:t>
            </w:r>
          </w:p>
        </w:tc>
      </w:tr>
      <w:tr w14:paraId="220C4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1300" w:type="dxa"/>
            <w:vMerge w:val="continue"/>
            <w:tcBorders>
              <w:left w:val="single" w:color="auto" w:sz="4" w:space="0"/>
              <w:right w:val="single" w:color="auto" w:sz="4" w:space="0"/>
            </w:tcBorders>
            <w:noWrap w:val="0"/>
            <w:vAlign w:val="center"/>
          </w:tcPr>
          <w:p w14:paraId="3D0639DA">
            <w:pPr>
              <w:widowControl/>
              <w:spacing w:line="360" w:lineRule="auto"/>
              <w:rPr>
                <w:rFonts w:hint="eastAsia" w:ascii="宋体" w:hAnsi="宋体" w:eastAsia="宋体" w:cs="宋体"/>
                <w:color w:val="auto"/>
                <w:sz w:val="24"/>
                <w:szCs w:val="24"/>
                <w:highlight w:val="none"/>
              </w:rPr>
            </w:pPr>
          </w:p>
        </w:tc>
        <w:tc>
          <w:tcPr>
            <w:tcW w:w="1981" w:type="dxa"/>
            <w:gridSpan w:val="2"/>
            <w:tcBorders>
              <w:top w:val="single" w:color="auto" w:sz="4" w:space="0"/>
              <w:left w:val="nil"/>
              <w:bottom w:val="single" w:color="auto" w:sz="4" w:space="0"/>
              <w:right w:val="single" w:color="auto" w:sz="4" w:space="0"/>
            </w:tcBorders>
            <w:noWrap w:val="0"/>
            <w:vAlign w:val="center"/>
          </w:tcPr>
          <w:p w14:paraId="0C789643">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质量保证措施</w:t>
            </w:r>
          </w:p>
          <w:p w14:paraId="7E9C7A67">
            <w:pPr>
              <w:spacing w:line="36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0-5分</w:t>
            </w:r>
            <w:r>
              <w:rPr>
                <w:rFonts w:hint="eastAsia" w:ascii="宋体" w:hAnsi="宋体" w:eastAsia="宋体" w:cs="宋体"/>
                <w:color w:val="auto"/>
                <w:sz w:val="24"/>
                <w:szCs w:val="24"/>
                <w:highlight w:val="none"/>
                <w:lang w:eastAsia="zh-CN"/>
              </w:rPr>
              <w:t>）</w:t>
            </w:r>
          </w:p>
        </w:tc>
        <w:tc>
          <w:tcPr>
            <w:tcW w:w="6426" w:type="dxa"/>
            <w:tcBorders>
              <w:top w:val="single" w:color="auto" w:sz="4" w:space="0"/>
              <w:left w:val="nil"/>
              <w:bottom w:val="single" w:color="auto" w:sz="4" w:space="0"/>
              <w:right w:val="single" w:color="auto" w:sz="4" w:space="0"/>
            </w:tcBorders>
            <w:noWrap w:val="0"/>
            <w:vAlign w:val="center"/>
          </w:tcPr>
          <w:p w14:paraId="14B7A80A">
            <w:pPr>
              <w:autoSpaceDE w:val="0"/>
              <w:autoSpaceDN w:val="0"/>
              <w:spacing w:before="50" w:line="360" w:lineRule="auto"/>
              <w:ind w:right="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质量保证措施方案全面、合理、可行、措施有保障的，得</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p w14:paraId="014287F1">
            <w:pPr>
              <w:autoSpaceDE w:val="0"/>
              <w:autoSpaceDN w:val="0"/>
              <w:spacing w:before="50" w:line="360" w:lineRule="auto"/>
              <w:ind w:right="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质量保证措施方案较为全面、合理、措施有保障的，得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分； </w:t>
            </w:r>
          </w:p>
          <w:p w14:paraId="0E3AAB0B">
            <w:pPr>
              <w:autoSpaceDE w:val="0"/>
              <w:autoSpaceDN w:val="0"/>
              <w:spacing w:before="50" w:line="360" w:lineRule="auto"/>
              <w:ind w:right="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质量保证措施方案基本合理、措施有保障的，</w:t>
            </w:r>
            <w:r>
              <w:rPr>
                <w:rFonts w:hint="eastAsia" w:ascii="宋体" w:hAnsi="宋体" w:eastAsia="宋体" w:cs="宋体"/>
                <w:color w:val="auto"/>
                <w:sz w:val="24"/>
                <w:szCs w:val="24"/>
                <w:highlight w:val="none"/>
                <w:lang w:eastAsia="zh-CN"/>
              </w:rPr>
              <w:t>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w:t>
            </w:r>
          </w:p>
          <w:p w14:paraId="1AE9FED5">
            <w:pPr>
              <w:autoSpaceDE w:val="0"/>
              <w:autoSpaceDN w:val="0"/>
              <w:spacing w:before="50" w:line="360" w:lineRule="auto"/>
              <w:ind w:right="97" w:rightChars="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z w:val="24"/>
                <w:szCs w:val="24"/>
                <w:highlight w:val="none"/>
                <w:lang w:val="en-US"/>
              </w:rPr>
              <w:t>缺项或不符合要求不得分；</w:t>
            </w:r>
          </w:p>
        </w:tc>
      </w:tr>
      <w:tr w14:paraId="35BE5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1300" w:type="dxa"/>
            <w:vMerge w:val="continue"/>
            <w:tcBorders>
              <w:left w:val="single" w:color="auto" w:sz="4" w:space="0"/>
              <w:right w:val="single" w:color="auto" w:sz="4" w:space="0"/>
            </w:tcBorders>
            <w:noWrap w:val="0"/>
            <w:vAlign w:val="center"/>
          </w:tcPr>
          <w:p w14:paraId="1E62F15D">
            <w:pPr>
              <w:widowControl/>
              <w:spacing w:line="360" w:lineRule="auto"/>
              <w:rPr>
                <w:rFonts w:hint="eastAsia" w:ascii="宋体" w:hAnsi="宋体" w:eastAsia="宋体" w:cs="宋体"/>
                <w:color w:val="auto"/>
                <w:sz w:val="24"/>
                <w:szCs w:val="24"/>
                <w:highlight w:val="none"/>
              </w:rPr>
            </w:pPr>
          </w:p>
        </w:tc>
        <w:tc>
          <w:tcPr>
            <w:tcW w:w="1981" w:type="dxa"/>
            <w:gridSpan w:val="2"/>
            <w:tcBorders>
              <w:top w:val="single" w:color="auto" w:sz="4" w:space="0"/>
              <w:left w:val="nil"/>
              <w:bottom w:val="single" w:color="auto" w:sz="4" w:space="0"/>
              <w:right w:val="single" w:color="auto" w:sz="4" w:space="0"/>
            </w:tcBorders>
            <w:noWrap w:val="0"/>
            <w:vAlign w:val="center"/>
          </w:tcPr>
          <w:p w14:paraId="212CCDA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供货进度保证措施</w:t>
            </w:r>
            <w:r>
              <w:rPr>
                <w:rFonts w:hint="eastAsia" w:ascii="宋体" w:hAnsi="宋体" w:eastAsia="宋体" w:cs="宋体"/>
                <w:color w:val="auto"/>
                <w:sz w:val="24"/>
                <w:szCs w:val="24"/>
                <w:highlight w:val="none"/>
                <w:lang w:val="en-US" w:eastAsia="zh-CN"/>
              </w:rPr>
              <w:t>（0-5分）</w:t>
            </w:r>
          </w:p>
        </w:tc>
        <w:tc>
          <w:tcPr>
            <w:tcW w:w="6426" w:type="dxa"/>
            <w:tcBorders>
              <w:top w:val="single" w:color="auto" w:sz="4" w:space="0"/>
              <w:left w:val="nil"/>
              <w:bottom w:val="single" w:color="auto" w:sz="4" w:space="0"/>
              <w:right w:val="single" w:color="auto" w:sz="4" w:space="0"/>
            </w:tcBorders>
            <w:noWrap w:val="0"/>
            <w:vAlign w:val="center"/>
          </w:tcPr>
          <w:p w14:paraId="67B8A796">
            <w:pPr>
              <w:autoSpaceDE w:val="0"/>
              <w:autoSpaceDN w:val="0"/>
              <w:spacing w:before="50" w:line="360" w:lineRule="auto"/>
              <w:ind w:right="97"/>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供货进度保证措施</w:t>
            </w:r>
            <w:r>
              <w:rPr>
                <w:rFonts w:hint="eastAsia" w:ascii="宋体" w:hAnsi="宋体" w:eastAsia="宋体" w:cs="宋体"/>
                <w:color w:val="auto"/>
                <w:sz w:val="24"/>
                <w:szCs w:val="24"/>
                <w:highlight w:val="none"/>
                <w:lang w:val="en-US"/>
              </w:rPr>
              <w:t>内容详实，科学、合理、安全，考虑周全措施到位，针对性强，得</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en-US"/>
              </w:rPr>
              <w:t>分；</w:t>
            </w:r>
          </w:p>
          <w:p w14:paraId="54C09EF4">
            <w:pPr>
              <w:autoSpaceDE w:val="0"/>
              <w:autoSpaceDN w:val="0"/>
              <w:spacing w:before="50" w:line="360" w:lineRule="auto"/>
              <w:ind w:right="97"/>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供货进度保证措施</w:t>
            </w:r>
            <w:r>
              <w:rPr>
                <w:rFonts w:hint="eastAsia" w:ascii="宋体" w:hAnsi="宋体" w:eastAsia="宋体" w:cs="宋体"/>
                <w:color w:val="auto"/>
                <w:sz w:val="24"/>
                <w:szCs w:val="24"/>
                <w:highlight w:val="none"/>
                <w:lang w:val="en-US"/>
              </w:rPr>
              <w:t>内容完整，基本科学、合理、安全，基本考虑周全措施到位，针对性较强得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en-US"/>
              </w:rPr>
              <w:t>分；</w:t>
            </w:r>
          </w:p>
          <w:p w14:paraId="6D599C14">
            <w:pPr>
              <w:autoSpaceDE w:val="0"/>
              <w:autoSpaceDN w:val="0"/>
              <w:spacing w:before="50" w:line="360" w:lineRule="auto"/>
              <w:ind w:right="97"/>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供货进度保证措施</w:t>
            </w:r>
            <w:r>
              <w:rPr>
                <w:rFonts w:hint="eastAsia" w:ascii="宋体" w:hAnsi="宋体" w:eastAsia="宋体" w:cs="宋体"/>
                <w:color w:val="auto"/>
                <w:sz w:val="24"/>
                <w:szCs w:val="24"/>
                <w:highlight w:val="none"/>
                <w:lang w:val="en-US"/>
              </w:rPr>
              <w:t>内容完整，考虑不周，措施不够到位，针对性不强，得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en-US"/>
              </w:rPr>
              <w:t>分</w:t>
            </w:r>
            <w:r>
              <w:rPr>
                <w:rFonts w:hint="eastAsia" w:ascii="宋体" w:hAnsi="宋体" w:eastAsia="宋体" w:cs="宋体"/>
                <w:color w:val="auto"/>
                <w:sz w:val="24"/>
                <w:szCs w:val="24"/>
                <w:highlight w:val="none"/>
                <w:lang w:val="en-US" w:eastAsia="zh-CN"/>
              </w:rPr>
              <w:t>；</w:t>
            </w:r>
          </w:p>
          <w:p w14:paraId="653CFE2B">
            <w:pPr>
              <w:autoSpaceDE w:val="0"/>
              <w:autoSpaceDN w:val="0"/>
              <w:spacing w:before="50" w:line="360" w:lineRule="auto"/>
              <w:ind w:right="97"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缺项或不符合要求不得分；</w:t>
            </w:r>
          </w:p>
        </w:tc>
      </w:tr>
      <w:tr w14:paraId="34C28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1300" w:type="dxa"/>
            <w:vMerge w:val="continue"/>
            <w:tcBorders>
              <w:left w:val="single" w:color="auto" w:sz="4" w:space="0"/>
              <w:right w:val="single" w:color="auto" w:sz="4" w:space="0"/>
            </w:tcBorders>
            <w:noWrap w:val="0"/>
            <w:vAlign w:val="center"/>
          </w:tcPr>
          <w:p w14:paraId="5EA20749">
            <w:pPr>
              <w:widowControl/>
              <w:spacing w:line="360" w:lineRule="auto"/>
              <w:rPr>
                <w:rFonts w:hint="eastAsia" w:ascii="宋体" w:hAnsi="宋体" w:eastAsia="宋体" w:cs="宋体"/>
                <w:color w:val="auto"/>
                <w:sz w:val="24"/>
                <w:szCs w:val="24"/>
                <w:highlight w:val="none"/>
              </w:rPr>
            </w:pPr>
          </w:p>
        </w:tc>
        <w:tc>
          <w:tcPr>
            <w:tcW w:w="1981" w:type="dxa"/>
            <w:gridSpan w:val="2"/>
            <w:tcBorders>
              <w:top w:val="single" w:color="auto" w:sz="4" w:space="0"/>
              <w:left w:val="nil"/>
              <w:bottom w:val="single" w:color="auto" w:sz="4" w:space="0"/>
              <w:right w:val="single" w:color="auto" w:sz="4" w:space="0"/>
            </w:tcBorders>
            <w:noWrap w:val="0"/>
            <w:vAlign w:val="center"/>
          </w:tcPr>
          <w:p w14:paraId="46A388B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培训方案（0-</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en-US"/>
              </w:rPr>
              <w:t>分）</w:t>
            </w:r>
          </w:p>
        </w:tc>
        <w:tc>
          <w:tcPr>
            <w:tcW w:w="6426" w:type="dxa"/>
            <w:tcBorders>
              <w:top w:val="single" w:color="auto" w:sz="4" w:space="0"/>
              <w:left w:val="nil"/>
              <w:bottom w:val="single" w:color="auto" w:sz="4" w:space="0"/>
              <w:right w:val="single" w:color="auto" w:sz="4" w:space="0"/>
            </w:tcBorders>
            <w:noWrap w:val="0"/>
            <w:vAlign w:val="center"/>
          </w:tcPr>
          <w:p w14:paraId="4878DB19">
            <w:pPr>
              <w:spacing w:line="360" w:lineRule="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培训内容全面详实情况、培训时间长短、培训人员数量多少。分三个档次打分。</w:t>
            </w:r>
          </w:p>
          <w:p w14:paraId="73BECA84">
            <w:pPr>
              <w:spacing w:line="360" w:lineRule="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内容详实，培训时长、人数满足项目需求的得</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en-US"/>
              </w:rPr>
              <w:t>分；</w:t>
            </w:r>
          </w:p>
          <w:p w14:paraId="1367A386">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rPr>
              <w:t>内容较详实，培训时长、人数较好的得3分</w:t>
            </w:r>
            <w:r>
              <w:rPr>
                <w:rFonts w:hint="eastAsia" w:ascii="宋体" w:hAnsi="宋体" w:eastAsia="宋体" w:cs="宋体"/>
                <w:color w:val="auto"/>
                <w:sz w:val="24"/>
                <w:szCs w:val="24"/>
                <w:highlight w:val="none"/>
                <w:lang w:val="en-US" w:eastAsia="zh-CN"/>
              </w:rPr>
              <w:t>；</w:t>
            </w:r>
          </w:p>
          <w:p w14:paraId="482104ED">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rPr>
              <w:t>内容一般，基本满足需求的为第三档得1分</w:t>
            </w:r>
            <w:r>
              <w:rPr>
                <w:rFonts w:hint="eastAsia" w:ascii="宋体" w:hAnsi="宋体" w:eastAsia="宋体" w:cs="宋体"/>
                <w:color w:val="auto"/>
                <w:sz w:val="24"/>
                <w:szCs w:val="24"/>
                <w:highlight w:val="none"/>
                <w:lang w:val="en-US" w:eastAsia="zh-CN"/>
              </w:rPr>
              <w:t>；</w:t>
            </w:r>
          </w:p>
          <w:p w14:paraId="374BB0B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缺项或不符合要求不得分；</w:t>
            </w:r>
          </w:p>
        </w:tc>
      </w:tr>
      <w:tr w14:paraId="0B8E2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1300" w:type="dxa"/>
            <w:vMerge w:val="continue"/>
            <w:tcBorders>
              <w:left w:val="single" w:color="auto" w:sz="4" w:space="0"/>
              <w:bottom w:val="single" w:color="auto" w:sz="4" w:space="0"/>
              <w:right w:val="single" w:color="auto" w:sz="4" w:space="0"/>
            </w:tcBorders>
            <w:noWrap w:val="0"/>
            <w:vAlign w:val="center"/>
          </w:tcPr>
          <w:p w14:paraId="6B64B9B9">
            <w:pPr>
              <w:widowControl/>
              <w:spacing w:line="360" w:lineRule="auto"/>
              <w:rPr>
                <w:rFonts w:hint="eastAsia" w:ascii="宋体" w:hAnsi="宋体" w:eastAsia="宋体" w:cs="宋体"/>
                <w:color w:val="auto"/>
                <w:sz w:val="24"/>
                <w:szCs w:val="24"/>
                <w:highlight w:val="none"/>
              </w:rPr>
            </w:pPr>
          </w:p>
        </w:tc>
        <w:tc>
          <w:tcPr>
            <w:tcW w:w="1981" w:type="dxa"/>
            <w:gridSpan w:val="2"/>
            <w:tcBorders>
              <w:top w:val="single" w:color="auto" w:sz="4" w:space="0"/>
              <w:left w:val="nil"/>
              <w:bottom w:val="single" w:color="auto" w:sz="4" w:space="0"/>
              <w:right w:val="single" w:color="auto" w:sz="4" w:space="0"/>
            </w:tcBorders>
            <w:noWrap w:val="0"/>
            <w:vAlign w:val="center"/>
          </w:tcPr>
          <w:p w14:paraId="05803967">
            <w:pPr>
              <w:pStyle w:val="6"/>
              <w:spacing w:line="360" w:lineRule="auto"/>
              <w:ind w:left="0" w:leftChars="0" w:firstLine="0" w:firstLineChars="0"/>
              <w:jc w:val="center"/>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应急预案（包含应急维修措施）</w:t>
            </w:r>
          </w:p>
          <w:p w14:paraId="676D890D">
            <w:pPr>
              <w:pStyle w:val="6"/>
              <w:spacing w:line="360" w:lineRule="auto"/>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bidi="zh-CN"/>
              </w:rPr>
              <w:t>（0-5分）</w:t>
            </w:r>
          </w:p>
        </w:tc>
        <w:tc>
          <w:tcPr>
            <w:tcW w:w="6426" w:type="dxa"/>
            <w:tcBorders>
              <w:top w:val="single" w:color="auto" w:sz="4" w:space="0"/>
              <w:left w:val="nil"/>
              <w:bottom w:val="single" w:color="auto" w:sz="4" w:space="0"/>
              <w:right w:val="single" w:color="auto" w:sz="4" w:space="0"/>
            </w:tcBorders>
            <w:noWrap w:val="0"/>
            <w:vAlign w:val="center"/>
          </w:tcPr>
          <w:p w14:paraId="09423328">
            <w:pPr>
              <w:spacing w:line="360" w:lineRule="auto"/>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lang w:val="zh-CN" w:eastAsia="zh-CN" w:bidi="zh-CN"/>
              </w:rPr>
              <w:t>应急预案（包含应急维修措施）全面、详尽、合理、技术质量有保障的，得5分；</w:t>
            </w:r>
          </w:p>
          <w:p w14:paraId="65202BE8">
            <w:pPr>
              <w:spacing w:line="360" w:lineRule="auto"/>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lang w:val="zh-CN" w:eastAsia="zh-CN" w:bidi="zh-CN"/>
              </w:rPr>
              <w:t>应急预案（包含应急维修措施）较全面，合理，得</w:t>
            </w:r>
            <w:r>
              <w:rPr>
                <w:rFonts w:hint="eastAsia" w:ascii="宋体" w:hAnsi="宋体" w:eastAsia="宋体" w:cs="宋体"/>
                <w:color w:val="auto"/>
                <w:sz w:val="24"/>
                <w:szCs w:val="24"/>
                <w:highlight w:val="none"/>
                <w:lang w:val="en-US" w:eastAsia="zh-CN" w:bidi="zh-CN"/>
              </w:rPr>
              <w:t>3</w:t>
            </w:r>
            <w:r>
              <w:rPr>
                <w:rFonts w:hint="eastAsia" w:ascii="宋体" w:hAnsi="宋体" w:eastAsia="宋体" w:cs="宋体"/>
                <w:color w:val="auto"/>
                <w:sz w:val="24"/>
                <w:szCs w:val="24"/>
                <w:highlight w:val="none"/>
                <w:lang w:val="zh-CN" w:eastAsia="zh-CN" w:bidi="zh-CN"/>
              </w:rPr>
              <w:t>分；</w:t>
            </w:r>
          </w:p>
          <w:p w14:paraId="129590BE">
            <w:pPr>
              <w:spacing w:line="360" w:lineRule="auto"/>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lang w:val="zh-CN" w:eastAsia="zh-CN" w:bidi="zh-CN"/>
              </w:rPr>
              <w:t>应急预案（包含应急维修措施）不全面、或者不详尽的的，得</w:t>
            </w:r>
            <w:r>
              <w:rPr>
                <w:rFonts w:hint="eastAsia" w:ascii="宋体" w:hAnsi="宋体" w:eastAsia="宋体" w:cs="宋体"/>
                <w:color w:val="auto"/>
                <w:sz w:val="24"/>
                <w:szCs w:val="24"/>
                <w:highlight w:val="none"/>
                <w:lang w:val="en-US" w:eastAsia="zh-CN" w:bidi="zh-CN"/>
              </w:rPr>
              <w:t>1</w:t>
            </w:r>
            <w:r>
              <w:rPr>
                <w:rFonts w:hint="eastAsia" w:ascii="宋体" w:hAnsi="宋体" w:eastAsia="宋体" w:cs="宋体"/>
                <w:color w:val="auto"/>
                <w:sz w:val="24"/>
                <w:szCs w:val="24"/>
                <w:highlight w:val="none"/>
                <w:lang w:val="zh-CN" w:eastAsia="zh-CN" w:bidi="zh-CN"/>
              </w:rPr>
              <w:t>分；</w:t>
            </w:r>
          </w:p>
          <w:p w14:paraId="0463BA6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eastAsia="zh-CN" w:bidi="zh-CN"/>
              </w:rPr>
              <w:t>缺项或不符合要求不得分；</w:t>
            </w:r>
          </w:p>
        </w:tc>
      </w:tr>
      <w:tr w14:paraId="0F89A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jc w:val="center"/>
        </w:trPr>
        <w:tc>
          <w:tcPr>
            <w:tcW w:w="1300" w:type="dxa"/>
            <w:vMerge w:val="restart"/>
            <w:tcBorders>
              <w:top w:val="nil"/>
              <w:left w:val="single" w:color="auto" w:sz="4" w:space="0"/>
              <w:bottom w:val="single" w:color="auto" w:sz="4" w:space="0"/>
              <w:right w:val="single" w:color="auto" w:sz="4" w:space="0"/>
            </w:tcBorders>
            <w:noWrap w:val="0"/>
            <w:vAlign w:val="center"/>
          </w:tcPr>
          <w:p w14:paraId="0AAB7922">
            <w:pPr>
              <w:widowControl/>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商务</w:t>
            </w:r>
            <w:r>
              <w:rPr>
                <w:rFonts w:hint="eastAsia" w:ascii="宋体" w:hAnsi="宋体" w:eastAsia="宋体" w:cs="宋体"/>
                <w:color w:val="auto"/>
                <w:sz w:val="24"/>
                <w:szCs w:val="24"/>
                <w:highlight w:val="none"/>
              </w:rPr>
              <w:t>标</w:t>
            </w:r>
          </w:p>
          <w:p w14:paraId="7505EB2A">
            <w:pPr>
              <w:widowControl/>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分）</w:t>
            </w:r>
          </w:p>
        </w:tc>
        <w:tc>
          <w:tcPr>
            <w:tcW w:w="1981" w:type="dxa"/>
            <w:gridSpan w:val="2"/>
            <w:tcBorders>
              <w:top w:val="single" w:color="auto" w:sz="4" w:space="0"/>
              <w:left w:val="nil"/>
              <w:bottom w:val="single" w:color="auto" w:sz="4" w:space="0"/>
              <w:right w:val="single" w:color="auto" w:sz="4" w:space="0"/>
            </w:tcBorders>
            <w:noWrap w:val="0"/>
            <w:vAlign w:val="center"/>
          </w:tcPr>
          <w:p w14:paraId="61BAE018">
            <w:pPr>
              <w:spacing w:line="360" w:lineRule="auto"/>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业绩</w:t>
            </w:r>
          </w:p>
          <w:p w14:paraId="6A25B0E8">
            <w:pPr>
              <w:spacing w:line="360" w:lineRule="auto"/>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lang w:val="en-US" w:eastAsia="zh-CN" w:bidi="zh-CN"/>
              </w:rPr>
              <w:t>（0-4分）</w:t>
            </w:r>
          </w:p>
        </w:tc>
        <w:tc>
          <w:tcPr>
            <w:tcW w:w="6426" w:type="dxa"/>
            <w:tcBorders>
              <w:top w:val="single" w:color="auto" w:sz="4" w:space="0"/>
              <w:left w:val="nil"/>
              <w:bottom w:val="single" w:color="auto" w:sz="4" w:space="0"/>
              <w:right w:val="single" w:color="auto" w:sz="4" w:space="0"/>
            </w:tcBorders>
            <w:noWrap w:val="0"/>
            <w:vAlign w:val="center"/>
          </w:tcPr>
          <w:p w14:paraId="71FB13C8">
            <w:pPr>
              <w:spacing w:line="360" w:lineRule="auto"/>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lang w:val="en-US" w:eastAsia="zh-CN" w:bidi="zh-CN"/>
              </w:rPr>
              <w:t>提供2021年1月以来已完成的类似项目业绩，每提供一份得2份，该项最高得4分，没有不得分；须提供合同和中标通知书。注：需在响应文件中提供相应证明资料，没有不得分。</w:t>
            </w:r>
          </w:p>
        </w:tc>
      </w:tr>
      <w:tr w14:paraId="5A4C8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jc w:val="center"/>
        </w:trPr>
        <w:tc>
          <w:tcPr>
            <w:tcW w:w="1300" w:type="dxa"/>
            <w:vMerge w:val="continue"/>
            <w:tcBorders>
              <w:left w:val="single" w:color="auto" w:sz="4" w:space="0"/>
              <w:right w:val="single" w:color="auto" w:sz="4" w:space="0"/>
            </w:tcBorders>
            <w:noWrap w:val="0"/>
            <w:vAlign w:val="center"/>
          </w:tcPr>
          <w:p w14:paraId="36CF25CA">
            <w:pPr>
              <w:widowControl/>
              <w:spacing w:line="360" w:lineRule="auto"/>
              <w:jc w:val="center"/>
              <w:rPr>
                <w:rFonts w:hint="eastAsia" w:ascii="宋体" w:hAnsi="宋体" w:eastAsia="宋体" w:cs="宋体"/>
                <w:color w:val="auto"/>
                <w:sz w:val="24"/>
                <w:szCs w:val="24"/>
                <w:highlight w:val="none"/>
              </w:rPr>
            </w:pPr>
          </w:p>
        </w:tc>
        <w:tc>
          <w:tcPr>
            <w:tcW w:w="1981" w:type="dxa"/>
            <w:gridSpan w:val="2"/>
            <w:tcBorders>
              <w:top w:val="single" w:color="auto" w:sz="4" w:space="0"/>
              <w:left w:val="nil"/>
              <w:bottom w:val="single" w:color="auto" w:sz="4" w:space="0"/>
              <w:right w:val="single" w:color="auto" w:sz="4" w:space="0"/>
            </w:tcBorders>
            <w:noWrap w:val="0"/>
            <w:vAlign w:val="center"/>
          </w:tcPr>
          <w:p w14:paraId="72B3DCC4">
            <w:pPr>
              <w:spacing w:line="360" w:lineRule="auto"/>
              <w:jc w:val="center"/>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产品实力</w:t>
            </w:r>
          </w:p>
          <w:p w14:paraId="4F6ABB34">
            <w:pPr>
              <w:spacing w:line="360" w:lineRule="auto"/>
              <w:jc w:val="center"/>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（0-5分）</w:t>
            </w:r>
          </w:p>
        </w:tc>
        <w:tc>
          <w:tcPr>
            <w:tcW w:w="6426" w:type="dxa"/>
            <w:tcBorders>
              <w:top w:val="single" w:color="auto" w:sz="4" w:space="0"/>
              <w:left w:val="nil"/>
              <w:bottom w:val="single" w:color="auto" w:sz="4" w:space="0"/>
              <w:right w:val="single" w:color="auto" w:sz="4" w:space="0"/>
            </w:tcBorders>
            <w:noWrap w:val="0"/>
            <w:vAlign w:val="center"/>
          </w:tcPr>
          <w:p w14:paraId="3816F331">
            <w:pPr>
              <w:adjustRightInd w:val="0"/>
              <w:snapToGrid w:val="0"/>
              <w:spacing w:before="62" w:beforeLines="20" w:after="62" w:afterLines="20" w:line="360" w:lineRule="auto"/>
              <w:jc w:val="left"/>
              <w:rPr>
                <w:rFonts w:hint="eastAsia" w:ascii="宋体" w:hAnsi="宋体" w:eastAsia="宋体"/>
                <w:bCs/>
                <w:color w:val="auto"/>
                <w:sz w:val="24"/>
                <w:szCs w:val="24"/>
              </w:rPr>
            </w:pPr>
            <w:r>
              <w:rPr>
                <w:rFonts w:hint="eastAsia" w:ascii="宋体" w:hAnsi="宋体" w:eastAsia="宋体"/>
                <w:bCs/>
                <w:color w:val="auto"/>
                <w:sz w:val="24"/>
                <w:szCs w:val="24"/>
              </w:rPr>
              <w:t>1、所投</w:t>
            </w:r>
            <w:r>
              <w:rPr>
                <w:rFonts w:hint="eastAsia" w:ascii="宋体" w:hAnsi="宋体" w:eastAsia="宋体"/>
                <w:bCs/>
                <w:color w:val="auto"/>
                <w:sz w:val="24"/>
                <w:szCs w:val="24"/>
                <w:lang w:val="en-US" w:eastAsia="zh-CN"/>
              </w:rPr>
              <w:t>精品录播主机</w:t>
            </w:r>
            <w:r>
              <w:rPr>
                <w:rFonts w:hint="eastAsia" w:ascii="宋体" w:hAnsi="宋体" w:eastAsia="宋体"/>
                <w:bCs/>
                <w:color w:val="auto"/>
                <w:sz w:val="24"/>
                <w:szCs w:val="24"/>
              </w:rPr>
              <w:t>产品制造商具备创新的质量管理模式、先进的质量理念，获得过中国质量奖或中国质量奖提名奖的，得</w:t>
            </w:r>
            <w:r>
              <w:rPr>
                <w:rFonts w:hint="eastAsia" w:ascii="宋体" w:hAnsi="宋体" w:eastAsia="宋体"/>
                <w:bCs/>
                <w:color w:val="auto"/>
                <w:sz w:val="24"/>
                <w:szCs w:val="24"/>
                <w:lang w:val="en-US" w:eastAsia="zh-CN"/>
              </w:rPr>
              <w:t>1</w:t>
            </w:r>
            <w:r>
              <w:rPr>
                <w:rFonts w:hint="eastAsia" w:ascii="宋体" w:hAnsi="宋体" w:eastAsia="宋体"/>
                <w:bCs/>
                <w:color w:val="auto"/>
                <w:sz w:val="24"/>
                <w:szCs w:val="24"/>
              </w:rPr>
              <w:t>分，否则不得分。（需提供相关证明材料并加盖制造商公章）</w:t>
            </w:r>
          </w:p>
          <w:p w14:paraId="1D6C7790">
            <w:pPr>
              <w:adjustRightInd w:val="0"/>
              <w:snapToGrid w:val="0"/>
              <w:spacing w:before="62" w:beforeLines="20" w:after="62" w:afterLines="20" w:line="360" w:lineRule="auto"/>
              <w:jc w:val="left"/>
              <w:rPr>
                <w:rFonts w:hint="eastAsia" w:ascii="宋体" w:hAnsi="宋体" w:eastAsia="宋体"/>
                <w:bCs/>
                <w:color w:val="auto"/>
                <w:sz w:val="24"/>
                <w:szCs w:val="24"/>
              </w:rPr>
            </w:pPr>
            <w:r>
              <w:rPr>
                <w:rFonts w:hint="eastAsia" w:ascii="宋体" w:hAnsi="宋体" w:eastAsia="宋体"/>
                <w:bCs/>
                <w:color w:val="auto"/>
                <w:sz w:val="24"/>
                <w:szCs w:val="24"/>
              </w:rPr>
              <w:t>2、所投</w:t>
            </w:r>
            <w:r>
              <w:rPr>
                <w:rFonts w:hint="eastAsia" w:ascii="宋体" w:hAnsi="宋体" w:eastAsia="宋体"/>
                <w:bCs/>
                <w:color w:val="auto"/>
                <w:sz w:val="24"/>
                <w:szCs w:val="24"/>
                <w:lang w:val="en-US" w:eastAsia="zh-CN"/>
              </w:rPr>
              <w:t>精品录播主机</w:t>
            </w:r>
            <w:r>
              <w:rPr>
                <w:rFonts w:hint="eastAsia" w:ascii="宋体" w:hAnsi="宋体" w:eastAsia="宋体"/>
                <w:bCs/>
                <w:color w:val="auto"/>
                <w:sz w:val="24"/>
                <w:szCs w:val="24"/>
              </w:rPr>
              <w:t>产品制造商应具备较强的新技术研发实力，可提供高水平技术支撑，为国家技术创新示范企业的得</w:t>
            </w:r>
            <w:r>
              <w:rPr>
                <w:rFonts w:hint="eastAsia" w:ascii="宋体" w:hAnsi="宋体" w:eastAsia="宋体"/>
                <w:bCs/>
                <w:color w:val="auto"/>
                <w:sz w:val="24"/>
                <w:szCs w:val="24"/>
                <w:lang w:val="en-US" w:eastAsia="zh-CN"/>
              </w:rPr>
              <w:t>1</w:t>
            </w:r>
            <w:r>
              <w:rPr>
                <w:rFonts w:hint="eastAsia" w:ascii="宋体" w:hAnsi="宋体" w:eastAsia="宋体"/>
                <w:bCs/>
                <w:color w:val="auto"/>
                <w:sz w:val="24"/>
                <w:szCs w:val="24"/>
              </w:rPr>
              <w:t>分，否则不得分。（需提供相关证明材料并加盖制造商公章）</w:t>
            </w:r>
          </w:p>
          <w:p w14:paraId="46F77E67">
            <w:pPr>
              <w:adjustRightInd w:val="0"/>
              <w:snapToGrid w:val="0"/>
              <w:spacing w:before="62" w:beforeLines="20" w:after="62" w:afterLines="20" w:line="360" w:lineRule="auto"/>
              <w:jc w:val="left"/>
              <w:rPr>
                <w:rFonts w:hint="eastAsia" w:ascii="宋体" w:hAnsi="宋体" w:eastAsia="宋体"/>
                <w:bCs/>
                <w:color w:val="auto"/>
                <w:sz w:val="24"/>
                <w:szCs w:val="24"/>
              </w:rPr>
            </w:pPr>
            <w:r>
              <w:rPr>
                <w:rFonts w:hint="eastAsia" w:ascii="宋体" w:hAnsi="宋体" w:eastAsia="宋体"/>
                <w:bCs/>
                <w:color w:val="auto"/>
                <w:sz w:val="24"/>
                <w:szCs w:val="24"/>
              </w:rPr>
              <w:t>3、所投</w:t>
            </w:r>
            <w:r>
              <w:rPr>
                <w:rFonts w:hint="eastAsia" w:ascii="宋体" w:hAnsi="宋体" w:eastAsia="宋体"/>
                <w:bCs/>
                <w:color w:val="auto"/>
                <w:sz w:val="24"/>
                <w:szCs w:val="24"/>
                <w:lang w:val="en-US" w:eastAsia="zh-CN"/>
              </w:rPr>
              <w:t>导播控制台</w:t>
            </w:r>
            <w:r>
              <w:rPr>
                <w:rFonts w:hint="eastAsia" w:ascii="宋体" w:hAnsi="宋体" w:eastAsia="宋体"/>
                <w:bCs/>
                <w:color w:val="auto"/>
                <w:sz w:val="24"/>
                <w:szCs w:val="24"/>
              </w:rPr>
              <w:t>产品制造商荣获过国家级科学技术进步奖或国家级科学技术发明奖证书的得</w:t>
            </w:r>
            <w:r>
              <w:rPr>
                <w:rFonts w:hint="eastAsia" w:ascii="宋体" w:hAnsi="宋体" w:eastAsia="宋体"/>
                <w:bCs/>
                <w:color w:val="auto"/>
                <w:sz w:val="24"/>
                <w:szCs w:val="24"/>
                <w:lang w:val="en-US" w:eastAsia="zh-CN"/>
              </w:rPr>
              <w:t>1</w:t>
            </w:r>
            <w:r>
              <w:rPr>
                <w:rFonts w:hint="eastAsia" w:ascii="宋体" w:hAnsi="宋体" w:eastAsia="宋体"/>
                <w:bCs/>
                <w:color w:val="auto"/>
                <w:sz w:val="24"/>
                <w:szCs w:val="24"/>
              </w:rPr>
              <w:t>分，否则不得分。（需提供相关证明材料并加盖制造商公章）</w:t>
            </w:r>
          </w:p>
          <w:p w14:paraId="4603FE2F">
            <w:pPr>
              <w:adjustRightInd w:val="0"/>
              <w:snapToGrid w:val="0"/>
              <w:spacing w:before="62" w:beforeLines="20" w:after="62" w:afterLines="20" w:line="360" w:lineRule="auto"/>
              <w:jc w:val="left"/>
              <w:rPr>
                <w:rFonts w:hint="eastAsia" w:ascii="宋体" w:hAnsi="宋体" w:eastAsia="宋体" w:cs="宋体"/>
                <w:color w:val="auto"/>
                <w:sz w:val="24"/>
                <w:szCs w:val="24"/>
                <w:highlight w:val="none"/>
                <w:lang w:val="en-US" w:eastAsia="zh-CN" w:bidi="zh-CN"/>
              </w:rPr>
            </w:pPr>
            <w:r>
              <w:rPr>
                <w:rFonts w:hint="eastAsia" w:ascii="宋体" w:hAnsi="宋体" w:eastAsia="宋体"/>
                <w:bCs/>
                <w:color w:val="auto"/>
                <w:sz w:val="24"/>
                <w:szCs w:val="24"/>
              </w:rPr>
              <w:t>4、所投</w:t>
            </w:r>
            <w:r>
              <w:rPr>
                <w:rFonts w:hint="eastAsia" w:ascii="宋体" w:hAnsi="宋体" w:eastAsia="宋体"/>
                <w:bCs/>
                <w:color w:val="auto"/>
                <w:sz w:val="24"/>
                <w:szCs w:val="24"/>
                <w:lang w:val="en-US" w:eastAsia="zh-CN"/>
              </w:rPr>
              <w:t>导播控制台</w:t>
            </w:r>
            <w:r>
              <w:rPr>
                <w:rFonts w:hint="eastAsia" w:ascii="宋体" w:hAnsi="宋体" w:eastAsia="宋体"/>
                <w:bCs/>
                <w:color w:val="auto"/>
                <w:sz w:val="24"/>
                <w:szCs w:val="24"/>
              </w:rPr>
              <w:t>产品制造商具备较强的企业管理能力，同时具备ISO9001质量管理体系、ISO14001环境管理体系、ISO45001职业健康安全管理体系的得2分，否则不得分。（需提供相关证明材料并加盖制造商公章）</w:t>
            </w:r>
          </w:p>
        </w:tc>
      </w:tr>
      <w:tr w14:paraId="253BF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300" w:type="dxa"/>
            <w:vMerge w:val="continue"/>
            <w:tcBorders>
              <w:top w:val="nil"/>
              <w:left w:val="single" w:color="auto" w:sz="4" w:space="0"/>
              <w:bottom w:val="single" w:color="auto" w:sz="4" w:space="0"/>
              <w:right w:val="single" w:color="auto" w:sz="4" w:space="0"/>
            </w:tcBorders>
            <w:noWrap w:val="0"/>
            <w:vAlign w:val="center"/>
          </w:tcPr>
          <w:p w14:paraId="0FBA2CA8">
            <w:pPr>
              <w:widowControl/>
              <w:spacing w:line="360" w:lineRule="auto"/>
              <w:rPr>
                <w:rFonts w:hint="eastAsia" w:ascii="宋体" w:hAnsi="宋体" w:eastAsia="宋体" w:cs="宋体"/>
                <w:color w:val="auto"/>
                <w:sz w:val="24"/>
                <w:szCs w:val="24"/>
                <w:highlight w:val="none"/>
              </w:rPr>
            </w:pPr>
          </w:p>
        </w:tc>
        <w:tc>
          <w:tcPr>
            <w:tcW w:w="1981" w:type="dxa"/>
            <w:gridSpan w:val="2"/>
            <w:tcBorders>
              <w:top w:val="single" w:color="auto" w:sz="4" w:space="0"/>
              <w:left w:val="nil"/>
              <w:bottom w:val="single" w:color="auto" w:sz="4" w:space="0"/>
              <w:right w:val="single" w:color="auto" w:sz="4" w:space="0"/>
            </w:tcBorders>
            <w:noWrap w:val="0"/>
            <w:vAlign w:val="center"/>
          </w:tcPr>
          <w:p w14:paraId="60132912">
            <w:pPr>
              <w:spacing w:line="360" w:lineRule="auto"/>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售后服务</w:t>
            </w:r>
          </w:p>
          <w:p w14:paraId="51303BCF">
            <w:pPr>
              <w:spacing w:line="360" w:lineRule="auto"/>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（0-8分）</w:t>
            </w:r>
          </w:p>
        </w:tc>
        <w:tc>
          <w:tcPr>
            <w:tcW w:w="6426" w:type="dxa"/>
            <w:tcBorders>
              <w:top w:val="single" w:color="auto" w:sz="4" w:space="0"/>
              <w:left w:val="nil"/>
              <w:bottom w:val="single" w:color="auto" w:sz="4" w:space="0"/>
              <w:right w:val="single" w:color="auto" w:sz="4" w:space="0"/>
            </w:tcBorders>
            <w:noWrap w:val="0"/>
            <w:vAlign w:val="center"/>
          </w:tcPr>
          <w:p w14:paraId="22B57023">
            <w:pPr>
              <w:spacing w:line="360" w:lineRule="auto"/>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1、详细说明售后服务(售后服务的内容、形式、免费维修时间、解决质量或操作问题的响应时间、解决问题时间、地点)全面、详细、可行的得2分，基本全面、详细、可行的得1分；没有不得分。</w:t>
            </w:r>
          </w:p>
          <w:p w14:paraId="2244DDEE">
            <w:pPr>
              <w:spacing w:line="360" w:lineRule="auto"/>
              <w:rPr>
                <w:rFonts w:hint="default"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2、对保修期限内的承诺（质保期、服务内容等），全面、详细、可行的得2分；基本全面、详细、可行的得1分；没有不得分。</w:t>
            </w:r>
          </w:p>
          <w:p w14:paraId="41444460">
            <w:pPr>
              <w:spacing w:line="360" w:lineRule="auto"/>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3、对保修期限外的承诺（质保期、服务内容等），全面、详细、可行的得2分；基本全面、详细、可行的得1分；没有不得分。</w:t>
            </w:r>
          </w:p>
          <w:p w14:paraId="5EC3A56C">
            <w:pPr>
              <w:spacing w:line="360" w:lineRule="auto"/>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4、供应商详细说明机构设置、人员配备情况、备品备件供应情况，全面、详细、可行的得2分；基本全面、详细、可行的得1分；</w:t>
            </w:r>
          </w:p>
          <w:p w14:paraId="6F868616">
            <w:pPr>
              <w:spacing w:line="360" w:lineRule="auto"/>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缺项或不符合要求不得分；</w:t>
            </w:r>
          </w:p>
        </w:tc>
      </w:tr>
      <w:tr w14:paraId="297C8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300" w:type="dxa"/>
            <w:vMerge w:val="continue"/>
            <w:tcBorders>
              <w:top w:val="nil"/>
              <w:left w:val="single" w:color="auto" w:sz="4" w:space="0"/>
              <w:bottom w:val="single" w:color="auto" w:sz="4" w:space="0"/>
              <w:right w:val="single" w:color="auto" w:sz="4" w:space="0"/>
            </w:tcBorders>
            <w:noWrap w:val="0"/>
            <w:vAlign w:val="center"/>
          </w:tcPr>
          <w:p w14:paraId="1E6CB743">
            <w:pPr>
              <w:widowControl/>
              <w:spacing w:line="360" w:lineRule="auto"/>
              <w:rPr>
                <w:rFonts w:hint="eastAsia" w:ascii="宋体" w:hAnsi="宋体" w:eastAsia="宋体" w:cs="宋体"/>
                <w:color w:val="auto"/>
                <w:sz w:val="24"/>
                <w:szCs w:val="24"/>
                <w:highlight w:val="none"/>
              </w:rPr>
            </w:pPr>
          </w:p>
        </w:tc>
        <w:tc>
          <w:tcPr>
            <w:tcW w:w="1981" w:type="dxa"/>
            <w:gridSpan w:val="2"/>
            <w:tcBorders>
              <w:top w:val="single" w:color="auto" w:sz="4" w:space="0"/>
              <w:left w:val="nil"/>
              <w:bottom w:val="single" w:color="auto" w:sz="4" w:space="0"/>
              <w:right w:val="single" w:color="auto" w:sz="4" w:space="0"/>
            </w:tcBorders>
            <w:noWrap w:val="0"/>
            <w:vAlign w:val="center"/>
          </w:tcPr>
          <w:p w14:paraId="1E189441">
            <w:pPr>
              <w:spacing w:line="360" w:lineRule="auto"/>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lang w:val="en-US" w:eastAsia="zh-CN" w:bidi="zh-CN"/>
              </w:rPr>
              <w:t>服务能力和优惠承诺(0-3分)</w:t>
            </w:r>
          </w:p>
        </w:tc>
        <w:tc>
          <w:tcPr>
            <w:tcW w:w="6426" w:type="dxa"/>
            <w:tcBorders>
              <w:top w:val="single" w:color="auto" w:sz="4" w:space="0"/>
              <w:left w:val="nil"/>
              <w:bottom w:val="single" w:color="auto" w:sz="4" w:space="0"/>
              <w:right w:val="single" w:color="auto" w:sz="4" w:space="0"/>
            </w:tcBorders>
            <w:noWrap w:val="0"/>
            <w:vAlign w:val="center"/>
          </w:tcPr>
          <w:p w14:paraId="30A1FFBC">
            <w:pPr>
              <w:spacing w:line="360" w:lineRule="auto"/>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磋商小组根据投标人提供的服务能力和优惠承诺，服务程序、人员配备技术力量和问题响应及解决时间等打分。</w:t>
            </w:r>
          </w:p>
          <w:p w14:paraId="2DF3F54B">
            <w:pPr>
              <w:spacing w:line="360" w:lineRule="auto"/>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内容详实，科学、合理，考虑周全，措施到位，针对性强，完全能够满足项目的需要，得3分。</w:t>
            </w:r>
          </w:p>
          <w:p w14:paraId="3EDCEBDD">
            <w:pPr>
              <w:spacing w:line="360" w:lineRule="auto"/>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内容完整，基本科学、合理，考虑基本周全，措施基本到位，针对性较强，可以满足项目的需要，但有个别细节需要进一步完善或提高，得2分。</w:t>
            </w:r>
          </w:p>
          <w:p w14:paraId="59F363B7">
            <w:pPr>
              <w:spacing w:line="360" w:lineRule="auto"/>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内容基本完整，科学、合理方面一般，考虑不够全面，措施不够到位，针对性不强，虽然能够基本满足项目的需要，但有很多方面需要进一步完善甚至重新考虑，得1分。</w:t>
            </w:r>
          </w:p>
          <w:p w14:paraId="2D0AEBD9">
            <w:pPr>
              <w:spacing w:line="360" w:lineRule="auto"/>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lang w:val="en-US" w:eastAsia="zh-CN" w:bidi="zh-CN"/>
              </w:rPr>
              <w:t>缺项或不符合要求不得分；</w:t>
            </w:r>
          </w:p>
        </w:tc>
      </w:tr>
    </w:tbl>
    <w:p w14:paraId="063A92EE">
      <w:pPr>
        <w:widowControl/>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供应商综合得分按下列公式计算（计算分值均保留两位小数）；</w:t>
      </w:r>
    </w:p>
    <w:p w14:paraId="55075773">
      <w:pPr>
        <w:widowControl/>
        <w:spacing w:line="360" w:lineRule="auto"/>
        <w:rPr>
          <w:rFonts w:ascii="宋体" w:hAnsi="宋体" w:cs="Calibri"/>
          <w:color w:val="auto"/>
          <w:szCs w:val="21"/>
          <w:highlight w:val="none"/>
        </w:rPr>
      </w:pPr>
      <w:r>
        <w:rPr>
          <w:rFonts w:hint="eastAsia" w:ascii="宋体" w:hAnsi="宋体" w:cs="Calibri"/>
          <w:b/>
          <w:bCs/>
          <w:color w:val="auto"/>
          <w:kern w:val="0"/>
          <w:sz w:val="24"/>
          <w:highlight w:val="none"/>
        </w:rPr>
        <w:t>注：评分办法中要求材料均以原件扫描件为准，保证清晰可见。</w:t>
      </w:r>
    </w:p>
    <w:p w14:paraId="174A3C25">
      <w:pPr>
        <w:spacing w:line="480" w:lineRule="exact"/>
        <w:jc w:val="left"/>
        <w:outlineLvl w:val="1"/>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三、综合</w:t>
      </w:r>
      <w:r>
        <w:rPr>
          <w:rFonts w:hint="eastAsia" w:ascii="宋体" w:hAnsi="宋体" w:eastAsia="宋体" w:cs="宋体"/>
          <w:b/>
          <w:bCs/>
          <w:color w:val="auto"/>
          <w:sz w:val="24"/>
          <w:szCs w:val="24"/>
          <w:highlight w:val="none"/>
          <w:lang w:val="en-US" w:eastAsia="zh-CN"/>
        </w:rPr>
        <w:t>评估</w:t>
      </w:r>
      <w:r>
        <w:rPr>
          <w:rFonts w:hint="eastAsia" w:ascii="宋体" w:hAnsi="宋体" w:eastAsia="宋体" w:cs="宋体"/>
          <w:b/>
          <w:bCs/>
          <w:color w:val="auto"/>
          <w:sz w:val="24"/>
          <w:szCs w:val="24"/>
          <w:highlight w:val="none"/>
        </w:rPr>
        <w:t>法</w:t>
      </w:r>
    </w:p>
    <w:p w14:paraId="78E45684">
      <w:pPr>
        <w:spacing w:line="460" w:lineRule="exact"/>
        <w:ind w:firstLine="480" w:firstLineChars="200"/>
        <w:jc w:val="left"/>
        <w:outlineLvl w:val="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3.1、本次采用综合</w:t>
      </w:r>
      <w:r>
        <w:rPr>
          <w:rFonts w:hint="eastAsia" w:ascii="宋体" w:hAnsi="宋体" w:eastAsia="宋体" w:cs="宋体"/>
          <w:color w:val="auto"/>
          <w:sz w:val="24"/>
          <w:szCs w:val="24"/>
          <w:highlight w:val="none"/>
          <w:lang w:val="en-US" w:eastAsia="zh-CN"/>
        </w:rPr>
        <w:t>评估</w:t>
      </w:r>
      <w:r>
        <w:rPr>
          <w:rFonts w:hint="eastAsia" w:ascii="宋体" w:hAnsi="宋体" w:eastAsia="宋体" w:cs="宋体"/>
          <w:color w:val="auto"/>
          <w:sz w:val="24"/>
          <w:szCs w:val="24"/>
          <w:highlight w:val="none"/>
        </w:rPr>
        <w:t>法。</w:t>
      </w:r>
    </w:p>
    <w:p w14:paraId="472DBC44">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按与各供应商分别单独就采购需求、质量和服务等进行磋商，并将磋商内容记录在案，磋商结束后，磋商小组将要求实质性响应竞争性磋商文件的供应商在规定时间内提交最后报价。在规定时间内没有提交最后报价的磋商供应商，将视其首次报价为最终报价。未通过实质性响应的供应商将不再进行最后报价。经磋商确定最终采购需求和提交最后报价的供应商后，由磋商小组采用综合评分法对提交最后报价的供应商的响应文件和最后报价进行综合评分。</w:t>
      </w:r>
    </w:p>
    <w:p w14:paraId="4E689ACC">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对满足采购文件实质性要求的响应文件，按照本章规定的评分标准进行打分，按最终得分由高到低顺序推荐候选成交供应商。得分相同的，按照最后报价由低到高的顺序推荐。评审得分且最后报价相同的，按照技术指标优劣顺序推荐。</w:t>
      </w:r>
    </w:p>
    <w:p w14:paraId="09E2073A">
      <w:pPr>
        <w:spacing w:line="460" w:lineRule="exact"/>
        <w:ind w:firstLine="520" w:firstLineChars="217"/>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3.2、评分分值计算保留小数点后两位，小数点后第三位“四舍五入”。</w:t>
      </w:r>
    </w:p>
    <w:p w14:paraId="69965D11">
      <w:pPr>
        <w:spacing w:line="460" w:lineRule="exact"/>
        <w:ind w:firstLine="520" w:firstLineChars="217"/>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3.3、在评标过程中，凡遇到磋商文件中无界定或界定不清、前后不一致使磋商小组成员意见有分歧且又难以协商一致的问题，均由磋商小组成员投票予以表决，少数服从多数原则确定。 </w:t>
      </w:r>
    </w:p>
    <w:p w14:paraId="3922B21C">
      <w:pPr>
        <w:spacing w:line="460" w:lineRule="exact"/>
        <w:ind w:firstLine="480" w:firstLineChars="200"/>
        <w:jc w:val="left"/>
        <w:outlineLvl w:val="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3.4、磋商小组完成评审后，向采购人出具评审报告。</w:t>
      </w:r>
    </w:p>
    <w:p w14:paraId="5F23B7EB">
      <w:pPr>
        <w:spacing w:line="480" w:lineRule="exact"/>
        <w:jc w:val="left"/>
        <w:outlineLvl w:val="1"/>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四、磋商程序 </w:t>
      </w:r>
    </w:p>
    <w:p w14:paraId="3F9F7769">
      <w:pPr>
        <w:spacing w:line="480" w:lineRule="exact"/>
        <w:ind w:firstLine="482" w:firstLineChars="200"/>
        <w:jc w:val="left"/>
        <w:outlineLvl w:val="2"/>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4.1 初步评审 </w:t>
      </w:r>
    </w:p>
    <w:p w14:paraId="427F3046">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4.1.</w:t>
      </w:r>
      <w:r>
        <w:rPr>
          <w:rFonts w:ascii="宋体" w:hAnsi="宋体" w:eastAsia="宋体" w:cs="宋体"/>
          <w:color w:val="auto"/>
          <w:sz w:val="24"/>
          <w:szCs w:val="24"/>
          <w:highlight w:val="none"/>
        </w:rPr>
        <w:t>1</w:t>
      </w:r>
      <w:r>
        <w:rPr>
          <w:rFonts w:hint="eastAsia" w:ascii="宋体" w:hAnsi="宋体" w:eastAsia="宋体" w:cs="宋体"/>
          <w:color w:val="auto"/>
          <w:sz w:val="24"/>
          <w:szCs w:val="24"/>
          <w:highlight w:val="none"/>
        </w:rPr>
        <w:t xml:space="preserve">磋商小组依据本章附表 1 初步评审表规定的标准对磋商响应文件进行初步评审。有一项不符合评审标准的，作无效标处理。 </w:t>
      </w:r>
    </w:p>
    <w:p w14:paraId="1663DDCD">
      <w:pPr>
        <w:spacing w:line="460" w:lineRule="exact"/>
        <w:ind w:firstLine="480" w:firstLineChars="200"/>
        <w:jc w:val="left"/>
        <w:outlineLvl w:val="3"/>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4.1.</w:t>
      </w:r>
      <w:r>
        <w:rPr>
          <w:rFonts w:ascii="宋体" w:hAnsi="宋体" w:eastAsia="宋体" w:cs="宋体"/>
          <w:color w:val="auto"/>
          <w:sz w:val="24"/>
          <w:szCs w:val="24"/>
          <w:highlight w:val="none"/>
        </w:rPr>
        <w:t>2</w:t>
      </w:r>
      <w:r>
        <w:rPr>
          <w:rFonts w:hint="eastAsia" w:ascii="宋体" w:hAnsi="宋体" w:eastAsia="宋体" w:cs="宋体"/>
          <w:color w:val="auto"/>
          <w:sz w:val="24"/>
          <w:szCs w:val="24"/>
          <w:highlight w:val="none"/>
        </w:rPr>
        <w:t xml:space="preserve">供应商有以下情形之一的，其磋商作无效标处理： </w:t>
      </w:r>
    </w:p>
    <w:p w14:paraId="26DD42A6">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（1）串通磋商或弄虚作假或有其他违法行为的； </w:t>
      </w:r>
    </w:p>
    <w:p w14:paraId="6FD4ACAF">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（2）不按磋商小组要求澄清、说明或补正的。 </w:t>
      </w:r>
    </w:p>
    <w:p w14:paraId="1EE46BDA">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4.1.</w:t>
      </w:r>
      <w:r>
        <w:rPr>
          <w:rFonts w:ascii="宋体" w:hAnsi="宋体" w:eastAsia="宋体" w:cs="宋体"/>
          <w:color w:val="auto"/>
          <w:sz w:val="24"/>
          <w:szCs w:val="24"/>
          <w:highlight w:val="none"/>
        </w:rPr>
        <w:t>3</w:t>
      </w:r>
      <w:r>
        <w:rPr>
          <w:rFonts w:hint="eastAsia" w:ascii="宋体" w:hAnsi="宋体" w:eastAsia="宋体" w:cs="宋体"/>
          <w:color w:val="auto"/>
          <w:sz w:val="24"/>
          <w:szCs w:val="24"/>
          <w:highlight w:val="none"/>
        </w:rPr>
        <w:t xml:space="preserve">磋商报价有算术错误的，磋商小组按以下原则对磋商报价进行修正，修正的价格经供应商确认后具有约束力。供应商不接受修正价格的，其磋商作废标处理。 </w:t>
      </w:r>
    </w:p>
    <w:p w14:paraId="14538EC8">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（1）磋商文件中的大写金额与小写金额不一致的，以大写金额为准； </w:t>
      </w:r>
    </w:p>
    <w:p w14:paraId="58130E7B">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（2）总价金额与依据单价计算出的结果不一致的，以单价金额为准修正总价，但单价金额小数点有明显错误的除外。</w:t>
      </w:r>
    </w:p>
    <w:p w14:paraId="456D5E3F">
      <w:pPr>
        <w:spacing w:line="460" w:lineRule="exact"/>
        <w:ind w:firstLine="482" w:firstLineChars="200"/>
        <w:jc w:val="left"/>
        <w:outlineLvl w:val="2"/>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4.2详细评审 </w:t>
      </w:r>
    </w:p>
    <w:p w14:paraId="27DE9A19">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4.2.1磋商小组按本章评标办法前附表规定的量化因素和分值进行打分，并计算出综合评估得分。</w:t>
      </w:r>
    </w:p>
    <w:p w14:paraId="5E83843B">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4.2.2在评审过程中，磋商小组发现供应商的磋商报价明显低于其他供应商的报价，并有可能低于其企业成本的，则磋商小组可以要求该供应商作出说明并提供相关证明材料。供应商不能合理说明或不能提供相关证明材料的，经磋商小组</w:t>
      </w:r>
      <w:r>
        <w:rPr>
          <w:rFonts w:hint="eastAsia" w:ascii="宋体" w:hAnsi="宋体" w:eastAsia="宋体" w:cs="宋体"/>
          <w:color w:val="auto"/>
          <w:spacing w:val="6"/>
          <w:sz w:val="24"/>
          <w:szCs w:val="20"/>
          <w:highlight w:val="none"/>
        </w:rPr>
        <w:t>小组认定，属于恶性竞标的，可以按废标处理；磋商小组将不对无效响应文件或废标的供应商进行评审或打分。</w:t>
      </w:r>
      <w:r>
        <w:rPr>
          <w:rFonts w:hint="eastAsia" w:ascii="宋体" w:hAnsi="宋体" w:eastAsia="宋体" w:cs="宋体"/>
          <w:color w:val="auto"/>
          <w:sz w:val="24"/>
          <w:szCs w:val="24"/>
          <w:highlight w:val="none"/>
        </w:rPr>
        <w:t xml:space="preserve"> </w:t>
      </w:r>
    </w:p>
    <w:p w14:paraId="5E5472A9">
      <w:pPr>
        <w:spacing w:line="460" w:lineRule="exact"/>
        <w:ind w:firstLine="482" w:firstLineChars="200"/>
        <w:jc w:val="left"/>
        <w:outlineLvl w:val="2"/>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4.3磋商文件的澄清和补正 </w:t>
      </w:r>
    </w:p>
    <w:p w14:paraId="76059D7E">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4.3.1在磋商过程中，磋商小组可以要求供应商对所提交磋商响应文件中不明确的内容进行澄清或说明，或者对细微偏差进行补正。磋商小组不接受供应商主动提出的澄清、说明或补正。 </w:t>
      </w:r>
    </w:p>
    <w:p w14:paraId="66B1DC62">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4.3.2澄清、说明和补正不得改变磋商文件的实质性内容（算术性错误修正的除外）。供应商的澄清、说明和补正属于磋商响应文件的组成部分。 </w:t>
      </w:r>
    </w:p>
    <w:p w14:paraId="1A0DD77E">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4.3.3磋商小组对供应商提交的澄清、说明或补正有疑问的，可以要求供应商进一步澄清、说明或补正，直至满足磋商小组的要求。 </w:t>
      </w:r>
    </w:p>
    <w:p w14:paraId="0CD2B1F8">
      <w:pPr>
        <w:spacing w:line="460" w:lineRule="exact"/>
        <w:ind w:firstLine="482" w:firstLineChars="200"/>
        <w:jc w:val="left"/>
        <w:outlineLvl w:val="2"/>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4.4、计分办法</w:t>
      </w:r>
    </w:p>
    <w:p w14:paraId="1EE93D5B">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根据磋商文件、响应文件，按照评分办法，得出每个评委对响应单位的评标分数。响应单位的最终得分为所有评委对其打分的算术平均值。计分过程按四舍五入取至小数点后两位，最终得分取至小数点后二位。</w:t>
      </w:r>
    </w:p>
    <w:p w14:paraId="5361B5C1">
      <w:pPr>
        <w:spacing w:line="460" w:lineRule="exact"/>
        <w:ind w:firstLine="482" w:firstLineChars="200"/>
        <w:jc w:val="left"/>
        <w:outlineLvl w:val="2"/>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4.5  磋商结果</w:t>
      </w:r>
    </w:p>
    <w:p w14:paraId="1162D0D5">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磋商小组按照得分由高到低的顺序推荐3名中标候选人。磋商小组完成磋商后，应当向采购人提交磋商报告。</w:t>
      </w:r>
    </w:p>
    <w:p w14:paraId="76320852">
      <w:pPr>
        <w:spacing w:line="460" w:lineRule="exact"/>
        <w:ind w:firstLine="482" w:firstLineChars="200"/>
        <w:jc w:val="left"/>
        <w:outlineLvl w:val="2"/>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4.6 定标办法</w:t>
      </w:r>
    </w:p>
    <w:p w14:paraId="2A22B84D">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（1）磋商小组应当根据供应商最终得分由高到低的顺序推荐3名成交候选供应商，出具磋商评审报告。</w:t>
      </w:r>
    </w:p>
    <w:p w14:paraId="165598C2">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最终得分相同的，按照最后报价由低到高的顺序推荐。最终得分和最后报价均相同的，按照技术指标优劣顺序或磋商小组举手表决，少数服从多数的原则推荐。</w:t>
      </w:r>
    </w:p>
    <w:p w14:paraId="0B8BB1DE">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（2）采购人按磋商小组写出磋商报告确定排序第一的响应单位为成交人。</w:t>
      </w:r>
    </w:p>
    <w:p w14:paraId="4BF4599C">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成交供应商拒绝签订政府采购合同的，采购人可以按照“财库【2014】214号”文第二十八条第二款规定的原则确定其他供应商作为成交供应商并签订政府采购合同，也可以重新开展采购活动。拒绝签订政府采购合同的成交供应商不得参加对该项目重新开展的采购活动。</w:t>
      </w:r>
    </w:p>
    <w:p w14:paraId="556A74EF">
      <w:pPr>
        <w:spacing w:line="360" w:lineRule="auto"/>
        <w:ind w:firstLine="456" w:firstLineChars="200"/>
        <w:jc w:val="left"/>
        <w:rPr>
          <w:color w:val="auto"/>
          <w:highlight w:val="none"/>
        </w:rPr>
      </w:pPr>
      <w:r>
        <w:rPr>
          <w:rFonts w:hint="eastAsia" w:ascii="宋体" w:hAnsi="宋体" w:cs="宋体"/>
          <w:color w:val="auto"/>
          <w:spacing w:val="-6"/>
          <w:kern w:val="0"/>
          <w:sz w:val="24"/>
          <w:highlight w:val="none"/>
        </w:rPr>
        <w:br w:type="page"/>
      </w:r>
    </w:p>
    <w:p w14:paraId="7A20D470">
      <w:pPr>
        <w:pStyle w:val="4"/>
        <w:bidi w:val="0"/>
        <w:jc w:val="center"/>
        <w:outlineLvl w:val="0"/>
        <w:rPr>
          <w:color w:val="auto"/>
          <w:highlight w:val="none"/>
        </w:rPr>
      </w:pPr>
      <w:bookmarkStart w:id="177" w:name="_Toc26959_WPSOffice_Level1"/>
      <w:bookmarkStart w:id="178" w:name="_Toc11512_WPSOffice_Level1"/>
      <w:bookmarkStart w:id="179" w:name="_Toc333"/>
      <w:bookmarkStart w:id="180" w:name="_Toc13565_WPSOffice_Level1"/>
      <w:bookmarkStart w:id="181" w:name="_Toc8518"/>
      <w:bookmarkStart w:id="182" w:name="_Toc2414"/>
      <w:bookmarkStart w:id="183" w:name="_Toc6551_WPSOffice_Level1"/>
      <w:bookmarkStart w:id="184" w:name="_Toc17744"/>
      <w:r>
        <w:rPr>
          <w:rFonts w:hint="eastAsia"/>
          <w:color w:val="auto"/>
          <w:highlight w:val="none"/>
        </w:rPr>
        <w:t>第四章  合同主要条款及格式</w:t>
      </w:r>
      <w:bookmarkEnd w:id="177"/>
      <w:bookmarkEnd w:id="178"/>
      <w:bookmarkEnd w:id="179"/>
      <w:bookmarkEnd w:id="180"/>
      <w:bookmarkEnd w:id="181"/>
      <w:bookmarkEnd w:id="182"/>
      <w:bookmarkEnd w:id="183"/>
      <w:bookmarkEnd w:id="184"/>
    </w:p>
    <w:p w14:paraId="107477EE">
      <w:pPr>
        <w:widowControl/>
        <w:jc w:val="left"/>
        <w:rPr>
          <w:rFonts w:ascii="宋体" w:hAnsi="宋体" w:eastAsia="宋体" w:cs="宋体"/>
          <w:color w:val="auto"/>
          <w:kern w:val="0"/>
          <w:sz w:val="24"/>
          <w:szCs w:val="24"/>
          <w:highlight w:val="none"/>
        </w:rPr>
      </w:pPr>
    </w:p>
    <w:p w14:paraId="4EBCAE8A">
      <w:pPr>
        <w:widowControl/>
        <w:jc w:val="left"/>
        <w:rPr>
          <w:rFonts w:ascii="宋体" w:hAnsi="宋体" w:eastAsia="宋体" w:cs="宋体"/>
          <w:color w:val="auto"/>
          <w:kern w:val="0"/>
          <w:sz w:val="24"/>
          <w:szCs w:val="24"/>
          <w:highlight w:val="none"/>
        </w:rPr>
      </w:pPr>
    </w:p>
    <w:p w14:paraId="5A539A5D">
      <w:pPr>
        <w:widowControl/>
        <w:spacing w:line="360" w:lineRule="auto"/>
        <w:ind w:firstLine="482" w:firstLineChars="200"/>
        <w:jc w:val="left"/>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由项目采购单位与成交单位根据本磋商文件、成交单位响应文件及成交通知书，协商签订本项目采购合同。</w:t>
      </w:r>
    </w:p>
    <w:p w14:paraId="5BC2E78D">
      <w:pPr>
        <w:pStyle w:val="6"/>
        <w:rPr>
          <w:rFonts w:hint="eastAsia" w:ascii="宋体" w:hAnsi="宋体" w:cs="宋体"/>
          <w:b/>
          <w:bCs/>
          <w:color w:val="auto"/>
          <w:sz w:val="24"/>
          <w:szCs w:val="24"/>
          <w:highlight w:val="none"/>
        </w:rPr>
      </w:pPr>
    </w:p>
    <w:p w14:paraId="3DB48A9A">
      <w:pPr>
        <w:pStyle w:val="6"/>
        <w:spacing w:after="0"/>
        <w:jc w:val="center"/>
        <w:rPr>
          <w:rFonts w:hint="eastAsia" w:ascii="宋体" w:hAnsi="宋体" w:eastAsia="宋体" w:cs="宋体"/>
          <w:b/>
          <w:bCs/>
          <w:color w:val="auto"/>
          <w:spacing w:val="-20"/>
          <w:kern w:val="44"/>
          <w:sz w:val="24"/>
          <w:szCs w:val="24"/>
          <w:highlight w:val="none"/>
        </w:rPr>
      </w:pPr>
    </w:p>
    <w:p w14:paraId="79AFE9EB">
      <w:pPr>
        <w:pStyle w:val="6"/>
        <w:spacing w:after="0"/>
        <w:jc w:val="center"/>
        <w:rPr>
          <w:rFonts w:hint="eastAsia" w:ascii="宋体" w:hAnsi="宋体" w:eastAsia="宋体" w:cs="宋体"/>
          <w:b/>
          <w:bCs/>
          <w:color w:val="auto"/>
          <w:spacing w:val="-20"/>
          <w:kern w:val="44"/>
          <w:sz w:val="24"/>
          <w:szCs w:val="24"/>
          <w:highlight w:val="none"/>
        </w:rPr>
      </w:pPr>
    </w:p>
    <w:p w14:paraId="5D5E94FC">
      <w:pPr>
        <w:pStyle w:val="6"/>
        <w:spacing w:after="0"/>
        <w:jc w:val="center"/>
        <w:rPr>
          <w:rFonts w:hint="eastAsia" w:ascii="宋体" w:hAnsi="宋体" w:eastAsia="宋体" w:cs="宋体"/>
          <w:b/>
          <w:bCs/>
          <w:color w:val="auto"/>
          <w:spacing w:val="-20"/>
          <w:kern w:val="44"/>
          <w:sz w:val="24"/>
          <w:szCs w:val="24"/>
          <w:highlight w:val="none"/>
        </w:rPr>
      </w:pPr>
    </w:p>
    <w:p w14:paraId="338890B0">
      <w:pPr>
        <w:pStyle w:val="6"/>
        <w:spacing w:after="0"/>
        <w:jc w:val="center"/>
        <w:rPr>
          <w:rFonts w:hint="eastAsia" w:ascii="宋体" w:hAnsi="宋体" w:eastAsia="宋体" w:cs="宋体"/>
          <w:b/>
          <w:bCs/>
          <w:color w:val="auto"/>
          <w:spacing w:val="-20"/>
          <w:kern w:val="44"/>
          <w:sz w:val="24"/>
          <w:szCs w:val="24"/>
          <w:highlight w:val="none"/>
        </w:rPr>
      </w:pPr>
    </w:p>
    <w:p w14:paraId="1148A843">
      <w:pPr>
        <w:pStyle w:val="6"/>
        <w:spacing w:after="0"/>
        <w:jc w:val="center"/>
        <w:rPr>
          <w:rFonts w:hint="eastAsia" w:ascii="宋体" w:hAnsi="宋体" w:eastAsia="宋体" w:cs="宋体"/>
          <w:b/>
          <w:bCs/>
          <w:color w:val="auto"/>
          <w:spacing w:val="-20"/>
          <w:kern w:val="44"/>
          <w:sz w:val="24"/>
          <w:szCs w:val="24"/>
          <w:highlight w:val="none"/>
        </w:rPr>
      </w:pPr>
    </w:p>
    <w:p w14:paraId="530F3591">
      <w:pPr>
        <w:pStyle w:val="6"/>
        <w:spacing w:after="0"/>
        <w:jc w:val="center"/>
        <w:rPr>
          <w:rFonts w:hint="eastAsia" w:ascii="宋体" w:hAnsi="宋体" w:eastAsia="宋体" w:cs="宋体"/>
          <w:b/>
          <w:bCs/>
          <w:color w:val="auto"/>
          <w:spacing w:val="-20"/>
          <w:kern w:val="44"/>
          <w:sz w:val="24"/>
          <w:szCs w:val="24"/>
          <w:highlight w:val="none"/>
        </w:rPr>
      </w:pPr>
    </w:p>
    <w:p w14:paraId="642B3F50">
      <w:pPr>
        <w:pStyle w:val="6"/>
        <w:spacing w:after="0"/>
        <w:jc w:val="center"/>
        <w:rPr>
          <w:rFonts w:hint="eastAsia" w:ascii="宋体" w:hAnsi="宋体" w:eastAsia="宋体" w:cs="宋体"/>
          <w:b/>
          <w:bCs/>
          <w:color w:val="auto"/>
          <w:spacing w:val="-20"/>
          <w:kern w:val="44"/>
          <w:sz w:val="24"/>
          <w:szCs w:val="24"/>
          <w:highlight w:val="none"/>
        </w:rPr>
      </w:pPr>
    </w:p>
    <w:p w14:paraId="313BC971">
      <w:pPr>
        <w:pStyle w:val="6"/>
        <w:spacing w:after="0"/>
        <w:jc w:val="center"/>
        <w:rPr>
          <w:rFonts w:hint="eastAsia" w:ascii="宋体" w:hAnsi="宋体" w:eastAsia="宋体" w:cs="宋体"/>
          <w:b/>
          <w:bCs/>
          <w:color w:val="auto"/>
          <w:spacing w:val="-20"/>
          <w:kern w:val="44"/>
          <w:sz w:val="24"/>
          <w:szCs w:val="24"/>
          <w:highlight w:val="none"/>
        </w:rPr>
      </w:pPr>
      <w:r>
        <w:rPr>
          <w:rFonts w:hint="eastAsia" w:ascii="宋体" w:hAnsi="宋体" w:eastAsia="宋体" w:cs="宋体"/>
          <w:b/>
          <w:bCs/>
          <w:color w:val="auto"/>
          <w:spacing w:val="-20"/>
          <w:kern w:val="44"/>
          <w:sz w:val="24"/>
          <w:szCs w:val="24"/>
          <w:highlight w:val="none"/>
        </w:rPr>
        <w:t>政府采购</w:t>
      </w:r>
      <w:r>
        <w:rPr>
          <w:rFonts w:hint="eastAsia" w:ascii="宋体" w:hAnsi="宋体" w:eastAsia="宋体" w:cs="宋体"/>
          <w:b/>
          <w:bCs/>
          <w:color w:val="auto"/>
          <w:spacing w:val="-20"/>
          <w:kern w:val="44"/>
          <w:sz w:val="24"/>
          <w:szCs w:val="24"/>
          <w:highlight w:val="none"/>
          <w:lang w:eastAsia="zh-CN"/>
        </w:rPr>
        <w:t>货物买卖</w:t>
      </w:r>
      <w:r>
        <w:rPr>
          <w:rFonts w:hint="eastAsia" w:ascii="宋体" w:hAnsi="宋体" w:eastAsia="宋体" w:cs="宋体"/>
          <w:b/>
          <w:bCs/>
          <w:color w:val="auto"/>
          <w:spacing w:val="-20"/>
          <w:kern w:val="44"/>
          <w:sz w:val="24"/>
          <w:szCs w:val="24"/>
          <w:highlight w:val="none"/>
        </w:rPr>
        <w:t>合同</w:t>
      </w:r>
    </w:p>
    <w:p w14:paraId="6E00C1B2">
      <w:pPr>
        <w:pStyle w:val="6"/>
        <w:spacing w:after="0"/>
        <w:jc w:val="center"/>
        <w:rPr>
          <w:rFonts w:hint="eastAsia" w:ascii="宋体" w:hAnsi="宋体" w:eastAsia="宋体" w:cs="宋体"/>
          <w:b/>
          <w:bCs/>
          <w:color w:val="auto"/>
          <w:spacing w:val="-20"/>
          <w:kern w:val="44"/>
          <w:sz w:val="24"/>
          <w:szCs w:val="24"/>
          <w:highlight w:val="none"/>
          <w:lang w:eastAsia="zh-CN"/>
        </w:rPr>
      </w:pPr>
      <w:r>
        <w:rPr>
          <w:rFonts w:hint="eastAsia" w:ascii="宋体" w:hAnsi="宋体" w:eastAsia="宋体" w:cs="宋体"/>
          <w:b/>
          <w:bCs/>
          <w:color w:val="auto"/>
          <w:spacing w:val="-20"/>
          <w:kern w:val="44"/>
          <w:sz w:val="24"/>
          <w:szCs w:val="24"/>
          <w:highlight w:val="none"/>
          <w:lang w:eastAsia="zh-CN"/>
        </w:rPr>
        <w:t>（试行）</w:t>
      </w:r>
    </w:p>
    <w:p w14:paraId="2F72A1B5">
      <w:pPr>
        <w:rPr>
          <w:rFonts w:hint="eastAsia" w:ascii="宋体" w:hAnsi="宋体" w:eastAsia="宋体" w:cs="宋体"/>
          <w:b/>
          <w:bCs/>
          <w:color w:val="auto"/>
          <w:spacing w:val="-20"/>
          <w:kern w:val="44"/>
          <w:sz w:val="24"/>
          <w:szCs w:val="24"/>
          <w:highlight w:val="none"/>
        </w:rPr>
      </w:pPr>
    </w:p>
    <w:p w14:paraId="69A3E503">
      <w:pPr>
        <w:rPr>
          <w:rFonts w:hint="eastAsia" w:ascii="宋体" w:hAnsi="宋体" w:eastAsia="宋体" w:cs="宋体"/>
          <w:b/>
          <w:bCs/>
          <w:color w:val="auto"/>
          <w:spacing w:val="-20"/>
          <w:kern w:val="44"/>
          <w:sz w:val="24"/>
          <w:szCs w:val="24"/>
          <w:highlight w:val="none"/>
        </w:rPr>
      </w:pPr>
    </w:p>
    <w:p w14:paraId="38989E29">
      <w:pPr>
        <w:rPr>
          <w:rFonts w:hint="eastAsia" w:ascii="宋体" w:hAnsi="宋体" w:eastAsia="宋体" w:cs="宋体"/>
          <w:b/>
          <w:bCs/>
          <w:color w:val="auto"/>
          <w:spacing w:val="-20"/>
          <w:kern w:val="44"/>
          <w:sz w:val="24"/>
          <w:szCs w:val="24"/>
          <w:highlight w:val="none"/>
        </w:rPr>
      </w:pPr>
    </w:p>
    <w:p w14:paraId="66266A11">
      <w:pPr>
        <w:spacing w:line="360" w:lineRule="auto"/>
        <w:ind w:left="420" w:left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项目名称：</w:t>
      </w:r>
      <w:r>
        <w:rPr>
          <w:rFonts w:hint="eastAsia" w:ascii="宋体" w:hAnsi="宋体" w:eastAsia="宋体" w:cs="宋体"/>
          <w:color w:val="auto"/>
          <w:sz w:val="24"/>
          <w:szCs w:val="24"/>
          <w:highlight w:val="none"/>
          <w:u w:val="single"/>
        </w:rPr>
        <w:t xml:space="preserve">                             </w:t>
      </w:r>
    </w:p>
    <w:p w14:paraId="772AE816">
      <w:pPr>
        <w:spacing w:line="360" w:lineRule="auto"/>
        <w:ind w:left="420" w:left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合同编号：</w:t>
      </w:r>
      <w:r>
        <w:rPr>
          <w:rFonts w:hint="eastAsia" w:ascii="宋体" w:hAnsi="宋体" w:eastAsia="宋体" w:cs="宋体"/>
          <w:color w:val="auto"/>
          <w:sz w:val="24"/>
          <w:szCs w:val="24"/>
          <w:highlight w:val="none"/>
          <w:u w:val="single"/>
        </w:rPr>
        <w:t xml:space="preserve">                             </w:t>
      </w:r>
    </w:p>
    <w:p w14:paraId="13386855">
      <w:pPr>
        <w:spacing w:line="360" w:lineRule="auto"/>
        <w:ind w:left="420" w:left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    方：</w:t>
      </w:r>
      <w:r>
        <w:rPr>
          <w:rFonts w:hint="eastAsia" w:ascii="宋体" w:hAnsi="宋体" w:eastAsia="宋体" w:cs="宋体"/>
          <w:color w:val="auto"/>
          <w:sz w:val="24"/>
          <w:szCs w:val="24"/>
          <w:highlight w:val="none"/>
          <w:u w:val="single"/>
        </w:rPr>
        <w:t xml:space="preserve">                             </w:t>
      </w:r>
    </w:p>
    <w:p w14:paraId="1296B27A">
      <w:pPr>
        <w:spacing w:line="360" w:lineRule="auto"/>
        <w:ind w:left="420" w:left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乙    方：</w:t>
      </w:r>
      <w:r>
        <w:rPr>
          <w:rFonts w:hint="eastAsia" w:ascii="宋体" w:hAnsi="宋体" w:eastAsia="宋体" w:cs="宋体"/>
          <w:color w:val="auto"/>
          <w:sz w:val="24"/>
          <w:szCs w:val="24"/>
          <w:highlight w:val="none"/>
          <w:u w:val="single"/>
        </w:rPr>
        <w:t xml:space="preserve">                             </w:t>
      </w:r>
    </w:p>
    <w:p w14:paraId="12E0B16B">
      <w:pPr>
        <w:spacing w:line="360" w:lineRule="auto"/>
        <w:ind w:left="420" w:left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签订时间：</w:t>
      </w:r>
      <w:r>
        <w:rPr>
          <w:rFonts w:hint="eastAsia" w:ascii="宋体" w:hAnsi="宋体" w:eastAsia="宋体" w:cs="宋体"/>
          <w:color w:val="auto"/>
          <w:sz w:val="24"/>
          <w:szCs w:val="24"/>
          <w:highlight w:val="none"/>
          <w:u w:val="single"/>
        </w:rPr>
        <w:t xml:space="preserve">                             </w:t>
      </w:r>
    </w:p>
    <w:p w14:paraId="216382ED">
      <w:pPr>
        <w:rPr>
          <w:rFonts w:hint="eastAsia" w:ascii="宋体" w:hAnsi="宋体" w:eastAsia="宋体" w:cs="宋体"/>
          <w:color w:val="auto"/>
          <w:sz w:val="24"/>
          <w:szCs w:val="24"/>
          <w:highlight w:val="none"/>
        </w:rPr>
      </w:pPr>
    </w:p>
    <w:p w14:paraId="0C183264">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334D2E78">
      <w:pPr>
        <w:rPr>
          <w:rFonts w:hint="eastAsia" w:ascii="宋体" w:hAnsi="宋体" w:eastAsia="宋体" w:cs="宋体"/>
          <w:color w:val="auto"/>
          <w:sz w:val="24"/>
          <w:szCs w:val="24"/>
          <w:highlight w:val="none"/>
        </w:rPr>
      </w:pPr>
    </w:p>
    <w:p w14:paraId="0B8D0802">
      <w:pPr>
        <w:rPr>
          <w:rFonts w:hint="eastAsia" w:ascii="宋体" w:hAnsi="宋体" w:eastAsia="宋体" w:cs="宋体"/>
          <w:color w:val="auto"/>
          <w:sz w:val="24"/>
          <w:szCs w:val="24"/>
          <w:highlight w:val="none"/>
        </w:rPr>
      </w:pPr>
    </w:p>
    <w:p w14:paraId="6A7EC05C">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使</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用</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明</w:t>
      </w:r>
    </w:p>
    <w:p w14:paraId="4DED460D">
      <w:pPr>
        <w:ind w:firstLine="480" w:firstLineChars="200"/>
        <w:rPr>
          <w:rFonts w:hint="eastAsia" w:ascii="宋体" w:hAnsi="宋体" w:eastAsia="宋体" w:cs="宋体"/>
          <w:color w:val="auto"/>
          <w:sz w:val="24"/>
          <w:szCs w:val="24"/>
          <w:highlight w:val="none"/>
          <w:lang w:val="en-US" w:eastAsia="zh-CN"/>
        </w:rPr>
      </w:pPr>
    </w:p>
    <w:p w14:paraId="57FF9C6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1.本合同标准文本适用于购买现成货物的采购项目，不包括需要供应商定制开发、创新研发的货物采购项目。</w:t>
      </w:r>
    </w:p>
    <w:p w14:paraId="5BA8F13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2.本合同标准文本为政府采购货物买卖合同编制提供参考，可以结合采购项目具体情况，对文本作必要的调整修订后使用。</w:t>
      </w:r>
    </w:p>
    <w:p w14:paraId="424AE3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3.本合同标准文本各条款中，如涉及填写多家供应商、制造商，多种采购标的、分包主要内容等信息的，可根据采购项目具体情况添加信息项。</w:t>
      </w:r>
    </w:p>
    <w:p w14:paraId="0813088F">
      <w:pPr>
        <w:ind w:firstLine="480" w:firstLineChars="200"/>
        <w:jc w:val="both"/>
        <w:rPr>
          <w:rFonts w:hint="eastAsia" w:ascii="宋体" w:hAnsi="宋体" w:eastAsia="宋体" w:cs="宋体"/>
          <w:color w:val="auto"/>
          <w:sz w:val="24"/>
          <w:szCs w:val="24"/>
          <w:highlight w:val="none"/>
        </w:rPr>
        <w:sectPr>
          <w:headerReference r:id="rId9" w:type="default"/>
          <w:footerReference r:id="rId10"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5EBDE27B">
      <w:pPr>
        <w:pStyle w:val="3"/>
        <w:adjustRightInd w:val="0"/>
        <w:snapToGrid w:val="0"/>
        <w:spacing w:beforeLines="0" w:line="400" w:lineRule="exact"/>
        <w:jc w:val="center"/>
        <w:rPr>
          <w:rFonts w:hint="eastAsia" w:ascii="宋体" w:hAnsi="宋体" w:eastAsia="宋体" w:cs="宋体"/>
          <w:b w:val="0"/>
          <w:bCs w:val="0"/>
          <w:color w:val="auto"/>
          <w:sz w:val="24"/>
          <w:szCs w:val="24"/>
          <w:highlight w:val="none"/>
        </w:rPr>
      </w:pPr>
      <w:bookmarkStart w:id="185" w:name="_Toc22209"/>
      <w:r>
        <w:rPr>
          <w:rFonts w:hint="eastAsia" w:ascii="宋体" w:hAnsi="宋体" w:eastAsia="宋体" w:cs="宋体"/>
          <w:b w:val="0"/>
          <w:bCs w:val="0"/>
          <w:color w:val="auto"/>
          <w:sz w:val="24"/>
          <w:szCs w:val="24"/>
          <w:highlight w:val="none"/>
        </w:rPr>
        <w:t>第一节 政府采购合同协议书</w:t>
      </w:r>
      <w:bookmarkEnd w:id="185"/>
    </w:p>
    <w:p w14:paraId="3DFA197E">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（采购人</w:t>
      </w:r>
      <w:r>
        <w:rPr>
          <w:rFonts w:hint="eastAsia" w:ascii="宋体" w:hAnsi="宋体" w:eastAsia="宋体" w:cs="宋体"/>
          <w:color w:val="auto"/>
          <w:sz w:val="24"/>
          <w:szCs w:val="24"/>
          <w:highlight w:val="none"/>
          <w:lang w:eastAsia="zh-CN"/>
        </w:rPr>
        <w:t>、受采购人委托签订合同的单位</w:t>
      </w:r>
      <w:r>
        <w:rPr>
          <w:rFonts w:hint="eastAsia" w:ascii="宋体" w:hAnsi="宋体" w:eastAsia="宋体" w:cs="宋体"/>
          <w:color w:val="auto"/>
          <w:sz w:val="24"/>
          <w:szCs w:val="24"/>
          <w:highlight w:val="none"/>
        </w:rPr>
        <w:t>或采购</w:t>
      </w:r>
      <w:r>
        <w:rPr>
          <w:rFonts w:hint="eastAsia" w:ascii="宋体" w:hAnsi="宋体" w:eastAsia="宋体" w:cs="宋体"/>
          <w:color w:val="auto"/>
          <w:sz w:val="24"/>
          <w:szCs w:val="24"/>
          <w:highlight w:val="none"/>
          <w:lang w:val="en-US" w:eastAsia="zh-CN"/>
        </w:rPr>
        <w:tab/>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文件约定的合同甲方）</w:t>
      </w:r>
    </w:p>
    <w:p w14:paraId="50F3FDD6">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（供应商）</w:t>
      </w:r>
    </w:p>
    <w:p w14:paraId="3D4B4AC6">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乙方2（全称）：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（联合体成员供应商或其他合同主体）（如有）</w:t>
      </w:r>
    </w:p>
    <w:p w14:paraId="7F82875D">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lang w:val="en-US" w:eastAsia="zh-CN"/>
        </w:rPr>
        <w:t>3（全称）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（联合体成员供应商或其他合同主体）（如有）</w:t>
      </w:r>
    </w:p>
    <w:p w14:paraId="251C473A">
      <w:pPr>
        <w:pStyle w:val="7"/>
        <w:keepNext w:val="0"/>
        <w:keepLines w:val="0"/>
        <w:pageBreakBefore w:val="0"/>
        <w:kinsoku/>
        <w:wordWrap/>
        <w:overflowPunct/>
        <w:topLinePunct w:val="0"/>
        <w:bidi w:val="0"/>
        <w:adjustRightInd w:val="0"/>
        <w:snapToGrid w:val="0"/>
        <w:spacing w:before="0" w:beforeLines="0" w:after="0"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依据《中华人民共和国民法典》</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《中华人民共和国政府采购法》等有关的法律法规，以及</w:t>
      </w:r>
      <w:r>
        <w:rPr>
          <w:rFonts w:hint="eastAsia" w:ascii="宋体" w:hAnsi="宋体" w:eastAsia="宋体" w:cs="宋体"/>
          <w:i w:val="0"/>
          <w:iCs w:val="0"/>
          <w:color w:val="auto"/>
          <w:sz w:val="24"/>
          <w:szCs w:val="24"/>
          <w:highlight w:val="none"/>
          <w:u w:val="none"/>
          <w:lang w:eastAsia="zh-CN"/>
        </w:rPr>
        <w:t>本采购项目</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lang w:val="en-US" w:eastAsia="zh-CN"/>
        </w:rPr>
        <w:t>/谈判</w:t>
      </w:r>
      <w:r>
        <w:rPr>
          <w:rFonts w:hint="eastAsia" w:ascii="宋体" w:hAnsi="宋体" w:eastAsia="宋体" w:cs="宋体"/>
          <w:color w:val="auto"/>
          <w:sz w:val="24"/>
          <w:szCs w:val="24"/>
          <w:highlight w:val="none"/>
          <w:lang w:eastAsia="zh-CN"/>
        </w:rPr>
        <w:t>文件等</w:t>
      </w:r>
      <w:r>
        <w:rPr>
          <w:rFonts w:hint="eastAsia" w:ascii="宋体" w:hAnsi="宋体" w:eastAsia="宋体" w:cs="宋体"/>
          <w:color w:val="auto"/>
          <w:sz w:val="24"/>
          <w:szCs w:val="24"/>
          <w:highlight w:val="none"/>
        </w:rPr>
        <w:t>采购文件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乙方的《投标（响应）文件》及《中标（成交）通知书》，甲乙双方同意签订本合同。具体情况及要求如下：     </w:t>
      </w:r>
    </w:p>
    <w:p w14:paraId="57B7F747">
      <w:pPr>
        <w:keepNext w:val="0"/>
        <w:keepLines w:val="0"/>
        <w:pageBreakBefore w:val="0"/>
        <w:numPr>
          <w:ilvl w:val="0"/>
          <w:numId w:val="1"/>
        </w:numPr>
        <w:kinsoku/>
        <w:wordWrap/>
        <w:overflowPunct/>
        <w:topLinePunct w:val="0"/>
        <w:bidi w:val="0"/>
        <w:adjustRightInd w:val="0"/>
        <w:snapToGrid w:val="0"/>
        <w:spacing w:before="0" w:beforeLines="0"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项目信息</w:t>
      </w:r>
    </w:p>
    <w:p w14:paraId="751D48D6">
      <w:pPr>
        <w:pStyle w:val="7"/>
        <w:keepNext w:val="0"/>
        <w:keepLines w:val="0"/>
        <w:pageBreakBefore w:val="0"/>
        <w:numPr>
          <w:ilvl w:val="0"/>
          <w:numId w:val="2"/>
        </w:numPr>
        <w:kinsoku/>
        <w:wordWrap/>
        <w:overflowPunct/>
        <w:topLinePunct w:val="0"/>
        <w:bidi w:val="0"/>
        <w:adjustRightInd w:val="0"/>
        <w:snapToGrid w:val="0"/>
        <w:spacing w:before="0" w:beforeLines="0" w:after="0" w:line="360" w:lineRule="auto"/>
        <w:ind w:left="0" w:leftChars="0"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采购项目名称：</w:t>
      </w:r>
      <w:r>
        <w:rPr>
          <w:rFonts w:hint="eastAsia" w:ascii="宋体" w:hAnsi="宋体" w:eastAsia="宋体" w:cs="宋体"/>
          <w:color w:val="auto"/>
          <w:sz w:val="24"/>
          <w:szCs w:val="24"/>
          <w:highlight w:val="none"/>
          <w:u w:val="single"/>
        </w:rPr>
        <w:t xml:space="preserve">                                          </w:t>
      </w:r>
    </w:p>
    <w:p w14:paraId="0BF87325">
      <w:pPr>
        <w:pStyle w:val="7"/>
        <w:keepNext w:val="0"/>
        <w:keepLines w:val="0"/>
        <w:pageBreakBefore w:val="0"/>
        <w:numPr>
          <w:ilvl w:val="-1"/>
          <w:numId w:val="0"/>
        </w:numPr>
        <w:tabs>
          <w:tab w:val="left" w:pos="999"/>
        </w:tabs>
        <w:kinsoku/>
        <w:wordWrap/>
        <w:overflowPunct/>
        <w:topLinePunct w:val="0"/>
        <w:bidi w:val="0"/>
        <w:adjustRightInd w:val="0"/>
        <w:snapToGrid w:val="0"/>
        <w:spacing w:before="0" w:beforeLines="0" w:after="0" w:line="360" w:lineRule="auto"/>
        <w:ind w:left="0" w:leftChars="0" w:firstLine="480" w:firstLineChars="200"/>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采购项目编号：</w:t>
      </w:r>
      <w:r>
        <w:rPr>
          <w:rFonts w:hint="eastAsia" w:ascii="宋体" w:hAnsi="宋体" w:eastAsia="宋体" w:cs="宋体"/>
          <w:color w:val="auto"/>
          <w:sz w:val="24"/>
          <w:szCs w:val="24"/>
          <w:highlight w:val="none"/>
          <w:u w:val="single"/>
        </w:rPr>
        <w:t xml:space="preserve">                                          </w:t>
      </w:r>
    </w:p>
    <w:p w14:paraId="78BCE6D8">
      <w:pPr>
        <w:pStyle w:val="7"/>
        <w:keepNext w:val="0"/>
        <w:keepLines w:val="0"/>
        <w:pageBreakBefore w:val="0"/>
        <w:kinsoku/>
        <w:wordWrap/>
        <w:overflowPunct/>
        <w:topLinePunct w:val="0"/>
        <w:bidi w:val="0"/>
        <w:adjustRightInd w:val="0"/>
        <w:snapToGrid w:val="0"/>
        <w:spacing w:before="0" w:beforeLines="0" w:after="0"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（2）采购计划编号：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2A25F37E">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（3）项目内容：</w:t>
      </w:r>
    </w:p>
    <w:p w14:paraId="21DC4485">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采购标的及数量</w:t>
      </w:r>
      <w:r>
        <w:rPr>
          <w:rFonts w:hint="eastAsia" w:ascii="宋体" w:hAnsi="宋体" w:eastAsia="宋体" w:cs="宋体"/>
          <w:color w:val="auto"/>
          <w:sz w:val="24"/>
          <w:szCs w:val="24"/>
          <w:highlight w:val="none"/>
          <w:lang w:val="en-US" w:eastAsia="zh-CN"/>
        </w:rPr>
        <w:t>（台/套</w:t>
      </w:r>
      <w:r>
        <w:rPr>
          <w:rFonts w:hint="eastAsia" w:ascii="宋体" w:hAnsi="宋体" w:eastAsia="宋体" w:cs="宋体"/>
          <w:color w:val="auto"/>
          <w:sz w:val="24"/>
          <w:szCs w:val="24"/>
          <w:highlight w:val="none"/>
          <w:lang w:val="en" w:eastAsia="zh-CN"/>
        </w:rPr>
        <w:t>/个/架/组等</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lang w:val="en-US" w:eastAsia="zh-CN"/>
        </w:rPr>
        <w:t xml:space="preserve">                       </w:t>
      </w:r>
    </w:p>
    <w:p w14:paraId="57CD2A2B">
      <w:pPr>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lang w:val="en" w:eastAsia="zh-CN"/>
        </w:rPr>
      </w:pPr>
      <w:r>
        <w:rPr>
          <w:rFonts w:hint="eastAsia" w:ascii="宋体" w:hAnsi="宋体" w:eastAsia="宋体" w:cs="宋体"/>
          <w:color w:val="auto"/>
          <w:sz w:val="24"/>
          <w:szCs w:val="24"/>
          <w:highlight w:val="none"/>
          <w:lang w:val="en-US" w:eastAsia="zh-CN"/>
        </w:rPr>
        <w:t>品牌：</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 w:eastAsia="zh-CN"/>
        </w:rPr>
        <w:t xml:space="preserve">     </w:t>
      </w:r>
      <w:r>
        <w:rPr>
          <w:rFonts w:hint="eastAsia" w:ascii="宋体" w:hAnsi="宋体" w:eastAsia="宋体" w:cs="宋体"/>
          <w:color w:val="auto"/>
          <w:sz w:val="24"/>
          <w:szCs w:val="24"/>
          <w:highlight w:val="none"/>
          <w:lang w:val="en-US" w:eastAsia="zh-CN"/>
        </w:rPr>
        <w:t>规格型号：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 w:eastAsia="zh-CN"/>
        </w:rPr>
        <w:t xml:space="preserve">   </w:t>
      </w:r>
    </w:p>
    <w:p w14:paraId="54003D5D">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none"/>
          <w:lang w:val="en-US" w:eastAsia="zh-CN"/>
        </w:rPr>
        <w:t>采购标的的技术要求、商务要求具体见附件。</w:t>
      </w:r>
    </w:p>
    <w:p w14:paraId="7EF7C924">
      <w:pPr>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①涉及信息类产品，请填写该产品关键部件的品牌、型号：</w:t>
      </w:r>
    </w:p>
    <w:p w14:paraId="4545EB5F">
      <w:pPr>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kern w:val="0"/>
          <w:sz w:val="24"/>
          <w:szCs w:val="24"/>
          <w:highlight w:val="none"/>
          <w:u w:val="single"/>
          <w:lang w:val="en-US" w:eastAsia="zh-CN"/>
        </w:rPr>
      </w:pPr>
      <w:r>
        <w:rPr>
          <w:rFonts w:hint="eastAsia" w:ascii="宋体" w:hAnsi="宋体" w:eastAsia="宋体" w:cs="宋体"/>
          <w:color w:val="auto"/>
          <w:sz w:val="24"/>
          <w:szCs w:val="24"/>
          <w:highlight w:val="none"/>
          <w:lang w:val="en-US" w:eastAsia="zh-CN"/>
        </w:rPr>
        <w:t>标的名称：</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lang w:val="en" w:eastAsia="zh-CN"/>
        </w:rPr>
        <w:t xml:space="preserve">               </w:t>
      </w:r>
      <w:r>
        <w:rPr>
          <w:rFonts w:hint="eastAsia" w:ascii="宋体" w:hAnsi="宋体" w:eastAsia="宋体" w:cs="宋体"/>
          <w:color w:val="auto"/>
          <w:kern w:val="0"/>
          <w:sz w:val="24"/>
          <w:szCs w:val="24"/>
          <w:highlight w:val="none"/>
          <w:u w:val="single"/>
          <w:lang w:val="en-US" w:eastAsia="zh-CN"/>
        </w:rPr>
        <w:t xml:space="preserve">    </w:t>
      </w:r>
    </w:p>
    <w:p w14:paraId="4F8C42CF">
      <w:pPr>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关键部件：</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none"/>
          <w:lang w:val="en-US" w:eastAsia="zh-CN"/>
        </w:rPr>
        <w:t xml:space="preserve"> </w:t>
      </w:r>
      <w:r>
        <w:rPr>
          <w:rFonts w:hint="eastAsia" w:ascii="宋体" w:hAnsi="宋体" w:eastAsia="宋体" w:cs="宋体"/>
          <w:color w:val="auto"/>
          <w:sz w:val="24"/>
          <w:szCs w:val="24"/>
          <w:highlight w:val="none"/>
          <w:lang w:val="en-US" w:eastAsia="zh-CN"/>
        </w:rPr>
        <w:t>品牌：</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lang w:val="en-US" w:eastAsia="zh-CN"/>
        </w:rPr>
        <w:t>型号：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3A388C27">
      <w:pPr>
        <w:pStyle w:val="60"/>
        <w:keepNext w:val="0"/>
        <w:keepLines w:val="0"/>
        <w:pageBreakBefore w:val="0"/>
        <w:kinsoku/>
        <w:wordWrap/>
        <w:overflowPunct/>
        <w:topLinePunct w:val="0"/>
        <w:bidi w:val="0"/>
        <w:spacing w:before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kern w:val="2"/>
          <w:sz w:val="24"/>
          <w:szCs w:val="24"/>
          <w:highlight w:val="none"/>
          <w:lang w:val="en-US" w:eastAsia="zh-CN"/>
        </w:rPr>
        <w:t>关键部件</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lang w:val="en-US" w:eastAsia="zh-CN"/>
        </w:rPr>
        <w:t>品牌：</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lang w:val="en-US" w:eastAsia="zh-CN"/>
        </w:rPr>
        <w:t>型号：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73FE7BC0">
      <w:pPr>
        <w:pStyle w:val="60"/>
        <w:keepNext w:val="0"/>
        <w:keepLines w:val="0"/>
        <w:pageBreakBefore w:val="0"/>
        <w:kinsoku/>
        <w:wordWrap/>
        <w:overflowPunct/>
        <w:topLinePunct w:val="0"/>
        <w:bidi w:val="0"/>
        <w:spacing w:before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关键部件：</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lang w:val="en-US" w:eastAsia="zh-CN"/>
        </w:rPr>
        <w:t>品牌：</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lang w:val="en-US" w:eastAsia="zh-CN"/>
        </w:rPr>
        <w:t>型号：</w:t>
      </w:r>
      <w:r>
        <w:rPr>
          <w:rFonts w:hint="eastAsia" w:ascii="宋体" w:hAnsi="宋体" w:eastAsia="宋体" w:cs="宋体"/>
          <w:color w:val="auto"/>
          <w:sz w:val="24"/>
          <w:szCs w:val="24"/>
          <w:highlight w:val="none"/>
          <w:u w:val="single"/>
          <w:lang w:val="en-US" w:eastAsia="zh-CN"/>
        </w:rPr>
        <w:t xml:space="preserve">       </w:t>
      </w:r>
    </w:p>
    <w:p w14:paraId="63A27C21">
      <w:pPr>
        <w:pStyle w:val="60"/>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（注：关键部件是指财政部会同有关部门发布的政府采购需求标准规定的需要通过国家有关部门指定的测评机构开展的安全可靠测评的软硬件，如CPU芯片、操作系统、数据库等。）</w:t>
      </w:r>
    </w:p>
    <w:p w14:paraId="6582C2FA">
      <w:pPr>
        <w:pStyle w:val="60"/>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②涉及车辆采购，请填写是否属于新能源汽车：</w:t>
      </w:r>
    </w:p>
    <w:p w14:paraId="280AECBB">
      <w:pPr>
        <w:pStyle w:val="60"/>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iCs w:val="0"/>
          <w:color w:val="auto"/>
          <w:sz w:val="24"/>
          <w:szCs w:val="24"/>
          <w:highlight w:val="none"/>
          <w:lang w:val="en-US" w:eastAsia="zh-CN"/>
        </w:rPr>
      </w:pP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rPr>
        <w:t>是</w:t>
      </w:r>
      <w:r>
        <w:rPr>
          <w:rFonts w:hint="eastAsia" w:ascii="宋体" w:hAnsi="宋体" w:eastAsia="宋体" w:cs="宋体"/>
          <w:iCs w:val="0"/>
          <w:color w:val="auto"/>
          <w:sz w:val="24"/>
          <w:szCs w:val="24"/>
          <w:highlight w:val="none"/>
          <w:lang w:eastAsia="zh-CN"/>
        </w:rPr>
        <w:t>，《政府采购品目分类目录》底级品目名称</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数量：</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金额：</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iCs w:val="0"/>
          <w:color w:val="auto"/>
          <w:sz w:val="24"/>
          <w:szCs w:val="24"/>
          <w:highlight w:val="none"/>
          <w:lang w:val="en-US" w:eastAsia="zh-CN"/>
        </w:rPr>
        <w:t xml:space="preserve"> </w:t>
      </w:r>
    </w:p>
    <w:p w14:paraId="0E01BFA5">
      <w:pPr>
        <w:pStyle w:val="60"/>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iCs w:val="0"/>
          <w:color w:val="auto"/>
          <w:sz w:val="24"/>
          <w:szCs w:val="24"/>
          <w:highlight w:val="none"/>
          <w:lang w:eastAsia="zh-CN"/>
        </w:rPr>
      </w:pP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否</w:t>
      </w:r>
    </w:p>
    <w:p w14:paraId="688F21EB">
      <w:pPr>
        <w:pStyle w:val="60"/>
        <w:keepNext w:val="0"/>
        <w:keepLines w:val="0"/>
        <w:pageBreakBefore w:val="0"/>
        <w:numPr>
          <w:ilvl w:val="-1"/>
          <w:numId w:val="0"/>
        </w:numPr>
        <w:kinsoku/>
        <w:wordWrap/>
        <w:overflowPunct/>
        <w:topLinePunct w:val="0"/>
        <w:bidi w:val="0"/>
        <w:adjustRightInd w:val="0"/>
        <w:snapToGrid w:val="0"/>
        <w:spacing w:before="0" w:beforeLines="0" w:line="360" w:lineRule="auto"/>
        <w:ind w:left="0" w:firstLine="480" w:firstLineChars="200"/>
        <w:rPr>
          <w:rFonts w:hint="eastAsia" w:ascii="宋体" w:hAnsi="宋体" w:eastAsia="宋体" w:cs="宋体"/>
          <w:iCs w:val="0"/>
          <w:color w:val="auto"/>
          <w:sz w:val="24"/>
          <w:szCs w:val="24"/>
          <w:highlight w:val="none"/>
          <w:lang w:val="en-US" w:eastAsia="zh-CN"/>
        </w:rPr>
      </w:pP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lang w:val="en" w:eastAsia="zh-CN"/>
        </w:rPr>
        <w:t>4</w:t>
      </w:r>
      <w:r>
        <w:rPr>
          <w:rFonts w:hint="eastAsia" w:ascii="宋体" w:hAnsi="宋体" w:eastAsia="宋体" w:cs="宋体"/>
          <w:iCs w:val="0"/>
          <w:color w:val="auto"/>
          <w:sz w:val="24"/>
          <w:szCs w:val="24"/>
          <w:highlight w:val="none"/>
          <w:lang w:val="en-US" w:eastAsia="zh-CN"/>
        </w:rPr>
        <w:t>）政府采购组织形式：</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政府集中采购</w:t>
      </w: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val="en-US" w:eastAsia="zh-CN"/>
        </w:rPr>
        <w:t xml:space="preserve">部门集中采购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val="en-US" w:eastAsia="zh-CN"/>
        </w:rPr>
        <w:t>分散采购</w:t>
      </w:r>
    </w:p>
    <w:p w14:paraId="68D17CCB">
      <w:pPr>
        <w:pStyle w:val="60"/>
        <w:keepNext w:val="0"/>
        <w:keepLines w:val="0"/>
        <w:pageBreakBefore w:val="0"/>
        <w:numPr>
          <w:ilvl w:val="-1"/>
          <w:numId w:val="0"/>
        </w:numPr>
        <w:kinsoku/>
        <w:wordWrap/>
        <w:overflowPunct/>
        <w:topLinePunct w:val="0"/>
        <w:bidi w:val="0"/>
        <w:adjustRightInd w:val="0"/>
        <w:snapToGrid w:val="0"/>
        <w:spacing w:before="0" w:beforeLines="0" w:line="360" w:lineRule="auto"/>
        <w:ind w:left="0" w:firstLine="480" w:firstLineChars="200"/>
        <w:rPr>
          <w:rFonts w:hint="eastAsia" w:ascii="宋体" w:hAnsi="宋体" w:eastAsia="宋体" w:cs="宋体"/>
          <w:iCs w:val="0"/>
          <w:color w:val="auto"/>
          <w:sz w:val="24"/>
          <w:szCs w:val="24"/>
          <w:highlight w:val="none"/>
          <w:lang w:eastAsia="zh-CN"/>
        </w:rPr>
      </w:pPr>
      <w:r>
        <w:rPr>
          <w:rFonts w:hint="eastAsia" w:ascii="宋体" w:hAnsi="宋体" w:eastAsia="宋体" w:cs="宋体"/>
          <w:iCs w:val="0"/>
          <w:color w:val="auto"/>
          <w:sz w:val="24"/>
          <w:szCs w:val="24"/>
          <w:highlight w:val="none"/>
          <w:lang w:val="en-US" w:eastAsia="zh-CN"/>
        </w:rPr>
        <w:t>（</w:t>
      </w:r>
      <w:r>
        <w:rPr>
          <w:rFonts w:hint="eastAsia" w:ascii="宋体" w:hAnsi="宋体" w:eastAsia="宋体" w:cs="宋体"/>
          <w:iCs w:val="0"/>
          <w:color w:val="auto"/>
          <w:sz w:val="24"/>
          <w:szCs w:val="24"/>
          <w:highlight w:val="none"/>
          <w:lang w:val="en" w:eastAsia="zh-CN"/>
        </w:rPr>
        <w:t>5</w:t>
      </w:r>
      <w:r>
        <w:rPr>
          <w:rFonts w:hint="eastAsia" w:ascii="宋体" w:hAnsi="宋体" w:eastAsia="宋体" w:cs="宋体"/>
          <w:iCs w:val="0"/>
          <w:color w:val="auto"/>
          <w:sz w:val="24"/>
          <w:szCs w:val="24"/>
          <w:highlight w:val="none"/>
          <w:lang w:val="en-US" w:eastAsia="zh-CN"/>
        </w:rPr>
        <w:t>）政府采购方式：</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公开招标</w:t>
      </w: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邀请招标</w:t>
      </w: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竞争性谈判</w:t>
      </w: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竞争性磋商</w:t>
      </w:r>
    </w:p>
    <w:p w14:paraId="120742B5">
      <w:pPr>
        <w:pStyle w:val="60"/>
        <w:keepNext w:val="0"/>
        <w:keepLines w:val="0"/>
        <w:pageBreakBefore w:val="0"/>
        <w:numPr>
          <w:ilvl w:val="-1"/>
          <w:numId w:val="0"/>
        </w:numPr>
        <w:kinsoku/>
        <w:wordWrap/>
        <w:overflowPunct/>
        <w:topLinePunct w:val="0"/>
        <w:bidi w:val="0"/>
        <w:adjustRightInd w:val="0"/>
        <w:snapToGrid w:val="0"/>
        <w:spacing w:before="0" w:beforeLines="0" w:line="360" w:lineRule="auto"/>
        <w:ind w:left="0" w:firstLine="480" w:firstLineChars="200"/>
        <w:rPr>
          <w:rFonts w:hint="eastAsia" w:ascii="宋体" w:hAnsi="宋体" w:eastAsia="宋体" w:cs="宋体"/>
          <w:iCs w:val="0"/>
          <w:color w:val="auto"/>
          <w:sz w:val="24"/>
          <w:szCs w:val="24"/>
          <w:highlight w:val="none"/>
          <w:u w:val="single"/>
          <w:lang w:val="en-US" w:eastAsia="zh-CN"/>
        </w:rPr>
      </w:pP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询价</w:t>
      </w: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单一来源</w:t>
      </w: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框架协议</w:t>
      </w: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其他：</w:t>
      </w:r>
      <w:r>
        <w:rPr>
          <w:rFonts w:hint="eastAsia" w:ascii="宋体" w:hAnsi="宋体" w:eastAsia="宋体" w:cs="宋体"/>
          <w:iCs w:val="0"/>
          <w:color w:val="auto"/>
          <w:sz w:val="24"/>
          <w:szCs w:val="24"/>
          <w:highlight w:val="none"/>
          <w:u w:val="single"/>
          <w:lang w:val="en-US" w:eastAsia="zh-CN"/>
        </w:rPr>
        <w:t xml:space="preserve">          </w:t>
      </w:r>
    </w:p>
    <w:p w14:paraId="3BD31BF0">
      <w:pPr>
        <w:pStyle w:val="60"/>
        <w:keepNext w:val="0"/>
        <w:keepLines w:val="0"/>
        <w:pageBreakBefore w:val="0"/>
        <w:numPr>
          <w:ilvl w:val="-1"/>
          <w:numId w:val="0"/>
        </w:numPr>
        <w:kinsoku/>
        <w:wordWrap/>
        <w:overflowPunct/>
        <w:topLinePunct w:val="0"/>
        <w:bidi w:val="0"/>
        <w:adjustRightInd w:val="0"/>
        <w:snapToGrid w:val="0"/>
        <w:spacing w:before="0" w:beforeLines="0" w:line="360" w:lineRule="auto"/>
        <w:ind w:left="0" w:firstLine="480" w:firstLineChars="200"/>
        <w:rPr>
          <w:rFonts w:hint="eastAsia" w:ascii="宋体" w:hAnsi="宋体" w:eastAsia="宋体" w:cs="宋体"/>
          <w:iCs w:val="0"/>
          <w:color w:val="auto"/>
          <w:sz w:val="24"/>
          <w:szCs w:val="24"/>
          <w:highlight w:val="none"/>
          <w:u w:val="none"/>
          <w:lang w:val="en-US" w:eastAsia="zh-CN"/>
        </w:rPr>
      </w:pPr>
      <w:r>
        <w:rPr>
          <w:rFonts w:hint="eastAsia" w:ascii="宋体" w:hAnsi="宋体" w:eastAsia="宋体" w:cs="宋体"/>
          <w:iCs w:val="0"/>
          <w:color w:val="auto"/>
          <w:sz w:val="24"/>
          <w:szCs w:val="24"/>
          <w:highlight w:val="none"/>
          <w:u w:val="none"/>
          <w:lang w:val="en-US" w:eastAsia="zh-CN"/>
        </w:rPr>
        <w:t>（注：在框架协议采购的第二阶段，可选择使用该合同文本）</w:t>
      </w:r>
    </w:p>
    <w:p w14:paraId="007A3797">
      <w:pPr>
        <w:pStyle w:val="60"/>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w w:val="100"/>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 w:eastAsia="zh-CN"/>
        </w:rPr>
        <w:t>6</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w w:val="100"/>
          <w:kern w:val="2"/>
          <w:sz w:val="24"/>
          <w:szCs w:val="24"/>
          <w:highlight w:val="none"/>
          <w:lang w:val="en-US" w:eastAsia="zh-CN" w:bidi="ar-SA"/>
        </w:rPr>
        <w:t>中标（成交）采购标的制造商是否为中小企业：</w:t>
      </w:r>
      <w:r>
        <w:rPr>
          <w:rFonts w:hint="eastAsia" w:ascii="宋体" w:hAnsi="宋体" w:eastAsia="宋体" w:cs="宋体"/>
          <w:color w:val="auto"/>
          <w:w w:val="100"/>
          <w:kern w:val="2"/>
          <w:sz w:val="24"/>
          <w:szCs w:val="24"/>
          <w:highlight w:val="none"/>
          <w:lang w:val="en-US" w:eastAsia="zh-CN" w:bidi="ar-SA"/>
        </w:rPr>
        <w:sym w:font="Wingdings" w:char="00A8"/>
      </w:r>
      <w:r>
        <w:rPr>
          <w:rFonts w:hint="eastAsia" w:ascii="宋体" w:hAnsi="宋体" w:eastAsia="宋体" w:cs="宋体"/>
          <w:color w:val="auto"/>
          <w:w w:val="100"/>
          <w:kern w:val="2"/>
          <w:sz w:val="24"/>
          <w:szCs w:val="24"/>
          <w:highlight w:val="none"/>
          <w:lang w:val="en-US" w:eastAsia="zh-CN" w:bidi="ar-SA"/>
        </w:rPr>
        <w:t xml:space="preserve">是      </w:t>
      </w:r>
      <w:r>
        <w:rPr>
          <w:rFonts w:hint="eastAsia" w:ascii="宋体" w:hAnsi="宋体" w:eastAsia="宋体" w:cs="宋体"/>
          <w:color w:val="auto"/>
          <w:w w:val="100"/>
          <w:kern w:val="2"/>
          <w:sz w:val="24"/>
          <w:szCs w:val="24"/>
          <w:highlight w:val="none"/>
          <w:lang w:val="en-US" w:eastAsia="zh-CN" w:bidi="ar-SA"/>
        </w:rPr>
        <w:sym w:font="Wingdings" w:char="00A8"/>
      </w:r>
      <w:r>
        <w:rPr>
          <w:rFonts w:hint="eastAsia" w:ascii="宋体" w:hAnsi="宋体" w:eastAsia="宋体" w:cs="宋体"/>
          <w:color w:val="auto"/>
          <w:w w:val="100"/>
          <w:kern w:val="2"/>
          <w:sz w:val="24"/>
          <w:szCs w:val="24"/>
          <w:highlight w:val="none"/>
          <w:lang w:val="en-US" w:eastAsia="zh-CN" w:bidi="ar-SA"/>
        </w:rPr>
        <w:t>否</w:t>
      </w:r>
    </w:p>
    <w:p w14:paraId="248BF136">
      <w:pPr>
        <w:keepNext w:val="0"/>
        <w:keepLines w:val="0"/>
        <w:pageBreakBefore w:val="0"/>
        <w:numPr>
          <w:ilvl w:val="-1"/>
          <w:numId w:val="0"/>
        </w:numPr>
        <w:kinsoku/>
        <w:wordWrap/>
        <w:overflowPunct/>
        <w:topLinePunct w:val="0"/>
        <w:bidi w:val="0"/>
        <w:adjustRightInd w:val="0"/>
        <w:snapToGrid w:val="0"/>
        <w:spacing w:before="0" w:beforeLines="0" w:line="360" w:lineRule="auto"/>
        <w:ind w:left="0" w:leftChars="0" w:firstLine="480" w:firstLineChars="200"/>
        <w:rPr>
          <w:rFonts w:hint="eastAsia" w:ascii="宋体" w:hAnsi="宋体" w:eastAsia="宋体" w:cs="宋体"/>
          <w:iCs/>
          <w:color w:val="auto"/>
          <w:sz w:val="24"/>
          <w:szCs w:val="24"/>
          <w:highlight w:val="none"/>
        </w:rPr>
      </w:pPr>
      <w:r>
        <w:rPr>
          <w:rFonts w:hint="eastAsia" w:ascii="宋体" w:hAnsi="宋体" w:eastAsia="宋体" w:cs="宋体"/>
          <w:color w:val="auto"/>
          <w:w w:val="100"/>
          <w:sz w:val="24"/>
          <w:szCs w:val="24"/>
          <w:highlight w:val="none"/>
          <w:lang w:val="en-US" w:eastAsia="zh-CN"/>
        </w:rPr>
        <w:t>本合同</w:t>
      </w:r>
      <w:r>
        <w:rPr>
          <w:rFonts w:hint="eastAsia" w:ascii="宋体" w:hAnsi="宋体" w:eastAsia="宋体" w:cs="宋体"/>
          <w:color w:val="auto"/>
          <w:w w:val="100"/>
          <w:sz w:val="24"/>
          <w:szCs w:val="24"/>
          <w:highlight w:val="none"/>
        </w:rPr>
        <w:t>是否</w:t>
      </w:r>
      <w:r>
        <w:rPr>
          <w:rFonts w:hint="eastAsia" w:ascii="宋体" w:hAnsi="宋体" w:eastAsia="宋体" w:cs="宋体"/>
          <w:color w:val="auto"/>
          <w:w w:val="100"/>
          <w:sz w:val="24"/>
          <w:szCs w:val="24"/>
          <w:highlight w:val="none"/>
          <w:lang w:eastAsia="zh-CN"/>
        </w:rPr>
        <w:t>为专门面向</w:t>
      </w:r>
      <w:r>
        <w:rPr>
          <w:rFonts w:hint="eastAsia" w:ascii="宋体" w:hAnsi="宋体" w:eastAsia="宋体" w:cs="宋体"/>
          <w:color w:val="auto"/>
          <w:w w:val="100"/>
          <w:sz w:val="24"/>
          <w:szCs w:val="24"/>
          <w:highlight w:val="none"/>
        </w:rPr>
        <w:t>中小企业</w:t>
      </w:r>
      <w:r>
        <w:rPr>
          <w:rFonts w:hint="eastAsia" w:ascii="宋体" w:hAnsi="宋体" w:eastAsia="宋体" w:cs="宋体"/>
          <w:color w:val="auto"/>
          <w:w w:val="100"/>
          <w:sz w:val="24"/>
          <w:szCs w:val="24"/>
          <w:highlight w:val="none"/>
          <w:lang w:eastAsia="zh-CN"/>
        </w:rPr>
        <w:t>的采</w:t>
      </w:r>
      <w:r>
        <w:rPr>
          <w:rFonts w:hint="eastAsia" w:ascii="宋体" w:hAnsi="宋体" w:eastAsia="宋体" w:cs="宋体"/>
          <w:color w:val="auto"/>
          <w:w w:val="100"/>
          <w:sz w:val="24"/>
          <w:szCs w:val="24"/>
          <w:highlight w:val="none"/>
          <w:shd w:val="clear"/>
          <w:lang w:eastAsia="zh-CN"/>
        </w:rPr>
        <w:t>购</w:t>
      </w:r>
      <w:r>
        <w:rPr>
          <w:rFonts w:hint="eastAsia" w:ascii="宋体" w:hAnsi="宋体" w:eastAsia="宋体" w:cs="宋体"/>
          <w:color w:val="auto"/>
          <w:w w:val="100"/>
          <w:sz w:val="24"/>
          <w:szCs w:val="24"/>
          <w:highlight w:val="none"/>
          <w:shd w:val="clear"/>
        </w:rPr>
        <w:t>合同</w:t>
      </w:r>
      <w:r>
        <w:rPr>
          <w:rFonts w:hint="eastAsia" w:ascii="宋体" w:hAnsi="宋体" w:eastAsia="宋体" w:cs="宋体"/>
          <w:color w:val="auto"/>
          <w:w w:val="100"/>
          <w:sz w:val="24"/>
          <w:szCs w:val="24"/>
          <w:highlight w:val="none"/>
          <w:shd w:val="clear"/>
          <w:lang w:eastAsia="zh-CN"/>
        </w:rPr>
        <w:t>（中小企业预留合同）</w:t>
      </w:r>
      <w:r>
        <w:rPr>
          <w:rFonts w:hint="eastAsia" w:ascii="宋体" w:hAnsi="宋体" w:eastAsia="宋体" w:cs="宋体"/>
          <w:color w:val="auto"/>
          <w:sz w:val="24"/>
          <w:szCs w:val="24"/>
          <w:highlight w:val="none"/>
          <w:shd w:val="clear"/>
        </w:rPr>
        <w:t>：</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否</w:t>
      </w:r>
    </w:p>
    <w:p w14:paraId="0F62B902">
      <w:pPr>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iCs/>
          <w:color w:val="auto"/>
          <w:sz w:val="24"/>
          <w:szCs w:val="24"/>
          <w:highlight w:val="none"/>
        </w:rPr>
      </w:pPr>
      <w:r>
        <w:rPr>
          <w:rFonts w:hint="eastAsia" w:ascii="宋体" w:hAnsi="宋体" w:eastAsia="宋体" w:cs="宋体"/>
          <w:color w:val="auto"/>
          <w:sz w:val="24"/>
          <w:szCs w:val="24"/>
          <w:highlight w:val="none"/>
          <w:lang w:val="en-US" w:eastAsia="zh-CN"/>
        </w:rPr>
        <w:t xml:space="preserve">         若本项目不专门面向中小企业采购，是否给予小微企业评审优惠：</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否</w:t>
      </w:r>
    </w:p>
    <w:p w14:paraId="22D89D36">
      <w:pPr>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iCs/>
          <w:color w:val="auto"/>
          <w:sz w:val="24"/>
          <w:szCs w:val="24"/>
          <w:highlight w:val="none"/>
        </w:rPr>
      </w:pPr>
      <w:r>
        <w:rPr>
          <w:rFonts w:hint="eastAsia" w:ascii="宋体" w:hAnsi="宋体" w:eastAsia="宋体" w:cs="宋体"/>
          <w:color w:val="auto"/>
          <w:sz w:val="24"/>
          <w:szCs w:val="24"/>
          <w:highlight w:val="none"/>
          <w:lang w:val="en-US" w:eastAsia="zh-CN"/>
        </w:rPr>
        <w:t xml:space="preserve">         中标（成交）采购标的制造商是否为残疾人福利性单位：</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否</w:t>
      </w:r>
    </w:p>
    <w:p w14:paraId="62262653">
      <w:pPr>
        <w:keepNext w:val="0"/>
        <w:keepLines w:val="0"/>
        <w:pageBreakBefore w:val="0"/>
        <w:numPr>
          <w:ilvl w:val="0"/>
          <w:numId w:val="0"/>
        </w:numPr>
        <w:kinsoku/>
        <w:wordWrap/>
        <w:overflowPunct/>
        <w:topLinePunct w:val="0"/>
        <w:bidi w:val="0"/>
        <w:snapToGrid w:val="0"/>
        <w:spacing w:before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中标（成交）采购标的制造商是否为监狱企业：</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否</w:t>
      </w:r>
    </w:p>
    <w:p w14:paraId="2B734173">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 w:eastAsia="zh-CN"/>
        </w:rPr>
        <w:t>7</w:t>
      </w:r>
      <w:r>
        <w:rPr>
          <w:rFonts w:hint="eastAsia" w:ascii="宋体" w:hAnsi="宋体" w:eastAsia="宋体" w:cs="宋体"/>
          <w:color w:val="auto"/>
          <w:sz w:val="24"/>
          <w:szCs w:val="24"/>
          <w:highlight w:val="none"/>
        </w:rPr>
        <w:t>）合同是否分包：</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否</w:t>
      </w:r>
    </w:p>
    <w:p w14:paraId="79728931">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分包主要内容：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052AE59B">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rPr>
        <w:t>分包供应商</w:t>
      </w:r>
      <w:r>
        <w:rPr>
          <w:rFonts w:hint="eastAsia" w:ascii="宋体" w:hAnsi="宋体" w:eastAsia="宋体" w:cs="宋体"/>
          <w:color w:val="auto"/>
          <w:sz w:val="24"/>
          <w:szCs w:val="24"/>
          <w:highlight w:val="none"/>
          <w:lang w:eastAsia="zh-CN"/>
        </w:rPr>
        <w:t>/制造商</w:t>
      </w: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lang w:eastAsia="zh-CN"/>
        </w:rPr>
        <w:t>（如供应商和制造商不同，请分别填写）</w:t>
      </w:r>
      <w:r>
        <w:rPr>
          <w:rFonts w:hint="eastAsia" w:ascii="宋体" w:hAnsi="宋体" w:eastAsia="宋体" w:cs="宋体"/>
          <w:color w:val="auto"/>
          <w:sz w:val="24"/>
          <w:szCs w:val="24"/>
          <w:highlight w:val="none"/>
        </w:rPr>
        <w:t>：</w:t>
      </w:r>
    </w:p>
    <w:p w14:paraId="4CF84087">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non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p>
    <w:p w14:paraId="1D866901">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分包供应商</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制造商</w:t>
      </w:r>
      <w:r>
        <w:rPr>
          <w:rFonts w:hint="eastAsia" w:ascii="宋体" w:hAnsi="宋体" w:eastAsia="宋体" w:cs="宋体"/>
          <w:color w:val="auto"/>
          <w:sz w:val="24"/>
          <w:szCs w:val="24"/>
          <w:highlight w:val="none"/>
        </w:rPr>
        <w:t>类型</w:t>
      </w:r>
      <w:r>
        <w:rPr>
          <w:rFonts w:hint="eastAsia" w:ascii="宋体" w:hAnsi="宋体" w:eastAsia="宋体" w:cs="宋体"/>
          <w:color w:val="auto"/>
          <w:sz w:val="24"/>
          <w:szCs w:val="24"/>
          <w:highlight w:val="none"/>
          <w:lang w:eastAsia="zh-CN"/>
        </w:rPr>
        <w:t>（如果供应商和制造商不同，只填写制造商类型）</w:t>
      </w:r>
      <w:r>
        <w:rPr>
          <w:rFonts w:hint="eastAsia" w:ascii="宋体" w:hAnsi="宋体" w:eastAsia="宋体" w:cs="宋体"/>
          <w:color w:val="auto"/>
          <w:sz w:val="24"/>
          <w:szCs w:val="24"/>
          <w:highlight w:val="none"/>
        </w:rPr>
        <w:t>：</w:t>
      </w:r>
    </w:p>
    <w:p w14:paraId="5B6ADCEF">
      <w:pPr>
        <w:keepNext w:val="0"/>
        <w:keepLines w:val="0"/>
        <w:pageBreakBefore w:val="0"/>
        <w:kinsoku/>
        <w:wordWrap/>
        <w:overflowPunct/>
        <w:topLinePunct w:val="0"/>
        <w:bidi w:val="0"/>
        <w:adjustRightInd w:val="0"/>
        <w:snapToGrid w:val="0"/>
        <w:spacing w:beforeLines="0" w:line="360" w:lineRule="auto"/>
        <w:ind w:firstLine="480" w:firstLineChars="200"/>
        <w:rPr>
          <w:rFonts w:hint="eastAsia" w:ascii="宋体" w:hAnsi="宋体" w:eastAsia="宋体" w:cs="宋体"/>
          <w:iCs/>
          <w:color w:val="auto"/>
          <w:sz w:val="24"/>
          <w:szCs w:val="24"/>
          <w:highlight w:val="none"/>
          <w:lang w:val="en-US" w:eastAsia="zh-CN"/>
        </w:rPr>
      </w:pP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大型企业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中型企业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小微型企业</w:t>
      </w:r>
      <w:r>
        <w:rPr>
          <w:rFonts w:hint="eastAsia" w:ascii="宋体" w:hAnsi="宋体" w:eastAsia="宋体" w:cs="宋体"/>
          <w:iCs/>
          <w:color w:val="auto"/>
          <w:sz w:val="24"/>
          <w:szCs w:val="24"/>
          <w:highlight w:val="none"/>
          <w:lang w:val="en-US" w:eastAsia="zh-CN"/>
        </w:rPr>
        <w:t xml:space="preserve">  </w:t>
      </w:r>
    </w:p>
    <w:p w14:paraId="722746B1">
      <w:pPr>
        <w:keepNext w:val="0"/>
        <w:keepLines w:val="0"/>
        <w:pageBreakBefore w:val="0"/>
        <w:kinsoku/>
        <w:wordWrap/>
        <w:overflowPunct/>
        <w:topLinePunct w:val="0"/>
        <w:bidi w:val="0"/>
        <w:adjustRightInd w:val="0"/>
        <w:snapToGrid w:val="0"/>
        <w:spacing w:beforeLines="0" w:line="360" w:lineRule="auto"/>
        <w:ind w:firstLine="480" w:firstLineChars="200"/>
        <w:rPr>
          <w:rFonts w:hint="eastAsia" w:ascii="宋体" w:hAnsi="宋体" w:eastAsia="宋体" w:cs="宋体"/>
          <w:color w:val="auto"/>
          <w:sz w:val="24"/>
          <w:szCs w:val="24"/>
          <w:highlight w:val="none"/>
          <w:u w:val="none"/>
          <w:lang w:val="en-US" w:eastAsia="zh-CN"/>
        </w:rPr>
      </w:pP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残疾人福利性单位</w:t>
      </w: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监狱</w:t>
      </w:r>
      <w:r>
        <w:rPr>
          <w:rFonts w:hint="eastAsia" w:ascii="宋体" w:hAnsi="宋体" w:eastAsia="宋体" w:cs="宋体"/>
          <w:iCs/>
          <w:color w:val="auto"/>
          <w:sz w:val="24"/>
          <w:szCs w:val="24"/>
          <w:highlight w:val="none"/>
        </w:rPr>
        <w:t>企业</w:t>
      </w: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其他</w:t>
      </w:r>
    </w:p>
    <w:p w14:paraId="5067E2B5">
      <w:pPr>
        <w:keepNext w:val="0"/>
        <w:keepLines w:val="0"/>
        <w:pageBreakBefore w:val="0"/>
        <w:numPr>
          <w:ilvl w:val="-1"/>
          <w:numId w:val="0"/>
        </w:numPr>
        <w:kinsoku/>
        <w:wordWrap/>
        <w:overflowPunct/>
        <w:topLinePunct w:val="0"/>
        <w:bidi w:val="0"/>
        <w:adjustRightInd w:val="0"/>
        <w:snapToGrid w:val="0"/>
        <w:spacing w:before="0" w:beforeLines="0" w:line="360" w:lineRule="auto"/>
        <w:ind w:left="0" w:leftChars="0" w:firstLine="480" w:firstLineChars="200"/>
        <w:rPr>
          <w:rFonts w:hint="eastAsia" w:ascii="宋体" w:hAnsi="宋体" w:eastAsia="宋体" w:cs="宋体"/>
          <w:iCs/>
          <w:color w:val="auto"/>
          <w:sz w:val="24"/>
          <w:szCs w:val="24"/>
          <w:highlight w:val="none"/>
        </w:rPr>
      </w:pPr>
      <w:r>
        <w:rPr>
          <w:rFonts w:hint="eastAsia" w:ascii="宋体" w:hAnsi="宋体" w:eastAsia="宋体" w:cs="宋体"/>
          <w:color w:val="auto"/>
          <w:sz w:val="24"/>
          <w:szCs w:val="24"/>
          <w:highlight w:val="none"/>
          <w:u w:val="none"/>
          <w:lang w:val="en-US" w:eastAsia="zh-CN"/>
        </w:rPr>
        <w:t>（</w:t>
      </w:r>
      <w:r>
        <w:rPr>
          <w:rFonts w:hint="eastAsia" w:ascii="宋体" w:hAnsi="宋体" w:eastAsia="宋体" w:cs="宋体"/>
          <w:color w:val="auto"/>
          <w:sz w:val="24"/>
          <w:szCs w:val="24"/>
          <w:highlight w:val="none"/>
          <w:u w:val="none"/>
          <w:lang w:val="en" w:eastAsia="zh-CN"/>
        </w:rPr>
        <w:t>8</w:t>
      </w:r>
      <w:r>
        <w:rPr>
          <w:rFonts w:hint="eastAsia" w:ascii="宋体" w:hAnsi="宋体" w:eastAsia="宋体" w:cs="宋体"/>
          <w:color w:val="auto"/>
          <w:sz w:val="24"/>
          <w:szCs w:val="24"/>
          <w:highlight w:val="none"/>
          <w:u w:val="none"/>
          <w:lang w:val="en-US" w:eastAsia="zh-CN"/>
        </w:rPr>
        <w:t>）中标（成交）供应商是否为外商投资企业：</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否</w:t>
      </w:r>
    </w:p>
    <w:p w14:paraId="61BC4FE6">
      <w:pPr>
        <w:pStyle w:val="60"/>
        <w:keepNext w:val="0"/>
        <w:keepLines w:val="0"/>
        <w:pageBreakBefore w:val="0"/>
        <w:tabs>
          <w:tab w:val="left" w:pos="1340"/>
        </w:tabs>
        <w:kinsoku/>
        <w:wordWrap/>
        <w:overflowPunct/>
        <w:topLinePunct w:val="0"/>
        <w:bidi w:val="0"/>
        <w:spacing w:beforeLines="0"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none"/>
          <w:lang w:val="en-US" w:eastAsia="zh-CN"/>
        </w:rPr>
        <w:t xml:space="preserve"> 外商投资企业类型：</w:t>
      </w:r>
      <w:r>
        <w:rPr>
          <w:rFonts w:hint="eastAsia" w:ascii="宋体" w:hAnsi="宋体" w:eastAsia="宋体" w:cs="宋体"/>
          <w:iCs/>
          <w:color w:val="auto"/>
          <w:sz w:val="24"/>
          <w:szCs w:val="24"/>
          <w:highlight w:val="none"/>
        </w:rPr>
        <w:sym w:font="Wingdings" w:char="00A8"/>
      </w:r>
      <w:r>
        <w:rPr>
          <w:rFonts w:hint="eastAsia" w:ascii="宋体" w:hAnsi="宋体" w:eastAsia="宋体" w:cs="宋体"/>
          <w:color w:val="auto"/>
          <w:sz w:val="24"/>
          <w:szCs w:val="24"/>
          <w:highlight w:val="none"/>
          <w:u w:val="none"/>
          <w:lang w:val="en-US" w:eastAsia="zh-CN"/>
        </w:rPr>
        <w:t xml:space="preserve">全部由外国投资者投资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val="en-US" w:eastAsia="zh-CN"/>
        </w:rPr>
        <w:t>部分由外国投资者投资</w:t>
      </w:r>
    </w:p>
    <w:p w14:paraId="3C532764">
      <w:pPr>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w:t>
      </w:r>
      <w:r>
        <w:rPr>
          <w:rFonts w:hint="eastAsia" w:ascii="宋体" w:hAnsi="宋体" w:eastAsia="宋体" w:cs="宋体"/>
          <w:b w:val="0"/>
          <w:bCs w:val="0"/>
          <w:color w:val="auto"/>
          <w:sz w:val="24"/>
          <w:szCs w:val="24"/>
          <w:highlight w:val="none"/>
          <w:u w:val="none"/>
          <w:lang w:val="en" w:eastAsia="zh-CN"/>
        </w:rPr>
        <w:t>9</w:t>
      </w:r>
      <w:r>
        <w:rPr>
          <w:rFonts w:hint="eastAsia" w:ascii="宋体" w:hAnsi="宋体" w:eastAsia="宋体" w:cs="宋体"/>
          <w:b w:val="0"/>
          <w:bCs w:val="0"/>
          <w:color w:val="auto"/>
          <w:sz w:val="24"/>
          <w:szCs w:val="24"/>
          <w:highlight w:val="none"/>
          <w:u w:val="none"/>
          <w:lang w:val="en-US" w:eastAsia="zh-CN"/>
        </w:rPr>
        <w:t>）是否涉及进口产品：</w:t>
      </w:r>
    </w:p>
    <w:p w14:paraId="62FCF2FE">
      <w:pPr>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u w:val="single"/>
          <w:lang w:val="en-US" w:eastAsia="zh-CN"/>
        </w:rPr>
      </w:pP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rPr>
        <w:t>是</w:t>
      </w:r>
      <w:r>
        <w:rPr>
          <w:rFonts w:hint="eastAsia" w:ascii="宋体" w:hAnsi="宋体" w:eastAsia="宋体" w:cs="宋体"/>
          <w:iCs w:val="0"/>
          <w:color w:val="auto"/>
          <w:sz w:val="24"/>
          <w:szCs w:val="24"/>
          <w:highlight w:val="none"/>
          <w:lang w:eastAsia="zh-CN"/>
        </w:rPr>
        <w:t>，《政府采购品目分类目录》底级品目名称</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金额：</w:t>
      </w:r>
      <w:r>
        <w:rPr>
          <w:rFonts w:hint="eastAsia" w:ascii="宋体" w:hAnsi="宋体" w:eastAsia="宋体" w:cs="宋体"/>
          <w:color w:val="auto"/>
          <w:sz w:val="24"/>
          <w:szCs w:val="24"/>
          <w:highlight w:val="none"/>
          <w:u w:val="single"/>
          <w:lang w:val="en-US" w:eastAsia="zh-CN"/>
        </w:rPr>
        <w:t xml:space="preserve">        </w:t>
      </w:r>
    </w:p>
    <w:p w14:paraId="45D79AD5">
      <w:pPr>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iCs w:val="0"/>
          <w:color w:val="auto"/>
          <w:sz w:val="24"/>
          <w:szCs w:val="24"/>
          <w:highlight w:val="none"/>
        </w:rPr>
      </w:pPr>
      <w:r>
        <w:rPr>
          <w:rFonts w:hint="eastAsia" w:ascii="宋体" w:hAnsi="宋体" w:eastAsia="宋体" w:cs="宋体"/>
          <w:color w:val="auto"/>
          <w:sz w:val="24"/>
          <w:szCs w:val="24"/>
          <w:highlight w:val="none"/>
          <w:lang w:val="en-US" w:eastAsia="zh-CN"/>
        </w:rPr>
        <w:t>国别：</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品牌：</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规格型号：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iCs w:val="0"/>
          <w:color w:val="auto"/>
          <w:sz w:val="24"/>
          <w:szCs w:val="24"/>
          <w:highlight w:val="none"/>
        </w:rPr>
        <w:t xml:space="preserve">      </w:t>
      </w:r>
    </w:p>
    <w:p w14:paraId="528C43A4">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u w:val="none"/>
          <w:lang w:val="en-US" w:eastAsia="zh-CN"/>
        </w:rPr>
      </w:pP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否</w:t>
      </w:r>
    </w:p>
    <w:p w14:paraId="07111257">
      <w:pPr>
        <w:keepNext w:val="0"/>
        <w:keepLines w:val="0"/>
        <w:pageBreakBefore w:val="0"/>
        <w:numPr>
          <w:ilvl w:val="-1"/>
          <w:numId w:val="0"/>
        </w:numPr>
        <w:tabs>
          <w:tab w:val="left" w:pos="740"/>
        </w:tabs>
        <w:kinsoku/>
        <w:wordWrap/>
        <w:overflowPunct/>
        <w:topLinePunct w:val="0"/>
        <w:bidi w:val="0"/>
        <w:adjustRightInd w:val="0"/>
        <w:snapToGrid w:val="0"/>
        <w:spacing w:before="0" w:beforeLines="0" w:line="360" w:lineRule="auto"/>
        <w:ind w:left="0" w:firstLine="480" w:firstLineChars="200"/>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 xml:space="preserve">    （1</w:t>
      </w:r>
      <w:r>
        <w:rPr>
          <w:rFonts w:hint="eastAsia" w:ascii="宋体" w:hAnsi="宋体" w:eastAsia="宋体" w:cs="宋体"/>
          <w:b w:val="0"/>
          <w:bCs w:val="0"/>
          <w:color w:val="auto"/>
          <w:sz w:val="24"/>
          <w:szCs w:val="24"/>
          <w:highlight w:val="none"/>
          <w:u w:val="none"/>
          <w:lang w:val="en" w:eastAsia="zh-CN"/>
        </w:rPr>
        <w:t>0</w:t>
      </w:r>
      <w:r>
        <w:rPr>
          <w:rFonts w:hint="eastAsia" w:ascii="宋体" w:hAnsi="宋体" w:eastAsia="宋体" w:cs="宋体"/>
          <w:b w:val="0"/>
          <w:bCs w:val="0"/>
          <w:color w:val="auto"/>
          <w:sz w:val="24"/>
          <w:szCs w:val="24"/>
          <w:highlight w:val="none"/>
          <w:u w:val="none"/>
          <w:lang w:val="en-US" w:eastAsia="zh-CN"/>
        </w:rPr>
        <w:t>）是否涉及节能产品：</w:t>
      </w:r>
    </w:p>
    <w:p w14:paraId="01E3A457">
      <w:pPr>
        <w:keepNext w:val="0"/>
        <w:keepLines w:val="0"/>
        <w:pageBreakBefore w:val="0"/>
        <w:numPr>
          <w:ilvl w:val="-1"/>
          <w:numId w:val="0"/>
        </w:numPr>
        <w:tabs>
          <w:tab w:val="left" w:pos="740"/>
        </w:tabs>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iCs/>
          <w:color w:val="auto"/>
          <w:sz w:val="24"/>
          <w:szCs w:val="24"/>
          <w:highlight w:val="none"/>
          <w:lang w:val="en-US" w:eastAsia="zh-CN"/>
        </w:rPr>
      </w:pPr>
      <w:r>
        <w:rPr>
          <w:rFonts w:hint="eastAsia" w:ascii="宋体" w:hAnsi="宋体" w:eastAsia="宋体" w:cs="宋体"/>
          <w:b w:val="0"/>
          <w:bCs w:val="0"/>
          <w:color w:val="auto"/>
          <w:sz w:val="24"/>
          <w:szCs w:val="24"/>
          <w:highlight w:val="none"/>
          <w:u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rPr>
        <w:t>是</w:t>
      </w:r>
      <w:r>
        <w:rPr>
          <w:rFonts w:hint="eastAsia" w:ascii="宋体" w:hAnsi="宋体" w:eastAsia="宋体" w:cs="宋体"/>
          <w:iCs w:val="0"/>
          <w:color w:val="auto"/>
          <w:sz w:val="24"/>
          <w:szCs w:val="24"/>
          <w:highlight w:val="none"/>
          <w:lang w:eastAsia="zh-CN"/>
        </w:rPr>
        <w:t>，《节能产品政府采购品目清单》的底级品目名称：</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iCs/>
          <w:color w:val="auto"/>
          <w:sz w:val="24"/>
          <w:szCs w:val="24"/>
          <w:highlight w:val="none"/>
          <w:lang w:val="en-US" w:eastAsia="zh-CN"/>
        </w:rPr>
        <w:t xml:space="preserve">     </w:t>
      </w:r>
    </w:p>
    <w:p w14:paraId="0C028B92">
      <w:pPr>
        <w:keepNext w:val="0"/>
        <w:keepLines w:val="0"/>
        <w:pageBreakBefore w:val="0"/>
        <w:numPr>
          <w:ilvl w:val="-1"/>
          <w:numId w:val="0"/>
        </w:numPr>
        <w:tabs>
          <w:tab w:val="left" w:pos="740"/>
        </w:tabs>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iCs/>
          <w:color w:val="auto"/>
          <w:sz w:val="24"/>
          <w:szCs w:val="24"/>
          <w:highlight w:val="none"/>
          <w:lang w:val="en-US" w:eastAsia="zh-CN"/>
        </w:rPr>
      </w:pP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强制采购</w:t>
      </w: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优先采购</w:t>
      </w:r>
      <w:r>
        <w:rPr>
          <w:rFonts w:hint="eastAsia" w:ascii="宋体" w:hAnsi="宋体" w:eastAsia="宋体" w:cs="宋体"/>
          <w:iCs/>
          <w:color w:val="auto"/>
          <w:sz w:val="24"/>
          <w:szCs w:val="24"/>
          <w:highlight w:val="none"/>
          <w:lang w:val="en-US" w:eastAsia="zh-CN"/>
        </w:rPr>
        <w:t xml:space="preserve">    </w:t>
      </w:r>
    </w:p>
    <w:p w14:paraId="6B81A7DE">
      <w:pPr>
        <w:keepNext w:val="0"/>
        <w:keepLines w:val="0"/>
        <w:pageBreakBefore w:val="0"/>
        <w:numPr>
          <w:ilvl w:val="-1"/>
          <w:numId w:val="0"/>
        </w:numPr>
        <w:tabs>
          <w:tab w:val="left" w:pos="740"/>
        </w:tabs>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iCs w:val="0"/>
          <w:color w:val="auto"/>
          <w:sz w:val="24"/>
          <w:szCs w:val="24"/>
          <w:highlight w:val="none"/>
        </w:rPr>
      </w:pP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rPr>
        <w:t>否</w:t>
      </w:r>
    </w:p>
    <w:p w14:paraId="00D34342">
      <w:pPr>
        <w:keepNext w:val="0"/>
        <w:keepLines w:val="0"/>
        <w:pageBreakBefore w:val="0"/>
        <w:numPr>
          <w:ilvl w:val="-1"/>
          <w:numId w:val="0"/>
        </w:numPr>
        <w:tabs>
          <w:tab w:val="left" w:pos="740"/>
        </w:tabs>
        <w:kinsoku/>
        <w:wordWrap/>
        <w:overflowPunct/>
        <w:topLinePunct w:val="0"/>
        <w:bidi w:val="0"/>
        <w:adjustRightInd w:val="0"/>
        <w:snapToGrid w:val="0"/>
        <w:spacing w:before="0" w:beforeLines="0" w:line="360" w:lineRule="auto"/>
        <w:ind w:left="0" w:firstLine="480" w:firstLineChars="200"/>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 xml:space="preserve">          是否涉及环境标志产品：</w:t>
      </w:r>
    </w:p>
    <w:p w14:paraId="61C545ED">
      <w:pPr>
        <w:keepNext w:val="0"/>
        <w:keepLines w:val="0"/>
        <w:pageBreakBefore w:val="0"/>
        <w:numPr>
          <w:ilvl w:val="-1"/>
          <w:numId w:val="0"/>
        </w:numPr>
        <w:tabs>
          <w:tab w:val="left" w:pos="740"/>
        </w:tabs>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iCs w:val="0"/>
          <w:color w:val="auto"/>
          <w:sz w:val="24"/>
          <w:szCs w:val="24"/>
          <w:highlight w:val="none"/>
          <w:lang w:eastAsia="zh-CN"/>
        </w:rPr>
      </w:pPr>
      <w:r>
        <w:rPr>
          <w:rFonts w:hint="eastAsia" w:ascii="宋体" w:hAnsi="宋体" w:eastAsia="宋体" w:cs="宋体"/>
          <w:b w:val="0"/>
          <w:bCs w:val="0"/>
          <w:color w:val="auto"/>
          <w:sz w:val="24"/>
          <w:szCs w:val="24"/>
          <w:highlight w:val="none"/>
          <w:u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rPr>
        <w:t>是</w:t>
      </w:r>
      <w:r>
        <w:rPr>
          <w:rFonts w:hint="eastAsia" w:ascii="宋体" w:hAnsi="宋体" w:eastAsia="宋体" w:cs="宋体"/>
          <w:iCs w:val="0"/>
          <w:color w:val="auto"/>
          <w:sz w:val="24"/>
          <w:szCs w:val="24"/>
          <w:highlight w:val="none"/>
          <w:lang w:eastAsia="zh-CN"/>
        </w:rPr>
        <w:t>，《环境标志产品政府采购品目清单》的底级品目名称：</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iCs/>
          <w:color w:val="auto"/>
          <w:sz w:val="24"/>
          <w:szCs w:val="24"/>
          <w:highlight w:val="none"/>
          <w:lang w:val="en-US" w:eastAsia="zh-CN"/>
        </w:rPr>
        <w:t xml:space="preserve"> </w:t>
      </w:r>
    </w:p>
    <w:p w14:paraId="3ABCB0D8">
      <w:pPr>
        <w:keepNext w:val="0"/>
        <w:keepLines w:val="0"/>
        <w:pageBreakBefore w:val="0"/>
        <w:numPr>
          <w:ilvl w:val="-1"/>
          <w:numId w:val="0"/>
        </w:numPr>
        <w:tabs>
          <w:tab w:val="left" w:pos="740"/>
        </w:tabs>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iCs/>
          <w:color w:val="auto"/>
          <w:sz w:val="24"/>
          <w:szCs w:val="24"/>
          <w:highlight w:val="none"/>
          <w:lang w:val="en-US" w:eastAsia="zh-CN"/>
        </w:rPr>
      </w:pP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强制采购</w:t>
      </w: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优先采购</w:t>
      </w:r>
      <w:r>
        <w:rPr>
          <w:rFonts w:hint="eastAsia" w:ascii="宋体" w:hAnsi="宋体" w:eastAsia="宋体" w:cs="宋体"/>
          <w:iCs/>
          <w:color w:val="auto"/>
          <w:sz w:val="24"/>
          <w:szCs w:val="24"/>
          <w:highlight w:val="none"/>
          <w:lang w:val="en-US" w:eastAsia="zh-CN"/>
        </w:rPr>
        <w:t xml:space="preserve">    </w:t>
      </w:r>
    </w:p>
    <w:p w14:paraId="2FD8C8E2">
      <w:pPr>
        <w:keepNext w:val="0"/>
        <w:keepLines w:val="0"/>
        <w:pageBreakBefore w:val="0"/>
        <w:numPr>
          <w:ilvl w:val="-1"/>
          <w:numId w:val="0"/>
        </w:numPr>
        <w:tabs>
          <w:tab w:val="left" w:pos="740"/>
        </w:tabs>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rPr>
        <w:t>否</w:t>
      </w:r>
    </w:p>
    <w:p w14:paraId="37A73354">
      <w:pPr>
        <w:pStyle w:val="60"/>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iCs w:val="0"/>
          <w:color w:val="auto"/>
          <w:kern w:val="2"/>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 xml:space="preserve">          </w:t>
      </w:r>
      <w:r>
        <w:rPr>
          <w:rFonts w:hint="eastAsia" w:ascii="宋体" w:hAnsi="宋体" w:eastAsia="宋体" w:cs="宋体"/>
          <w:b w:val="0"/>
          <w:bCs w:val="0"/>
          <w:color w:val="auto"/>
          <w:kern w:val="2"/>
          <w:sz w:val="24"/>
          <w:szCs w:val="24"/>
          <w:highlight w:val="none"/>
          <w:u w:val="none"/>
          <w:lang w:val="en-US" w:eastAsia="zh-CN"/>
        </w:rPr>
        <w:t>是否涉及绿色产品：</w:t>
      </w:r>
      <w:r>
        <w:rPr>
          <w:rFonts w:hint="eastAsia" w:ascii="宋体" w:hAnsi="宋体" w:eastAsia="宋体" w:cs="宋体"/>
          <w:iCs w:val="0"/>
          <w:color w:val="auto"/>
          <w:kern w:val="2"/>
          <w:sz w:val="24"/>
          <w:szCs w:val="24"/>
          <w:highlight w:val="none"/>
          <w:u w:val="none"/>
          <w:lang w:val="en-US" w:eastAsia="zh-CN"/>
        </w:rPr>
        <w:t xml:space="preserve"> </w:t>
      </w:r>
    </w:p>
    <w:p w14:paraId="782123B1">
      <w:pPr>
        <w:pStyle w:val="60"/>
        <w:keepNext w:val="0"/>
        <w:keepLines w:val="0"/>
        <w:pageBreakBefore w:val="0"/>
        <w:kinsoku/>
        <w:wordWrap/>
        <w:overflowPunct/>
        <w:topLinePunct w:val="0"/>
        <w:bidi w:val="0"/>
        <w:spacing w:beforeLines="0" w:line="360" w:lineRule="auto"/>
        <w:ind w:firstLine="480" w:firstLineChars="200"/>
        <w:rPr>
          <w:rFonts w:hint="eastAsia" w:ascii="宋体" w:hAnsi="宋体" w:eastAsia="宋体" w:cs="宋体"/>
          <w:color w:val="auto"/>
          <w:sz w:val="24"/>
          <w:szCs w:val="24"/>
          <w:highlight w:val="none"/>
          <w:u w:val="single"/>
          <w:lang w:val="en-US" w:eastAsia="zh-CN"/>
        </w:rPr>
      </w:pPr>
      <w:r>
        <w:rPr>
          <w:rFonts w:hint="eastAsia" w:ascii="宋体" w:hAnsi="宋体" w:eastAsia="宋体" w:cs="宋体"/>
          <w:iCs w:val="0"/>
          <w:color w:val="auto"/>
          <w:kern w:val="2"/>
          <w:sz w:val="24"/>
          <w:szCs w:val="24"/>
          <w:highlight w:val="none"/>
          <w:u w:val="none"/>
          <w:lang w:val="en-US" w:eastAsia="zh-CN"/>
        </w:rPr>
        <w:t xml:space="preserve">     </w:t>
      </w:r>
      <w:r>
        <w:rPr>
          <w:rFonts w:hint="eastAsia" w:ascii="宋体" w:hAnsi="宋体" w:eastAsia="宋体" w:cs="宋体"/>
          <w:iCs w:val="0"/>
          <w:color w:val="auto"/>
          <w:kern w:val="2"/>
          <w:sz w:val="24"/>
          <w:szCs w:val="24"/>
          <w:highlight w:val="none"/>
          <w:u w:val="none"/>
        </w:rPr>
        <w:sym w:font="Wingdings" w:char="00A8"/>
      </w:r>
      <w:r>
        <w:rPr>
          <w:rFonts w:hint="eastAsia" w:ascii="宋体" w:hAnsi="宋体" w:eastAsia="宋体" w:cs="宋体"/>
          <w:iCs w:val="0"/>
          <w:color w:val="auto"/>
          <w:kern w:val="2"/>
          <w:sz w:val="24"/>
          <w:szCs w:val="24"/>
          <w:highlight w:val="none"/>
          <w:u w:val="none"/>
        </w:rPr>
        <w:t>是</w:t>
      </w:r>
      <w:r>
        <w:rPr>
          <w:rFonts w:hint="eastAsia" w:ascii="宋体" w:hAnsi="宋体" w:eastAsia="宋体" w:cs="宋体"/>
          <w:iCs w:val="0"/>
          <w:color w:val="auto"/>
          <w:kern w:val="2"/>
          <w:sz w:val="24"/>
          <w:szCs w:val="24"/>
          <w:highlight w:val="none"/>
          <w:u w:val="none"/>
          <w:lang w:eastAsia="zh-CN"/>
        </w:rPr>
        <w:t>，绿色产品政府采购相关政策确定的底级品目名称：</w:t>
      </w:r>
      <w:r>
        <w:rPr>
          <w:rFonts w:hint="eastAsia" w:ascii="宋体" w:hAnsi="宋体" w:eastAsia="宋体" w:cs="宋体"/>
          <w:color w:val="auto"/>
          <w:sz w:val="24"/>
          <w:szCs w:val="24"/>
          <w:highlight w:val="none"/>
          <w:u w:val="single"/>
          <w:lang w:val="en-US" w:eastAsia="zh-CN"/>
        </w:rPr>
        <w:t xml:space="preserve">         </w:t>
      </w:r>
    </w:p>
    <w:p w14:paraId="18E53ED5">
      <w:pPr>
        <w:keepNext w:val="0"/>
        <w:keepLines w:val="0"/>
        <w:pageBreakBefore w:val="0"/>
        <w:numPr>
          <w:ilvl w:val="-1"/>
          <w:numId w:val="0"/>
        </w:numPr>
        <w:tabs>
          <w:tab w:val="left" w:pos="740"/>
        </w:tabs>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iCs/>
          <w:color w:val="auto"/>
          <w:sz w:val="24"/>
          <w:szCs w:val="24"/>
          <w:highlight w:val="none"/>
          <w:lang w:val="en-US" w:eastAsia="zh-CN"/>
        </w:rPr>
      </w:pP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强制采购</w:t>
      </w: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优先采购</w:t>
      </w:r>
      <w:r>
        <w:rPr>
          <w:rFonts w:hint="eastAsia" w:ascii="宋体" w:hAnsi="宋体" w:eastAsia="宋体" w:cs="宋体"/>
          <w:iCs/>
          <w:color w:val="auto"/>
          <w:sz w:val="24"/>
          <w:szCs w:val="24"/>
          <w:highlight w:val="none"/>
          <w:lang w:val="en-US" w:eastAsia="zh-CN"/>
        </w:rPr>
        <w:t xml:space="preserve">    </w:t>
      </w:r>
    </w:p>
    <w:p w14:paraId="6C6A8A81">
      <w:pPr>
        <w:pStyle w:val="60"/>
        <w:keepNext w:val="0"/>
        <w:keepLines w:val="0"/>
        <w:pageBreakBefore w:val="0"/>
        <w:kinsoku/>
        <w:wordWrap/>
        <w:overflowPunct/>
        <w:topLinePunct w:val="0"/>
        <w:bidi w:val="0"/>
        <w:spacing w:beforeLines="0" w:line="360" w:lineRule="auto"/>
        <w:ind w:firstLine="480" w:firstLineChars="200"/>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iCs w:val="0"/>
          <w:color w:val="auto"/>
          <w:kern w:val="2"/>
          <w:sz w:val="24"/>
          <w:szCs w:val="24"/>
          <w:highlight w:val="none"/>
          <w:u w:val="none"/>
          <w:lang w:val="en-US" w:eastAsia="zh-CN"/>
        </w:rPr>
        <w:t xml:space="preserve">     </w:t>
      </w:r>
      <w:r>
        <w:rPr>
          <w:rFonts w:hint="eastAsia" w:ascii="宋体" w:hAnsi="宋体" w:eastAsia="宋体" w:cs="宋体"/>
          <w:iCs w:val="0"/>
          <w:color w:val="auto"/>
          <w:kern w:val="2"/>
          <w:sz w:val="24"/>
          <w:szCs w:val="24"/>
          <w:highlight w:val="none"/>
          <w:u w:val="none"/>
        </w:rPr>
        <w:sym w:font="Wingdings" w:char="00A8"/>
      </w:r>
      <w:r>
        <w:rPr>
          <w:rFonts w:hint="eastAsia" w:ascii="宋体" w:hAnsi="宋体" w:eastAsia="宋体" w:cs="宋体"/>
          <w:iCs w:val="0"/>
          <w:color w:val="auto"/>
          <w:kern w:val="2"/>
          <w:sz w:val="24"/>
          <w:szCs w:val="24"/>
          <w:highlight w:val="none"/>
          <w:u w:val="none"/>
        </w:rPr>
        <w:t>否</w:t>
      </w:r>
    </w:p>
    <w:p w14:paraId="51DC8987">
      <w:pPr>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（1</w:t>
      </w:r>
      <w:r>
        <w:rPr>
          <w:rFonts w:hint="eastAsia" w:ascii="宋体" w:hAnsi="宋体" w:eastAsia="宋体" w:cs="宋体"/>
          <w:color w:val="auto"/>
          <w:sz w:val="24"/>
          <w:szCs w:val="24"/>
          <w:highlight w:val="none"/>
          <w:lang w:val="en" w:eastAsia="zh-CN"/>
        </w:rPr>
        <w:t>1</w:t>
      </w:r>
      <w:r>
        <w:rPr>
          <w:rFonts w:hint="eastAsia" w:ascii="宋体" w:hAnsi="宋体" w:eastAsia="宋体" w:cs="宋体"/>
          <w:color w:val="auto"/>
          <w:sz w:val="24"/>
          <w:szCs w:val="24"/>
          <w:highlight w:val="none"/>
          <w:lang w:val="en-US" w:eastAsia="zh-CN"/>
        </w:rPr>
        <w:t>）涉及商品包装和快递包装的，是否参考</w:t>
      </w:r>
      <w:r>
        <w:rPr>
          <w:rFonts w:hint="eastAsia" w:ascii="宋体" w:hAnsi="宋体" w:eastAsia="宋体" w:cs="宋体"/>
          <w:color w:val="auto"/>
          <w:sz w:val="24"/>
          <w:szCs w:val="24"/>
          <w:highlight w:val="none"/>
        </w:rPr>
        <w:t>《商品包装政府采购需求标准（试行）》、《快递包装政府采购需求标准（试行）》</w:t>
      </w:r>
      <w:r>
        <w:rPr>
          <w:rFonts w:hint="eastAsia" w:ascii="宋体" w:hAnsi="宋体" w:eastAsia="宋体" w:cs="宋体"/>
          <w:color w:val="auto"/>
          <w:sz w:val="24"/>
          <w:szCs w:val="24"/>
          <w:highlight w:val="none"/>
          <w:lang w:eastAsia="zh-CN"/>
        </w:rPr>
        <w:t>明确产品及相关快递服务的具体包装要求：</w:t>
      </w:r>
    </w:p>
    <w:p w14:paraId="7464FEF8">
      <w:pPr>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iCs w:val="0"/>
          <w:color w:val="auto"/>
          <w:sz w:val="24"/>
          <w:szCs w:val="24"/>
          <w:highlight w:val="none"/>
          <w:lang w:val="en-US" w:eastAsia="zh-CN"/>
        </w:rPr>
      </w:pP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rPr>
        <w:t xml:space="preserve">是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rPr>
        <w:t>否</w:t>
      </w: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不涉及</w:t>
      </w:r>
    </w:p>
    <w:p w14:paraId="367861A8">
      <w:pPr>
        <w:keepNext w:val="0"/>
        <w:keepLines w:val="0"/>
        <w:pageBreakBefore w:val="0"/>
        <w:numPr>
          <w:ilvl w:val="0"/>
          <w:numId w:val="1"/>
        </w:numPr>
        <w:kinsoku/>
        <w:wordWrap/>
        <w:overflowPunct/>
        <w:topLinePunct w:val="0"/>
        <w:bidi w:val="0"/>
        <w:adjustRightInd w:val="0"/>
        <w:snapToGrid w:val="0"/>
        <w:spacing w:before="0" w:beforeLines="0"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合同金额</w:t>
      </w:r>
    </w:p>
    <w:p w14:paraId="565D8FCA">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（1）合同金额小写：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10510F36">
      <w:pPr>
        <w:keepNext w:val="0"/>
        <w:keepLines w:val="0"/>
        <w:pageBreakBefore w:val="0"/>
        <w:kinsoku/>
        <w:wordWrap/>
        <w:overflowPunct/>
        <w:topLinePunct w:val="0"/>
        <w:bidi w:val="0"/>
        <w:adjustRightInd w:val="0"/>
        <w:snapToGrid w:val="0"/>
        <w:spacing w:before="0" w:beforeLines="0" w:line="360" w:lineRule="auto"/>
        <w:ind w:left="0"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0024D735">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分包金额</w:t>
      </w:r>
      <w:r>
        <w:rPr>
          <w:rFonts w:hint="eastAsia" w:ascii="宋体" w:hAnsi="宋体" w:eastAsia="宋体" w:cs="宋体"/>
          <w:color w:val="auto"/>
          <w:sz w:val="24"/>
          <w:szCs w:val="24"/>
          <w:highlight w:val="none"/>
          <w:lang w:eastAsia="zh-CN"/>
        </w:rPr>
        <w:t>（如有）</w:t>
      </w:r>
      <w:r>
        <w:rPr>
          <w:rFonts w:hint="eastAsia" w:ascii="宋体" w:hAnsi="宋体" w:eastAsia="宋体" w:cs="宋体"/>
          <w:color w:val="auto"/>
          <w:sz w:val="24"/>
          <w:szCs w:val="24"/>
          <w:highlight w:val="none"/>
        </w:rPr>
        <w:t>小写：</w:t>
      </w:r>
      <w:r>
        <w:rPr>
          <w:rFonts w:hint="eastAsia" w:ascii="宋体" w:hAnsi="宋体" w:eastAsia="宋体" w:cs="宋体"/>
          <w:color w:val="auto"/>
          <w:sz w:val="24"/>
          <w:szCs w:val="24"/>
          <w:highlight w:val="none"/>
          <w:u w:val="single"/>
        </w:rPr>
        <w:t xml:space="preserve">                   </w:t>
      </w:r>
    </w:p>
    <w:p w14:paraId="3AD5B2D9">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63AA4C22">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（注：固定单价合同应填写单价和最高限价）</w:t>
      </w:r>
    </w:p>
    <w:p w14:paraId="57DFF734">
      <w:pPr>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合同定价方式</w:t>
      </w:r>
      <w:r>
        <w:rPr>
          <w:rFonts w:hint="eastAsia" w:ascii="宋体" w:hAnsi="宋体" w:eastAsia="宋体" w:cs="宋体"/>
          <w:color w:val="auto"/>
          <w:sz w:val="24"/>
          <w:szCs w:val="24"/>
          <w:highlight w:val="none"/>
          <w:lang w:eastAsia="zh-CN"/>
        </w:rPr>
        <w:t>（采用组合定价方式的，可以勾选多项）</w:t>
      </w:r>
      <w:r>
        <w:rPr>
          <w:rFonts w:hint="eastAsia" w:ascii="宋体" w:hAnsi="宋体" w:eastAsia="宋体" w:cs="宋体"/>
          <w:color w:val="auto"/>
          <w:sz w:val="24"/>
          <w:szCs w:val="24"/>
          <w:highlight w:val="none"/>
        </w:rPr>
        <w:t>：</w:t>
      </w:r>
    </w:p>
    <w:p w14:paraId="0BF86374">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固定总价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固定单价</w:t>
      </w: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固定费率</w:t>
      </w:r>
      <w:r>
        <w:rPr>
          <w:rFonts w:hint="eastAsia" w:ascii="宋体" w:hAnsi="宋体" w:eastAsia="宋体" w:cs="宋体"/>
          <w:iCs/>
          <w:color w:val="auto"/>
          <w:sz w:val="24"/>
          <w:szCs w:val="24"/>
          <w:highlight w:val="none"/>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成本补偿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绩效激励</w:t>
      </w: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其他</w:t>
      </w:r>
      <w:r>
        <w:rPr>
          <w:rFonts w:hint="eastAsia" w:ascii="宋体" w:hAnsi="宋体" w:eastAsia="宋体" w:cs="宋体"/>
          <w:color w:val="auto"/>
          <w:sz w:val="24"/>
          <w:szCs w:val="24"/>
          <w:highlight w:val="none"/>
          <w:u w:val="single"/>
        </w:rPr>
        <w:t xml:space="preserve">       </w:t>
      </w:r>
    </w:p>
    <w:p w14:paraId="209D09F9">
      <w:pPr>
        <w:pStyle w:val="45"/>
        <w:keepNext w:val="0"/>
        <w:keepLines w:val="0"/>
        <w:pageBreakBefore w:val="0"/>
        <w:kinsoku/>
        <w:wordWrap/>
        <w:overflowPunct/>
        <w:topLinePunct w:val="0"/>
        <w:bidi w:val="0"/>
        <w:spacing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）付款方式（按项目实际勾选填写）：</w:t>
      </w:r>
    </w:p>
    <w:p w14:paraId="03CE1B61">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全额付款：</w:t>
      </w:r>
      <w:r>
        <w:rPr>
          <w:rFonts w:hint="eastAsia" w:ascii="宋体" w:hAnsi="宋体" w:eastAsia="宋体" w:cs="宋体"/>
          <w:color w:val="auto"/>
          <w:sz w:val="24"/>
          <w:szCs w:val="24"/>
          <w:highlight w:val="none"/>
          <w:u w:val="single"/>
        </w:rPr>
        <w:t xml:space="preserve">     （应</w:t>
      </w:r>
      <w:r>
        <w:rPr>
          <w:rFonts w:hint="eastAsia" w:ascii="宋体" w:hAnsi="宋体" w:eastAsia="宋体" w:cs="宋体"/>
          <w:color w:val="auto"/>
          <w:sz w:val="24"/>
          <w:szCs w:val="24"/>
          <w:highlight w:val="none"/>
          <w:u w:val="single"/>
          <w:lang w:eastAsia="zh-CN"/>
        </w:rPr>
        <w:t>明确</w:t>
      </w:r>
      <w:r>
        <w:rPr>
          <w:rFonts w:hint="eastAsia" w:ascii="宋体" w:hAnsi="宋体" w:eastAsia="宋体" w:cs="宋体"/>
          <w:color w:val="auto"/>
          <w:sz w:val="24"/>
          <w:szCs w:val="24"/>
          <w:highlight w:val="none"/>
          <w:u w:val="single"/>
        </w:rPr>
        <w:t>一次性支付合同款项</w:t>
      </w:r>
      <w:r>
        <w:rPr>
          <w:rFonts w:hint="eastAsia" w:ascii="宋体" w:hAnsi="宋体" w:eastAsia="宋体" w:cs="宋体"/>
          <w:color w:val="auto"/>
          <w:sz w:val="24"/>
          <w:szCs w:val="24"/>
          <w:highlight w:val="none"/>
          <w:u w:val="single"/>
          <w:lang w:eastAsia="zh-CN"/>
        </w:rPr>
        <w:t>的条件</w:t>
      </w:r>
      <w:r>
        <w:rPr>
          <w:rFonts w:hint="eastAsia" w:ascii="宋体" w:hAnsi="宋体" w:eastAsia="宋体" w:cs="宋体"/>
          <w:color w:val="auto"/>
          <w:sz w:val="24"/>
          <w:szCs w:val="24"/>
          <w:highlight w:val="none"/>
          <w:u w:val="single"/>
        </w:rPr>
        <w:t xml:space="preserve">）                    </w:t>
      </w:r>
    </w:p>
    <w:p w14:paraId="6ED3708B">
      <w:pPr>
        <w:keepNext w:val="0"/>
        <w:keepLines w:val="0"/>
        <w:pageBreakBefore w:val="0"/>
        <w:kinsoku/>
        <w:wordWrap/>
        <w:overflowPunct/>
        <w:topLinePunct w:val="0"/>
        <w:bidi w:val="0"/>
        <w:snapToGrid w:val="0"/>
        <w:spacing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分期付款：</w:t>
      </w:r>
      <w:r>
        <w:rPr>
          <w:rFonts w:hint="eastAsia" w:ascii="宋体" w:hAnsi="宋体" w:eastAsia="宋体" w:cs="宋体"/>
          <w:color w:val="auto"/>
          <w:sz w:val="24"/>
          <w:szCs w:val="24"/>
          <w:highlight w:val="none"/>
          <w:u w:val="single"/>
        </w:rPr>
        <w:t xml:space="preserve">  （应明确分期支付合同款项的各期比例和支付条件</w:t>
      </w:r>
      <w:r>
        <w:rPr>
          <w:rFonts w:hint="eastAsia" w:ascii="宋体" w:hAnsi="宋体" w:eastAsia="宋体" w:cs="宋体"/>
          <w:color w:val="auto"/>
          <w:sz w:val="24"/>
          <w:szCs w:val="24"/>
          <w:highlight w:val="none"/>
          <w:u w:val="single"/>
          <w:lang w:eastAsia="zh-CN"/>
        </w:rPr>
        <w:t>，各期支付条件应与分期履约验收情况挂钩</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lang w:eastAsia="zh-CN"/>
        </w:rPr>
        <w:t>其中涉及预付款的</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（应明确预付款的支付比例和支付条件） </w:t>
      </w:r>
    </w:p>
    <w:p w14:paraId="32D6D7D5">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成本补偿：</w:t>
      </w:r>
      <w:r>
        <w:rPr>
          <w:rFonts w:hint="eastAsia" w:ascii="宋体" w:hAnsi="宋体" w:eastAsia="宋体" w:cs="宋体"/>
          <w:color w:val="auto"/>
          <w:sz w:val="24"/>
          <w:szCs w:val="24"/>
          <w:highlight w:val="none"/>
          <w:u w:val="single"/>
        </w:rPr>
        <w:t xml:space="preserve">      （应明确按照成本补偿方式的支付方式和支付条件）   </w:t>
      </w:r>
    </w:p>
    <w:p w14:paraId="71871E56">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绩效激励：</w:t>
      </w:r>
      <w:r>
        <w:rPr>
          <w:rFonts w:hint="eastAsia" w:ascii="宋体" w:hAnsi="宋体" w:eastAsia="宋体" w:cs="宋体"/>
          <w:color w:val="auto"/>
          <w:sz w:val="24"/>
          <w:szCs w:val="24"/>
          <w:highlight w:val="none"/>
          <w:u w:val="single"/>
        </w:rPr>
        <w:t xml:space="preserve">      （应明确按照绩效激励方式的支付方式和支付条件）   </w:t>
      </w:r>
    </w:p>
    <w:p w14:paraId="2024A0CE">
      <w:pPr>
        <w:keepNext w:val="0"/>
        <w:keepLines w:val="0"/>
        <w:pageBreakBefore w:val="0"/>
        <w:numPr>
          <w:ilvl w:val="0"/>
          <w:numId w:val="1"/>
        </w:numPr>
        <w:kinsoku/>
        <w:wordWrap/>
        <w:overflowPunct/>
        <w:topLinePunct w:val="0"/>
        <w:bidi w:val="0"/>
        <w:adjustRightInd w:val="0"/>
        <w:snapToGrid w:val="0"/>
        <w:spacing w:before="0" w:beforeLines="0" w:line="360" w:lineRule="auto"/>
        <w:ind w:firstLine="482" w:firstLineChars="200"/>
        <w:rPr>
          <w:rFonts w:hint="eastAsia" w:ascii="宋体" w:hAnsi="宋体" w:eastAsia="宋体" w:cs="宋体"/>
          <w:b/>
          <w:bCs w:val="0"/>
          <w:color w:val="auto"/>
          <w:sz w:val="24"/>
          <w:szCs w:val="24"/>
          <w:highlight w:val="none"/>
          <w:u w:val="single"/>
        </w:rPr>
      </w:pPr>
      <w:r>
        <w:rPr>
          <w:rFonts w:hint="eastAsia" w:ascii="宋体" w:hAnsi="宋体" w:eastAsia="宋体" w:cs="宋体"/>
          <w:b/>
          <w:bCs w:val="0"/>
          <w:color w:val="auto"/>
          <w:sz w:val="24"/>
          <w:szCs w:val="24"/>
          <w:highlight w:val="none"/>
        </w:rPr>
        <w:t>合同履行</w:t>
      </w:r>
    </w:p>
    <w:p w14:paraId="2DE73B4D">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（1）起始日期：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日，完成日期：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2E2306EE">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履约</w:t>
      </w:r>
      <w:r>
        <w:rPr>
          <w:rFonts w:hint="eastAsia" w:ascii="宋体" w:hAnsi="宋体" w:eastAsia="宋体" w:cs="宋体"/>
          <w:color w:val="auto"/>
          <w:sz w:val="24"/>
          <w:szCs w:val="24"/>
          <w:highlight w:val="none"/>
        </w:rPr>
        <w:t>地点</w:t>
      </w:r>
      <w:r>
        <w:rPr>
          <w:rFonts w:hint="eastAsia" w:ascii="宋体" w:hAnsi="宋体" w:eastAsia="宋体" w:cs="宋体"/>
          <w:b w:val="0"/>
          <w:bCs/>
          <w:color w:val="auto"/>
          <w:sz w:val="24"/>
          <w:szCs w:val="24"/>
          <w:highlight w:val="none"/>
        </w:rPr>
        <w:t>：</w:t>
      </w:r>
      <w:r>
        <w:rPr>
          <w:rFonts w:hint="eastAsia" w:ascii="宋体" w:hAnsi="宋体" w:eastAsia="宋体" w:cs="宋体"/>
          <w:color w:val="auto"/>
          <w:sz w:val="24"/>
          <w:szCs w:val="24"/>
          <w:highlight w:val="none"/>
          <w:u w:val="single"/>
        </w:rPr>
        <w:t xml:space="preserve">                             </w:t>
      </w:r>
    </w:p>
    <w:p w14:paraId="5B6B2867">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bCs/>
          <w:color w:val="auto"/>
          <w:sz w:val="24"/>
          <w:szCs w:val="24"/>
          <w:highlight w:val="none"/>
        </w:rPr>
        <w:t>（3）履约担保：</w:t>
      </w:r>
      <w:r>
        <w:rPr>
          <w:rFonts w:hint="eastAsia" w:ascii="宋体" w:hAnsi="宋体" w:eastAsia="宋体" w:cs="宋体"/>
          <w:color w:val="auto"/>
          <w:sz w:val="24"/>
          <w:szCs w:val="24"/>
          <w:highlight w:val="none"/>
          <w:lang w:val="en-US" w:eastAsia="zh-CN"/>
        </w:rPr>
        <w:t>是否收取履约保证金：</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lang w:eastAsia="zh-CN"/>
        </w:rPr>
        <w:t>是</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lang w:eastAsia="zh-CN"/>
        </w:rPr>
        <w:t>否</w:t>
      </w:r>
    </w:p>
    <w:p w14:paraId="1621BF3B">
      <w:pPr>
        <w:pStyle w:val="60"/>
        <w:keepNext w:val="0"/>
        <w:keepLines w:val="0"/>
        <w:pageBreakBefore w:val="0"/>
        <w:kinsoku/>
        <w:wordWrap/>
        <w:overflowPunct/>
        <w:topLinePunct w:val="0"/>
        <w:bidi w:val="0"/>
        <w:spacing w:before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bCs/>
          <w:color w:val="auto"/>
          <w:sz w:val="24"/>
          <w:szCs w:val="24"/>
          <w:highlight w:val="none"/>
          <w:u w:val="none"/>
          <w:lang w:val="en-US" w:eastAsia="zh-CN"/>
        </w:rPr>
        <w:t xml:space="preserve">  </w:t>
      </w:r>
      <w:r>
        <w:rPr>
          <w:rFonts w:hint="eastAsia" w:ascii="宋体" w:hAnsi="宋体" w:eastAsia="宋体" w:cs="宋体"/>
          <w:color w:val="auto"/>
          <w:sz w:val="24"/>
          <w:szCs w:val="24"/>
          <w:highlight w:val="none"/>
          <w:lang w:val="en-US" w:eastAsia="zh-CN"/>
        </w:rPr>
        <w:t xml:space="preserve">  收取履约保证金形式：</w:t>
      </w:r>
      <w:r>
        <w:rPr>
          <w:rFonts w:hint="eastAsia" w:ascii="宋体" w:hAnsi="宋体" w:eastAsia="宋体" w:cs="宋体"/>
          <w:bCs/>
          <w:color w:val="auto"/>
          <w:sz w:val="24"/>
          <w:szCs w:val="24"/>
          <w:highlight w:val="none"/>
          <w:u w:val="single"/>
        </w:rPr>
        <w:t xml:space="preserve">                            </w:t>
      </w:r>
    </w:p>
    <w:p w14:paraId="3D17AFA7">
      <w:pPr>
        <w:pStyle w:val="60"/>
        <w:keepNext w:val="0"/>
        <w:keepLines w:val="0"/>
        <w:pageBreakBefore w:val="0"/>
        <w:kinsoku/>
        <w:wordWrap/>
        <w:overflowPunct/>
        <w:topLinePunct w:val="0"/>
        <w:bidi w:val="0"/>
        <w:spacing w:before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收取履约保证金金额：</w:t>
      </w:r>
      <w:r>
        <w:rPr>
          <w:rFonts w:hint="eastAsia" w:ascii="宋体" w:hAnsi="宋体" w:eastAsia="宋体" w:cs="宋体"/>
          <w:bCs/>
          <w:color w:val="auto"/>
          <w:sz w:val="24"/>
          <w:szCs w:val="24"/>
          <w:highlight w:val="none"/>
          <w:u w:val="single"/>
        </w:rPr>
        <w:t xml:space="preserve">                            </w:t>
      </w:r>
    </w:p>
    <w:p w14:paraId="0849D9F3">
      <w:pPr>
        <w:keepNext w:val="0"/>
        <w:keepLines w:val="0"/>
        <w:pageBreakBefore w:val="0"/>
        <w:kinsoku/>
        <w:wordWrap/>
        <w:overflowPunct/>
        <w:topLinePunct w:val="0"/>
        <w:bidi w:val="0"/>
        <w:snapToGrid w:val="0"/>
        <w:spacing w:before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bCs/>
          <w:color w:val="auto"/>
          <w:sz w:val="24"/>
          <w:szCs w:val="24"/>
          <w:highlight w:val="none"/>
          <w:u w:val="none"/>
          <w:lang w:val="en-US" w:eastAsia="zh-CN"/>
        </w:rPr>
        <w:t xml:space="preserve">    履约担保期限</w:t>
      </w:r>
      <w:r>
        <w:rPr>
          <w:rFonts w:hint="eastAsia" w:ascii="宋体" w:hAnsi="宋体" w:eastAsia="宋体" w:cs="宋体"/>
          <w:bCs/>
          <w:color w:val="auto"/>
          <w:sz w:val="24"/>
          <w:szCs w:val="24"/>
          <w:highlight w:val="none"/>
          <w:u w:val="none"/>
          <w:lang w:eastAsia="zh-CN"/>
        </w:rPr>
        <w:t>：</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 xml:space="preserve">       </w:t>
      </w:r>
    </w:p>
    <w:p w14:paraId="09AB71C9">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（4）分期履行要求：</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 xml:space="preserve"> </w:t>
      </w:r>
    </w:p>
    <w:p w14:paraId="4467A48A">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bCs/>
          <w:color w:val="auto"/>
          <w:sz w:val="24"/>
          <w:szCs w:val="24"/>
          <w:highlight w:val="none"/>
        </w:rPr>
        <w:t>（5）</w:t>
      </w:r>
      <w:r>
        <w:rPr>
          <w:rFonts w:hint="eastAsia" w:ascii="宋体" w:hAnsi="宋体" w:eastAsia="宋体" w:cs="宋体"/>
          <w:bCs/>
          <w:color w:val="auto"/>
          <w:sz w:val="24"/>
          <w:szCs w:val="24"/>
          <w:highlight w:val="none"/>
          <w:lang w:eastAsia="zh-CN"/>
        </w:rPr>
        <w:t>风险处置措施和替代方案</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u w:val="single"/>
        </w:rPr>
        <w:t xml:space="preserve">                                                               </w:t>
      </w:r>
    </w:p>
    <w:p w14:paraId="4DF463A9">
      <w:pPr>
        <w:keepNext w:val="0"/>
        <w:keepLines w:val="0"/>
        <w:pageBreakBefore w:val="0"/>
        <w:numPr>
          <w:ilvl w:val="0"/>
          <w:numId w:val="1"/>
        </w:numPr>
        <w:kinsoku/>
        <w:wordWrap/>
        <w:overflowPunct/>
        <w:topLinePunct w:val="0"/>
        <w:bidi w:val="0"/>
        <w:adjustRightInd w:val="0"/>
        <w:snapToGrid w:val="0"/>
        <w:spacing w:before="0" w:beforeLines="0"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合同验收</w:t>
      </w:r>
    </w:p>
    <w:p w14:paraId="07BA45BF">
      <w:pPr>
        <w:keepNext w:val="0"/>
        <w:keepLines w:val="0"/>
        <w:pageBreakBefore w:val="0"/>
        <w:numPr>
          <w:ilvl w:val="0"/>
          <w:numId w:val="3"/>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验收组织方式：</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自行组织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委托第三方组织</w:t>
      </w:r>
    </w:p>
    <w:p w14:paraId="6635090A">
      <w:pPr>
        <w:keepNext w:val="0"/>
        <w:keepLines w:val="0"/>
        <w:pageBreakBefore w:val="0"/>
        <w:numPr>
          <w:ilvl w:val="0"/>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验收主体：</w:t>
      </w:r>
      <w:r>
        <w:rPr>
          <w:rFonts w:hint="eastAsia" w:ascii="宋体" w:hAnsi="宋体" w:eastAsia="宋体" w:cs="宋体"/>
          <w:bCs/>
          <w:color w:val="auto"/>
          <w:sz w:val="24"/>
          <w:szCs w:val="24"/>
          <w:highlight w:val="none"/>
          <w:u w:val="single"/>
        </w:rPr>
        <w:t xml:space="preserve">                  </w:t>
      </w:r>
    </w:p>
    <w:p w14:paraId="7E3F6501">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是否邀请本项目的其他供应商</w:t>
      </w:r>
      <w:r>
        <w:rPr>
          <w:rFonts w:hint="eastAsia" w:ascii="宋体" w:hAnsi="宋体" w:eastAsia="宋体" w:cs="宋体"/>
          <w:bCs/>
          <w:color w:val="auto"/>
          <w:sz w:val="24"/>
          <w:szCs w:val="24"/>
          <w:highlight w:val="none"/>
          <w:lang w:eastAsia="zh-CN"/>
        </w:rPr>
        <w:t>参加验收</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0DD65B37">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是否邀请专家</w:t>
      </w:r>
      <w:r>
        <w:rPr>
          <w:rFonts w:hint="eastAsia" w:ascii="宋体" w:hAnsi="宋体" w:eastAsia="宋体" w:cs="宋体"/>
          <w:bCs/>
          <w:color w:val="auto"/>
          <w:sz w:val="24"/>
          <w:szCs w:val="24"/>
          <w:highlight w:val="none"/>
          <w:lang w:eastAsia="zh-CN"/>
        </w:rPr>
        <w:t>参加验收</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139D0701">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是否邀请服务对象</w:t>
      </w:r>
      <w:r>
        <w:rPr>
          <w:rFonts w:hint="eastAsia" w:ascii="宋体" w:hAnsi="宋体" w:eastAsia="宋体" w:cs="宋体"/>
          <w:bCs/>
          <w:color w:val="auto"/>
          <w:sz w:val="24"/>
          <w:szCs w:val="24"/>
          <w:highlight w:val="none"/>
          <w:lang w:eastAsia="zh-CN"/>
        </w:rPr>
        <w:t>参加验收</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7BDEEC2B">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是否邀请第三方检测机构</w:t>
      </w:r>
      <w:r>
        <w:rPr>
          <w:rFonts w:hint="eastAsia" w:ascii="宋体" w:hAnsi="宋体" w:eastAsia="宋体" w:cs="宋体"/>
          <w:bCs/>
          <w:color w:val="auto"/>
          <w:sz w:val="24"/>
          <w:szCs w:val="24"/>
          <w:highlight w:val="none"/>
          <w:lang w:eastAsia="zh-CN"/>
        </w:rPr>
        <w:t>参加验收</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635B0AD1">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是否进行抽查检测：</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是</w:t>
      </w:r>
      <w:r>
        <w:rPr>
          <w:rFonts w:hint="eastAsia" w:ascii="宋体" w:hAnsi="宋体" w:eastAsia="宋体" w:cs="宋体"/>
          <w:bCs/>
          <w:color w:val="auto"/>
          <w:sz w:val="24"/>
          <w:szCs w:val="24"/>
          <w:highlight w:val="none"/>
          <w:lang w:eastAsia="zh-CN"/>
        </w:rPr>
        <w:t>，抽查比例：</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7977AFD8">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lang w:val="en-US" w:eastAsia="zh-CN"/>
        </w:rPr>
        <w:t>是否存在破坏性检测：</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是</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u w:val="single"/>
          <w:lang w:eastAsia="zh-CN"/>
        </w:rPr>
        <w:t>（应明确对被破坏的检测产品的处理方式）</w:t>
      </w:r>
    </w:p>
    <w:p w14:paraId="40AE020A">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4C07854C">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验收组织的其他事项：</w:t>
      </w:r>
      <w:r>
        <w:rPr>
          <w:rFonts w:hint="eastAsia" w:ascii="宋体" w:hAnsi="宋体" w:eastAsia="宋体" w:cs="宋体"/>
          <w:bCs/>
          <w:color w:val="auto"/>
          <w:sz w:val="24"/>
          <w:szCs w:val="24"/>
          <w:highlight w:val="none"/>
          <w:u w:val="single"/>
        </w:rPr>
        <w:t xml:space="preserve">                </w:t>
      </w:r>
    </w:p>
    <w:p w14:paraId="75A2422B">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（2）履约验收时间：</w:t>
      </w:r>
      <w:r>
        <w:rPr>
          <w:rFonts w:hint="eastAsia" w:ascii="宋体" w:hAnsi="宋体" w:eastAsia="宋体" w:cs="宋体"/>
          <w:bCs/>
          <w:color w:val="auto"/>
          <w:sz w:val="24"/>
          <w:szCs w:val="24"/>
          <w:highlight w:val="none"/>
          <w:u w:val="single"/>
        </w:rPr>
        <w:t>（计划于何时验收/供应商提出验收申请之日起   日内组织验收）</w:t>
      </w:r>
      <w:r>
        <w:rPr>
          <w:rFonts w:hint="eastAsia" w:ascii="宋体" w:hAnsi="宋体" w:eastAsia="宋体" w:cs="宋体"/>
          <w:bCs/>
          <w:color w:val="auto"/>
          <w:sz w:val="24"/>
          <w:szCs w:val="24"/>
          <w:highlight w:val="none"/>
          <w:u w:val="single"/>
          <w:lang w:val="en-US" w:eastAsia="zh-CN"/>
        </w:rPr>
        <w:t xml:space="preserve"> </w:t>
      </w:r>
    </w:p>
    <w:p w14:paraId="225BF7A4">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（3）履约验收方式：</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一次性验收         </w:t>
      </w:r>
    </w:p>
    <w:p w14:paraId="44FE3F93">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分期/分项验收</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eastAsia="zh-CN"/>
        </w:rPr>
        <w:t>（应明确分期</w:t>
      </w:r>
      <w:r>
        <w:rPr>
          <w:rFonts w:hint="eastAsia" w:ascii="宋体" w:hAnsi="宋体" w:eastAsia="宋体" w:cs="宋体"/>
          <w:bCs/>
          <w:color w:val="auto"/>
          <w:sz w:val="24"/>
          <w:szCs w:val="24"/>
          <w:highlight w:val="none"/>
          <w:u w:val="single"/>
          <w:lang w:val="en" w:eastAsia="zh-CN"/>
        </w:rPr>
        <w:t>/分项验收的工作安排</w:t>
      </w:r>
      <w:r>
        <w:rPr>
          <w:rFonts w:hint="eastAsia" w:ascii="宋体" w:hAnsi="宋体" w:eastAsia="宋体" w:cs="宋体"/>
          <w:bCs/>
          <w:color w:val="auto"/>
          <w:sz w:val="24"/>
          <w:szCs w:val="24"/>
          <w:highlight w:val="none"/>
          <w:u w:val="single"/>
          <w:lang w:eastAsia="zh-CN"/>
        </w:rPr>
        <w:t>）</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w:t>
      </w:r>
    </w:p>
    <w:p w14:paraId="05448B0E">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（4）履约验收程序：</w:t>
      </w:r>
      <w:r>
        <w:rPr>
          <w:rFonts w:hint="eastAsia" w:ascii="宋体" w:hAnsi="宋体" w:eastAsia="宋体" w:cs="宋体"/>
          <w:bCs/>
          <w:color w:val="auto"/>
          <w:sz w:val="24"/>
          <w:szCs w:val="24"/>
          <w:highlight w:val="none"/>
          <w:u w:val="single"/>
        </w:rPr>
        <w:t xml:space="preserve">                                         </w:t>
      </w:r>
    </w:p>
    <w:p w14:paraId="1BB125FC">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（5）履约验收的内容：</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eastAsia="zh-CN"/>
        </w:rPr>
        <w:t>（应当包括每一项技术和商务要求的履约情况，特别是落实政府采购扶持中小企业，支持绿色发展和乡村振兴等政策情况）</w:t>
      </w:r>
      <w:r>
        <w:rPr>
          <w:rFonts w:hint="eastAsia" w:ascii="宋体" w:hAnsi="宋体" w:eastAsia="宋体" w:cs="宋体"/>
          <w:bCs/>
          <w:color w:val="auto"/>
          <w:sz w:val="24"/>
          <w:szCs w:val="24"/>
          <w:highlight w:val="none"/>
          <w:u w:val="single"/>
        </w:rPr>
        <w:t xml:space="preserve">                                      </w:t>
      </w:r>
    </w:p>
    <w:p w14:paraId="04FFEAA0">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（6）履约验收标准：</w:t>
      </w:r>
      <w:r>
        <w:rPr>
          <w:rFonts w:hint="eastAsia" w:ascii="宋体" w:hAnsi="宋体" w:eastAsia="宋体" w:cs="宋体"/>
          <w:bCs/>
          <w:color w:val="auto"/>
          <w:sz w:val="24"/>
          <w:szCs w:val="24"/>
          <w:highlight w:val="none"/>
          <w:u w:val="single"/>
        </w:rPr>
        <w:t xml:space="preserve">                                         </w:t>
      </w:r>
    </w:p>
    <w:p w14:paraId="59EABC3A">
      <w:pPr>
        <w:pStyle w:val="60"/>
        <w:keepNext w:val="0"/>
        <w:keepLines w:val="0"/>
        <w:pageBreakBefore w:val="0"/>
        <w:kinsoku/>
        <w:wordWrap/>
        <w:overflowPunct/>
        <w:topLinePunct w:val="0"/>
        <w:bidi w:val="0"/>
        <w:spacing w:beforeLines="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bCs/>
          <w:color w:val="auto"/>
          <w:sz w:val="24"/>
          <w:szCs w:val="24"/>
          <w:highlight w:val="none"/>
          <w:u w:val="none"/>
          <w:lang w:eastAsia="zh-CN"/>
        </w:rPr>
        <w:t>（</w:t>
      </w:r>
      <w:r>
        <w:rPr>
          <w:rFonts w:hint="eastAsia" w:ascii="宋体" w:hAnsi="宋体" w:eastAsia="宋体" w:cs="宋体"/>
          <w:bCs/>
          <w:color w:val="auto"/>
          <w:sz w:val="24"/>
          <w:szCs w:val="24"/>
          <w:highlight w:val="none"/>
          <w:u w:val="none"/>
          <w:lang w:val="en-US" w:eastAsia="zh-CN"/>
        </w:rPr>
        <w:t>7</w:t>
      </w:r>
      <w:r>
        <w:rPr>
          <w:rFonts w:hint="eastAsia" w:ascii="宋体" w:hAnsi="宋体" w:eastAsia="宋体" w:cs="宋体"/>
          <w:bCs/>
          <w:color w:val="auto"/>
          <w:sz w:val="24"/>
          <w:szCs w:val="24"/>
          <w:highlight w:val="none"/>
          <w:u w:val="none"/>
          <w:lang w:eastAsia="zh-CN"/>
        </w:rPr>
        <w:t>）是否以采购活动中供应商提供的样品作为参考：</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54646CCA">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（8）履约验收其他事项：</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i w:val="0"/>
          <w:iCs w:val="0"/>
          <w:color w:val="auto"/>
          <w:sz w:val="24"/>
          <w:szCs w:val="24"/>
          <w:highlight w:val="none"/>
          <w:u w:val="single"/>
        </w:rPr>
        <w:t>（产权过户登记等）</w:t>
      </w:r>
      <w:r>
        <w:rPr>
          <w:rFonts w:hint="eastAsia" w:ascii="宋体" w:hAnsi="宋体" w:eastAsia="宋体" w:cs="宋体"/>
          <w:bCs/>
          <w:color w:val="auto"/>
          <w:sz w:val="24"/>
          <w:szCs w:val="24"/>
          <w:highlight w:val="none"/>
          <w:u w:val="single"/>
        </w:rPr>
        <w:t xml:space="preserve">          </w:t>
      </w:r>
    </w:p>
    <w:p w14:paraId="43C78079">
      <w:pPr>
        <w:keepNext w:val="0"/>
        <w:keepLines w:val="0"/>
        <w:pageBreakBefore w:val="0"/>
        <w:numPr>
          <w:ilvl w:val="0"/>
          <w:numId w:val="1"/>
        </w:numPr>
        <w:kinsoku/>
        <w:wordWrap/>
        <w:overflowPunct/>
        <w:topLinePunct w:val="0"/>
        <w:bidi w:val="0"/>
        <w:adjustRightInd w:val="0"/>
        <w:snapToGrid w:val="0"/>
        <w:spacing w:before="0" w:beforeLines="0"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组成合同的文件</w:t>
      </w:r>
    </w:p>
    <w:p w14:paraId="7770651C">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本协议书与下列文件一起构成合同文件，如下述文件之间有任何抵触、矛盾或歧义，应按以下顺序解释：</w:t>
      </w:r>
    </w:p>
    <w:p w14:paraId="6F582799">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政府采购</w:t>
      </w:r>
      <w:r>
        <w:rPr>
          <w:rFonts w:hint="eastAsia" w:ascii="宋体" w:hAnsi="宋体" w:eastAsia="宋体" w:cs="宋体"/>
          <w:color w:val="auto"/>
          <w:sz w:val="24"/>
          <w:szCs w:val="24"/>
          <w:highlight w:val="none"/>
        </w:rPr>
        <w:t>合同协议书及其变更、补充</w:t>
      </w:r>
      <w:r>
        <w:rPr>
          <w:rFonts w:hint="eastAsia" w:ascii="宋体" w:hAnsi="宋体" w:eastAsia="宋体" w:cs="宋体"/>
          <w:color w:val="auto"/>
          <w:sz w:val="24"/>
          <w:szCs w:val="24"/>
          <w:highlight w:val="none"/>
          <w:lang w:eastAsia="zh-CN"/>
        </w:rPr>
        <w:t>协议</w:t>
      </w:r>
    </w:p>
    <w:p w14:paraId="150A44E2">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）政府采购合同专用条款</w:t>
      </w:r>
    </w:p>
    <w:p w14:paraId="05AC74B9">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）政府采购合同通用条款</w:t>
      </w:r>
    </w:p>
    <w:p w14:paraId="66986CFC">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）中标</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通知书</w:t>
      </w:r>
    </w:p>
    <w:p w14:paraId="18C61B27">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）投标（响应）文件</w:t>
      </w:r>
    </w:p>
    <w:p w14:paraId="4D52A32B">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（6）采购文件</w:t>
      </w:r>
    </w:p>
    <w:p w14:paraId="71ED5AFA">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（7）有关技术文件，图纸</w:t>
      </w:r>
    </w:p>
    <w:p w14:paraId="7B1626BF">
      <w:pPr>
        <w:pStyle w:val="60"/>
        <w:keepNext w:val="0"/>
        <w:keepLines w:val="0"/>
        <w:pageBreakBefore w:val="0"/>
        <w:kinsoku/>
        <w:wordWrap/>
        <w:overflowPunct/>
        <w:topLinePunct w:val="0"/>
        <w:bidi w:val="0"/>
        <w:spacing w:beforeLines="0" w:line="360" w:lineRule="auto"/>
        <w:ind w:firstLine="480" w:firstLineChars="200"/>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w:t>
      </w:r>
      <w:r>
        <w:rPr>
          <w:rFonts w:hint="eastAsia" w:ascii="宋体" w:hAnsi="宋体" w:eastAsia="宋体" w:cs="宋体"/>
          <w:bCs w:val="0"/>
          <w:color w:val="auto"/>
          <w:kern w:val="2"/>
          <w:sz w:val="24"/>
          <w:szCs w:val="24"/>
          <w:highlight w:val="none"/>
          <w:lang w:eastAsia="zh-CN"/>
        </w:rPr>
        <w:t>国家法律、行政法规和规章制度规定或合同约定的作为合同组成部分的其他文件</w:t>
      </w:r>
    </w:p>
    <w:p w14:paraId="2B8C4691">
      <w:pPr>
        <w:keepNext w:val="0"/>
        <w:keepLines w:val="0"/>
        <w:pageBreakBefore w:val="0"/>
        <w:numPr>
          <w:ilvl w:val="0"/>
          <w:numId w:val="1"/>
        </w:numPr>
        <w:kinsoku/>
        <w:wordWrap/>
        <w:overflowPunct/>
        <w:topLinePunct w:val="0"/>
        <w:bidi w:val="0"/>
        <w:adjustRightInd w:val="0"/>
        <w:snapToGrid w:val="0"/>
        <w:spacing w:before="0" w:beforeLines="0"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合同生效</w:t>
      </w:r>
    </w:p>
    <w:p w14:paraId="1A9EC58B">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本合同自</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生效。</w:t>
      </w:r>
    </w:p>
    <w:p w14:paraId="00BE7E33">
      <w:pPr>
        <w:keepNext w:val="0"/>
        <w:keepLines w:val="0"/>
        <w:pageBreakBefore w:val="0"/>
        <w:numPr>
          <w:ilvl w:val="0"/>
          <w:numId w:val="1"/>
        </w:numPr>
        <w:kinsoku/>
        <w:wordWrap/>
        <w:overflowPunct/>
        <w:topLinePunct w:val="0"/>
        <w:bidi w:val="0"/>
        <w:adjustRightInd w:val="0"/>
        <w:snapToGrid w:val="0"/>
        <w:spacing w:before="0" w:beforeLines="0"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合同份数</w:t>
      </w:r>
    </w:p>
    <w:p w14:paraId="371D59BE">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本合同一式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执</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执</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份，均具有同等法律效力。</w:t>
      </w:r>
    </w:p>
    <w:p w14:paraId="30BA1264">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合同订立时间：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5A84FD70">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合同订立地点：</w:t>
      </w:r>
      <w:r>
        <w:rPr>
          <w:rFonts w:hint="eastAsia" w:ascii="宋体" w:hAnsi="宋体" w:eastAsia="宋体" w:cs="宋体"/>
          <w:color w:val="auto"/>
          <w:sz w:val="24"/>
          <w:szCs w:val="24"/>
          <w:highlight w:val="none"/>
          <w:u w:val="single"/>
        </w:rPr>
        <w:t xml:space="preserve">                           </w:t>
      </w:r>
    </w:p>
    <w:p w14:paraId="73E13EC7">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附件：具体标</w:t>
      </w:r>
      <w:r>
        <w:rPr>
          <w:rFonts w:hint="eastAsia" w:ascii="宋体" w:hAnsi="宋体" w:eastAsia="宋体" w:cs="宋体"/>
          <w:color w:val="auto"/>
          <w:sz w:val="24"/>
          <w:szCs w:val="24"/>
          <w:highlight w:val="none"/>
          <w:lang w:eastAsia="zh-CN"/>
        </w:rPr>
        <w:t>的及其</w:t>
      </w:r>
      <w:r>
        <w:rPr>
          <w:rFonts w:hint="eastAsia" w:ascii="宋体" w:hAnsi="宋体" w:eastAsia="宋体" w:cs="宋体"/>
          <w:color w:val="auto"/>
          <w:sz w:val="24"/>
          <w:szCs w:val="24"/>
          <w:highlight w:val="none"/>
          <w:u w:val="none"/>
          <w:lang w:val="en-US" w:eastAsia="zh-CN"/>
        </w:rPr>
        <w:t>技术要求和商务要求</w:t>
      </w:r>
      <w:r>
        <w:rPr>
          <w:rFonts w:hint="eastAsia" w:ascii="宋体" w:hAnsi="宋体" w:eastAsia="宋体" w:cs="宋体"/>
          <w:color w:val="auto"/>
          <w:sz w:val="24"/>
          <w:szCs w:val="24"/>
          <w:highlight w:val="none"/>
        </w:rPr>
        <w:t>、联合协议、分包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协议等。</w:t>
      </w:r>
    </w:p>
    <w:p w14:paraId="0317898C">
      <w:pPr>
        <w:pStyle w:val="45"/>
        <w:spacing w:beforeLines="0" w:line="400" w:lineRule="exact"/>
        <w:rPr>
          <w:rFonts w:hint="eastAsia" w:ascii="宋体" w:hAnsi="宋体" w:eastAsia="宋体" w:cs="宋体"/>
          <w:color w:val="auto"/>
          <w:sz w:val="24"/>
          <w:szCs w:val="24"/>
          <w:highlight w:val="none"/>
        </w:rPr>
      </w:pPr>
    </w:p>
    <w:p w14:paraId="69D89B67">
      <w:pPr>
        <w:pStyle w:val="3"/>
        <w:adjustRightInd w:val="0"/>
        <w:snapToGrid w:val="0"/>
        <w:spacing w:before="156" w:beforeLines="50"/>
        <w:jc w:val="center"/>
        <w:rPr>
          <w:rFonts w:hint="eastAsia" w:ascii="宋体" w:hAnsi="宋体" w:eastAsia="宋体" w:cs="宋体"/>
          <w:color w:val="auto"/>
          <w:sz w:val="24"/>
          <w:szCs w:val="24"/>
          <w:highlight w:val="none"/>
        </w:rPr>
      </w:pPr>
      <w:bookmarkStart w:id="186" w:name="_Toc27624"/>
      <w:r>
        <w:rPr>
          <w:rFonts w:hint="eastAsia" w:ascii="宋体" w:hAnsi="宋体" w:eastAsia="宋体" w:cs="宋体"/>
          <w:b w:val="0"/>
          <w:bCs w:val="0"/>
          <w:color w:val="auto"/>
          <w:sz w:val="24"/>
          <w:szCs w:val="24"/>
          <w:highlight w:val="none"/>
        </w:rPr>
        <w:t>第二节 政府采购合同通用条款</w:t>
      </w:r>
      <w:bookmarkEnd w:id="186"/>
    </w:p>
    <w:p w14:paraId="0E95D6C2">
      <w:pPr>
        <w:tabs>
          <w:tab w:val="left" w:pos="8820"/>
          <w:tab w:val="left" w:pos="9345"/>
          <w:tab w:val="left" w:pos="9765"/>
        </w:tabs>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bCs/>
          <w:color w:val="auto"/>
          <w:sz w:val="24"/>
          <w:szCs w:val="24"/>
          <w:highlight w:val="none"/>
        </w:rPr>
        <w:t>定义</w:t>
      </w:r>
    </w:p>
    <w:p w14:paraId="03849B9B">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1.1合同当事人</w:t>
      </w:r>
    </w:p>
    <w:p w14:paraId="0E81A49C">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（1）采购人（以下称甲方）是指使用财政性资金，通过政府采购方式向供应商购买货物</w:t>
      </w:r>
      <w:r>
        <w:rPr>
          <w:rFonts w:hint="eastAsia" w:ascii="宋体" w:hAnsi="宋体" w:eastAsia="宋体" w:cs="宋体"/>
          <w:color w:val="auto"/>
          <w:sz w:val="24"/>
          <w:szCs w:val="24"/>
          <w:highlight w:val="none"/>
          <w:lang w:val="en-US" w:eastAsia="zh-CN"/>
        </w:rPr>
        <w:t>及其相关服务的</w:t>
      </w:r>
      <w:r>
        <w:rPr>
          <w:rFonts w:hint="eastAsia" w:ascii="宋体" w:hAnsi="宋体" w:eastAsia="宋体" w:cs="宋体"/>
          <w:color w:val="auto"/>
          <w:sz w:val="24"/>
          <w:szCs w:val="24"/>
          <w:highlight w:val="none"/>
        </w:rPr>
        <w:t>国家机关、事业单位、团体组织。</w:t>
      </w:r>
    </w:p>
    <w:p w14:paraId="564AFAB0">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（2）供应商（以下称</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rPr>
        <w:t>方）是指参加政府采购活动并且中标（成交），向采购人提供</w:t>
      </w:r>
      <w:r>
        <w:rPr>
          <w:rFonts w:hint="eastAsia" w:ascii="宋体" w:hAnsi="宋体" w:eastAsia="宋体" w:cs="宋体"/>
          <w:color w:val="auto"/>
          <w:sz w:val="24"/>
          <w:szCs w:val="24"/>
          <w:highlight w:val="none"/>
          <w:lang w:val="en-US" w:eastAsia="zh-CN"/>
        </w:rPr>
        <w:t>合同约定的货物及其相关服务的法人、非法人组织或者自然人</w:t>
      </w:r>
      <w:r>
        <w:rPr>
          <w:rFonts w:hint="eastAsia" w:ascii="宋体" w:hAnsi="宋体" w:eastAsia="宋体" w:cs="宋体"/>
          <w:color w:val="auto"/>
          <w:sz w:val="24"/>
          <w:szCs w:val="24"/>
          <w:highlight w:val="none"/>
        </w:rPr>
        <w:t>。</w:t>
      </w:r>
    </w:p>
    <w:p w14:paraId="0601C329">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（3）其他合同主体是指除采购人和供应商以外，</w:t>
      </w:r>
      <w:r>
        <w:rPr>
          <w:rFonts w:hint="eastAsia" w:ascii="宋体" w:hAnsi="宋体" w:eastAsia="宋体" w:cs="宋体"/>
          <w:bCs/>
          <w:color w:val="auto"/>
          <w:sz w:val="24"/>
          <w:szCs w:val="24"/>
          <w:highlight w:val="none"/>
        </w:rPr>
        <w:t>依法参与合同缔结或履行，享有权利、承担义务的合同当事人</w:t>
      </w:r>
      <w:r>
        <w:rPr>
          <w:rFonts w:hint="eastAsia" w:ascii="宋体" w:hAnsi="宋体" w:eastAsia="宋体" w:cs="宋体"/>
          <w:color w:val="auto"/>
          <w:sz w:val="24"/>
          <w:szCs w:val="24"/>
          <w:highlight w:val="none"/>
        </w:rPr>
        <w:t>。</w:t>
      </w:r>
    </w:p>
    <w:p w14:paraId="2D4FF507">
      <w:pPr>
        <w:tabs>
          <w:tab w:val="left" w:pos="570"/>
          <w:tab w:val="left" w:pos="9240"/>
          <w:tab w:val="left" w:pos="9555"/>
        </w:tabs>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1.2本合同下列术语应解释为：</w:t>
      </w:r>
    </w:p>
    <w:p w14:paraId="43249575">
      <w:pPr>
        <w:adjustRightInd w:val="0"/>
        <w:snapToGrid w:val="0"/>
        <w:spacing w:before="0" w:beforeLines="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（1）“合同”系指</w:t>
      </w:r>
      <w:r>
        <w:rPr>
          <w:rFonts w:hint="eastAsia" w:ascii="宋体" w:hAnsi="宋体" w:eastAsia="宋体" w:cs="宋体"/>
          <w:bCs/>
          <w:color w:val="auto"/>
          <w:sz w:val="24"/>
          <w:szCs w:val="24"/>
          <w:highlight w:val="none"/>
        </w:rPr>
        <w:t>合同当事人意思表示达成一致的任何协议，包括签署的</w:t>
      </w:r>
      <w:r>
        <w:rPr>
          <w:rFonts w:hint="eastAsia" w:ascii="宋体" w:hAnsi="宋体" w:eastAsia="宋体" w:cs="宋体"/>
          <w:color w:val="auto"/>
          <w:sz w:val="24"/>
          <w:szCs w:val="24"/>
          <w:highlight w:val="none"/>
          <w:lang w:eastAsia="zh-CN"/>
        </w:rPr>
        <w:t>政府采购</w:t>
      </w:r>
      <w:r>
        <w:rPr>
          <w:rFonts w:hint="eastAsia" w:ascii="宋体" w:hAnsi="宋体" w:eastAsia="宋体" w:cs="宋体"/>
          <w:color w:val="auto"/>
          <w:sz w:val="24"/>
          <w:szCs w:val="24"/>
          <w:highlight w:val="none"/>
        </w:rPr>
        <w:t>合同协议书及其变更、补充</w:t>
      </w:r>
      <w:r>
        <w:rPr>
          <w:rFonts w:hint="eastAsia" w:ascii="宋体" w:hAnsi="宋体" w:eastAsia="宋体" w:cs="宋体"/>
          <w:color w:val="auto"/>
          <w:sz w:val="24"/>
          <w:szCs w:val="24"/>
          <w:highlight w:val="none"/>
          <w:lang w:eastAsia="zh-CN"/>
        </w:rPr>
        <w:t>协议，</w:t>
      </w:r>
      <w:r>
        <w:rPr>
          <w:rFonts w:hint="eastAsia" w:ascii="宋体" w:hAnsi="宋体" w:eastAsia="宋体" w:cs="宋体"/>
          <w:color w:val="auto"/>
          <w:sz w:val="24"/>
          <w:szCs w:val="24"/>
          <w:highlight w:val="none"/>
        </w:rPr>
        <w:t>政府采购合同专用条款</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政府采购合同通用条款</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中标</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通知书</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投标（响应）文件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采购文件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有关技术文件</w:t>
      </w:r>
      <w:r>
        <w:rPr>
          <w:rFonts w:hint="eastAsia" w:ascii="宋体" w:hAnsi="宋体" w:eastAsia="宋体" w:cs="宋体"/>
          <w:color w:val="auto"/>
          <w:sz w:val="24"/>
          <w:szCs w:val="24"/>
          <w:highlight w:val="none"/>
          <w:lang w:eastAsia="zh-CN"/>
        </w:rPr>
        <w:t>和</w:t>
      </w:r>
      <w:r>
        <w:rPr>
          <w:rFonts w:hint="eastAsia" w:ascii="宋体" w:hAnsi="宋体" w:eastAsia="宋体" w:cs="宋体"/>
          <w:color w:val="auto"/>
          <w:sz w:val="24"/>
          <w:szCs w:val="24"/>
          <w:highlight w:val="none"/>
        </w:rPr>
        <w:t>图纸</w:t>
      </w:r>
      <w:r>
        <w:rPr>
          <w:rFonts w:hint="eastAsia" w:ascii="宋体" w:hAnsi="宋体" w:eastAsia="宋体" w:cs="宋体"/>
          <w:color w:val="auto"/>
          <w:sz w:val="24"/>
          <w:szCs w:val="24"/>
          <w:highlight w:val="none"/>
          <w:lang w:eastAsia="zh-CN"/>
        </w:rPr>
        <w:t>，以及</w:t>
      </w:r>
      <w:r>
        <w:rPr>
          <w:rFonts w:hint="eastAsia" w:ascii="宋体" w:hAnsi="宋体" w:eastAsia="宋体" w:cs="宋体"/>
          <w:bCs w:val="0"/>
          <w:color w:val="auto"/>
          <w:kern w:val="2"/>
          <w:sz w:val="24"/>
          <w:szCs w:val="24"/>
          <w:highlight w:val="none"/>
          <w:lang w:eastAsia="zh-CN"/>
        </w:rPr>
        <w:t>国家法律、行政法规和规章制度规定或合同约定的作为合同组成部分的其他文件</w:t>
      </w:r>
      <w:r>
        <w:rPr>
          <w:rFonts w:hint="eastAsia" w:ascii="宋体" w:hAnsi="宋体" w:eastAsia="宋体" w:cs="宋体"/>
          <w:color w:val="auto"/>
          <w:sz w:val="24"/>
          <w:szCs w:val="24"/>
          <w:highlight w:val="none"/>
        </w:rPr>
        <w:t>。</w:t>
      </w:r>
    </w:p>
    <w:p w14:paraId="64CFE90E">
      <w:pPr>
        <w:tabs>
          <w:tab w:val="left" w:pos="570"/>
          <w:tab w:val="left" w:pos="9240"/>
          <w:tab w:val="left" w:pos="9555"/>
        </w:tabs>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）“合同价</w:t>
      </w:r>
      <w:r>
        <w:rPr>
          <w:rFonts w:hint="eastAsia" w:ascii="宋体" w:hAnsi="宋体" w:eastAsia="宋体" w:cs="宋体"/>
          <w:color w:val="auto"/>
          <w:sz w:val="24"/>
          <w:szCs w:val="24"/>
          <w:highlight w:val="none"/>
          <w:lang w:val="en-US" w:eastAsia="zh-CN"/>
        </w:rPr>
        <w:t>款</w:t>
      </w:r>
      <w:r>
        <w:rPr>
          <w:rFonts w:hint="eastAsia" w:ascii="宋体" w:hAnsi="宋体" w:eastAsia="宋体" w:cs="宋体"/>
          <w:color w:val="auto"/>
          <w:sz w:val="24"/>
          <w:szCs w:val="24"/>
          <w:highlight w:val="none"/>
        </w:rPr>
        <w:t>”系指根据本合同规定乙方在全面履行合同义务后甲方应支付给乙方的价款。</w:t>
      </w:r>
    </w:p>
    <w:p w14:paraId="34A80122">
      <w:pPr>
        <w:tabs>
          <w:tab w:val="left" w:pos="570"/>
          <w:tab w:val="left" w:pos="9240"/>
          <w:tab w:val="left" w:pos="9555"/>
        </w:tabs>
        <w:adjustRightInd w:val="0"/>
        <w:snapToGrid w:val="0"/>
        <w:spacing w:before="0" w:line="400" w:lineRule="exact"/>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）“货物”系指乙方根据本合同规定须向甲方提供的各种形态和种类的物品，包括原材料、设备、产品（包括软件）及相关的其备品备件、工具、手册及</w:t>
      </w:r>
      <w:r>
        <w:rPr>
          <w:rFonts w:hint="eastAsia" w:ascii="宋体" w:hAnsi="宋体" w:eastAsia="宋体" w:cs="宋体"/>
          <w:color w:val="auto"/>
          <w:sz w:val="24"/>
          <w:szCs w:val="24"/>
          <w:highlight w:val="none"/>
          <w:lang w:val="en"/>
        </w:rPr>
        <w:t>其他</w:t>
      </w:r>
      <w:r>
        <w:rPr>
          <w:rFonts w:hint="eastAsia" w:ascii="宋体" w:hAnsi="宋体" w:eastAsia="宋体" w:cs="宋体"/>
          <w:color w:val="auto"/>
          <w:sz w:val="24"/>
          <w:szCs w:val="24"/>
          <w:highlight w:val="none"/>
        </w:rPr>
        <w:t>技术资料和材料</w:t>
      </w:r>
      <w:r>
        <w:rPr>
          <w:rFonts w:hint="eastAsia" w:ascii="宋体" w:hAnsi="宋体" w:eastAsia="宋体" w:cs="宋体"/>
          <w:color w:val="auto"/>
          <w:sz w:val="24"/>
          <w:szCs w:val="24"/>
          <w:highlight w:val="none"/>
          <w:lang w:eastAsia="zh-CN"/>
        </w:rPr>
        <w:t>等</w:t>
      </w:r>
      <w:r>
        <w:rPr>
          <w:rFonts w:hint="eastAsia" w:ascii="宋体" w:hAnsi="宋体" w:eastAsia="宋体" w:cs="宋体"/>
          <w:color w:val="auto"/>
          <w:sz w:val="24"/>
          <w:szCs w:val="24"/>
          <w:highlight w:val="none"/>
        </w:rPr>
        <w:t>。</w:t>
      </w:r>
    </w:p>
    <w:p w14:paraId="08E3A6D3">
      <w:pPr>
        <w:adjustRightInd w:val="0"/>
        <w:snapToGrid w:val="0"/>
        <w:spacing w:before="0" w:line="400" w:lineRule="exact"/>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相关</w:t>
      </w:r>
      <w:r>
        <w:rPr>
          <w:rFonts w:hint="eastAsia" w:ascii="宋体" w:hAnsi="宋体" w:eastAsia="宋体" w:cs="宋体"/>
          <w:color w:val="auto"/>
          <w:sz w:val="24"/>
          <w:szCs w:val="24"/>
          <w:highlight w:val="none"/>
        </w:rPr>
        <w:t>服务”系指根据合同规定，乙方应提供的</w:t>
      </w:r>
      <w:r>
        <w:rPr>
          <w:rFonts w:hint="eastAsia" w:ascii="宋体" w:hAnsi="宋体" w:eastAsia="宋体" w:cs="宋体"/>
          <w:color w:val="auto"/>
          <w:sz w:val="24"/>
          <w:szCs w:val="24"/>
          <w:highlight w:val="none"/>
          <w:lang w:val="en-US" w:eastAsia="zh-CN"/>
        </w:rPr>
        <w:t>与货物有关的</w:t>
      </w:r>
      <w:r>
        <w:rPr>
          <w:rFonts w:hint="eastAsia" w:ascii="宋体" w:hAnsi="宋体" w:eastAsia="宋体" w:cs="宋体"/>
          <w:color w:val="auto"/>
          <w:sz w:val="24"/>
          <w:szCs w:val="24"/>
          <w:highlight w:val="none"/>
        </w:rPr>
        <w:t>技术、管理和</w:t>
      </w:r>
      <w:r>
        <w:rPr>
          <w:rFonts w:hint="eastAsia" w:ascii="宋体" w:hAnsi="宋体" w:eastAsia="宋体" w:cs="宋体"/>
          <w:color w:val="auto"/>
          <w:sz w:val="24"/>
          <w:szCs w:val="24"/>
          <w:highlight w:val="none"/>
          <w:lang w:val="en"/>
        </w:rPr>
        <w:t>其他</w:t>
      </w:r>
      <w:r>
        <w:rPr>
          <w:rFonts w:hint="eastAsia" w:ascii="宋体" w:hAnsi="宋体" w:eastAsia="宋体" w:cs="宋体"/>
          <w:color w:val="auto"/>
          <w:sz w:val="24"/>
          <w:szCs w:val="24"/>
          <w:highlight w:val="none"/>
        </w:rPr>
        <w:t>服务，包括但不限于：管理和质量保证、运输、保险、检验、现场准备、安装、集成、调试、培训、维修、</w:t>
      </w:r>
      <w:r>
        <w:rPr>
          <w:rFonts w:hint="eastAsia" w:ascii="宋体" w:hAnsi="宋体" w:eastAsia="宋体" w:cs="宋体"/>
          <w:color w:val="auto"/>
          <w:sz w:val="24"/>
          <w:szCs w:val="24"/>
          <w:highlight w:val="none"/>
          <w:lang w:eastAsia="zh-CN"/>
        </w:rPr>
        <w:t>废弃处置、</w:t>
      </w:r>
      <w:r>
        <w:rPr>
          <w:rFonts w:hint="eastAsia" w:ascii="宋体" w:hAnsi="宋体" w:eastAsia="宋体" w:cs="宋体"/>
          <w:color w:val="auto"/>
          <w:sz w:val="24"/>
          <w:szCs w:val="24"/>
          <w:highlight w:val="none"/>
        </w:rPr>
        <w:t>技术支持等以及合同中规定乙方应承担的</w:t>
      </w:r>
      <w:r>
        <w:rPr>
          <w:rFonts w:hint="eastAsia" w:ascii="宋体" w:hAnsi="宋体" w:eastAsia="宋体" w:cs="宋体"/>
          <w:color w:val="auto"/>
          <w:sz w:val="24"/>
          <w:szCs w:val="24"/>
          <w:highlight w:val="none"/>
          <w:lang w:val="en"/>
        </w:rPr>
        <w:t>其他</w:t>
      </w:r>
      <w:r>
        <w:rPr>
          <w:rFonts w:hint="eastAsia" w:ascii="宋体" w:hAnsi="宋体" w:eastAsia="宋体" w:cs="宋体"/>
          <w:color w:val="auto"/>
          <w:sz w:val="24"/>
          <w:szCs w:val="24"/>
          <w:highlight w:val="none"/>
        </w:rPr>
        <w:t>义务。</w:t>
      </w:r>
    </w:p>
    <w:p w14:paraId="0C462F84">
      <w:pPr>
        <w:adjustRightInd w:val="0"/>
        <w:snapToGrid w:val="0"/>
        <w:spacing w:before="0" w:line="400" w:lineRule="exact"/>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）“分包”系指中标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成交</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供应商按采购文件、投标（响应）文件的规定，根据分包意向协议，将中标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成交</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项目中的部分履约内容，分给具有相应资质条件的供应商履行合同的行为。</w:t>
      </w:r>
    </w:p>
    <w:p w14:paraId="26CA7B8A">
      <w:pPr>
        <w:tabs>
          <w:tab w:val="left" w:pos="570"/>
          <w:tab w:val="left" w:pos="9240"/>
          <w:tab w:val="left" w:pos="9555"/>
        </w:tabs>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）“联合体”系指</w:t>
      </w:r>
      <w:r>
        <w:rPr>
          <w:rFonts w:hint="eastAsia" w:ascii="宋体" w:hAnsi="宋体" w:eastAsia="宋体" w:cs="宋体"/>
          <w:color w:val="auto"/>
          <w:sz w:val="24"/>
          <w:szCs w:val="24"/>
          <w:highlight w:val="none"/>
          <w:lang w:eastAsia="zh-CN"/>
        </w:rPr>
        <w:t>由</w:t>
      </w:r>
      <w:r>
        <w:rPr>
          <w:rFonts w:hint="eastAsia" w:ascii="宋体" w:hAnsi="宋体" w:eastAsia="宋体" w:cs="宋体"/>
          <w:color w:val="auto"/>
          <w:sz w:val="24"/>
          <w:szCs w:val="24"/>
          <w:highlight w:val="none"/>
        </w:rPr>
        <w:t>两个以上的自然人、法人或者</w:t>
      </w:r>
      <w:r>
        <w:rPr>
          <w:rFonts w:hint="eastAsia" w:ascii="宋体" w:hAnsi="宋体" w:eastAsia="宋体" w:cs="宋体"/>
          <w:color w:val="auto"/>
          <w:sz w:val="24"/>
          <w:szCs w:val="24"/>
          <w:highlight w:val="none"/>
          <w:lang w:val="en-US" w:eastAsia="zh-CN"/>
        </w:rPr>
        <w:t>非法人</w:t>
      </w:r>
      <w:r>
        <w:rPr>
          <w:rFonts w:hint="eastAsia" w:ascii="宋体" w:hAnsi="宋体" w:eastAsia="宋体" w:cs="宋体"/>
          <w:color w:val="auto"/>
          <w:sz w:val="24"/>
          <w:szCs w:val="24"/>
          <w:highlight w:val="none"/>
        </w:rPr>
        <w:t>组织组成，</w:t>
      </w:r>
      <w:r>
        <w:rPr>
          <w:rFonts w:hint="eastAsia" w:ascii="宋体" w:hAnsi="宋体" w:eastAsia="宋体" w:cs="宋体"/>
          <w:color w:val="auto"/>
          <w:sz w:val="24"/>
          <w:szCs w:val="24"/>
          <w:highlight w:val="none"/>
          <w:lang w:eastAsia="zh-CN"/>
        </w:rPr>
        <w:t>以一个供应商的身份共同参加政府采购的主体。</w:t>
      </w:r>
      <w:r>
        <w:rPr>
          <w:rFonts w:hint="eastAsia" w:ascii="宋体" w:hAnsi="宋体" w:eastAsia="宋体" w:cs="宋体"/>
          <w:color w:val="auto"/>
          <w:sz w:val="24"/>
          <w:szCs w:val="24"/>
          <w:highlight w:val="none"/>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承担连带责任。联合体具体要求见【</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w:t>
      </w:r>
    </w:p>
    <w:p w14:paraId="2F73A3E1">
      <w:pPr>
        <w:tabs>
          <w:tab w:val="left" w:pos="570"/>
          <w:tab w:val="left" w:pos="9240"/>
          <w:tab w:val="left" w:pos="9555"/>
        </w:tabs>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）其他术语解释，见【</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w:t>
      </w:r>
    </w:p>
    <w:p w14:paraId="677B9018">
      <w:pPr>
        <w:numPr>
          <w:ilvl w:val="0"/>
          <w:numId w:val="4"/>
        </w:numPr>
        <w:autoSpaceDE w:val="0"/>
        <w:autoSpaceDN w:val="0"/>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合同标的及金额</w:t>
      </w:r>
    </w:p>
    <w:p w14:paraId="670F2E21">
      <w:pPr>
        <w:autoSpaceDE w:val="0"/>
        <w:autoSpaceDN w:val="0"/>
        <w:adjustRightInd w:val="0"/>
        <w:snapToGrid w:val="0"/>
        <w:spacing w:before="0" w:line="400" w:lineRule="exact"/>
        <w:ind w:firstLine="480" w:firstLineChars="200"/>
        <w:jc w:val="left"/>
        <w:rPr>
          <w:rFonts w:hint="eastAsia" w:ascii="宋体" w:hAnsi="宋体" w:eastAsia="宋体" w:cs="宋体"/>
          <w:b/>
          <w:bCs/>
          <w:i/>
          <w:iCs/>
          <w:color w:val="auto"/>
          <w:sz w:val="24"/>
          <w:szCs w:val="24"/>
          <w:highlight w:val="none"/>
        </w:rPr>
      </w:pP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rPr>
        <w:t>.1 合同标的及金额应与中标（成交）结果一致。乙方为履行本合同而发生的所有费用均应包含在合同</w:t>
      </w:r>
      <w:r>
        <w:rPr>
          <w:rFonts w:hint="eastAsia" w:ascii="宋体" w:hAnsi="宋体" w:eastAsia="宋体" w:cs="宋体"/>
          <w:color w:val="auto"/>
          <w:sz w:val="24"/>
          <w:szCs w:val="24"/>
          <w:highlight w:val="none"/>
          <w:lang w:eastAsia="zh-CN"/>
        </w:rPr>
        <w:t>价款</w:t>
      </w:r>
      <w:r>
        <w:rPr>
          <w:rFonts w:hint="eastAsia" w:ascii="宋体" w:hAnsi="宋体" w:eastAsia="宋体" w:cs="宋体"/>
          <w:color w:val="auto"/>
          <w:sz w:val="24"/>
          <w:szCs w:val="24"/>
          <w:highlight w:val="none"/>
        </w:rPr>
        <w:t>中，甲方不再另行支付</w:t>
      </w:r>
      <w:r>
        <w:rPr>
          <w:rFonts w:hint="eastAsia" w:ascii="宋体" w:hAnsi="宋体" w:eastAsia="宋体" w:cs="宋体"/>
          <w:color w:val="auto"/>
          <w:sz w:val="24"/>
          <w:szCs w:val="24"/>
          <w:highlight w:val="none"/>
          <w:lang w:val="en"/>
        </w:rPr>
        <w:t>其他</w:t>
      </w:r>
      <w:r>
        <w:rPr>
          <w:rFonts w:hint="eastAsia" w:ascii="宋体" w:hAnsi="宋体" w:eastAsia="宋体" w:cs="宋体"/>
          <w:color w:val="auto"/>
          <w:sz w:val="24"/>
          <w:szCs w:val="24"/>
          <w:highlight w:val="none"/>
        </w:rPr>
        <w:t>任何费用。</w:t>
      </w:r>
    </w:p>
    <w:p w14:paraId="0B30CB11">
      <w:pPr>
        <w:adjustRightInd w:val="0"/>
        <w:snapToGrid w:val="0"/>
        <w:spacing w:before="0" w:line="400" w:lineRule="exact"/>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3</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履行合同的时间、地点和方式</w:t>
      </w:r>
    </w:p>
    <w:p w14:paraId="7C9A0059">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.1 乙方应当在约定的时间、地点</w:t>
      </w:r>
      <w:r>
        <w:rPr>
          <w:rFonts w:hint="eastAsia" w:ascii="宋体" w:hAnsi="宋体" w:eastAsia="宋体" w:cs="宋体"/>
          <w:color w:val="auto"/>
          <w:sz w:val="24"/>
          <w:szCs w:val="24"/>
          <w:highlight w:val="none"/>
          <w:lang w:eastAsia="zh-CN"/>
        </w:rPr>
        <w:t>，按照约定</w:t>
      </w:r>
      <w:r>
        <w:rPr>
          <w:rFonts w:hint="eastAsia" w:ascii="宋体" w:hAnsi="宋体" w:eastAsia="宋体" w:cs="宋体"/>
          <w:color w:val="auto"/>
          <w:sz w:val="24"/>
          <w:szCs w:val="24"/>
          <w:highlight w:val="none"/>
        </w:rPr>
        <w:t>方式履行合同。</w:t>
      </w:r>
    </w:p>
    <w:p w14:paraId="0A966980">
      <w:pPr>
        <w:autoSpaceDE w:val="0"/>
        <w:autoSpaceDN w:val="0"/>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4</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甲方的权利和义务</w:t>
      </w:r>
    </w:p>
    <w:p w14:paraId="1C9C0FB0">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.1 签署合同后，甲方</w:t>
      </w:r>
      <w:r>
        <w:rPr>
          <w:rFonts w:hint="eastAsia" w:ascii="宋体" w:hAnsi="宋体" w:eastAsia="宋体" w:cs="宋体"/>
          <w:color w:val="auto"/>
          <w:sz w:val="24"/>
          <w:szCs w:val="24"/>
          <w:highlight w:val="none"/>
          <w:lang w:eastAsia="zh-CN"/>
        </w:rPr>
        <w:t>应</w:t>
      </w:r>
      <w:r>
        <w:rPr>
          <w:rFonts w:hint="eastAsia" w:ascii="宋体" w:hAnsi="宋体" w:eastAsia="宋体" w:cs="宋体"/>
          <w:color w:val="auto"/>
          <w:sz w:val="24"/>
          <w:szCs w:val="24"/>
          <w:highlight w:val="none"/>
        </w:rPr>
        <w:t>确定</w:t>
      </w:r>
      <w:r>
        <w:rPr>
          <w:rFonts w:hint="eastAsia" w:ascii="宋体" w:hAnsi="宋体" w:eastAsia="宋体" w:cs="宋体"/>
          <w:color w:val="auto"/>
          <w:sz w:val="24"/>
          <w:szCs w:val="24"/>
          <w:highlight w:val="none"/>
          <w:lang w:val="en-US" w:eastAsia="zh-CN"/>
        </w:rPr>
        <w:t>项目负责人（或项目联系人）</w:t>
      </w:r>
      <w:r>
        <w:rPr>
          <w:rFonts w:hint="eastAsia" w:ascii="宋体" w:hAnsi="宋体" w:eastAsia="宋体" w:cs="宋体"/>
          <w:color w:val="auto"/>
          <w:sz w:val="24"/>
          <w:szCs w:val="24"/>
          <w:highlight w:val="none"/>
        </w:rPr>
        <w:t>，负责与本合同有关的事务。甲方有权对乙方的履约行为进行检查，并及时确认乙方提交的事项。甲方应当配合乙方完成相关项目实施工作。</w:t>
      </w:r>
    </w:p>
    <w:p w14:paraId="1CBCFD86">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.2 甲方有权要求乙方按时提交各阶段有关安排计划，并有权定期核对乙方提供货物数量、规格、质量等内容。甲方有权督促乙方工作并要求乙方更换不符合要求的货物。</w:t>
      </w:r>
    </w:p>
    <w:p w14:paraId="4DF7E86B">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.3 甲方有权要求乙方对缺陷部分予以修复，并按合同约定享有货物保修及其他合同约定的权利。</w:t>
      </w:r>
    </w:p>
    <w:p w14:paraId="70DE3992">
      <w:pPr>
        <w:snapToGrid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4.4 甲方应当按照合同约定及时对交付的货物进行验收，</w:t>
      </w:r>
      <w:r>
        <w:rPr>
          <w:rFonts w:hint="eastAsia" w:ascii="宋体" w:hAnsi="宋体" w:eastAsia="宋体" w:cs="宋体"/>
          <w:b w:val="0"/>
          <w:bCs w:val="0"/>
          <w:color w:val="auto"/>
          <w:sz w:val="24"/>
          <w:szCs w:val="24"/>
          <w:highlight w:val="none"/>
          <w:lang w:eastAsia="zh-CN"/>
        </w:rPr>
        <w:t>未</w:t>
      </w:r>
      <w:r>
        <w:rPr>
          <w:rFonts w:hint="eastAsia" w:ascii="宋体" w:hAnsi="宋体" w:eastAsia="宋体" w:cs="宋体"/>
          <w:color w:val="auto"/>
          <w:sz w:val="24"/>
          <w:szCs w:val="24"/>
          <w:highlight w:val="none"/>
          <w:lang w:val="en-US" w:eastAsia="zh-CN"/>
        </w:rPr>
        <w:t>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b w:val="0"/>
          <w:bCs w:val="0"/>
          <w:color w:val="auto"/>
          <w:sz w:val="24"/>
          <w:szCs w:val="24"/>
          <w:highlight w:val="none"/>
          <w:lang w:eastAsia="zh-CN"/>
        </w:rPr>
        <w:t>约定的期限内对乙方履约提出任何异议或者向乙方作出任何说明的，</w:t>
      </w:r>
      <w:r>
        <w:rPr>
          <w:rFonts w:hint="eastAsia" w:ascii="宋体" w:hAnsi="宋体" w:eastAsia="宋体" w:cs="宋体"/>
          <w:color w:val="auto"/>
          <w:sz w:val="24"/>
          <w:szCs w:val="24"/>
          <w:highlight w:val="none"/>
          <w:lang w:val="en-US" w:eastAsia="zh-CN"/>
        </w:rPr>
        <w:t>视为验收通过。</w:t>
      </w:r>
    </w:p>
    <w:p w14:paraId="6F50455B">
      <w:pPr>
        <w:autoSpaceDE w:val="0"/>
        <w:autoSpaceDN w:val="0"/>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甲方应当根据合同约定</w:t>
      </w:r>
      <w:r>
        <w:rPr>
          <w:rFonts w:hint="eastAsia" w:ascii="宋体" w:hAnsi="宋体" w:eastAsia="宋体" w:cs="宋体"/>
          <w:color w:val="auto"/>
          <w:sz w:val="24"/>
          <w:szCs w:val="24"/>
          <w:highlight w:val="none"/>
          <w:lang w:eastAsia="zh-CN"/>
        </w:rPr>
        <w:t>及</w:t>
      </w:r>
      <w:r>
        <w:rPr>
          <w:rFonts w:hint="eastAsia" w:ascii="宋体" w:hAnsi="宋体" w:eastAsia="宋体" w:cs="宋体"/>
          <w:color w:val="auto"/>
          <w:sz w:val="24"/>
          <w:szCs w:val="24"/>
          <w:highlight w:val="none"/>
        </w:rPr>
        <w:t>时向乙方支付</w:t>
      </w:r>
      <w:r>
        <w:rPr>
          <w:rFonts w:hint="eastAsia" w:ascii="宋体" w:hAnsi="宋体" w:eastAsia="宋体" w:cs="宋体"/>
          <w:color w:val="auto"/>
          <w:sz w:val="24"/>
          <w:szCs w:val="24"/>
          <w:highlight w:val="none"/>
          <w:lang w:eastAsia="zh-CN"/>
        </w:rPr>
        <w:t>合同价款，不得以内部人员变更、履行内部付款流程等为由，拒绝或迟延支付。</w:t>
      </w:r>
    </w:p>
    <w:p w14:paraId="2309A840">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 xml:space="preserve"> 国家法律法规规定</w:t>
      </w:r>
      <w:r>
        <w:rPr>
          <w:rFonts w:hint="eastAsia" w:ascii="宋体" w:hAnsi="宋体" w:eastAsia="宋体" w:cs="宋体"/>
          <w:color w:val="auto"/>
          <w:sz w:val="24"/>
          <w:szCs w:val="24"/>
          <w:highlight w:val="none"/>
          <w:lang w:eastAsia="zh-CN"/>
        </w:rPr>
        <w:t>及</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lang w:eastAsia="zh-CN"/>
        </w:rPr>
        <w:t>约定应</w:t>
      </w:r>
      <w:r>
        <w:rPr>
          <w:rFonts w:hint="eastAsia" w:ascii="宋体" w:hAnsi="宋体" w:eastAsia="宋体" w:cs="宋体"/>
          <w:color w:val="auto"/>
          <w:sz w:val="24"/>
          <w:szCs w:val="24"/>
          <w:highlight w:val="none"/>
        </w:rPr>
        <w:t>由甲方承担的其他义务和责任。</w:t>
      </w:r>
    </w:p>
    <w:p w14:paraId="7E59A668">
      <w:pPr>
        <w:autoSpaceDE w:val="0"/>
        <w:autoSpaceDN w:val="0"/>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5</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乙方的权利和义务</w:t>
      </w:r>
    </w:p>
    <w:p w14:paraId="3E8659BD">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.1 签署合同后，乙方</w:t>
      </w:r>
      <w:r>
        <w:rPr>
          <w:rFonts w:hint="eastAsia" w:ascii="宋体" w:hAnsi="宋体" w:eastAsia="宋体" w:cs="宋体"/>
          <w:color w:val="auto"/>
          <w:sz w:val="24"/>
          <w:szCs w:val="24"/>
          <w:highlight w:val="none"/>
          <w:lang w:eastAsia="zh-CN"/>
        </w:rPr>
        <w:t>应</w:t>
      </w:r>
      <w:r>
        <w:rPr>
          <w:rFonts w:hint="eastAsia" w:ascii="宋体" w:hAnsi="宋体" w:eastAsia="宋体" w:cs="宋体"/>
          <w:color w:val="auto"/>
          <w:sz w:val="24"/>
          <w:szCs w:val="24"/>
          <w:highlight w:val="none"/>
        </w:rPr>
        <w:t>确定</w:t>
      </w:r>
      <w:r>
        <w:rPr>
          <w:rFonts w:hint="eastAsia" w:ascii="宋体" w:hAnsi="宋体" w:eastAsia="宋体" w:cs="宋体"/>
          <w:color w:val="auto"/>
          <w:sz w:val="24"/>
          <w:szCs w:val="24"/>
          <w:highlight w:val="none"/>
          <w:lang w:val="en-US" w:eastAsia="zh-CN"/>
        </w:rPr>
        <w:t>项目负责人（或项目联系人）</w:t>
      </w:r>
      <w:r>
        <w:rPr>
          <w:rFonts w:hint="eastAsia" w:ascii="宋体" w:hAnsi="宋体" w:eastAsia="宋体" w:cs="宋体"/>
          <w:color w:val="auto"/>
          <w:sz w:val="24"/>
          <w:szCs w:val="24"/>
          <w:highlight w:val="none"/>
        </w:rPr>
        <w:t>，负责与本合同有关的事务。</w:t>
      </w:r>
    </w:p>
    <w:p w14:paraId="6EA60C1F">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.2 乙方应按照合同要求履约，充分合理安排，确保提供的货物</w:t>
      </w:r>
      <w:r>
        <w:rPr>
          <w:rFonts w:hint="eastAsia" w:ascii="宋体" w:hAnsi="宋体" w:eastAsia="宋体" w:cs="宋体"/>
          <w:color w:val="auto"/>
          <w:sz w:val="24"/>
          <w:szCs w:val="24"/>
          <w:highlight w:val="none"/>
          <w:lang w:eastAsia="zh-CN"/>
        </w:rPr>
        <w:t>及相关</w:t>
      </w:r>
      <w:r>
        <w:rPr>
          <w:rFonts w:hint="eastAsia" w:ascii="宋体" w:hAnsi="宋体" w:eastAsia="宋体" w:cs="宋体"/>
          <w:color w:val="auto"/>
          <w:sz w:val="24"/>
          <w:szCs w:val="24"/>
          <w:highlight w:val="none"/>
        </w:rPr>
        <w:t>服务符合合同</w:t>
      </w:r>
      <w:r>
        <w:rPr>
          <w:rFonts w:hint="eastAsia" w:ascii="宋体" w:hAnsi="宋体" w:eastAsia="宋体" w:cs="宋体"/>
          <w:color w:val="auto"/>
          <w:sz w:val="24"/>
          <w:szCs w:val="24"/>
          <w:highlight w:val="none"/>
          <w:lang w:eastAsia="zh-CN"/>
        </w:rPr>
        <w:t>有关</w:t>
      </w:r>
      <w:r>
        <w:rPr>
          <w:rFonts w:hint="eastAsia" w:ascii="宋体" w:hAnsi="宋体" w:eastAsia="宋体" w:cs="宋体"/>
          <w:color w:val="auto"/>
          <w:sz w:val="24"/>
          <w:szCs w:val="24"/>
          <w:highlight w:val="none"/>
        </w:rPr>
        <w:t>要求。接受项目行业管理部门及政府有关部门的指导，配合甲方的履约检查</w:t>
      </w:r>
      <w:r>
        <w:rPr>
          <w:rFonts w:hint="eastAsia" w:ascii="宋体" w:hAnsi="宋体" w:eastAsia="宋体" w:cs="宋体"/>
          <w:color w:val="auto"/>
          <w:sz w:val="24"/>
          <w:szCs w:val="24"/>
          <w:highlight w:val="none"/>
          <w:lang w:eastAsia="zh-CN"/>
        </w:rPr>
        <w:t>及验收</w:t>
      </w:r>
      <w:r>
        <w:rPr>
          <w:rFonts w:hint="eastAsia" w:ascii="宋体" w:hAnsi="宋体" w:eastAsia="宋体" w:cs="宋体"/>
          <w:color w:val="auto"/>
          <w:sz w:val="24"/>
          <w:szCs w:val="24"/>
          <w:highlight w:val="none"/>
        </w:rPr>
        <w:t>，并负责项目实施过程中的所有协调工作。</w:t>
      </w:r>
    </w:p>
    <w:p w14:paraId="585C9C71">
      <w:pPr>
        <w:pStyle w:val="6"/>
        <w:spacing w:after="0" w:line="400" w:lineRule="exact"/>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.3乙方有权根据合同约定向甲方收取</w:t>
      </w:r>
      <w:r>
        <w:rPr>
          <w:rFonts w:hint="eastAsia" w:ascii="宋体" w:hAnsi="宋体" w:eastAsia="宋体" w:cs="宋体"/>
          <w:color w:val="auto"/>
          <w:sz w:val="24"/>
          <w:szCs w:val="24"/>
          <w:highlight w:val="none"/>
          <w:lang w:eastAsia="zh-CN"/>
        </w:rPr>
        <w:t>合同价款</w:t>
      </w:r>
      <w:r>
        <w:rPr>
          <w:rFonts w:hint="eastAsia" w:ascii="宋体" w:hAnsi="宋体" w:eastAsia="宋体" w:cs="宋体"/>
          <w:color w:val="auto"/>
          <w:sz w:val="24"/>
          <w:szCs w:val="24"/>
          <w:highlight w:val="none"/>
        </w:rPr>
        <w:t>。</w:t>
      </w:r>
    </w:p>
    <w:p w14:paraId="5D858CD0">
      <w:pPr>
        <w:pStyle w:val="6"/>
        <w:spacing w:after="0" w:line="400" w:lineRule="exact"/>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.4国家法律法规规定</w:t>
      </w:r>
      <w:r>
        <w:rPr>
          <w:rFonts w:hint="eastAsia" w:ascii="宋体" w:hAnsi="宋体" w:eastAsia="宋体" w:cs="宋体"/>
          <w:color w:val="auto"/>
          <w:sz w:val="24"/>
          <w:szCs w:val="24"/>
          <w:highlight w:val="none"/>
          <w:lang w:eastAsia="zh-CN"/>
        </w:rPr>
        <w:t>及</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b w:val="0"/>
          <w:bCs w:val="0"/>
          <w:color w:val="auto"/>
          <w:sz w:val="24"/>
          <w:szCs w:val="24"/>
          <w:highlight w:val="none"/>
          <w:lang w:eastAsia="zh-CN"/>
        </w:rPr>
        <w:t>约定应</w:t>
      </w:r>
      <w:r>
        <w:rPr>
          <w:rFonts w:hint="eastAsia" w:ascii="宋体" w:hAnsi="宋体" w:eastAsia="宋体" w:cs="宋体"/>
          <w:color w:val="auto"/>
          <w:sz w:val="24"/>
          <w:szCs w:val="24"/>
          <w:highlight w:val="none"/>
        </w:rPr>
        <w:t>由乙方承担的其他义务和责任。</w:t>
      </w:r>
    </w:p>
    <w:p w14:paraId="6DC66F79">
      <w:pPr>
        <w:numPr>
          <w:ilvl w:val="0"/>
          <w:numId w:val="5"/>
        </w:numPr>
        <w:autoSpaceDE w:val="0"/>
        <w:autoSpaceDN w:val="0"/>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合同履</w:t>
      </w:r>
      <w:r>
        <w:rPr>
          <w:rFonts w:hint="eastAsia" w:ascii="宋体" w:hAnsi="宋体" w:eastAsia="宋体" w:cs="宋体"/>
          <w:b/>
          <w:bCs/>
          <w:color w:val="auto"/>
          <w:sz w:val="24"/>
          <w:szCs w:val="24"/>
          <w:highlight w:val="none"/>
          <w:lang w:val="en-US" w:eastAsia="zh-CN"/>
        </w:rPr>
        <w:t>行</w:t>
      </w:r>
    </w:p>
    <w:p w14:paraId="5C092AF8">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6</w:t>
      </w:r>
      <w:r>
        <w:rPr>
          <w:rFonts w:hint="eastAsia" w:ascii="宋体" w:hAnsi="宋体" w:eastAsia="宋体" w:cs="宋体"/>
          <w:color w:val="auto"/>
          <w:sz w:val="24"/>
          <w:szCs w:val="24"/>
          <w:highlight w:val="none"/>
        </w:rPr>
        <w:t>.1 甲乙双方应当按照</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约定顺序履行合同义务；如果没有先后顺序的，应当同时履行。</w:t>
      </w:r>
    </w:p>
    <w:p w14:paraId="4FA1CCC0">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6</w:t>
      </w:r>
      <w:r>
        <w:rPr>
          <w:rFonts w:hint="eastAsia" w:ascii="宋体" w:hAnsi="宋体" w:eastAsia="宋体" w:cs="宋体"/>
          <w:color w:val="auto"/>
          <w:sz w:val="24"/>
          <w:szCs w:val="24"/>
          <w:highlight w:val="none"/>
        </w:rPr>
        <w:t>.2 甲乙双方按照合同约定顺序履行合同义务时，应当先履行一方未履行的，后履行一方有权拒绝其履行请求。先履行一方履行不符合约定的，后履行一方有权拒绝其相应的履行请求。</w:t>
      </w:r>
    </w:p>
    <w:p w14:paraId="52690F4D">
      <w:pPr>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7</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货物包装、运输</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保险</w:t>
      </w:r>
      <w:r>
        <w:rPr>
          <w:rFonts w:hint="eastAsia" w:ascii="宋体" w:hAnsi="宋体" w:eastAsia="宋体" w:cs="宋体"/>
          <w:b/>
          <w:bCs/>
          <w:color w:val="auto"/>
          <w:sz w:val="24"/>
          <w:szCs w:val="24"/>
          <w:highlight w:val="none"/>
          <w:lang w:eastAsia="zh-CN"/>
        </w:rPr>
        <w:t>和交付</w:t>
      </w:r>
      <w:r>
        <w:rPr>
          <w:rFonts w:hint="eastAsia" w:ascii="宋体" w:hAnsi="宋体" w:eastAsia="宋体" w:cs="宋体"/>
          <w:b/>
          <w:bCs/>
          <w:color w:val="auto"/>
          <w:sz w:val="24"/>
          <w:szCs w:val="24"/>
          <w:highlight w:val="none"/>
        </w:rPr>
        <w:t>要求</w:t>
      </w:r>
    </w:p>
    <w:p w14:paraId="6ABD67C7">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7</w:t>
      </w:r>
      <w:r>
        <w:rPr>
          <w:rFonts w:hint="eastAsia" w:ascii="宋体" w:hAnsi="宋体" w:eastAsia="宋体" w:cs="宋体"/>
          <w:color w:val="auto"/>
          <w:sz w:val="24"/>
          <w:szCs w:val="24"/>
          <w:highlight w:val="none"/>
        </w:rPr>
        <w:t>.1 本合同</w:t>
      </w:r>
      <w:r>
        <w:rPr>
          <w:rFonts w:hint="eastAsia" w:ascii="宋体" w:hAnsi="宋体" w:eastAsia="宋体" w:cs="宋体"/>
          <w:bCs/>
          <w:color w:val="auto"/>
          <w:sz w:val="24"/>
          <w:szCs w:val="24"/>
          <w:highlight w:val="none"/>
        </w:rPr>
        <w:t>涉及商品包装</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快递包装的，</w:t>
      </w:r>
      <w:r>
        <w:rPr>
          <w:rFonts w:hint="eastAsia" w:ascii="宋体" w:hAnsi="宋体" w:eastAsia="宋体" w:cs="宋体"/>
          <w:color w:val="auto"/>
          <w:sz w:val="24"/>
          <w:szCs w:val="24"/>
          <w:highlight w:val="none"/>
        </w:rPr>
        <w:t>除</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另有</w:t>
      </w:r>
      <w:r>
        <w:rPr>
          <w:rFonts w:hint="eastAsia" w:ascii="宋体" w:hAnsi="宋体" w:eastAsia="宋体" w:cs="宋体"/>
          <w:bCs/>
          <w:color w:val="auto"/>
          <w:sz w:val="24"/>
          <w:szCs w:val="24"/>
          <w:highlight w:val="none"/>
          <w:lang w:eastAsia="zh-CN"/>
        </w:rPr>
        <w:t>约</w:t>
      </w:r>
      <w:r>
        <w:rPr>
          <w:rFonts w:hint="eastAsia" w:ascii="宋体" w:hAnsi="宋体" w:eastAsia="宋体" w:cs="宋体"/>
          <w:bCs/>
          <w:color w:val="auto"/>
          <w:sz w:val="24"/>
          <w:szCs w:val="24"/>
          <w:highlight w:val="none"/>
        </w:rPr>
        <w:t>定</w:t>
      </w:r>
      <w:r>
        <w:rPr>
          <w:rFonts w:hint="eastAsia" w:ascii="宋体" w:hAnsi="宋体" w:eastAsia="宋体" w:cs="宋体"/>
          <w:bCs/>
          <w:color w:val="auto"/>
          <w:sz w:val="24"/>
          <w:szCs w:val="24"/>
          <w:highlight w:val="none"/>
          <w:lang w:eastAsia="zh-CN"/>
        </w:rPr>
        <w:t>外</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包装应适应远距离运输、防潮、防震、防锈和防野蛮装卸等要求，确保货物安全无损地运抵</w:t>
      </w:r>
      <w:r>
        <w:rPr>
          <w:rFonts w:hint="eastAsia" w:ascii="宋体" w:hAnsi="宋体" w:eastAsia="宋体" w:cs="宋体"/>
          <w:b/>
          <w:color w:val="auto"/>
          <w:sz w:val="24"/>
          <w:szCs w:val="24"/>
          <w:highlight w:val="none"/>
        </w:rPr>
        <w:t>【政府采购合同专用条款】</w:t>
      </w:r>
      <w:r>
        <w:rPr>
          <w:rFonts w:hint="eastAsia" w:ascii="宋体" w:hAnsi="宋体" w:eastAsia="宋体" w:cs="宋体"/>
          <w:b w:val="0"/>
          <w:bCs/>
          <w:color w:val="auto"/>
          <w:sz w:val="24"/>
          <w:szCs w:val="24"/>
          <w:highlight w:val="none"/>
          <w:lang w:eastAsia="zh-CN"/>
        </w:rPr>
        <w:t>约定的</w:t>
      </w:r>
      <w:r>
        <w:rPr>
          <w:rFonts w:hint="eastAsia" w:ascii="宋体" w:hAnsi="宋体" w:eastAsia="宋体" w:cs="宋体"/>
          <w:color w:val="auto"/>
          <w:sz w:val="24"/>
          <w:szCs w:val="24"/>
          <w:highlight w:val="none"/>
        </w:rPr>
        <w:t>指定现场。</w:t>
      </w:r>
    </w:p>
    <w:p w14:paraId="68F7896F">
      <w:pPr>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7</w:t>
      </w:r>
      <w:r>
        <w:rPr>
          <w:rFonts w:hint="eastAsia" w:ascii="宋体" w:hAnsi="宋体" w:eastAsia="宋体" w:cs="宋体"/>
          <w:color w:val="auto"/>
          <w:sz w:val="24"/>
          <w:szCs w:val="24"/>
          <w:highlight w:val="none"/>
        </w:rPr>
        <w:t>.2 除</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另有</w:t>
      </w:r>
      <w:r>
        <w:rPr>
          <w:rFonts w:hint="eastAsia" w:ascii="宋体" w:hAnsi="宋体" w:eastAsia="宋体" w:cs="宋体"/>
          <w:bCs/>
          <w:color w:val="auto"/>
          <w:sz w:val="24"/>
          <w:szCs w:val="24"/>
          <w:highlight w:val="none"/>
          <w:lang w:eastAsia="zh-CN"/>
        </w:rPr>
        <w:t>约</w:t>
      </w:r>
      <w:r>
        <w:rPr>
          <w:rFonts w:hint="eastAsia" w:ascii="宋体" w:hAnsi="宋体" w:eastAsia="宋体" w:cs="宋体"/>
          <w:bCs/>
          <w:color w:val="auto"/>
          <w:sz w:val="24"/>
          <w:szCs w:val="24"/>
          <w:highlight w:val="none"/>
        </w:rPr>
        <w:t>定</w:t>
      </w:r>
      <w:r>
        <w:rPr>
          <w:rFonts w:hint="eastAsia" w:ascii="宋体" w:hAnsi="宋体" w:eastAsia="宋体" w:cs="宋体"/>
          <w:bCs/>
          <w:color w:val="auto"/>
          <w:sz w:val="24"/>
          <w:szCs w:val="24"/>
          <w:highlight w:val="none"/>
          <w:lang w:eastAsia="zh-CN"/>
        </w:rPr>
        <w:t>外</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乙方负责办理将货物运抵本合同规定的交货地点</w:t>
      </w:r>
      <w:r>
        <w:rPr>
          <w:rFonts w:hint="eastAsia" w:ascii="宋体" w:hAnsi="宋体" w:eastAsia="宋体" w:cs="宋体"/>
          <w:color w:val="auto"/>
          <w:sz w:val="24"/>
          <w:szCs w:val="24"/>
          <w:highlight w:val="none"/>
          <w:lang w:eastAsia="zh-CN"/>
        </w:rPr>
        <w:t>，并装卸、交付至甲方</w:t>
      </w:r>
      <w:r>
        <w:rPr>
          <w:rFonts w:hint="eastAsia" w:ascii="宋体" w:hAnsi="宋体" w:eastAsia="宋体" w:cs="宋体"/>
          <w:color w:val="auto"/>
          <w:sz w:val="24"/>
          <w:szCs w:val="24"/>
          <w:highlight w:val="none"/>
        </w:rPr>
        <w:t>的一切运输事项，相关费用应</w:t>
      </w:r>
      <w:r>
        <w:rPr>
          <w:rFonts w:hint="eastAsia" w:ascii="宋体" w:hAnsi="宋体" w:eastAsia="宋体" w:cs="宋体"/>
          <w:color w:val="auto"/>
          <w:sz w:val="24"/>
          <w:szCs w:val="24"/>
          <w:highlight w:val="none"/>
          <w:lang w:eastAsia="zh-CN"/>
        </w:rPr>
        <w:t>包含</w:t>
      </w:r>
      <w:r>
        <w:rPr>
          <w:rFonts w:hint="eastAsia" w:ascii="宋体" w:hAnsi="宋体" w:eastAsia="宋体" w:cs="宋体"/>
          <w:color w:val="auto"/>
          <w:sz w:val="24"/>
          <w:szCs w:val="24"/>
          <w:highlight w:val="none"/>
        </w:rPr>
        <w:t>在合同</w:t>
      </w:r>
      <w:r>
        <w:rPr>
          <w:rFonts w:hint="eastAsia" w:ascii="宋体" w:hAnsi="宋体" w:eastAsia="宋体" w:cs="宋体"/>
          <w:color w:val="auto"/>
          <w:sz w:val="24"/>
          <w:szCs w:val="24"/>
          <w:highlight w:val="none"/>
          <w:lang w:eastAsia="zh-CN"/>
        </w:rPr>
        <w:t>价款</w:t>
      </w:r>
      <w:r>
        <w:rPr>
          <w:rFonts w:hint="eastAsia" w:ascii="宋体" w:hAnsi="宋体" w:eastAsia="宋体" w:cs="宋体"/>
          <w:color w:val="auto"/>
          <w:sz w:val="24"/>
          <w:szCs w:val="24"/>
          <w:highlight w:val="none"/>
        </w:rPr>
        <w:t>中。</w:t>
      </w:r>
    </w:p>
    <w:p w14:paraId="40D98481">
      <w:pPr>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7</w:t>
      </w:r>
      <w:r>
        <w:rPr>
          <w:rFonts w:hint="eastAsia" w:ascii="宋体" w:hAnsi="宋体" w:eastAsia="宋体" w:cs="宋体"/>
          <w:color w:val="auto"/>
          <w:sz w:val="24"/>
          <w:szCs w:val="24"/>
          <w:highlight w:val="none"/>
        </w:rPr>
        <w:t>.3 货物保险要求按</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规定执行</w:t>
      </w:r>
      <w:r>
        <w:rPr>
          <w:rFonts w:hint="eastAsia" w:ascii="宋体" w:hAnsi="宋体" w:eastAsia="宋体" w:cs="宋体"/>
          <w:color w:val="auto"/>
          <w:sz w:val="24"/>
          <w:szCs w:val="24"/>
          <w:highlight w:val="none"/>
        </w:rPr>
        <w:t>。</w:t>
      </w:r>
    </w:p>
    <w:p w14:paraId="2E72AAFE">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7</w:t>
      </w:r>
      <w:r>
        <w:rPr>
          <w:rFonts w:hint="eastAsia" w:ascii="宋体" w:hAnsi="宋体" w:eastAsia="宋体" w:cs="宋体"/>
          <w:color w:val="auto"/>
          <w:sz w:val="24"/>
          <w:szCs w:val="24"/>
          <w:highlight w:val="none"/>
        </w:rPr>
        <w:t xml:space="preserve">.4 </w:t>
      </w:r>
      <w:r>
        <w:rPr>
          <w:rFonts w:hint="eastAsia" w:ascii="宋体" w:hAnsi="宋体" w:eastAsia="宋体" w:cs="宋体"/>
          <w:color w:val="auto"/>
          <w:sz w:val="24"/>
          <w:szCs w:val="24"/>
          <w:highlight w:val="none"/>
          <w:lang w:val="en-US" w:eastAsia="zh-CN"/>
        </w:rPr>
        <w:t>除采购活动</w:t>
      </w:r>
      <w:r>
        <w:rPr>
          <w:rFonts w:hint="eastAsia" w:ascii="宋体" w:hAnsi="宋体" w:eastAsia="宋体" w:cs="宋体"/>
          <w:color w:val="auto"/>
          <w:sz w:val="24"/>
          <w:szCs w:val="24"/>
          <w:highlight w:val="none"/>
        </w:rPr>
        <w:t>对商品包装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快递包装</w:t>
      </w:r>
      <w:r>
        <w:rPr>
          <w:rFonts w:hint="eastAsia" w:ascii="宋体" w:hAnsi="宋体" w:eastAsia="宋体" w:cs="宋体"/>
          <w:color w:val="auto"/>
          <w:sz w:val="24"/>
          <w:szCs w:val="24"/>
          <w:highlight w:val="none"/>
          <w:lang w:val="en-US" w:eastAsia="zh-CN"/>
        </w:rPr>
        <w:t>达成具体约定外</w:t>
      </w:r>
      <w:r>
        <w:rPr>
          <w:rFonts w:hint="eastAsia" w:ascii="宋体" w:hAnsi="宋体" w:eastAsia="宋体" w:cs="宋体"/>
          <w:color w:val="auto"/>
          <w:sz w:val="24"/>
          <w:szCs w:val="24"/>
          <w:highlight w:val="none"/>
        </w:rPr>
        <w:t>，乙方提供产品及相关快递服务</w:t>
      </w:r>
      <w:r>
        <w:rPr>
          <w:rFonts w:hint="eastAsia" w:ascii="宋体" w:hAnsi="宋体" w:eastAsia="宋体" w:cs="宋体"/>
          <w:color w:val="auto"/>
          <w:sz w:val="24"/>
          <w:szCs w:val="24"/>
          <w:highlight w:val="none"/>
          <w:lang w:val="en-US" w:eastAsia="zh-CN"/>
        </w:rPr>
        <w:t>涉及到</w:t>
      </w:r>
      <w:r>
        <w:rPr>
          <w:rFonts w:hint="eastAsia" w:ascii="宋体" w:hAnsi="宋体" w:eastAsia="宋体" w:cs="宋体"/>
          <w:color w:val="auto"/>
          <w:sz w:val="24"/>
          <w:szCs w:val="24"/>
          <w:highlight w:val="none"/>
        </w:rPr>
        <w:t>具体包装要求</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应</w:t>
      </w:r>
      <w:r>
        <w:rPr>
          <w:rFonts w:hint="eastAsia" w:ascii="宋体" w:hAnsi="宋体" w:eastAsia="宋体" w:cs="宋体"/>
          <w:color w:val="auto"/>
          <w:sz w:val="24"/>
          <w:szCs w:val="24"/>
          <w:highlight w:val="none"/>
          <w:lang w:val="en-US" w:eastAsia="zh-CN"/>
        </w:rPr>
        <w:t>不低于</w:t>
      </w:r>
      <w:r>
        <w:rPr>
          <w:rFonts w:hint="eastAsia" w:ascii="宋体" w:hAnsi="宋体" w:eastAsia="宋体" w:cs="宋体"/>
          <w:color w:val="auto"/>
          <w:sz w:val="24"/>
          <w:szCs w:val="24"/>
          <w:highlight w:val="none"/>
        </w:rPr>
        <w:t>《商品包装政府采购需求标准（试行）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快递包装政府采购需求标准（试行）》</w:t>
      </w:r>
      <w:r>
        <w:rPr>
          <w:rFonts w:hint="eastAsia" w:ascii="宋体" w:hAnsi="宋体" w:eastAsia="宋体" w:cs="宋体"/>
          <w:color w:val="auto"/>
          <w:sz w:val="24"/>
          <w:szCs w:val="24"/>
          <w:highlight w:val="none"/>
          <w:lang w:val="en-US" w:eastAsia="zh-CN"/>
        </w:rPr>
        <w:t>标准</w:t>
      </w:r>
      <w:r>
        <w:rPr>
          <w:rFonts w:hint="eastAsia" w:ascii="宋体" w:hAnsi="宋体" w:eastAsia="宋体" w:cs="宋体"/>
          <w:color w:val="auto"/>
          <w:sz w:val="24"/>
          <w:szCs w:val="24"/>
          <w:highlight w:val="none"/>
        </w:rPr>
        <w:t>，并作为履约验收的内容，必要时甲方可以要求乙方在履约验收环节出具检测报告。</w:t>
      </w:r>
    </w:p>
    <w:p w14:paraId="22B1541F">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7.5 </w:t>
      </w:r>
      <w:r>
        <w:rPr>
          <w:rFonts w:hint="eastAsia" w:ascii="宋体" w:hAnsi="宋体" w:eastAsia="宋体" w:cs="宋体"/>
          <w:color w:val="auto"/>
          <w:sz w:val="24"/>
          <w:szCs w:val="24"/>
          <w:highlight w:val="none"/>
        </w:rPr>
        <w:t>乙方在运输到达之前</w:t>
      </w:r>
      <w:r>
        <w:rPr>
          <w:rFonts w:hint="eastAsia" w:ascii="宋体" w:hAnsi="宋体" w:eastAsia="宋体" w:cs="宋体"/>
          <w:color w:val="auto"/>
          <w:sz w:val="24"/>
          <w:szCs w:val="24"/>
          <w:highlight w:val="none"/>
          <w:lang w:eastAsia="zh-CN"/>
        </w:rPr>
        <w:t>应</w:t>
      </w:r>
      <w:r>
        <w:rPr>
          <w:rFonts w:hint="eastAsia" w:ascii="宋体" w:hAnsi="宋体" w:eastAsia="宋体" w:cs="宋体"/>
          <w:color w:val="auto"/>
          <w:sz w:val="24"/>
          <w:szCs w:val="24"/>
          <w:highlight w:val="none"/>
        </w:rPr>
        <w:t>提前通知</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，并提示货物运输装卸的注意事项</w:t>
      </w:r>
      <w:r>
        <w:rPr>
          <w:rFonts w:hint="eastAsia" w:ascii="宋体" w:hAnsi="宋体" w:eastAsia="宋体" w:cs="宋体"/>
          <w:color w:val="auto"/>
          <w:sz w:val="24"/>
          <w:szCs w:val="24"/>
          <w:highlight w:val="none"/>
          <w:lang w:eastAsia="zh-CN"/>
        </w:rPr>
        <w:t>，甲方配合乙方做好货物的接收工作。</w:t>
      </w:r>
    </w:p>
    <w:p w14:paraId="598FD096">
      <w:pPr>
        <w:pStyle w:val="60"/>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rPr>
        <w:t xml:space="preserve">7.6 </w:t>
      </w:r>
      <w:r>
        <w:rPr>
          <w:rFonts w:hint="eastAsia" w:ascii="宋体" w:hAnsi="宋体" w:eastAsia="宋体" w:cs="宋体"/>
          <w:color w:val="auto"/>
          <w:kern w:val="2"/>
          <w:sz w:val="24"/>
          <w:szCs w:val="24"/>
          <w:highlight w:val="none"/>
        </w:rPr>
        <w:t>如因包装</w:t>
      </w:r>
      <w:r>
        <w:rPr>
          <w:rFonts w:hint="eastAsia" w:ascii="宋体" w:hAnsi="宋体" w:eastAsia="宋体" w:cs="宋体"/>
          <w:color w:val="auto"/>
          <w:kern w:val="2"/>
          <w:sz w:val="24"/>
          <w:szCs w:val="24"/>
          <w:highlight w:val="none"/>
          <w:lang w:eastAsia="zh-CN"/>
        </w:rPr>
        <w:t>、运输</w:t>
      </w:r>
      <w:r>
        <w:rPr>
          <w:rFonts w:hint="eastAsia" w:ascii="宋体" w:hAnsi="宋体" w:eastAsia="宋体" w:cs="宋体"/>
          <w:color w:val="auto"/>
          <w:kern w:val="2"/>
          <w:sz w:val="24"/>
          <w:szCs w:val="24"/>
          <w:highlight w:val="none"/>
        </w:rPr>
        <w:t>问题导致货物</w:t>
      </w:r>
      <w:r>
        <w:rPr>
          <w:rFonts w:hint="eastAsia" w:ascii="宋体" w:hAnsi="宋体" w:eastAsia="宋体" w:cs="宋体"/>
          <w:color w:val="auto"/>
          <w:kern w:val="2"/>
          <w:sz w:val="24"/>
          <w:szCs w:val="24"/>
          <w:highlight w:val="none"/>
          <w:lang w:eastAsia="zh-CN"/>
        </w:rPr>
        <w:t>损毁、丢失</w:t>
      </w:r>
      <w:r>
        <w:rPr>
          <w:rFonts w:hint="eastAsia" w:ascii="宋体" w:hAnsi="宋体" w:eastAsia="宋体" w:cs="宋体"/>
          <w:color w:val="auto"/>
          <w:kern w:val="2"/>
          <w:sz w:val="24"/>
          <w:szCs w:val="24"/>
          <w:highlight w:val="none"/>
        </w:rPr>
        <w:t>或者品质下降，</w:t>
      </w:r>
      <w:r>
        <w:rPr>
          <w:rFonts w:hint="eastAsia" w:ascii="宋体" w:hAnsi="宋体" w:eastAsia="宋体" w:cs="宋体"/>
          <w:color w:val="auto"/>
          <w:kern w:val="2"/>
          <w:sz w:val="24"/>
          <w:szCs w:val="24"/>
          <w:highlight w:val="none"/>
          <w:lang w:eastAsia="zh-CN"/>
        </w:rPr>
        <w:t>甲方</w:t>
      </w:r>
      <w:r>
        <w:rPr>
          <w:rFonts w:hint="eastAsia" w:ascii="宋体" w:hAnsi="宋体" w:eastAsia="宋体" w:cs="宋体"/>
          <w:color w:val="auto"/>
          <w:kern w:val="2"/>
          <w:sz w:val="24"/>
          <w:szCs w:val="24"/>
          <w:highlight w:val="none"/>
        </w:rPr>
        <w:t>有权要求降价、换货、拒收部分或整批货物，由此</w:t>
      </w:r>
      <w:r>
        <w:rPr>
          <w:rFonts w:hint="eastAsia" w:ascii="宋体" w:hAnsi="宋体" w:eastAsia="宋体" w:cs="宋体"/>
          <w:color w:val="auto"/>
          <w:kern w:val="2"/>
          <w:sz w:val="24"/>
          <w:szCs w:val="24"/>
          <w:highlight w:val="none"/>
          <w:lang w:eastAsia="zh-CN"/>
        </w:rPr>
        <w:t>产生</w:t>
      </w:r>
      <w:r>
        <w:rPr>
          <w:rFonts w:hint="eastAsia" w:ascii="宋体" w:hAnsi="宋体" w:eastAsia="宋体" w:cs="宋体"/>
          <w:color w:val="auto"/>
          <w:kern w:val="2"/>
          <w:sz w:val="24"/>
          <w:szCs w:val="24"/>
          <w:highlight w:val="none"/>
        </w:rPr>
        <w:t>的费用和损失，均由</w:t>
      </w:r>
      <w:r>
        <w:rPr>
          <w:rFonts w:hint="eastAsia" w:ascii="宋体" w:hAnsi="宋体" w:eastAsia="宋体" w:cs="宋体"/>
          <w:color w:val="auto"/>
          <w:kern w:val="2"/>
          <w:sz w:val="24"/>
          <w:szCs w:val="24"/>
          <w:highlight w:val="none"/>
          <w:lang w:eastAsia="zh-CN"/>
        </w:rPr>
        <w:t>乙方</w:t>
      </w:r>
      <w:r>
        <w:rPr>
          <w:rFonts w:hint="eastAsia" w:ascii="宋体" w:hAnsi="宋体" w:eastAsia="宋体" w:cs="宋体"/>
          <w:color w:val="auto"/>
          <w:kern w:val="2"/>
          <w:sz w:val="24"/>
          <w:szCs w:val="24"/>
          <w:highlight w:val="none"/>
        </w:rPr>
        <w:t>承担。</w:t>
      </w:r>
    </w:p>
    <w:p w14:paraId="36FCB20E">
      <w:pPr>
        <w:adjustRightInd w:val="0"/>
        <w:snapToGrid w:val="0"/>
        <w:spacing w:before="0" w:line="400" w:lineRule="exact"/>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8</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质量标准和保证</w:t>
      </w:r>
    </w:p>
    <w:p w14:paraId="6884F088">
      <w:pPr>
        <w:pStyle w:val="8"/>
        <w:adjustRightInd w:val="0"/>
        <w:snapToGrid w:val="0"/>
        <w:spacing w:before="0" w:line="400" w:lineRule="exact"/>
        <w:ind w:firstLine="480" w:firstLineChars="200"/>
        <w:jc w:val="left"/>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.1 质量标准</w:t>
      </w:r>
    </w:p>
    <w:p w14:paraId="28A34D6F">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（1）本合同下</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的货物应符合</w:t>
      </w:r>
      <w:r>
        <w:rPr>
          <w:rFonts w:hint="eastAsia" w:ascii="宋体" w:hAnsi="宋体" w:eastAsia="宋体" w:cs="宋体"/>
          <w:color w:val="auto"/>
          <w:sz w:val="24"/>
          <w:szCs w:val="24"/>
          <w:highlight w:val="none"/>
          <w:lang w:eastAsia="zh-CN"/>
        </w:rPr>
        <w:t>合同约</w:t>
      </w:r>
      <w:r>
        <w:rPr>
          <w:rFonts w:hint="eastAsia" w:ascii="宋体" w:hAnsi="宋体" w:eastAsia="宋体" w:cs="宋体"/>
          <w:color w:val="auto"/>
          <w:sz w:val="24"/>
          <w:szCs w:val="24"/>
          <w:highlight w:val="none"/>
        </w:rPr>
        <w:t>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eastAsia="宋体" w:cs="宋体"/>
          <w:color w:val="auto"/>
          <w:sz w:val="24"/>
          <w:szCs w:val="24"/>
          <w:highlight w:val="none"/>
          <w:lang w:eastAsia="zh-CN"/>
        </w:rPr>
        <w:t>。</w:t>
      </w:r>
    </w:p>
    <w:p w14:paraId="1532AB98">
      <w:pPr>
        <w:pStyle w:val="8"/>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（2）采用中华人民共和国法定计量单位。</w:t>
      </w:r>
    </w:p>
    <w:p w14:paraId="266B90DD">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（3）乙方所</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的货物应符合国家有关安全、环保、卫生</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rPr>
        <w:t>规定。</w:t>
      </w:r>
    </w:p>
    <w:p w14:paraId="0E083D41">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（4）乙方应向甲方提交所</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货物的技术文件，包括相应的中文技术文件，如：产品目录、图纸、操作手册、使用说明、维护手册或服务指南</w:t>
      </w:r>
      <w:r>
        <w:rPr>
          <w:rFonts w:hint="eastAsia" w:ascii="宋体" w:hAnsi="宋体" w:eastAsia="宋体" w:cs="宋体"/>
          <w:color w:val="auto"/>
          <w:sz w:val="24"/>
          <w:szCs w:val="24"/>
          <w:highlight w:val="none"/>
          <w:lang w:eastAsia="zh-CN"/>
        </w:rPr>
        <w:t>等</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上述</w:t>
      </w:r>
      <w:r>
        <w:rPr>
          <w:rFonts w:hint="eastAsia" w:ascii="宋体" w:hAnsi="宋体" w:eastAsia="宋体" w:cs="宋体"/>
          <w:color w:val="auto"/>
          <w:sz w:val="24"/>
          <w:szCs w:val="24"/>
          <w:highlight w:val="none"/>
        </w:rPr>
        <w:t>文件应包装好随货物一同发运。</w:t>
      </w:r>
    </w:p>
    <w:p w14:paraId="32103830">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.2 保证</w:t>
      </w:r>
    </w:p>
    <w:p w14:paraId="7162F9A3">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（1）乙方应保证</w:t>
      </w:r>
      <w:r>
        <w:rPr>
          <w:rFonts w:hint="eastAsia" w:ascii="宋体" w:hAnsi="宋体" w:eastAsia="宋体" w:cs="宋体"/>
          <w:color w:val="auto"/>
          <w:sz w:val="24"/>
          <w:szCs w:val="24"/>
          <w:highlight w:val="none"/>
          <w:lang w:eastAsia="zh-CN"/>
        </w:rPr>
        <w:t>提供的货物</w:t>
      </w:r>
      <w:r>
        <w:rPr>
          <w:rFonts w:hint="eastAsia" w:ascii="宋体" w:hAnsi="宋体" w:eastAsia="宋体" w:cs="宋体"/>
          <w:color w:val="auto"/>
          <w:sz w:val="24"/>
          <w:szCs w:val="24"/>
          <w:highlight w:val="none"/>
        </w:rPr>
        <w:t>完全符合合同规定的质量、规格和性能要求。乙方应保证货物在正确安装、正常使用和保养条件下，在其使用寿命期内具</w:t>
      </w:r>
      <w:r>
        <w:rPr>
          <w:rFonts w:hint="eastAsia" w:ascii="宋体" w:hAnsi="宋体" w:eastAsia="宋体" w:cs="宋体"/>
          <w:color w:val="auto"/>
          <w:sz w:val="24"/>
          <w:szCs w:val="24"/>
          <w:highlight w:val="none"/>
          <w:lang w:eastAsia="zh-CN"/>
        </w:rPr>
        <w:t>备合同约定</w:t>
      </w:r>
      <w:r>
        <w:rPr>
          <w:rFonts w:hint="eastAsia" w:ascii="宋体" w:hAnsi="宋体" w:eastAsia="宋体" w:cs="宋体"/>
          <w:color w:val="auto"/>
          <w:sz w:val="24"/>
          <w:szCs w:val="24"/>
          <w:highlight w:val="none"/>
        </w:rPr>
        <w:t>的性能。</w:t>
      </w:r>
      <w:r>
        <w:rPr>
          <w:rFonts w:hint="eastAsia" w:ascii="宋体" w:hAnsi="宋体" w:eastAsia="宋体" w:cs="宋体"/>
          <w:color w:val="auto"/>
          <w:sz w:val="24"/>
          <w:szCs w:val="24"/>
          <w:highlight w:val="none"/>
          <w:lang w:eastAsia="zh-CN"/>
        </w:rPr>
        <w:t>存在</w:t>
      </w:r>
      <w:r>
        <w:rPr>
          <w:rFonts w:hint="eastAsia" w:ascii="宋体" w:hAnsi="宋体" w:eastAsia="宋体" w:cs="宋体"/>
          <w:color w:val="auto"/>
          <w:sz w:val="24"/>
          <w:szCs w:val="24"/>
          <w:highlight w:val="none"/>
        </w:rPr>
        <w:t>质量保证期的，货物最终交付验收</w:t>
      </w:r>
      <w:r>
        <w:rPr>
          <w:rFonts w:hint="eastAsia" w:ascii="宋体" w:hAnsi="宋体" w:eastAsia="宋体" w:cs="宋体"/>
          <w:color w:val="auto"/>
          <w:sz w:val="24"/>
          <w:szCs w:val="24"/>
          <w:highlight w:val="none"/>
          <w:lang w:eastAsia="zh-CN"/>
        </w:rPr>
        <w:t>合格</w:t>
      </w:r>
      <w:r>
        <w:rPr>
          <w:rFonts w:hint="eastAsia" w:ascii="宋体" w:hAnsi="宋体" w:eastAsia="宋体" w:cs="宋体"/>
          <w:color w:val="auto"/>
          <w:sz w:val="24"/>
          <w:szCs w:val="24"/>
          <w:highlight w:val="none"/>
        </w:rPr>
        <w:t>后</w:t>
      </w:r>
      <w:r>
        <w:rPr>
          <w:rFonts w:hint="eastAsia" w:ascii="宋体" w:hAnsi="宋体" w:eastAsia="宋体" w:cs="宋体"/>
          <w:color w:val="auto"/>
          <w:sz w:val="24"/>
          <w:szCs w:val="24"/>
          <w:highlight w:val="none"/>
          <w:lang w:eastAsia="zh-CN"/>
        </w:rPr>
        <w:t>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规定或乙方</w:t>
      </w:r>
      <w:r>
        <w:rPr>
          <w:rFonts w:hint="eastAsia" w:ascii="宋体" w:hAnsi="宋体" w:eastAsia="宋体" w:cs="宋体"/>
          <w:color w:val="auto"/>
          <w:sz w:val="24"/>
          <w:szCs w:val="24"/>
          <w:highlight w:val="none"/>
          <w:lang w:eastAsia="zh-CN"/>
        </w:rPr>
        <w:t>书面</w:t>
      </w:r>
      <w:r>
        <w:rPr>
          <w:rFonts w:hint="eastAsia" w:ascii="宋体" w:hAnsi="宋体" w:eastAsia="宋体" w:cs="宋体"/>
          <w:color w:val="auto"/>
          <w:sz w:val="24"/>
          <w:szCs w:val="24"/>
          <w:highlight w:val="none"/>
        </w:rPr>
        <w:t>承诺（两者以较长的为准）的质量保证期内，本保证保持有效。</w:t>
      </w:r>
    </w:p>
    <w:p w14:paraId="1EA6E0ED">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（2）在质量保证期内所发现的缺陷，甲方应尽快以书面形式通知乙方。</w:t>
      </w:r>
    </w:p>
    <w:p w14:paraId="79C5CC7A">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（3）乙方收到通知后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应在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规定的响应时间内以合理的速度免费维修或更换有缺陷的货物或部件。</w:t>
      </w:r>
    </w:p>
    <w:p w14:paraId="6345A53A">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（4）在质量保证期内，如果货物的质量或规格与合同不符，或证实货物是有缺陷的，包括潜在的缺陷或使用不符合要求的材料等，甲方可以根据本合同第1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.1条规定以书面形式</w:t>
      </w:r>
      <w:r>
        <w:rPr>
          <w:rFonts w:hint="eastAsia" w:ascii="宋体" w:hAnsi="宋体" w:eastAsia="宋体" w:cs="宋体"/>
          <w:color w:val="auto"/>
          <w:sz w:val="24"/>
          <w:szCs w:val="24"/>
          <w:highlight w:val="none"/>
          <w:lang w:eastAsia="zh-CN"/>
        </w:rPr>
        <w:t>追究</w:t>
      </w: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eastAsia="zh-CN"/>
        </w:rPr>
        <w:t>的违约责任</w:t>
      </w:r>
      <w:r>
        <w:rPr>
          <w:rFonts w:hint="eastAsia" w:ascii="宋体" w:hAnsi="宋体" w:eastAsia="宋体" w:cs="宋体"/>
          <w:color w:val="auto"/>
          <w:sz w:val="24"/>
          <w:szCs w:val="24"/>
          <w:highlight w:val="none"/>
        </w:rPr>
        <w:t>。</w:t>
      </w:r>
    </w:p>
    <w:p w14:paraId="383C85DA">
      <w:pPr>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（5）乙方在约定的时间内未能弥补缺陷，甲方可采取必要的补救措施，但其风险和费用将由乙方承担，甲方根据合同</w:t>
      </w:r>
      <w:r>
        <w:rPr>
          <w:rFonts w:hint="eastAsia" w:ascii="宋体" w:hAnsi="宋体" w:eastAsia="宋体" w:cs="宋体"/>
          <w:color w:val="auto"/>
          <w:sz w:val="24"/>
          <w:szCs w:val="24"/>
          <w:highlight w:val="none"/>
          <w:lang w:eastAsia="zh-CN"/>
        </w:rPr>
        <w:t>约定</w:t>
      </w:r>
      <w:r>
        <w:rPr>
          <w:rFonts w:hint="eastAsia" w:ascii="宋体" w:hAnsi="宋体" w:eastAsia="宋体" w:cs="宋体"/>
          <w:color w:val="auto"/>
          <w:sz w:val="24"/>
          <w:szCs w:val="24"/>
          <w:highlight w:val="none"/>
        </w:rPr>
        <w:t>对乙方行使的其他权利不受影响。</w:t>
      </w:r>
    </w:p>
    <w:p w14:paraId="36EC56B0">
      <w:pPr>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9</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权利瑕疵担保</w:t>
      </w:r>
    </w:p>
    <w:p w14:paraId="7AFB4529">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9</w:t>
      </w:r>
      <w:r>
        <w:rPr>
          <w:rFonts w:hint="eastAsia" w:ascii="宋体" w:hAnsi="宋体" w:eastAsia="宋体" w:cs="宋体"/>
          <w:color w:val="auto"/>
          <w:sz w:val="24"/>
          <w:szCs w:val="24"/>
          <w:highlight w:val="none"/>
        </w:rPr>
        <w:t>.1 乙方保证对其出售的货物享有合法的权利。</w:t>
      </w:r>
    </w:p>
    <w:p w14:paraId="510D8AF2">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9</w:t>
      </w:r>
      <w:r>
        <w:rPr>
          <w:rFonts w:hint="eastAsia" w:ascii="宋体" w:hAnsi="宋体" w:eastAsia="宋体" w:cs="宋体"/>
          <w:color w:val="auto"/>
          <w:sz w:val="24"/>
          <w:szCs w:val="24"/>
          <w:highlight w:val="none"/>
        </w:rPr>
        <w:t>.2 乙方保证在交付的货物上不存在抵押权等担保物权。</w:t>
      </w:r>
    </w:p>
    <w:p w14:paraId="161EACEB">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9</w:t>
      </w:r>
      <w:r>
        <w:rPr>
          <w:rFonts w:hint="eastAsia" w:ascii="宋体" w:hAnsi="宋体" w:eastAsia="宋体" w:cs="宋体"/>
          <w:color w:val="auto"/>
          <w:sz w:val="24"/>
          <w:szCs w:val="24"/>
          <w:highlight w:val="none"/>
        </w:rPr>
        <w:t>.3 如甲方使用</w:t>
      </w:r>
      <w:r>
        <w:rPr>
          <w:rFonts w:hint="eastAsia" w:ascii="宋体" w:hAnsi="宋体" w:eastAsia="宋体" w:cs="宋体"/>
          <w:color w:val="auto"/>
          <w:sz w:val="24"/>
          <w:szCs w:val="24"/>
          <w:highlight w:val="none"/>
          <w:lang w:val="en-US" w:eastAsia="zh-CN"/>
        </w:rPr>
        <w:t>上述</w:t>
      </w:r>
      <w:r>
        <w:rPr>
          <w:rFonts w:hint="eastAsia" w:ascii="宋体" w:hAnsi="宋体" w:eastAsia="宋体" w:cs="宋体"/>
          <w:color w:val="auto"/>
          <w:sz w:val="24"/>
          <w:szCs w:val="24"/>
          <w:highlight w:val="none"/>
        </w:rPr>
        <w:t>货物构成</w:t>
      </w:r>
      <w:r>
        <w:rPr>
          <w:rFonts w:hint="eastAsia" w:ascii="宋体" w:hAnsi="宋体" w:eastAsia="宋体" w:cs="宋体"/>
          <w:color w:val="auto"/>
          <w:sz w:val="24"/>
          <w:szCs w:val="24"/>
          <w:highlight w:val="none"/>
          <w:lang w:val="en-US" w:eastAsia="zh-CN"/>
        </w:rPr>
        <w:t>对第三人</w:t>
      </w:r>
      <w:r>
        <w:rPr>
          <w:rFonts w:hint="eastAsia" w:ascii="宋体" w:hAnsi="宋体" w:eastAsia="宋体" w:cs="宋体"/>
          <w:color w:val="auto"/>
          <w:sz w:val="24"/>
          <w:szCs w:val="24"/>
          <w:highlight w:val="none"/>
        </w:rPr>
        <w:t>侵权的，则由乙方承担全部责任。</w:t>
      </w:r>
    </w:p>
    <w:p w14:paraId="040B1A76">
      <w:pPr>
        <w:autoSpaceDE w:val="0"/>
        <w:autoSpaceDN w:val="0"/>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0</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知识产权保护</w:t>
      </w:r>
    </w:p>
    <w:p w14:paraId="293ACD14">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0</w:t>
      </w:r>
      <w:r>
        <w:rPr>
          <w:rFonts w:hint="eastAsia" w:ascii="宋体" w:hAnsi="宋体" w:eastAsia="宋体" w:cs="宋体"/>
          <w:color w:val="auto"/>
          <w:sz w:val="24"/>
          <w:szCs w:val="24"/>
          <w:highlight w:val="none"/>
        </w:rPr>
        <w:t>.1 乙方对其所销售的货物应当享有知识产权或经权利人合法授权，保证没有侵犯任何第三人的知识产权等权利。</w:t>
      </w:r>
      <w:bookmarkStart w:id="187" w:name="_Hlk163047038"/>
      <w:r>
        <w:rPr>
          <w:rFonts w:hint="eastAsia" w:ascii="宋体" w:hAnsi="宋体" w:eastAsia="宋体" w:cs="宋体"/>
          <w:color w:val="auto"/>
          <w:sz w:val="24"/>
          <w:szCs w:val="24"/>
          <w:highlight w:val="none"/>
        </w:rPr>
        <w:t>因违反前述约定对第三人构成侵权的，应当由乙方向第三人承担法律责任；甲方依法向第三人赔偿后，有权向乙方追偿。甲方有其他损失的，乙方应当赔偿</w:t>
      </w:r>
      <w:bookmarkEnd w:id="187"/>
      <w:r>
        <w:rPr>
          <w:rFonts w:hint="eastAsia" w:ascii="宋体" w:hAnsi="宋体" w:eastAsia="宋体" w:cs="宋体"/>
          <w:color w:val="auto"/>
          <w:sz w:val="24"/>
          <w:szCs w:val="24"/>
          <w:highlight w:val="none"/>
        </w:rPr>
        <w:t>。</w:t>
      </w:r>
    </w:p>
    <w:p w14:paraId="294A4DEC">
      <w:pPr>
        <w:autoSpaceDE w:val="0"/>
        <w:autoSpaceDN w:val="0"/>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保密义务</w:t>
      </w:r>
    </w:p>
    <w:p w14:paraId="6640527F">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11.1 </w:t>
      </w:r>
      <w:r>
        <w:rPr>
          <w:rFonts w:hint="eastAsia" w:ascii="宋体" w:hAnsi="宋体" w:eastAsia="宋体" w:cs="宋体"/>
          <w:color w:val="auto"/>
          <w:sz w:val="24"/>
          <w:szCs w:val="24"/>
          <w:highlight w:val="none"/>
        </w:rPr>
        <w:t>甲、乙双方</w:t>
      </w:r>
      <w:r>
        <w:rPr>
          <w:rFonts w:hint="eastAsia" w:ascii="宋体" w:hAnsi="宋体" w:eastAsia="宋体" w:cs="宋体"/>
          <w:color w:val="auto"/>
          <w:sz w:val="24"/>
          <w:szCs w:val="24"/>
          <w:highlight w:val="none"/>
          <w:lang w:eastAsia="zh-CN"/>
        </w:rPr>
        <w:t>对</w:t>
      </w:r>
      <w:r>
        <w:rPr>
          <w:rFonts w:hint="eastAsia" w:ascii="宋体" w:hAnsi="宋体" w:eastAsia="宋体" w:cs="宋体"/>
          <w:color w:val="auto"/>
          <w:sz w:val="24"/>
          <w:szCs w:val="24"/>
          <w:highlight w:val="none"/>
        </w:rPr>
        <w:t>采购和合同履行过程中所获悉的</w:t>
      </w:r>
      <w:r>
        <w:rPr>
          <w:rFonts w:hint="eastAsia" w:ascii="宋体" w:hAnsi="宋体" w:eastAsia="宋体" w:cs="宋体"/>
          <w:color w:val="auto"/>
          <w:sz w:val="24"/>
          <w:szCs w:val="24"/>
          <w:highlight w:val="none"/>
          <w:lang w:eastAsia="zh-CN"/>
        </w:rPr>
        <w:t>国家秘密、工作秘密、</w:t>
      </w:r>
      <w:r>
        <w:rPr>
          <w:rFonts w:hint="eastAsia" w:ascii="宋体" w:hAnsi="宋体" w:eastAsia="宋体" w:cs="宋体"/>
          <w:color w:val="auto"/>
          <w:sz w:val="24"/>
          <w:szCs w:val="24"/>
          <w:highlight w:val="none"/>
        </w:rPr>
        <w:t>商业秘密或者其他应当保密的信息，均有保密义务</w:t>
      </w:r>
      <w:r>
        <w:rPr>
          <w:rFonts w:hint="eastAsia" w:ascii="宋体" w:hAnsi="宋体" w:eastAsia="宋体" w:cs="宋体"/>
          <w:color w:val="auto"/>
          <w:sz w:val="24"/>
          <w:szCs w:val="24"/>
          <w:highlight w:val="none"/>
          <w:lang w:eastAsia="zh-CN"/>
        </w:rPr>
        <w:t>且不受合同有效期所限，直至该信息成为公开信息</w:t>
      </w:r>
      <w:r>
        <w:rPr>
          <w:rFonts w:hint="eastAsia" w:ascii="宋体" w:hAnsi="宋体" w:eastAsia="宋体" w:cs="宋体"/>
          <w:color w:val="auto"/>
          <w:sz w:val="24"/>
          <w:szCs w:val="24"/>
          <w:highlight w:val="none"/>
        </w:rPr>
        <w:t>。泄露、不正当地使用</w:t>
      </w:r>
      <w:r>
        <w:rPr>
          <w:rFonts w:hint="eastAsia" w:ascii="宋体" w:hAnsi="宋体" w:eastAsia="宋体" w:cs="宋体"/>
          <w:color w:val="auto"/>
          <w:sz w:val="24"/>
          <w:szCs w:val="24"/>
          <w:highlight w:val="none"/>
          <w:lang w:eastAsia="zh-CN"/>
        </w:rPr>
        <w:t>国家秘密、工作秘密、</w:t>
      </w:r>
      <w:r>
        <w:rPr>
          <w:rFonts w:hint="eastAsia" w:ascii="宋体" w:hAnsi="宋体" w:eastAsia="宋体" w:cs="宋体"/>
          <w:color w:val="auto"/>
          <w:sz w:val="24"/>
          <w:szCs w:val="24"/>
          <w:highlight w:val="none"/>
        </w:rPr>
        <w:t>商业秘密或者</w:t>
      </w:r>
      <w:r>
        <w:rPr>
          <w:rFonts w:hint="eastAsia" w:ascii="宋体" w:hAnsi="宋体" w:eastAsia="宋体" w:cs="宋体"/>
          <w:color w:val="auto"/>
          <w:sz w:val="24"/>
          <w:szCs w:val="24"/>
          <w:highlight w:val="none"/>
          <w:lang w:eastAsia="zh-CN"/>
        </w:rPr>
        <w:t>其他应当保密的</w:t>
      </w:r>
      <w:r>
        <w:rPr>
          <w:rFonts w:hint="eastAsia" w:ascii="宋体" w:hAnsi="宋体" w:eastAsia="宋体" w:cs="宋体"/>
          <w:color w:val="auto"/>
          <w:sz w:val="24"/>
          <w:szCs w:val="24"/>
          <w:highlight w:val="none"/>
        </w:rPr>
        <w:t>信息，应当承担</w:t>
      </w:r>
      <w:r>
        <w:rPr>
          <w:rFonts w:hint="eastAsia" w:ascii="宋体" w:hAnsi="宋体" w:eastAsia="宋体" w:cs="宋体"/>
          <w:color w:val="auto"/>
          <w:sz w:val="24"/>
          <w:szCs w:val="24"/>
          <w:highlight w:val="none"/>
          <w:lang w:eastAsia="zh-CN"/>
        </w:rPr>
        <w:t>相应</w:t>
      </w:r>
      <w:r>
        <w:rPr>
          <w:rFonts w:hint="eastAsia" w:ascii="宋体" w:hAnsi="宋体" w:eastAsia="宋体" w:cs="宋体"/>
          <w:color w:val="auto"/>
          <w:sz w:val="24"/>
          <w:szCs w:val="24"/>
          <w:highlight w:val="none"/>
        </w:rPr>
        <w:t>责任。其他应当保密的信息由双方在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中约定。</w:t>
      </w:r>
    </w:p>
    <w:p w14:paraId="51132F58">
      <w:pPr>
        <w:autoSpaceDE w:val="0"/>
        <w:autoSpaceDN w:val="0"/>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2</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合同价款支付</w:t>
      </w:r>
    </w:p>
    <w:p w14:paraId="30F5FC50">
      <w:pPr>
        <w:autoSpaceDE/>
        <w:autoSpaceDN/>
        <w:adjustRightInd w:val="0"/>
        <w:snapToGrid w:val="0"/>
        <w:spacing w:before="0" w:line="400" w:lineRule="exact"/>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rPr>
        <w:t xml:space="preserve">.1 </w:t>
      </w:r>
      <w:r>
        <w:rPr>
          <w:rFonts w:hint="eastAsia" w:ascii="宋体" w:hAnsi="宋体" w:eastAsia="宋体" w:cs="宋体"/>
          <w:color w:val="auto"/>
          <w:sz w:val="24"/>
          <w:szCs w:val="24"/>
          <w:highlight w:val="none"/>
          <w:lang w:eastAsia="zh-CN"/>
        </w:rPr>
        <w:t>合同价款支付</w:t>
      </w:r>
      <w:r>
        <w:rPr>
          <w:rFonts w:hint="eastAsia" w:ascii="宋体" w:hAnsi="宋体" w:eastAsia="宋体" w:cs="宋体"/>
          <w:color w:val="auto"/>
          <w:sz w:val="24"/>
          <w:szCs w:val="24"/>
          <w:highlight w:val="none"/>
        </w:rPr>
        <w:t>按照国库集中支付</w:t>
      </w:r>
      <w:r>
        <w:rPr>
          <w:rFonts w:hint="eastAsia" w:ascii="宋体" w:hAnsi="宋体" w:eastAsia="宋体" w:cs="宋体"/>
          <w:color w:val="auto"/>
          <w:sz w:val="24"/>
          <w:szCs w:val="24"/>
          <w:highlight w:val="none"/>
          <w:lang w:eastAsia="zh-CN"/>
        </w:rPr>
        <w:t>制度及财政管理相关</w:t>
      </w:r>
      <w:r>
        <w:rPr>
          <w:rFonts w:hint="eastAsia" w:ascii="宋体" w:hAnsi="宋体" w:eastAsia="宋体" w:cs="宋体"/>
          <w:color w:val="auto"/>
          <w:sz w:val="24"/>
          <w:szCs w:val="24"/>
          <w:highlight w:val="none"/>
        </w:rPr>
        <w:t>规定执行。</w:t>
      </w:r>
    </w:p>
    <w:p w14:paraId="28536092">
      <w:pPr>
        <w:pStyle w:val="3"/>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 xml:space="preserve">12.2 </w:t>
      </w:r>
      <w:r>
        <w:rPr>
          <w:rFonts w:hint="eastAsia" w:ascii="宋体" w:hAnsi="宋体" w:eastAsia="宋体" w:cs="宋体"/>
          <w:b w:val="0"/>
          <w:bCs w:val="0"/>
          <w:color w:val="auto"/>
          <w:kern w:val="2"/>
          <w:sz w:val="24"/>
          <w:szCs w:val="24"/>
          <w:highlight w:val="none"/>
        </w:rPr>
        <w:t>对于满足合同约定支付条件的，</w:t>
      </w:r>
      <w:r>
        <w:rPr>
          <w:rFonts w:hint="eastAsia" w:ascii="宋体" w:hAnsi="宋体" w:eastAsia="宋体" w:cs="宋体"/>
          <w:b w:val="0"/>
          <w:bCs w:val="0"/>
          <w:color w:val="auto"/>
          <w:kern w:val="2"/>
          <w:sz w:val="24"/>
          <w:szCs w:val="24"/>
          <w:highlight w:val="none"/>
          <w:lang w:val="en-US" w:eastAsia="zh-CN"/>
        </w:rPr>
        <w:t>甲方</w:t>
      </w:r>
      <w:r>
        <w:rPr>
          <w:rFonts w:hint="eastAsia" w:ascii="宋体" w:hAnsi="宋体" w:eastAsia="宋体" w:cs="宋体"/>
          <w:b w:val="0"/>
          <w:bCs w:val="0"/>
          <w:i w:val="0"/>
          <w:iCs w:val="0"/>
          <w:caps w:val="0"/>
          <w:color w:val="auto"/>
          <w:spacing w:val="0"/>
          <w:sz w:val="24"/>
          <w:szCs w:val="24"/>
          <w:highlight w:val="none"/>
          <w:shd w:val="clear"/>
          <w:vertAlign w:val="baseline"/>
        </w:rPr>
        <w:t>原则上应当自收到发票后10个工作日内</w:t>
      </w:r>
      <w:r>
        <w:rPr>
          <w:rFonts w:hint="eastAsia" w:ascii="宋体" w:hAnsi="宋体" w:eastAsia="宋体" w:cs="宋体"/>
          <w:b w:val="0"/>
          <w:bCs w:val="0"/>
          <w:color w:val="auto"/>
          <w:kern w:val="2"/>
          <w:sz w:val="24"/>
          <w:szCs w:val="24"/>
          <w:highlight w:val="none"/>
        </w:rPr>
        <w:t>将资金支付到合同约定的</w:t>
      </w:r>
      <w:r>
        <w:rPr>
          <w:rFonts w:hint="eastAsia" w:ascii="宋体" w:hAnsi="宋体" w:eastAsia="宋体" w:cs="宋体"/>
          <w:b w:val="0"/>
          <w:bCs w:val="0"/>
          <w:color w:val="auto"/>
          <w:kern w:val="2"/>
          <w:sz w:val="24"/>
          <w:szCs w:val="24"/>
          <w:highlight w:val="none"/>
          <w:lang w:eastAsia="zh-CN"/>
        </w:rPr>
        <w:t>乙方</w:t>
      </w:r>
      <w:r>
        <w:rPr>
          <w:rFonts w:hint="eastAsia" w:ascii="宋体" w:hAnsi="宋体" w:eastAsia="宋体" w:cs="宋体"/>
          <w:b w:val="0"/>
          <w:bCs w:val="0"/>
          <w:color w:val="auto"/>
          <w:kern w:val="2"/>
          <w:sz w:val="24"/>
          <w:szCs w:val="24"/>
          <w:highlight w:val="none"/>
        </w:rPr>
        <w:t>账户，不得以机构变动、人员更替、政策调整等为由迟延付款，不得将采购文件和合同中未规定的义务作为向</w:t>
      </w:r>
      <w:r>
        <w:rPr>
          <w:rFonts w:hint="eastAsia" w:ascii="宋体" w:hAnsi="宋体" w:eastAsia="宋体" w:cs="宋体"/>
          <w:b w:val="0"/>
          <w:bCs w:val="0"/>
          <w:color w:val="auto"/>
          <w:kern w:val="2"/>
          <w:sz w:val="24"/>
          <w:szCs w:val="24"/>
          <w:highlight w:val="none"/>
          <w:lang w:val="en-US" w:eastAsia="zh-CN"/>
        </w:rPr>
        <w:t>乙方</w:t>
      </w:r>
      <w:r>
        <w:rPr>
          <w:rFonts w:hint="eastAsia" w:ascii="宋体" w:hAnsi="宋体" w:eastAsia="宋体" w:cs="宋体"/>
          <w:b w:val="0"/>
          <w:bCs w:val="0"/>
          <w:color w:val="auto"/>
          <w:kern w:val="2"/>
          <w:sz w:val="24"/>
          <w:szCs w:val="24"/>
          <w:highlight w:val="none"/>
        </w:rPr>
        <w:t>付款的条件。具体合同价款支付时间在【</w:t>
      </w:r>
      <w:r>
        <w:rPr>
          <w:rFonts w:hint="eastAsia" w:ascii="宋体" w:hAnsi="宋体" w:eastAsia="宋体" w:cs="宋体"/>
          <w:b/>
          <w:bCs/>
          <w:color w:val="auto"/>
          <w:kern w:val="2"/>
          <w:sz w:val="24"/>
          <w:szCs w:val="24"/>
          <w:highlight w:val="none"/>
        </w:rPr>
        <w:t>政府采购合同专用条款</w:t>
      </w:r>
      <w:r>
        <w:rPr>
          <w:rFonts w:hint="eastAsia" w:ascii="宋体" w:hAnsi="宋体" w:eastAsia="宋体" w:cs="宋体"/>
          <w:b w:val="0"/>
          <w:bCs w:val="0"/>
          <w:color w:val="auto"/>
          <w:kern w:val="2"/>
          <w:sz w:val="24"/>
          <w:szCs w:val="24"/>
          <w:highlight w:val="none"/>
        </w:rPr>
        <w:t>】中</w:t>
      </w:r>
      <w:r>
        <w:rPr>
          <w:rFonts w:hint="eastAsia" w:ascii="宋体" w:hAnsi="宋体" w:eastAsia="宋体" w:cs="宋体"/>
          <w:b w:val="0"/>
          <w:bCs w:val="0"/>
          <w:color w:val="auto"/>
          <w:kern w:val="2"/>
          <w:sz w:val="24"/>
          <w:szCs w:val="24"/>
          <w:highlight w:val="none"/>
          <w:lang w:eastAsia="zh-CN"/>
        </w:rPr>
        <w:t>约</w:t>
      </w:r>
      <w:r>
        <w:rPr>
          <w:rFonts w:hint="eastAsia" w:ascii="宋体" w:hAnsi="宋体" w:eastAsia="宋体" w:cs="宋体"/>
          <w:b w:val="0"/>
          <w:bCs w:val="0"/>
          <w:color w:val="auto"/>
          <w:kern w:val="2"/>
          <w:sz w:val="24"/>
          <w:szCs w:val="24"/>
          <w:highlight w:val="none"/>
        </w:rPr>
        <w:t>定。</w:t>
      </w:r>
    </w:p>
    <w:p w14:paraId="6CAF812A">
      <w:pPr>
        <w:pStyle w:val="6"/>
        <w:spacing w:after="0" w:line="40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3</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履约保证金</w:t>
      </w:r>
    </w:p>
    <w:p w14:paraId="5B26847E">
      <w:pPr>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.1 乙方应当以支票、汇票、本票或者金融机构、担保机构出具的保函等非现金形式提交。</w:t>
      </w:r>
    </w:p>
    <w:p w14:paraId="0251B25F">
      <w:pPr>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.2 如果乙方</w:t>
      </w:r>
      <w:r>
        <w:rPr>
          <w:rFonts w:hint="eastAsia" w:ascii="宋体" w:hAnsi="宋体" w:eastAsia="宋体" w:cs="宋体"/>
          <w:color w:val="auto"/>
          <w:sz w:val="24"/>
          <w:szCs w:val="24"/>
          <w:highlight w:val="none"/>
          <w:lang w:eastAsia="zh-CN"/>
        </w:rPr>
        <w:t>出现</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b w:val="0"/>
          <w:bCs w:val="0"/>
          <w:color w:val="auto"/>
          <w:sz w:val="24"/>
          <w:szCs w:val="24"/>
          <w:highlight w:val="none"/>
          <w:lang w:eastAsia="zh-CN"/>
        </w:rPr>
        <w:t>约定情形的</w:t>
      </w:r>
      <w:r>
        <w:rPr>
          <w:rFonts w:hint="eastAsia" w:ascii="宋体" w:hAnsi="宋体" w:eastAsia="宋体" w:cs="宋体"/>
          <w:color w:val="auto"/>
          <w:sz w:val="24"/>
          <w:szCs w:val="24"/>
          <w:highlight w:val="none"/>
        </w:rPr>
        <w:t>，履约保证金不予退还；如果乙方未能按合同约定全面履行义务，甲方有权从履约保证金中取得补偿或赔偿，</w:t>
      </w:r>
      <w:r>
        <w:rPr>
          <w:rFonts w:hint="eastAsia" w:ascii="宋体" w:hAnsi="宋体" w:eastAsia="宋体" w:cs="宋体"/>
          <w:color w:val="auto"/>
          <w:sz w:val="24"/>
          <w:szCs w:val="24"/>
          <w:highlight w:val="none"/>
          <w:lang w:eastAsia="zh-CN"/>
        </w:rPr>
        <w:t>且</w:t>
      </w:r>
      <w:r>
        <w:rPr>
          <w:rFonts w:hint="eastAsia" w:ascii="宋体" w:hAnsi="宋体" w:eastAsia="宋体" w:cs="宋体"/>
          <w:color w:val="auto"/>
          <w:sz w:val="24"/>
          <w:szCs w:val="24"/>
          <w:highlight w:val="none"/>
        </w:rPr>
        <w:t>不影响甲方要求乙方承担合同约定的超过履约保证金的违约责任的权利。</w:t>
      </w:r>
    </w:p>
    <w:p w14:paraId="77170C84">
      <w:pPr>
        <w:spacing w:line="40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.3 甲方在项目通过验收后按照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规定的时间内将履约保证金退还乙方；逾期退还的，乙方可要求甲方支付违约金，违约金按照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规定支付。</w:t>
      </w:r>
    </w:p>
    <w:p w14:paraId="0439C8AD">
      <w:pPr>
        <w:autoSpaceDE w:val="0"/>
        <w:autoSpaceDN w:val="0"/>
        <w:adjustRightInd w:val="0"/>
        <w:snapToGrid w:val="0"/>
        <w:spacing w:before="0" w:line="400" w:lineRule="exact"/>
        <w:jc w:val="left"/>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4</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color w:val="auto"/>
          <w:sz w:val="24"/>
          <w:szCs w:val="24"/>
          <w:highlight w:val="none"/>
        </w:rPr>
        <w:t>售后服务</w:t>
      </w:r>
    </w:p>
    <w:p w14:paraId="67D292EA">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.1 除项目不涉及或采购活动中明确约定无须承担外，乙方还应提供下列服务：</w:t>
      </w:r>
    </w:p>
    <w:p w14:paraId="11675EBE">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（1）货物的现场移动、安装、调试、启动监督及技术支持；</w:t>
      </w:r>
    </w:p>
    <w:p w14:paraId="2500E1BF">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（2）提供货物组装和维修所需的专用工具和辅助材料；</w:t>
      </w:r>
    </w:p>
    <w:p w14:paraId="4931E149">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lang w:eastAsia="zh-CN"/>
        </w:rPr>
        <w:t>约定</w:t>
      </w:r>
      <w:r>
        <w:rPr>
          <w:rFonts w:hint="eastAsia" w:ascii="宋体" w:hAnsi="宋体" w:eastAsia="宋体" w:cs="宋体"/>
          <w:color w:val="auto"/>
          <w:sz w:val="24"/>
          <w:szCs w:val="24"/>
          <w:highlight w:val="none"/>
        </w:rPr>
        <w:t>的期限内对所有的货物实施运行监督、维修，但前提条件是该服务并不能免除乙方在质量保证期内所承担的义务；</w:t>
      </w:r>
    </w:p>
    <w:p w14:paraId="595F96A0">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（4）在制造商</w:t>
      </w:r>
      <w:r>
        <w:rPr>
          <w:rFonts w:hint="eastAsia" w:ascii="宋体" w:hAnsi="宋体" w:eastAsia="宋体" w:cs="宋体"/>
          <w:color w:val="auto"/>
          <w:sz w:val="24"/>
          <w:szCs w:val="24"/>
          <w:highlight w:val="none"/>
          <w:lang w:eastAsia="zh-CN"/>
        </w:rPr>
        <w:t>所在地</w:t>
      </w:r>
      <w:r>
        <w:rPr>
          <w:rFonts w:hint="eastAsia" w:ascii="宋体" w:hAnsi="宋体" w:eastAsia="宋体" w:cs="宋体"/>
          <w:color w:val="auto"/>
          <w:sz w:val="24"/>
          <w:szCs w:val="24"/>
          <w:highlight w:val="none"/>
        </w:rPr>
        <w:t>或</w:t>
      </w:r>
      <w:r>
        <w:rPr>
          <w:rFonts w:hint="eastAsia" w:ascii="宋体" w:hAnsi="宋体" w:eastAsia="宋体" w:cs="宋体"/>
          <w:color w:val="auto"/>
          <w:sz w:val="24"/>
          <w:szCs w:val="24"/>
          <w:highlight w:val="none"/>
          <w:lang w:eastAsia="zh-CN"/>
        </w:rPr>
        <w:t>指定</w:t>
      </w:r>
      <w:r>
        <w:rPr>
          <w:rFonts w:hint="eastAsia" w:ascii="宋体" w:hAnsi="宋体" w:eastAsia="宋体" w:cs="宋体"/>
          <w:color w:val="auto"/>
          <w:sz w:val="24"/>
          <w:szCs w:val="24"/>
          <w:highlight w:val="none"/>
        </w:rPr>
        <w:t>现场就货物的安装、启动、运营、维护</w:t>
      </w:r>
      <w:r>
        <w:rPr>
          <w:rFonts w:hint="eastAsia" w:ascii="宋体" w:hAnsi="宋体" w:eastAsia="宋体" w:cs="宋体"/>
          <w:color w:val="auto"/>
          <w:sz w:val="24"/>
          <w:szCs w:val="24"/>
          <w:highlight w:val="none"/>
          <w:lang w:eastAsia="zh-CN"/>
        </w:rPr>
        <w:t>、废弃处置等</w:t>
      </w:r>
      <w:r>
        <w:rPr>
          <w:rFonts w:hint="eastAsia" w:ascii="宋体" w:hAnsi="宋体" w:eastAsia="宋体" w:cs="宋体"/>
          <w:color w:val="auto"/>
          <w:sz w:val="24"/>
          <w:szCs w:val="24"/>
          <w:highlight w:val="none"/>
        </w:rPr>
        <w:t>对甲方操作人员进行培训</w:t>
      </w:r>
      <w:r>
        <w:rPr>
          <w:rFonts w:hint="eastAsia" w:ascii="宋体" w:hAnsi="宋体" w:eastAsia="宋体" w:cs="宋体"/>
          <w:color w:val="auto"/>
          <w:sz w:val="24"/>
          <w:szCs w:val="24"/>
          <w:highlight w:val="none"/>
          <w:lang w:eastAsia="zh-CN"/>
        </w:rPr>
        <w:t>；</w:t>
      </w:r>
    </w:p>
    <w:p w14:paraId="462AAA15">
      <w:pPr>
        <w:pStyle w:val="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（5）依照法律、行政法规的规定或者按照</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约定，货物在有效使用年限届满后应予回收的，乙方负有自行或者委托第三人对货物予以回收的义务；</w:t>
      </w:r>
    </w:p>
    <w:p w14:paraId="1AB3D41E">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规定由乙方提供的其他服务。</w:t>
      </w:r>
    </w:p>
    <w:p w14:paraId="1E08088C">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 乙方提供的</w:t>
      </w:r>
      <w:r>
        <w:rPr>
          <w:rFonts w:hint="eastAsia" w:ascii="宋体" w:hAnsi="宋体" w:eastAsia="宋体" w:cs="宋体"/>
          <w:color w:val="auto"/>
          <w:sz w:val="24"/>
          <w:szCs w:val="24"/>
          <w:highlight w:val="none"/>
          <w:lang w:eastAsia="zh-CN"/>
        </w:rPr>
        <w:t>售后</w:t>
      </w:r>
      <w:r>
        <w:rPr>
          <w:rFonts w:hint="eastAsia" w:ascii="宋体" w:hAnsi="宋体" w:eastAsia="宋体" w:cs="宋体"/>
          <w:color w:val="auto"/>
          <w:sz w:val="24"/>
          <w:szCs w:val="24"/>
          <w:highlight w:val="none"/>
        </w:rPr>
        <w:t>服务的费用</w:t>
      </w:r>
      <w:r>
        <w:rPr>
          <w:rFonts w:hint="eastAsia" w:ascii="宋体" w:hAnsi="宋体" w:eastAsia="宋体" w:cs="宋体"/>
          <w:color w:val="auto"/>
          <w:sz w:val="24"/>
          <w:szCs w:val="24"/>
          <w:highlight w:val="none"/>
          <w:lang w:val="en-US" w:eastAsia="zh-CN"/>
        </w:rPr>
        <w:t>已</w:t>
      </w:r>
      <w:r>
        <w:rPr>
          <w:rFonts w:hint="eastAsia" w:ascii="宋体" w:hAnsi="宋体" w:eastAsia="宋体" w:cs="宋体"/>
          <w:color w:val="auto"/>
          <w:sz w:val="24"/>
          <w:szCs w:val="24"/>
          <w:highlight w:val="none"/>
        </w:rPr>
        <w:t>包含在合同价款中，甲方不再另行支付。</w:t>
      </w:r>
    </w:p>
    <w:p w14:paraId="142558CA">
      <w:pPr>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5</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违约责任</w:t>
      </w:r>
    </w:p>
    <w:p w14:paraId="59B9B9D1">
      <w:pPr>
        <w:adjustRightInd w:val="0"/>
        <w:snapToGrid w:val="0"/>
        <w:spacing w:before="0" w:line="400" w:lineRule="exact"/>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.1质量瑕疵的</w:t>
      </w:r>
      <w:r>
        <w:rPr>
          <w:rFonts w:hint="eastAsia" w:ascii="宋体" w:hAnsi="宋体" w:eastAsia="宋体" w:cs="宋体"/>
          <w:bCs/>
          <w:color w:val="auto"/>
          <w:sz w:val="24"/>
          <w:szCs w:val="24"/>
          <w:highlight w:val="none"/>
          <w:lang w:eastAsia="zh-CN"/>
        </w:rPr>
        <w:t>违约责任</w:t>
      </w:r>
    </w:p>
    <w:p w14:paraId="4C0F2278">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的产品不符合</w:t>
      </w:r>
      <w:r>
        <w:rPr>
          <w:rFonts w:hint="eastAsia" w:ascii="宋体" w:hAnsi="宋体" w:eastAsia="宋体" w:cs="宋体"/>
          <w:color w:val="auto"/>
          <w:sz w:val="24"/>
          <w:szCs w:val="24"/>
          <w:highlight w:val="none"/>
          <w:lang w:eastAsia="zh-CN"/>
        </w:rPr>
        <w:t>合同约定的</w:t>
      </w:r>
      <w:r>
        <w:rPr>
          <w:rFonts w:hint="eastAsia" w:ascii="宋体" w:hAnsi="宋体" w:eastAsia="宋体" w:cs="宋体"/>
          <w:color w:val="auto"/>
          <w:sz w:val="24"/>
          <w:szCs w:val="24"/>
          <w:highlight w:val="none"/>
        </w:rPr>
        <w:t>质量标准或存在产品质量缺陷，</w:t>
      </w:r>
      <w:r>
        <w:rPr>
          <w:rFonts w:hint="eastAsia" w:ascii="宋体" w:hAnsi="宋体" w:eastAsia="宋体" w:cs="宋体"/>
          <w:color w:val="auto"/>
          <w:sz w:val="24"/>
          <w:szCs w:val="24"/>
          <w:highlight w:val="none"/>
          <w:lang w:eastAsia="zh-CN"/>
        </w:rPr>
        <w:t>甲方有权要求乙方根据</w:t>
      </w:r>
      <w:r>
        <w:rPr>
          <w:rFonts w:hint="eastAsia" w:ascii="宋体" w:hAnsi="宋体" w:eastAsia="宋体" w:cs="宋体"/>
          <w:b/>
          <w:color w:val="auto"/>
          <w:sz w:val="24"/>
          <w:szCs w:val="24"/>
          <w:highlight w:val="none"/>
        </w:rPr>
        <w:t>【政府采购合同专用条款】</w:t>
      </w:r>
      <w:r>
        <w:rPr>
          <w:rFonts w:hint="eastAsia" w:ascii="宋体" w:hAnsi="宋体" w:eastAsia="宋体" w:cs="宋体"/>
          <w:b w:val="0"/>
          <w:bCs/>
          <w:color w:val="auto"/>
          <w:sz w:val="24"/>
          <w:szCs w:val="24"/>
          <w:highlight w:val="none"/>
          <w:lang w:eastAsia="zh-CN"/>
        </w:rPr>
        <w:t>要求</w:t>
      </w:r>
      <w:r>
        <w:rPr>
          <w:rFonts w:hint="eastAsia" w:ascii="宋体" w:hAnsi="宋体" w:eastAsia="宋体" w:cs="宋体"/>
          <w:color w:val="auto"/>
          <w:sz w:val="24"/>
          <w:szCs w:val="24"/>
          <w:highlight w:val="none"/>
          <w:lang w:eastAsia="zh-CN"/>
        </w:rPr>
        <w:t>及时修理、重作、更换，并承担由此给甲</w:t>
      </w:r>
      <w:r>
        <w:rPr>
          <w:rFonts w:hint="eastAsia" w:ascii="宋体" w:hAnsi="宋体" w:eastAsia="宋体" w:cs="宋体"/>
          <w:color w:val="auto"/>
          <w:sz w:val="24"/>
          <w:szCs w:val="24"/>
          <w:highlight w:val="none"/>
        </w:rPr>
        <w:t>方</w:t>
      </w:r>
      <w:r>
        <w:rPr>
          <w:rFonts w:hint="eastAsia" w:ascii="宋体" w:hAnsi="宋体" w:eastAsia="宋体" w:cs="宋体"/>
          <w:color w:val="auto"/>
          <w:sz w:val="24"/>
          <w:szCs w:val="24"/>
          <w:highlight w:val="none"/>
          <w:lang w:eastAsia="zh-CN"/>
        </w:rPr>
        <w:t>造成的损失</w:t>
      </w:r>
      <w:r>
        <w:rPr>
          <w:rFonts w:hint="eastAsia" w:ascii="宋体" w:hAnsi="宋体" w:eastAsia="宋体" w:cs="宋体"/>
          <w:color w:val="auto"/>
          <w:sz w:val="24"/>
          <w:szCs w:val="24"/>
          <w:highlight w:val="none"/>
        </w:rPr>
        <w:t>。</w:t>
      </w:r>
    </w:p>
    <w:p w14:paraId="0DD02A60">
      <w:pPr>
        <w:autoSpaceDE w:val="0"/>
        <w:autoSpaceDN w:val="0"/>
        <w:adjustRightInd w:val="0"/>
        <w:snapToGrid w:val="0"/>
        <w:spacing w:before="0" w:line="400" w:lineRule="exact"/>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.2 迟延交货的违约责任</w:t>
      </w:r>
    </w:p>
    <w:p w14:paraId="345DF374">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（1）乙方应按照本合同规定的时间、地点交货和提供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服务。在履行合同过程中，如果乙方遇到可能</w:t>
      </w:r>
      <w:r>
        <w:rPr>
          <w:rFonts w:hint="eastAsia" w:ascii="宋体" w:hAnsi="宋体" w:eastAsia="宋体" w:cs="宋体"/>
          <w:color w:val="auto"/>
          <w:sz w:val="24"/>
          <w:szCs w:val="24"/>
          <w:highlight w:val="none"/>
          <w:lang w:eastAsia="zh-CN"/>
        </w:rPr>
        <w:t>影响</w:t>
      </w:r>
      <w:r>
        <w:rPr>
          <w:rFonts w:hint="eastAsia" w:ascii="宋体" w:hAnsi="宋体" w:eastAsia="宋体" w:cs="宋体"/>
          <w:color w:val="auto"/>
          <w:sz w:val="24"/>
          <w:szCs w:val="24"/>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eastAsia="宋体" w:cs="宋体"/>
          <w:color w:val="auto"/>
          <w:sz w:val="24"/>
          <w:szCs w:val="24"/>
          <w:highlight w:val="none"/>
          <w:lang w:eastAsia="zh-CN"/>
        </w:rPr>
        <w:t>长</w:t>
      </w:r>
      <w:r>
        <w:rPr>
          <w:rFonts w:hint="eastAsia" w:ascii="宋体" w:hAnsi="宋体" w:eastAsia="宋体" w:cs="宋体"/>
          <w:color w:val="auto"/>
          <w:sz w:val="24"/>
          <w:szCs w:val="24"/>
          <w:highlight w:val="none"/>
        </w:rPr>
        <w:t>交货时间或延期提供服务。</w:t>
      </w:r>
    </w:p>
    <w:p w14:paraId="09D8F522">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（2）如果乙方没有按照合同规定的时间交货和提供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服务，甲方有权从货款中扣除误期赔偿费而不影响合同项下的其他补救方法，赔偿费按</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规定执行。如果涉及公共利益，且赔偿金额无法弥补公共利益损失，</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可要求继续履行或者</w:t>
      </w:r>
      <w:r>
        <w:rPr>
          <w:rFonts w:hint="eastAsia" w:ascii="宋体" w:hAnsi="宋体" w:eastAsia="宋体" w:cs="宋体"/>
          <w:color w:val="auto"/>
          <w:sz w:val="24"/>
          <w:szCs w:val="24"/>
          <w:highlight w:val="none"/>
          <w:lang w:eastAsia="zh-CN"/>
        </w:rPr>
        <w:t>采取其他补救措施</w:t>
      </w:r>
      <w:r>
        <w:rPr>
          <w:rFonts w:hint="eastAsia" w:ascii="宋体" w:hAnsi="宋体" w:eastAsia="宋体" w:cs="宋体"/>
          <w:color w:val="auto"/>
          <w:sz w:val="24"/>
          <w:szCs w:val="24"/>
          <w:highlight w:val="none"/>
        </w:rPr>
        <w:t>。</w:t>
      </w:r>
    </w:p>
    <w:p w14:paraId="57C458D0">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.3 迟延支付的违约责任</w:t>
      </w:r>
    </w:p>
    <w:p w14:paraId="78048475">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甲方存在迟延支付乙方合同款项的，应当承担</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规定的逾期付款利息。</w:t>
      </w:r>
    </w:p>
    <w:p w14:paraId="3745CFBA">
      <w:pPr>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.4其他违约责任根据项目实际需要按</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规定执行。</w:t>
      </w:r>
    </w:p>
    <w:p w14:paraId="1E3817FB">
      <w:pPr>
        <w:numPr>
          <w:ilvl w:val="0"/>
          <w:numId w:val="6"/>
        </w:numPr>
        <w:autoSpaceDE w:val="0"/>
        <w:autoSpaceDN w:val="0"/>
        <w:adjustRightInd w:val="0"/>
        <w:snapToGrid w:val="0"/>
        <w:spacing w:before="0" w:line="400" w:lineRule="exact"/>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合同变更</w:t>
      </w:r>
      <w:r>
        <w:rPr>
          <w:rFonts w:hint="eastAsia" w:ascii="宋体" w:hAnsi="宋体" w:eastAsia="宋体" w:cs="宋体"/>
          <w:b/>
          <w:color w:val="auto"/>
          <w:sz w:val="24"/>
          <w:szCs w:val="24"/>
          <w:highlight w:val="none"/>
          <w:lang w:eastAsia="zh-CN"/>
        </w:rPr>
        <w:t>、中止与终止</w:t>
      </w:r>
    </w:p>
    <w:p w14:paraId="07D03663">
      <w:pPr>
        <w:autoSpaceDE/>
        <w:autoSpaceDN/>
        <w:adjustRightInd w:val="0"/>
        <w:snapToGrid w:val="0"/>
        <w:spacing w:before="0" w:line="400" w:lineRule="exact"/>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.1合同的</w:t>
      </w:r>
      <w:r>
        <w:rPr>
          <w:rFonts w:hint="eastAsia" w:ascii="宋体" w:hAnsi="宋体" w:eastAsia="宋体" w:cs="宋体"/>
          <w:color w:val="auto"/>
          <w:sz w:val="24"/>
          <w:szCs w:val="24"/>
          <w:highlight w:val="none"/>
          <w:lang w:eastAsia="zh-CN"/>
        </w:rPr>
        <w:t>变更</w:t>
      </w:r>
    </w:p>
    <w:p w14:paraId="5DE932F4">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政府采购合同履行中，</w:t>
      </w:r>
      <w:r>
        <w:rPr>
          <w:rFonts w:hint="eastAsia" w:ascii="宋体" w:hAnsi="宋体" w:eastAsia="宋体" w:cs="宋体"/>
          <w:color w:val="auto"/>
          <w:sz w:val="24"/>
          <w:szCs w:val="24"/>
          <w:highlight w:val="none"/>
        </w:rPr>
        <w:t>在不改变合同其他条款的前提下，甲方可以在合同价款10%的范围内追加与合同标的相同的货物，并就此与乙方协商</w:t>
      </w:r>
      <w:r>
        <w:rPr>
          <w:rFonts w:hint="eastAsia" w:ascii="宋体" w:hAnsi="宋体" w:eastAsia="宋体" w:cs="宋体"/>
          <w:color w:val="auto"/>
          <w:sz w:val="24"/>
          <w:szCs w:val="24"/>
          <w:highlight w:val="none"/>
          <w:lang w:eastAsia="zh-CN"/>
        </w:rPr>
        <w:t>一致后</w:t>
      </w:r>
      <w:r>
        <w:rPr>
          <w:rFonts w:hint="eastAsia" w:ascii="宋体" w:hAnsi="宋体" w:eastAsia="宋体" w:cs="宋体"/>
          <w:color w:val="auto"/>
          <w:sz w:val="24"/>
          <w:szCs w:val="24"/>
          <w:highlight w:val="none"/>
        </w:rPr>
        <w:t>签订补充协议。</w:t>
      </w:r>
    </w:p>
    <w:p w14:paraId="24E40FD2">
      <w:pPr>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合同的中止</w:t>
      </w:r>
    </w:p>
    <w:p w14:paraId="44465B22">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（1）合同履行过程中因供应商就采购文件、采购过程或结果提起投诉的，甲方认为有必要的，</w:t>
      </w:r>
      <w:r>
        <w:rPr>
          <w:rFonts w:hint="eastAsia" w:ascii="宋体" w:hAnsi="宋体" w:eastAsia="宋体" w:cs="宋体"/>
          <w:color w:val="auto"/>
          <w:sz w:val="24"/>
          <w:szCs w:val="24"/>
          <w:highlight w:val="none"/>
          <w:lang w:eastAsia="zh-CN"/>
        </w:rPr>
        <w:t>可以</w:t>
      </w:r>
      <w:r>
        <w:rPr>
          <w:rFonts w:hint="eastAsia" w:ascii="宋体" w:hAnsi="宋体" w:eastAsia="宋体" w:cs="宋体"/>
          <w:color w:val="auto"/>
          <w:sz w:val="24"/>
          <w:szCs w:val="24"/>
          <w:highlight w:val="none"/>
        </w:rPr>
        <w:t>中止合同的履行。</w:t>
      </w:r>
    </w:p>
    <w:p w14:paraId="67D6608F">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合同履行过程中，</w:t>
      </w:r>
      <w:r>
        <w:rPr>
          <w:rFonts w:hint="eastAsia" w:ascii="宋体" w:hAnsi="宋体" w:eastAsia="宋体" w:cs="宋体"/>
          <w:color w:val="auto"/>
          <w:sz w:val="24"/>
          <w:szCs w:val="24"/>
          <w:highlight w:val="none"/>
        </w:rPr>
        <w:t>如果乙方出现以下情形之一的：1．经营状况严重恶化；2．转移财产、抽逃资金，以逃避债务；3．丧失商业信誉；4．有丧失或者可能丧失履约能力的其他情形</w:t>
      </w:r>
      <w:r>
        <w:rPr>
          <w:rFonts w:hint="eastAsia" w:ascii="宋体" w:hAnsi="宋体" w:eastAsia="宋体" w:cs="宋体"/>
          <w:color w:val="auto"/>
          <w:sz w:val="24"/>
          <w:szCs w:val="24"/>
          <w:highlight w:val="none"/>
          <w:lang w:eastAsia="zh-CN"/>
        </w:rPr>
        <w:t>，乙方有义务及时告知甲方</w:t>
      </w: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以书面形式通知乙方中止合同</w:t>
      </w:r>
      <w:r>
        <w:rPr>
          <w:rFonts w:hint="eastAsia" w:ascii="宋体" w:hAnsi="宋体" w:eastAsia="宋体" w:cs="宋体"/>
          <w:color w:val="auto"/>
          <w:sz w:val="24"/>
          <w:szCs w:val="24"/>
          <w:highlight w:val="none"/>
          <w:lang w:eastAsia="zh-CN"/>
        </w:rPr>
        <w:t>并要求乙方在合理期限内消除相关情形或者提供适当担保。</w:t>
      </w:r>
      <w:r>
        <w:rPr>
          <w:rFonts w:hint="eastAsia" w:ascii="宋体" w:hAnsi="宋体" w:eastAsia="宋体" w:cs="宋体"/>
          <w:color w:val="auto"/>
          <w:sz w:val="24"/>
          <w:szCs w:val="24"/>
          <w:highlight w:val="none"/>
        </w:rPr>
        <w:t>乙方提供适当担保的，</w:t>
      </w:r>
      <w:r>
        <w:rPr>
          <w:rFonts w:hint="eastAsia" w:ascii="宋体" w:hAnsi="宋体" w:eastAsia="宋体" w:cs="宋体"/>
          <w:color w:val="auto"/>
          <w:sz w:val="24"/>
          <w:szCs w:val="24"/>
          <w:highlight w:val="none"/>
          <w:lang w:eastAsia="zh-CN"/>
        </w:rPr>
        <w:t>合同继续</w:t>
      </w:r>
      <w:r>
        <w:rPr>
          <w:rFonts w:hint="eastAsia" w:ascii="宋体" w:hAnsi="宋体" w:eastAsia="宋体" w:cs="宋体"/>
          <w:color w:val="auto"/>
          <w:sz w:val="24"/>
          <w:szCs w:val="24"/>
          <w:highlight w:val="none"/>
        </w:rPr>
        <w:t>履行</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rPr>
        <w:t>方在合理期限内未恢复履约能力且未提供适当担保的，视为拒绝</w:t>
      </w:r>
      <w:r>
        <w:rPr>
          <w:rFonts w:hint="eastAsia" w:ascii="宋体" w:hAnsi="宋体" w:eastAsia="宋体" w:cs="宋体"/>
          <w:color w:val="auto"/>
          <w:sz w:val="24"/>
          <w:szCs w:val="24"/>
          <w:highlight w:val="none"/>
          <w:lang w:eastAsia="zh-CN"/>
        </w:rPr>
        <w:t>继续</w:t>
      </w:r>
      <w:r>
        <w:rPr>
          <w:rFonts w:hint="eastAsia" w:ascii="宋体" w:hAnsi="宋体" w:eastAsia="宋体" w:cs="宋体"/>
          <w:color w:val="auto"/>
          <w:sz w:val="24"/>
          <w:szCs w:val="24"/>
          <w:highlight w:val="none"/>
        </w:rPr>
        <w:t>履约，甲方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解除合同并要求乙方承担</w:t>
      </w:r>
      <w:r>
        <w:rPr>
          <w:rFonts w:hint="eastAsia" w:ascii="宋体" w:hAnsi="宋体" w:eastAsia="宋体" w:cs="宋体"/>
          <w:color w:val="auto"/>
          <w:sz w:val="24"/>
          <w:szCs w:val="24"/>
          <w:highlight w:val="none"/>
          <w:lang w:eastAsia="zh-CN"/>
        </w:rPr>
        <w:t>由此给甲方造成的损失</w:t>
      </w:r>
      <w:r>
        <w:rPr>
          <w:rFonts w:hint="eastAsia" w:ascii="宋体" w:hAnsi="宋体" w:eastAsia="宋体" w:cs="宋体"/>
          <w:color w:val="auto"/>
          <w:sz w:val="24"/>
          <w:szCs w:val="24"/>
          <w:highlight w:val="none"/>
        </w:rPr>
        <w:t>。</w:t>
      </w:r>
    </w:p>
    <w:p w14:paraId="3887ABDE">
      <w:pPr>
        <w:pStyle w:val="6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（3）乙方分立、合并或者变更住所的，应当及时以书面形式告知甲方。乙方没有</w:t>
      </w:r>
      <w:r>
        <w:rPr>
          <w:rFonts w:hint="eastAsia" w:ascii="宋体" w:hAnsi="宋体" w:eastAsia="宋体" w:cs="宋体"/>
          <w:color w:val="auto"/>
          <w:sz w:val="24"/>
          <w:szCs w:val="24"/>
          <w:highlight w:val="none"/>
          <w:lang w:eastAsia="zh-CN"/>
        </w:rPr>
        <w:t>及时告知</w:t>
      </w:r>
      <w:r>
        <w:rPr>
          <w:rFonts w:hint="eastAsia" w:ascii="宋体" w:hAnsi="宋体" w:eastAsia="宋体" w:cs="宋体"/>
          <w:color w:val="auto"/>
          <w:sz w:val="24"/>
          <w:szCs w:val="24"/>
          <w:highlight w:val="none"/>
        </w:rPr>
        <w:t>甲方，致使</w:t>
      </w:r>
      <w:r>
        <w:rPr>
          <w:rFonts w:hint="eastAsia" w:ascii="宋体" w:hAnsi="宋体" w:eastAsia="宋体" w:cs="宋体"/>
          <w:color w:val="auto"/>
          <w:sz w:val="24"/>
          <w:szCs w:val="24"/>
          <w:highlight w:val="none"/>
          <w:lang w:eastAsia="zh-CN"/>
        </w:rPr>
        <w:t>合同</w:t>
      </w:r>
      <w:r>
        <w:rPr>
          <w:rFonts w:hint="eastAsia" w:ascii="宋体" w:hAnsi="宋体" w:eastAsia="宋体" w:cs="宋体"/>
          <w:color w:val="auto"/>
          <w:sz w:val="24"/>
          <w:szCs w:val="24"/>
          <w:highlight w:val="none"/>
        </w:rPr>
        <w:t>履行发生困难的，甲方可以中止合同履行并要求乙方承担由此给甲方造成的损失。</w:t>
      </w:r>
    </w:p>
    <w:p w14:paraId="4869FE22">
      <w:pPr>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）甲方不得以行政区划调整、政府换届、机构或者职能调整以及相关责任人更替为由中止合同。</w:t>
      </w:r>
    </w:p>
    <w:p w14:paraId="62CA0D4E">
      <w:pPr>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合同的终止</w:t>
      </w:r>
    </w:p>
    <w:p w14:paraId="16E48E23">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（1）合同因有效期限届满而终止；</w:t>
      </w:r>
    </w:p>
    <w:p w14:paraId="102CC09F">
      <w:pPr>
        <w:snapToGrid w:val="0"/>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（2）乙方未</w:t>
      </w:r>
      <w:r>
        <w:rPr>
          <w:rFonts w:hint="eastAsia" w:ascii="宋体" w:hAnsi="宋体" w:eastAsia="宋体" w:cs="宋体"/>
          <w:color w:val="auto"/>
          <w:sz w:val="24"/>
          <w:szCs w:val="24"/>
          <w:highlight w:val="none"/>
          <w:lang w:eastAsia="zh-CN"/>
        </w:rPr>
        <w:t>按</w:t>
      </w:r>
      <w:r>
        <w:rPr>
          <w:rFonts w:hint="eastAsia" w:ascii="宋体" w:hAnsi="宋体" w:eastAsia="宋体" w:cs="宋体"/>
          <w:color w:val="auto"/>
          <w:sz w:val="24"/>
          <w:szCs w:val="24"/>
          <w:highlight w:val="none"/>
        </w:rPr>
        <w:t>合同约定履行，构成根本性违约的，甲方有权终止合同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并追究乙方的违约责</w:t>
      </w:r>
      <w:r>
        <w:rPr>
          <w:rFonts w:hint="eastAsia" w:ascii="宋体" w:hAnsi="宋体" w:eastAsia="宋体" w:cs="宋体"/>
          <w:color w:val="auto"/>
          <w:sz w:val="24"/>
          <w:szCs w:val="24"/>
          <w:highlight w:val="none"/>
          <w:lang w:val="en-US" w:eastAsia="zh-CN"/>
        </w:rPr>
        <w:t>任</w:t>
      </w:r>
      <w:r>
        <w:rPr>
          <w:rFonts w:hint="eastAsia" w:ascii="宋体" w:hAnsi="宋体" w:eastAsia="宋体" w:cs="宋体"/>
          <w:color w:val="auto"/>
          <w:sz w:val="24"/>
          <w:szCs w:val="24"/>
          <w:highlight w:val="none"/>
        </w:rPr>
        <w:t>。</w:t>
      </w:r>
    </w:p>
    <w:p w14:paraId="3238E8F3">
      <w:pPr>
        <w:pStyle w:val="6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16.4 </w:t>
      </w:r>
      <w:r>
        <w:rPr>
          <w:rFonts w:hint="eastAsia" w:ascii="宋体" w:hAnsi="宋体" w:eastAsia="宋体" w:cs="宋体"/>
          <w:color w:val="auto"/>
          <w:kern w:val="2"/>
          <w:sz w:val="24"/>
          <w:szCs w:val="24"/>
          <w:highlight w:val="none"/>
          <w:lang w:val="en-US" w:eastAsia="zh-CN"/>
        </w:rPr>
        <w:t>涉及国家利益、社会公共利益的情形</w:t>
      </w:r>
    </w:p>
    <w:p w14:paraId="76528802">
      <w:pPr>
        <w:pStyle w:val="6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政府采购合同继续履行将损害国家利益和社会公共利益的，双方当事人</w:t>
      </w:r>
      <w:r>
        <w:rPr>
          <w:rFonts w:hint="eastAsia" w:ascii="宋体" w:hAnsi="宋体" w:eastAsia="宋体" w:cs="宋体"/>
          <w:color w:val="auto"/>
          <w:sz w:val="24"/>
          <w:szCs w:val="24"/>
          <w:highlight w:val="none"/>
          <w:lang w:val="en-US" w:eastAsia="zh-CN"/>
        </w:rPr>
        <w:t>应当变更、</w:t>
      </w:r>
      <w:r>
        <w:rPr>
          <w:rFonts w:hint="eastAsia" w:ascii="宋体" w:hAnsi="宋体" w:eastAsia="宋体" w:cs="宋体"/>
          <w:color w:val="auto"/>
          <w:sz w:val="24"/>
          <w:szCs w:val="24"/>
          <w:highlight w:val="none"/>
        </w:rPr>
        <w:t>中止</w:t>
      </w:r>
      <w:r>
        <w:rPr>
          <w:rFonts w:hint="eastAsia" w:ascii="宋体" w:hAnsi="宋体" w:eastAsia="宋体" w:cs="宋体"/>
          <w:color w:val="auto"/>
          <w:sz w:val="24"/>
          <w:szCs w:val="24"/>
          <w:highlight w:val="none"/>
          <w:lang w:eastAsia="zh-CN"/>
        </w:rPr>
        <w:t>或者终止</w:t>
      </w:r>
      <w:r>
        <w:rPr>
          <w:rFonts w:hint="eastAsia" w:ascii="宋体" w:hAnsi="宋体" w:eastAsia="宋体" w:cs="宋体"/>
          <w:color w:val="auto"/>
          <w:sz w:val="24"/>
          <w:szCs w:val="24"/>
          <w:highlight w:val="none"/>
        </w:rPr>
        <w:t>合同。有过错的一方应当承担赔偿责任，双方都有过错的，各自承担相应的责任。</w:t>
      </w:r>
    </w:p>
    <w:p w14:paraId="52C222DE">
      <w:pPr>
        <w:autoSpaceDE w:val="0"/>
        <w:autoSpaceDN w:val="0"/>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合同分包</w:t>
      </w:r>
    </w:p>
    <w:p w14:paraId="3CA3898B">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 乙方不得</w:t>
      </w:r>
      <w:r>
        <w:rPr>
          <w:rFonts w:hint="eastAsia" w:ascii="宋体" w:hAnsi="宋体" w:eastAsia="宋体" w:cs="宋体"/>
          <w:color w:val="auto"/>
          <w:sz w:val="24"/>
          <w:szCs w:val="24"/>
          <w:highlight w:val="none"/>
          <w:lang w:eastAsia="zh-CN"/>
        </w:rPr>
        <w:t>将合同转包给其他供应商。涉及合同分包的，乙方</w:t>
      </w:r>
      <w:r>
        <w:rPr>
          <w:rFonts w:hint="eastAsia" w:ascii="宋体" w:hAnsi="宋体" w:eastAsia="宋体" w:cs="宋体"/>
          <w:color w:val="auto"/>
          <w:sz w:val="24"/>
          <w:szCs w:val="24"/>
          <w:highlight w:val="none"/>
          <w:lang w:val="en-US" w:eastAsia="zh-CN"/>
        </w:rPr>
        <w:t>应</w:t>
      </w:r>
      <w:r>
        <w:rPr>
          <w:rFonts w:hint="eastAsia" w:ascii="宋体" w:hAnsi="宋体" w:eastAsia="宋体" w:cs="宋体"/>
          <w:color w:val="auto"/>
          <w:sz w:val="24"/>
          <w:szCs w:val="24"/>
          <w:highlight w:val="none"/>
          <w:lang w:eastAsia="zh-CN"/>
        </w:rPr>
        <w:t>根据采购文件和投标（响应）文件规定进行</w:t>
      </w:r>
      <w:r>
        <w:rPr>
          <w:rFonts w:hint="eastAsia" w:ascii="宋体" w:hAnsi="宋体" w:eastAsia="宋体" w:cs="宋体"/>
          <w:color w:val="auto"/>
          <w:sz w:val="24"/>
          <w:szCs w:val="24"/>
          <w:highlight w:val="none"/>
        </w:rPr>
        <w:t>合同分包。</w:t>
      </w:r>
    </w:p>
    <w:p w14:paraId="64F5C20F">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.2 乙方执行政府采购政策向中小企业依法分包的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乙方应当按采购文件</w:t>
      </w:r>
      <w:r>
        <w:rPr>
          <w:rFonts w:hint="eastAsia" w:ascii="宋体" w:hAnsi="宋体" w:eastAsia="宋体" w:cs="宋体"/>
          <w:color w:val="auto"/>
          <w:sz w:val="24"/>
          <w:szCs w:val="24"/>
          <w:highlight w:val="none"/>
          <w:lang w:eastAsia="zh-CN"/>
        </w:rPr>
        <w:t>和</w:t>
      </w:r>
      <w:r>
        <w:rPr>
          <w:rFonts w:hint="eastAsia" w:ascii="宋体" w:hAnsi="宋体" w:eastAsia="宋体" w:cs="宋体"/>
          <w:color w:val="auto"/>
          <w:sz w:val="24"/>
          <w:szCs w:val="24"/>
          <w:highlight w:val="none"/>
        </w:rPr>
        <w:t>投标（响应）文件签订分包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协议属于本合同组成部分。</w:t>
      </w:r>
    </w:p>
    <w:p w14:paraId="5612A386">
      <w:pPr>
        <w:autoSpaceDE w:val="0"/>
        <w:autoSpaceDN w:val="0"/>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lang w:val="en-US" w:eastAsia="zh-CN"/>
        </w:rPr>
        <w:t>8</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不可抗力</w:t>
      </w:r>
    </w:p>
    <w:p w14:paraId="002E3FA1">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 不可抗力是指合同双方不能预见、不能避免且不能克服的客观情况。</w:t>
      </w:r>
    </w:p>
    <w:p w14:paraId="116C86E6">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.2 任何一方对由于不可抗力造成的部分或全部不能履行合同不承担违约责任。但迟延履行后发生不可抗力的，不能免除责任。</w:t>
      </w:r>
    </w:p>
    <w:p w14:paraId="0BB5E95D">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.3 遇有不可抗力的一方，应及时将事件情况以书面形式</w:t>
      </w:r>
      <w:r>
        <w:rPr>
          <w:rFonts w:hint="eastAsia" w:ascii="宋体" w:hAnsi="宋体" w:eastAsia="宋体" w:cs="宋体"/>
          <w:color w:val="auto"/>
          <w:sz w:val="24"/>
          <w:szCs w:val="24"/>
          <w:highlight w:val="none"/>
          <w:lang w:eastAsia="zh-CN"/>
        </w:rPr>
        <w:t>告</w:t>
      </w:r>
      <w:r>
        <w:rPr>
          <w:rFonts w:hint="eastAsia" w:ascii="宋体" w:hAnsi="宋体" w:eastAsia="宋体" w:cs="宋体"/>
          <w:color w:val="auto"/>
          <w:sz w:val="24"/>
          <w:szCs w:val="24"/>
          <w:highlight w:val="none"/>
        </w:rPr>
        <w:t>知另一方，并在事件发生后及时向另一方提交合同不能履行或部分不能履行或需要延期履行</w:t>
      </w:r>
      <w:r>
        <w:rPr>
          <w:rFonts w:hint="eastAsia" w:ascii="宋体" w:hAnsi="宋体" w:eastAsia="宋体" w:cs="宋体"/>
          <w:color w:val="auto"/>
          <w:sz w:val="24"/>
          <w:szCs w:val="24"/>
          <w:highlight w:val="none"/>
          <w:lang w:eastAsia="zh-CN"/>
        </w:rPr>
        <w:t>的详细</w:t>
      </w:r>
      <w:r>
        <w:rPr>
          <w:rFonts w:hint="eastAsia" w:ascii="宋体" w:hAnsi="宋体" w:eastAsia="宋体" w:cs="宋体"/>
          <w:color w:val="auto"/>
          <w:sz w:val="24"/>
          <w:szCs w:val="24"/>
          <w:highlight w:val="none"/>
        </w:rPr>
        <w:t>报告</w:t>
      </w:r>
      <w:r>
        <w:rPr>
          <w:rFonts w:hint="eastAsia" w:ascii="宋体" w:hAnsi="宋体" w:eastAsia="宋体" w:cs="宋体"/>
          <w:color w:val="auto"/>
          <w:sz w:val="24"/>
          <w:szCs w:val="24"/>
          <w:highlight w:val="none"/>
          <w:lang w:eastAsia="zh-CN"/>
        </w:rPr>
        <w:t>，以</w:t>
      </w:r>
      <w:r>
        <w:rPr>
          <w:rFonts w:hint="eastAsia" w:ascii="宋体" w:hAnsi="宋体" w:eastAsia="宋体" w:cs="宋体"/>
          <w:color w:val="auto"/>
          <w:sz w:val="24"/>
          <w:szCs w:val="24"/>
          <w:highlight w:val="none"/>
          <w:lang w:val="en-US" w:eastAsia="zh-CN"/>
        </w:rPr>
        <w:t>及证明不可抗力发生及其持续时间的证据</w:t>
      </w:r>
      <w:r>
        <w:rPr>
          <w:rFonts w:hint="eastAsia" w:ascii="宋体" w:hAnsi="宋体" w:eastAsia="宋体" w:cs="宋体"/>
          <w:color w:val="auto"/>
          <w:sz w:val="24"/>
          <w:szCs w:val="24"/>
          <w:highlight w:val="none"/>
        </w:rPr>
        <w:t>。</w:t>
      </w:r>
    </w:p>
    <w:p w14:paraId="5989EFE9">
      <w:pPr>
        <w:autoSpaceDE w:val="0"/>
        <w:autoSpaceDN w:val="0"/>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19</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解决争议的方法</w:t>
      </w:r>
    </w:p>
    <w:p w14:paraId="3FB91DBD">
      <w:pPr>
        <w:pStyle w:val="6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.1 因本合同及合同有关事项发生的争议，由</w:t>
      </w:r>
      <w:r>
        <w:rPr>
          <w:rFonts w:hint="eastAsia" w:ascii="宋体" w:hAnsi="宋体" w:eastAsia="宋体" w:cs="宋体"/>
          <w:color w:val="auto"/>
          <w:sz w:val="24"/>
          <w:szCs w:val="24"/>
          <w:highlight w:val="none"/>
          <w:lang w:eastAsia="zh-CN"/>
        </w:rPr>
        <w:t>甲乙双</w:t>
      </w:r>
      <w:r>
        <w:rPr>
          <w:rFonts w:hint="eastAsia" w:ascii="宋体" w:hAnsi="宋体" w:eastAsia="宋体" w:cs="宋体"/>
          <w:color w:val="auto"/>
          <w:sz w:val="24"/>
          <w:szCs w:val="24"/>
          <w:highlight w:val="none"/>
        </w:rPr>
        <w:t>方友好协商解决。协商不成时，可以</w:t>
      </w:r>
      <w:r>
        <w:rPr>
          <w:rFonts w:hint="eastAsia" w:ascii="宋体" w:hAnsi="宋体" w:eastAsia="宋体" w:cs="宋体"/>
          <w:color w:val="auto"/>
          <w:sz w:val="24"/>
          <w:szCs w:val="24"/>
          <w:highlight w:val="none"/>
          <w:lang w:eastAsia="zh-CN"/>
        </w:rPr>
        <w:t>向有关组织申请</w:t>
      </w:r>
      <w:r>
        <w:rPr>
          <w:rFonts w:hint="eastAsia" w:ascii="宋体" w:hAnsi="宋体" w:eastAsia="宋体" w:cs="宋体"/>
          <w:color w:val="auto"/>
          <w:sz w:val="24"/>
          <w:szCs w:val="24"/>
          <w:highlight w:val="none"/>
        </w:rPr>
        <w:t>调解。合同一方或</w:t>
      </w:r>
      <w:r>
        <w:rPr>
          <w:rFonts w:hint="eastAsia" w:ascii="宋体" w:hAnsi="宋体" w:eastAsia="宋体" w:cs="宋体"/>
          <w:color w:val="auto"/>
          <w:sz w:val="24"/>
          <w:szCs w:val="24"/>
          <w:highlight w:val="none"/>
          <w:lang w:eastAsia="zh-CN"/>
        </w:rPr>
        <w:t>双</w:t>
      </w:r>
      <w:r>
        <w:rPr>
          <w:rFonts w:hint="eastAsia" w:ascii="宋体" w:hAnsi="宋体" w:eastAsia="宋体" w:cs="宋体"/>
          <w:color w:val="auto"/>
          <w:sz w:val="24"/>
          <w:szCs w:val="24"/>
          <w:highlight w:val="none"/>
        </w:rPr>
        <w:t>方不愿调解或调解不成的，可以通过仲裁或诉讼的方式解决争议。</w:t>
      </w:r>
    </w:p>
    <w:p w14:paraId="73D5DCC2">
      <w:pPr>
        <w:pStyle w:val="6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.2 选择仲裁的，应在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中明确仲裁机构及仲裁地；通过诉讼方式解决的，可以在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中进一步约定选择与争议有实际联系的地点的人民法院管辖，但管辖法院的约定不得违反级别管辖和专属管辖的规定。</w:t>
      </w:r>
    </w:p>
    <w:p w14:paraId="6D06D79F">
      <w:pPr>
        <w:pStyle w:val="6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.3 如</w:t>
      </w:r>
      <w:r>
        <w:rPr>
          <w:rFonts w:hint="eastAsia" w:ascii="宋体" w:hAnsi="宋体" w:eastAsia="宋体" w:cs="宋体"/>
          <w:color w:val="auto"/>
          <w:sz w:val="24"/>
          <w:szCs w:val="24"/>
          <w:highlight w:val="none"/>
          <w:lang w:eastAsia="zh-CN"/>
        </w:rPr>
        <w:t>甲乙双方</w:t>
      </w:r>
      <w:r>
        <w:rPr>
          <w:rFonts w:hint="eastAsia" w:ascii="宋体" w:hAnsi="宋体" w:eastAsia="宋体" w:cs="宋体"/>
          <w:color w:val="auto"/>
          <w:sz w:val="24"/>
          <w:szCs w:val="24"/>
          <w:highlight w:val="none"/>
        </w:rPr>
        <w:t>有争议的事项不影响合同其他部分的履行，在争议解决期间，合同其他部分应</w:t>
      </w:r>
      <w:r>
        <w:rPr>
          <w:rFonts w:hint="eastAsia" w:ascii="宋体" w:hAnsi="宋体" w:eastAsia="宋体" w:cs="宋体"/>
          <w:color w:val="auto"/>
          <w:sz w:val="24"/>
          <w:szCs w:val="24"/>
          <w:highlight w:val="none"/>
          <w:lang w:eastAsia="zh-CN"/>
        </w:rPr>
        <w:t>当</w:t>
      </w:r>
      <w:r>
        <w:rPr>
          <w:rFonts w:hint="eastAsia" w:ascii="宋体" w:hAnsi="宋体" w:eastAsia="宋体" w:cs="宋体"/>
          <w:color w:val="auto"/>
          <w:sz w:val="24"/>
          <w:szCs w:val="24"/>
          <w:highlight w:val="none"/>
        </w:rPr>
        <w:t>继续履行。</w:t>
      </w:r>
    </w:p>
    <w:p w14:paraId="036F108A">
      <w:pPr>
        <w:autoSpaceDE w:val="0"/>
        <w:autoSpaceDN w:val="0"/>
        <w:adjustRightInd w:val="0"/>
        <w:snapToGrid w:val="0"/>
        <w:spacing w:before="0" w:line="400" w:lineRule="exact"/>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20</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政府采购政策</w:t>
      </w:r>
    </w:p>
    <w:p w14:paraId="702677C8">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20.1 </w:t>
      </w:r>
      <w:r>
        <w:rPr>
          <w:rFonts w:hint="eastAsia" w:ascii="宋体" w:hAnsi="宋体" w:eastAsia="宋体" w:cs="宋体"/>
          <w:color w:val="auto"/>
          <w:sz w:val="24"/>
          <w:szCs w:val="24"/>
          <w:highlight w:val="none"/>
          <w:lang w:val="en-GB"/>
        </w:rPr>
        <w:t>本合同应当按照规定执行政府采购政策。</w:t>
      </w:r>
    </w:p>
    <w:p w14:paraId="572A5CCB">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本合同依法执行政府采购政策的方式和内容，属于合同履约验收的范围。</w:t>
      </w:r>
      <w:r>
        <w:rPr>
          <w:rFonts w:hint="eastAsia" w:ascii="宋体" w:hAnsi="宋体" w:eastAsia="宋体" w:cs="宋体"/>
          <w:color w:val="auto"/>
          <w:sz w:val="24"/>
          <w:szCs w:val="24"/>
          <w:highlight w:val="none"/>
          <w:lang w:eastAsia="zh-CN"/>
        </w:rPr>
        <w:t>甲乙双方</w:t>
      </w:r>
      <w:r>
        <w:rPr>
          <w:rFonts w:hint="eastAsia" w:ascii="宋体" w:hAnsi="宋体" w:eastAsia="宋体" w:cs="宋体"/>
          <w:color w:val="auto"/>
          <w:sz w:val="24"/>
          <w:szCs w:val="24"/>
          <w:highlight w:val="none"/>
          <w:lang w:val="en-GB"/>
        </w:rPr>
        <w:t>未按规定要求执行政府采购政策造成损失的</w:t>
      </w:r>
      <w:r>
        <w:rPr>
          <w:rFonts w:hint="eastAsia" w:ascii="宋体" w:hAnsi="宋体" w:eastAsia="宋体" w:cs="宋体"/>
          <w:color w:val="auto"/>
          <w:sz w:val="24"/>
          <w:szCs w:val="24"/>
          <w:highlight w:val="none"/>
        </w:rPr>
        <w:t>，有过错的一方应当承担赔偿责任，双方都有过错的，各自承担相应的责任。</w:t>
      </w:r>
    </w:p>
    <w:p w14:paraId="444ED885">
      <w:pPr>
        <w:pStyle w:val="6"/>
        <w:spacing w:after="0"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对于</w:t>
      </w:r>
      <w:r>
        <w:rPr>
          <w:rFonts w:hint="eastAsia" w:ascii="宋体" w:hAnsi="宋体" w:eastAsia="宋体" w:cs="宋体"/>
          <w:color w:val="auto"/>
          <w:sz w:val="24"/>
          <w:szCs w:val="24"/>
          <w:highlight w:val="none"/>
          <w:lang w:eastAsia="zh-CN"/>
        </w:rPr>
        <w:t>为落实中小企业支持政策，</w:t>
      </w:r>
      <w:r>
        <w:rPr>
          <w:rFonts w:hint="eastAsia" w:ascii="宋体" w:hAnsi="宋体" w:eastAsia="宋体" w:cs="宋体"/>
          <w:color w:val="auto"/>
          <w:sz w:val="24"/>
          <w:szCs w:val="24"/>
          <w:highlight w:val="none"/>
        </w:rPr>
        <w:t>通过采购项目</w:t>
      </w:r>
      <w:r>
        <w:rPr>
          <w:rFonts w:hint="eastAsia" w:ascii="宋体" w:hAnsi="宋体" w:eastAsia="宋体" w:cs="宋体"/>
          <w:color w:val="auto"/>
          <w:sz w:val="24"/>
          <w:szCs w:val="24"/>
          <w:highlight w:val="none"/>
          <w:lang w:eastAsia="zh-CN"/>
        </w:rPr>
        <w:t>整体</w:t>
      </w:r>
      <w:r>
        <w:rPr>
          <w:rFonts w:hint="eastAsia" w:ascii="宋体" w:hAnsi="宋体" w:eastAsia="宋体" w:cs="宋体"/>
          <w:color w:val="auto"/>
          <w:sz w:val="24"/>
          <w:szCs w:val="24"/>
          <w:highlight w:val="none"/>
        </w:rPr>
        <w:t>预留、</w:t>
      </w:r>
      <w:r>
        <w:rPr>
          <w:rFonts w:hint="eastAsia" w:ascii="宋体" w:hAnsi="宋体" w:eastAsia="宋体" w:cs="宋体"/>
          <w:color w:val="auto"/>
          <w:sz w:val="24"/>
          <w:szCs w:val="24"/>
          <w:highlight w:val="none"/>
          <w:lang w:eastAsia="zh-CN"/>
        </w:rPr>
        <w:t>设置</w:t>
      </w:r>
      <w:r>
        <w:rPr>
          <w:rFonts w:hint="eastAsia" w:ascii="宋体" w:hAnsi="宋体" w:eastAsia="宋体" w:cs="宋体"/>
          <w:color w:val="auto"/>
          <w:sz w:val="24"/>
          <w:szCs w:val="24"/>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485FF703">
      <w:pPr>
        <w:autoSpaceDE w:val="0"/>
        <w:autoSpaceDN w:val="0"/>
        <w:adjustRightInd w:val="0"/>
        <w:snapToGrid w:val="0"/>
        <w:spacing w:before="0" w:line="400" w:lineRule="exact"/>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r>
        <w:rPr>
          <w:rFonts w:hint="eastAsia" w:ascii="宋体" w:hAnsi="宋体" w:eastAsia="宋体" w:cs="宋体"/>
          <w:b/>
          <w:color w:val="auto"/>
          <w:sz w:val="24"/>
          <w:szCs w:val="24"/>
          <w:highlight w:val="none"/>
          <w:lang w:val="en-US" w:eastAsia="zh-CN"/>
        </w:rPr>
        <w:t>1</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法律适用</w:t>
      </w:r>
    </w:p>
    <w:p w14:paraId="717BF774">
      <w:pPr>
        <w:pStyle w:val="6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.1 本合同的订立、生效、解释、履行及与本合同有关的争议解决，均适用法律、行政法规。</w:t>
      </w:r>
    </w:p>
    <w:p w14:paraId="623C9506">
      <w:pPr>
        <w:pStyle w:val="6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.2 本合同条款与法律、行政法规的强制性规定不一致的，双方当事人应按照法律、行政法规的强制性规定修改本合同的相关条款。</w:t>
      </w:r>
    </w:p>
    <w:p w14:paraId="6D82B1E4">
      <w:pPr>
        <w:numPr>
          <w:ilvl w:val="-1"/>
          <w:numId w:val="0"/>
        </w:numPr>
        <w:autoSpaceDE w:val="0"/>
        <w:autoSpaceDN w:val="0"/>
        <w:adjustRightInd w:val="0"/>
        <w:snapToGrid w:val="0"/>
        <w:spacing w:before="0" w:line="400" w:lineRule="exact"/>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 xml:space="preserve">22. </w:t>
      </w:r>
      <w:r>
        <w:rPr>
          <w:rFonts w:hint="eastAsia" w:ascii="宋体" w:hAnsi="宋体" w:eastAsia="宋体" w:cs="宋体"/>
          <w:b/>
          <w:color w:val="auto"/>
          <w:sz w:val="24"/>
          <w:szCs w:val="24"/>
          <w:highlight w:val="none"/>
        </w:rPr>
        <w:t>通知</w:t>
      </w:r>
    </w:p>
    <w:p w14:paraId="7804BAF0">
      <w:pPr>
        <w:pStyle w:val="6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本合同任何一方向对方发出的通知、信件、数据电文等，应当发送至本合同第一部分《政府采购合同协议书》所约定的通讯地址、联系人、联系电话或电子邮箱。</w:t>
      </w:r>
    </w:p>
    <w:p w14:paraId="49B74040">
      <w:pPr>
        <w:pStyle w:val="60"/>
        <w:ind w:firstLine="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一方当事人变更名称、</w:t>
      </w:r>
      <w:r>
        <w:rPr>
          <w:rFonts w:hint="eastAsia" w:ascii="宋体" w:hAnsi="宋体" w:eastAsia="宋体" w:cs="宋体"/>
          <w:color w:val="auto"/>
          <w:sz w:val="24"/>
          <w:szCs w:val="24"/>
          <w:highlight w:val="none"/>
          <w:lang w:eastAsia="zh-CN"/>
        </w:rPr>
        <w:t>住所</w:t>
      </w:r>
      <w:r>
        <w:rPr>
          <w:rFonts w:hint="eastAsia" w:ascii="宋体" w:hAnsi="宋体" w:eastAsia="宋体" w:cs="宋体"/>
          <w:color w:val="auto"/>
          <w:sz w:val="24"/>
          <w:szCs w:val="24"/>
          <w:highlight w:val="none"/>
        </w:rPr>
        <w:t>、联系人、联系电话或电子邮箱</w:t>
      </w:r>
      <w:r>
        <w:rPr>
          <w:rFonts w:hint="eastAsia" w:ascii="宋体" w:hAnsi="宋体" w:eastAsia="宋体" w:cs="宋体"/>
          <w:color w:val="auto"/>
          <w:sz w:val="24"/>
          <w:szCs w:val="24"/>
          <w:highlight w:val="none"/>
          <w:lang w:eastAsia="zh-CN"/>
        </w:rPr>
        <w:t>等信息</w:t>
      </w:r>
      <w:r>
        <w:rPr>
          <w:rFonts w:hint="eastAsia" w:ascii="宋体" w:hAnsi="宋体" w:eastAsia="宋体" w:cs="宋体"/>
          <w:color w:val="auto"/>
          <w:sz w:val="24"/>
          <w:szCs w:val="24"/>
          <w:highlight w:val="none"/>
        </w:rPr>
        <w:t>的，应当在变更后3日内及时书面通知对方，对方实际收到变更通知前的送达仍为有效送达。</w:t>
      </w:r>
    </w:p>
    <w:p w14:paraId="76CE15F7">
      <w:pPr>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本合同一方给另一方的通知均应采用书面形式，传真或快递送到本合同中规定的对方的地址和办理签收手续。</w:t>
      </w:r>
    </w:p>
    <w:p w14:paraId="3C8AA8AC">
      <w:pPr>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通知以送达之日或通知书中规定的生效之日起生效，两者中以较迟之日为准。</w:t>
      </w:r>
    </w:p>
    <w:p w14:paraId="6B06EA45">
      <w:pPr>
        <w:numPr>
          <w:ilvl w:val="0"/>
          <w:numId w:val="7"/>
        </w:numPr>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合同未尽事项</w:t>
      </w:r>
    </w:p>
    <w:p w14:paraId="7BEC653E">
      <w:pPr>
        <w:adjustRightInd w:val="0"/>
        <w:snapToGrid w:val="0"/>
        <w:spacing w:before="0" w:line="400" w:lineRule="exact"/>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.1合同未尽事项见</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w:t>
      </w:r>
    </w:p>
    <w:p w14:paraId="15836734">
      <w:pPr>
        <w:adjustRightInd w:val="0"/>
        <w:snapToGrid w:val="0"/>
        <w:spacing w:line="400" w:lineRule="exact"/>
        <w:ind w:firstLine="0" w:firstLineChars="0"/>
        <w:jc w:val="left"/>
        <w:rPr>
          <w:rFonts w:hint="eastAsia" w:ascii="宋体" w:hAnsi="宋体" w:eastAsia="宋体" w:cs="宋体"/>
          <w:bCs/>
          <w:color w:val="auto"/>
          <w:sz w:val="24"/>
          <w:szCs w:val="24"/>
          <w:highlight w:val="none"/>
          <w:lang w:val="en-US" w:eastAsia="zh-CN"/>
        </w:rPr>
        <w:sectPr>
          <w:footerReference r:id="rId12" w:type="first"/>
          <w:footerReference r:id="rId11" w:type="default"/>
          <w:pgSz w:w="11906" w:h="16838"/>
          <w:pgMar w:top="1440" w:right="1083" w:bottom="1440" w:left="1083" w:header="851" w:footer="850" w:gutter="0"/>
          <w:pgNumType w:fmt="decimal"/>
          <w:cols w:space="0" w:num="1"/>
          <w:titlePg/>
          <w:rtlGutter w:val="0"/>
          <w:docGrid w:linePitch="312" w:charSpace="0"/>
        </w:sectPr>
      </w:pPr>
      <w:r>
        <w:rPr>
          <w:rFonts w:hint="eastAsia" w:ascii="宋体" w:hAnsi="宋体" w:eastAsia="宋体" w:cs="宋体"/>
          <w:bCs/>
          <w:color w:val="auto"/>
          <w:sz w:val="24"/>
          <w:szCs w:val="24"/>
          <w:highlight w:val="none"/>
          <w:lang w:val="en-US" w:eastAsia="zh-CN"/>
        </w:rPr>
        <w:t xml:space="preserve">    23.2 合同附件与合同正文具有同等的法律效力。</w:t>
      </w:r>
    </w:p>
    <w:p w14:paraId="15672D6D">
      <w:pPr>
        <w:adjustRightInd w:val="0"/>
        <w:snapToGrid w:val="0"/>
        <w:spacing w:line="400" w:lineRule="exact"/>
        <w:ind w:firstLine="0" w:firstLineChars="0"/>
        <w:jc w:val="left"/>
        <w:rPr>
          <w:rFonts w:hint="eastAsia" w:ascii="宋体" w:hAnsi="宋体" w:eastAsia="宋体" w:cs="宋体"/>
          <w:bCs/>
          <w:color w:val="auto"/>
          <w:sz w:val="24"/>
          <w:szCs w:val="24"/>
          <w:highlight w:val="none"/>
          <w:lang w:val="en-US" w:eastAsia="zh-CN"/>
        </w:rPr>
      </w:pPr>
    </w:p>
    <w:p w14:paraId="6B962A32">
      <w:pPr>
        <w:pStyle w:val="4"/>
        <w:numPr>
          <w:ilvl w:val="0"/>
          <w:numId w:val="8"/>
        </w:numPr>
        <w:bidi w:val="0"/>
        <w:jc w:val="center"/>
        <w:outlineLvl w:val="0"/>
        <w:rPr>
          <w:rFonts w:hint="eastAsia"/>
          <w:color w:val="auto"/>
          <w:highlight w:val="none"/>
        </w:rPr>
      </w:pPr>
      <w:bookmarkStart w:id="188" w:name="_Toc29042"/>
      <w:bookmarkStart w:id="189" w:name="_Toc21666"/>
      <w:bookmarkStart w:id="190" w:name="_Toc32448"/>
      <w:r>
        <w:rPr>
          <w:rFonts w:hint="eastAsia"/>
          <w:color w:val="auto"/>
          <w:highlight w:val="none"/>
        </w:rPr>
        <w:t>技术参数</w:t>
      </w:r>
      <w:bookmarkEnd w:id="19"/>
      <w:bookmarkEnd w:id="20"/>
      <w:bookmarkEnd w:id="21"/>
      <w:bookmarkEnd w:id="22"/>
      <w:bookmarkEnd w:id="23"/>
      <w:bookmarkEnd w:id="24"/>
      <w:bookmarkEnd w:id="25"/>
      <w:bookmarkEnd w:id="188"/>
      <w:bookmarkEnd w:id="189"/>
      <w:bookmarkEnd w:id="190"/>
      <w:bookmarkStart w:id="191" w:name="_Toc15342_WPSOffice_Level1"/>
      <w:bookmarkStart w:id="192" w:name="_Toc10945"/>
      <w:bookmarkStart w:id="193" w:name="_Toc25497"/>
      <w:bookmarkStart w:id="194" w:name="_Toc5137"/>
      <w:bookmarkStart w:id="195" w:name="_Toc1755_WPSOffice_Level1"/>
      <w:bookmarkStart w:id="196" w:name="_Toc24845_WPSOffice_Level1"/>
      <w:bookmarkStart w:id="197" w:name="_Toc6078"/>
      <w:bookmarkStart w:id="198" w:name="_Toc708_WPSOffice_Level1"/>
    </w:p>
    <w:p w14:paraId="334466C0">
      <w:pPr>
        <w:jc w:val="center"/>
        <w:rPr>
          <w:rFonts w:hint="eastAsia"/>
          <w:color w:val="auto"/>
        </w:rPr>
      </w:pPr>
    </w:p>
    <w:p w14:paraId="4475DFE6">
      <w:pPr>
        <w:jc w:val="center"/>
        <w:rPr>
          <w:rFonts w:hint="eastAsia"/>
          <w:color w:val="auto"/>
          <w:sz w:val="28"/>
          <w:szCs w:val="32"/>
          <w:lang w:val="en-US" w:eastAsia="zh-CN"/>
        </w:rPr>
      </w:pPr>
      <w:r>
        <w:rPr>
          <w:rFonts w:hint="eastAsia"/>
          <w:color w:val="auto"/>
          <w:sz w:val="28"/>
          <w:szCs w:val="32"/>
          <w:lang w:val="en-US" w:eastAsia="zh-CN"/>
        </w:rPr>
        <w:t>（详见附件）</w:t>
      </w:r>
    </w:p>
    <w:p w14:paraId="19B193D7">
      <w:pPr>
        <w:jc w:val="center"/>
        <w:rPr>
          <w:rFonts w:hint="eastAsia"/>
          <w:color w:val="auto"/>
          <w:sz w:val="28"/>
          <w:szCs w:val="32"/>
          <w:lang w:val="en-US" w:eastAsia="zh-CN"/>
        </w:rPr>
      </w:pPr>
    </w:p>
    <w:p w14:paraId="4B44DB67">
      <w:pPr>
        <w:jc w:val="center"/>
        <w:rPr>
          <w:rFonts w:hint="eastAsia"/>
          <w:color w:val="auto"/>
          <w:sz w:val="28"/>
          <w:szCs w:val="32"/>
          <w:lang w:val="en-US" w:eastAsia="zh-CN"/>
        </w:rPr>
        <w:sectPr>
          <w:pgSz w:w="11906" w:h="16838"/>
          <w:pgMar w:top="1440" w:right="1083" w:bottom="1440" w:left="1083" w:header="851" w:footer="850" w:gutter="0"/>
          <w:pgNumType w:fmt="decimal"/>
          <w:cols w:space="0" w:num="1"/>
          <w:titlePg/>
          <w:rtlGutter w:val="0"/>
          <w:docGrid w:linePitch="312" w:charSpace="0"/>
        </w:sectPr>
      </w:pPr>
    </w:p>
    <w:p w14:paraId="0FC09DD2">
      <w:pPr>
        <w:rPr>
          <w:rFonts w:hint="eastAsia"/>
          <w:color w:val="auto"/>
        </w:rPr>
      </w:pPr>
    </w:p>
    <w:p w14:paraId="4CAEAD34">
      <w:pPr>
        <w:pStyle w:val="4"/>
        <w:bidi w:val="0"/>
        <w:jc w:val="center"/>
        <w:outlineLvl w:val="0"/>
        <w:rPr>
          <w:color w:val="auto"/>
          <w:highlight w:val="none"/>
        </w:rPr>
      </w:pPr>
      <w:r>
        <w:rPr>
          <w:rFonts w:hint="eastAsia"/>
          <w:color w:val="auto"/>
          <w:highlight w:val="none"/>
        </w:rPr>
        <w:t>第六章  响应性文件格式</w:t>
      </w:r>
      <w:bookmarkEnd w:id="191"/>
      <w:bookmarkEnd w:id="192"/>
      <w:bookmarkEnd w:id="193"/>
      <w:bookmarkEnd w:id="194"/>
      <w:bookmarkEnd w:id="195"/>
      <w:bookmarkEnd w:id="196"/>
      <w:bookmarkEnd w:id="197"/>
      <w:bookmarkEnd w:id="198"/>
    </w:p>
    <w:p w14:paraId="2C5DFC14">
      <w:pPr>
        <w:widowControl/>
        <w:ind w:firstLine="360"/>
        <w:jc w:val="center"/>
        <w:rPr>
          <w:rFonts w:ascii="宋体" w:hAnsi="宋体" w:eastAsia="宋体" w:cs="宋体"/>
          <w:b/>
          <w:color w:val="auto"/>
          <w:kern w:val="0"/>
          <w:sz w:val="24"/>
          <w:highlight w:val="none"/>
        </w:rPr>
      </w:pPr>
      <w:bookmarkStart w:id="199" w:name="_Toc528078066"/>
      <w:bookmarkEnd w:id="199"/>
      <w:bookmarkStart w:id="200" w:name="_Toc394651921"/>
      <w:bookmarkEnd w:id="200"/>
      <w:bookmarkStart w:id="201" w:name="_Toc27687"/>
      <w:bookmarkEnd w:id="201"/>
      <w:bookmarkStart w:id="202" w:name="_Toc19996"/>
    </w:p>
    <w:p w14:paraId="0CAB38CB">
      <w:pPr>
        <w:widowControl/>
        <w:ind w:firstLine="360"/>
        <w:jc w:val="center"/>
        <w:rPr>
          <w:rFonts w:ascii="宋体" w:hAnsi="宋体" w:eastAsia="宋体" w:cs="宋体"/>
          <w:b/>
          <w:color w:val="auto"/>
          <w:kern w:val="0"/>
          <w:sz w:val="24"/>
          <w:highlight w:val="none"/>
        </w:rPr>
      </w:pPr>
    </w:p>
    <w:p w14:paraId="3233FB99">
      <w:pPr>
        <w:widowControl/>
        <w:ind w:firstLine="360"/>
        <w:jc w:val="center"/>
        <w:rPr>
          <w:rFonts w:ascii="宋体" w:hAnsi="宋体" w:eastAsia="宋体" w:cs="宋体"/>
          <w:b/>
          <w:color w:val="auto"/>
          <w:kern w:val="0"/>
          <w:sz w:val="24"/>
          <w:highlight w:val="none"/>
        </w:rPr>
      </w:pPr>
    </w:p>
    <w:p w14:paraId="76BEA2AD">
      <w:pPr>
        <w:widowControl/>
        <w:ind w:firstLine="360"/>
        <w:jc w:val="center"/>
        <w:rPr>
          <w:rFonts w:ascii="宋体" w:hAnsi="宋体" w:eastAsia="宋体" w:cs="宋体"/>
          <w:b/>
          <w:color w:val="auto"/>
          <w:kern w:val="0"/>
          <w:sz w:val="24"/>
          <w:highlight w:val="none"/>
          <w:u w:val="single"/>
        </w:rPr>
      </w:pPr>
    </w:p>
    <w:p w14:paraId="4FCD48B7">
      <w:pPr>
        <w:widowControl/>
        <w:ind w:firstLine="360"/>
        <w:jc w:val="center"/>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u w:val="single"/>
        </w:rPr>
        <w:t xml:space="preserve">                     </w:t>
      </w:r>
      <w:r>
        <w:rPr>
          <w:rFonts w:hint="eastAsia" w:ascii="宋体" w:hAnsi="宋体" w:eastAsia="宋体" w:cs="宋体"/>
          <w:b/>
          <w:color w:val="auto"/>
          <w:kern w:val="0"/>
          <w:sz w:val="24"/>
          <w:highlight w:val="none"/>
        </w:rPr>
        <w:t>（项目名称）</w:t>
      </w:r>
    </w:p>
    <w:p w14:paraId="2B1AE635">
      <w:pPr>
        <w:widowControl/>
        <w:ind w:firstLine="360"/>
        <w:jc w:val="center"/>
        <w:rPr>
          <w:rFonts w:ascii="宋体" w:hAnsi="宋体" w:eastAsia="宋体" w:cs="宋体"/>
          <w:b/>
          <w:color w:val="auto"/>
          <w:kern w:val="0"/>
          <w:sz w:val="24"/>
          <w:highlight w:val="none"/>
        </w:rPr>
      </w:pPr>
    </w:p>
    <w:p w14:paraId="051BA35F">
      <w:pPr>
        <w:widowControl/>
        <w:ind w:firstLine="3132" w:firstLineChars="1300"/>
        <w:jc w:val="left"/>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项目编号：</w:t>
      </w:r>
    </w:p>
    <w:p w14:paraId="200D529D">
      <w:pPr>
        <w:widowControl/>
        <w:ind w:firstLine="360"/>
        <w:jc w:val="center"/>
        <w:rPr>
          <w:rFonts w:ascii="宋体" w:hAnsi="宋体" w:eastAsia="宋体" w:cs="宋体"/>
          <w:b/>
          <w:color w:val="auto"/>
          <w:kern w:val="0"/>
          <w:sz w:val="24"/>
          <w:highlight w:val="none"/>
        </w:rPr>
      </w:pPr>
    </w:p>
    <w:p w14:paraId="54BA1FB6">
      <w:pPr>
        <w:widowControl/>
        <w:ind w:firstLine="360"/>
        <w:jc w:val="center"/>
        <w:rPr>
          <w:rFonts w:ascii="宋体" w:hAnsi="宋体" w:eastAsia="宋体" w:cs="宋体"/>
          <w:b/>
          <w:color w:val="auto"/>
          <w:kern w:val="0"/>
          <w:sz w:val="24"/>
          <w:highlight w:val="none"/>
        </w:rPr>
      </w:pPr>
    </w:p>
    <w:p w14:paraId="3744ED8B">
      <w:pPr>
        <w:widowControl/>
        <w:ind w:firstLine="360"/>
        <w:jc w:val="center"/>
        <w:rPr>
          <w:rFonts w:ascii="宋体" w:hAnsi="宋体" w:eastAsia="宋体" w:cs="宋体"/>
          <w:b/>
          <w:color w:val="auto"/>
          <w:kern w:val="0"/>
          <w:sz w:val="24"/>
          <w:highlight w:val="none"/>
        </w:rPr>
      </w:pPr>
    </w:p>
    <w:p w14:paraId="5270C005">
      <w:pPr>
        <w:widowControl/>
        <w:ind w:firstLine="360"/>
        <w:jc w:val="center"/>
        <w:rPr>
          <w:rFonts w:ascii="宋体" w:hAnsi="宋体" w:eastAsia="宋体" w:cs="宋体"/>
          <w:b/>
          <w:color w:val="auto"/>
          <w:kern w:val="0"/>
          <w:sz w:val="24"/>
          <w:highlight w:val="none"/>
        </w:rPr>
      </w:pPr>
    </w:p>
    <w:p w14:paraId="2AC8BEEA">
      <w:pPr>
        <w:widowControl/>
        <w:ind w:firstLine="360"/>
        <w:jc w:val="center"/>
        <w:rPr>
          <w:rFonts w:ascii="宋体" w:hAnsi="宋体" w:eastAsia="宋体" w:cs="宋体"/>
          <w:b/>
          <w:color w:val="auto"/>
          <w:kern w:val="0"/>
          <w:sz w:val="24"/>
          <w:highlight w:val="none"/>
        </w:rPr>
      </w:pPr>
    </w:p>
    <w:p w14:paraId="5C6423B2">
      <w:pPr>
        <w:widowControl/>
        <w:ind w:firstLine="360"/>
        <w:jc w:val="center"/>
        <w:rPr>
          <w:rFonts w:ascii="宋体" w:hAnsi="宋体" w:eastAsia="宋体" w:cs="宋体"/>
          <w:b/>
          <w:color w:val="auto"/>
          <w:kern w:val="0"/>
          <w:sz w:val="28"/>
          <w:szCs w:val="24"/>
          <w:highlight w:val="none"/>
        </w:rPr>
      </w:pPr>
    </w:p>
    <w:p w14:paraId="2A2610AF">
      <w:pPr>
        <w:widowControl/>
        <w:ind w:firstLine="360"/>
        <w:jc w:val="center"/>
        <w:rPr>
          <w:rFonts w:ascii="宋体" w:hAnsi="宋体" w:eastAsia="宋体" w:cs="宋体"/>
          <w:b/>
          <w:color w:val="auto"/>
          <w:kern w:val="0"/>
          <w:sz w:val="32"/>
          <w:szCs w:val="28"/>
          <w:highlight w:val="none"/>
        </w:rPr>
      </w:pPr>
      <w:r>
        <w:rPr>
          <w:rFonts w:hint="eastAsia" w:ascii="宋体" w:hAnsi="宋体" w:eastAsia="宋体" w:cs="宋体"/>
          <w:b/>
          <w:color w:val="auto"/>
          <w:kern w:val="0"/>
          <w:sz w:val="32"/>
          <w:szCs w:val="28"/>
          <w:highlight w:val="none"/>
        </w:rPr>
        <w:t>响</w:t>
      </w:r>
    </w:p>
    <w:p w14:paraId="40EA5278">
      <w:pPr>
        <w:widowControl/>
        <w:ind w:firstLine="360"/>
        <w:jc w:val="center"/>
        <w:rPr>
          <w:rFonts w:ascii="宋体" w:hAnsi="宋体" w:eastAsia="宋体" w:cs="宋体"/>
          <w:b/>
          <w:color w:val="auto"/>
          <w:kern w:val="0"/>
          <w:sz w:val="32"/>
          <w:szCs w:val="28"/>
          <w:highlight w:val="none"/>
        </w:rPr>
      </w:pPr>
    </w:p>
    <w:p w14:paraId="3AC60CED">
      <w:pPr>
        <w:widowControl/>
        <w:ind w:firstLine="360"/>
        <w:jc w:val="center"/>
        <w:rPr>
          <w:rFonts w:ascii="宋体" w:hAnsi="宋体" w:eastAsia="宋体" w:cs="宋体"/>
          <w:b/>
          <w:color w:val="auto"/>
          <w:kern w:val="0"/>
          <w:sz w:val="32"/>
          <w:szCs w:val="28"/>
          <w:highlight w:val="none"/>
        </w:rPr>
      </w:pPr>
      <w:r>
        <w:rPr>
          <w:rFonts w:hint="eastAsia" w:ascii="宋体" w:hAnsi="宋体" w:eastAsia="宋体" w:cs="宋体"/>
          <w:b/>
          <w:color w:val="auto"/>
          <w:kern w:val="0"/>
          <w:sz w:val="32"/>
          <w:szCs w:val="28"/>
          <w:highlight w:val="none"/>
        </w:rPr>
        <w:t>应</w:t>
      </w:r>
    </w:p>
    <w:p w14:paraId="7902175F">
      <w:pPr>
        <w:widowControl/>
        <w:ind w:firstLine="360"/>
        <w:jc w:val="center"/>
        <w:rPr>
          <w:rFonts w:ascii="宋体" w:hAnsi="宋体" w:eastAsia="宋体" w:cs="宋体"/>
          <w:b/>
          <w:color w:val="auto"/>
          <w:kern w:val="0"/>
          <w:sz w:val="32"/>
          <w:szCs w:val="28"/>
          <w:highlight w:val="none"/>
        </w:rPr>
      </w:pPr>
    </w:p>
    <w:p w14:paraId="42CE0ED5">
      <w:pPr>
        <w:widowControl/>
        <w:ind w:firstLine="360"/>
        <w:jc w:val="center"/>
        <w:rPr>
          <w:rFonts w:ascii="宋体" w:hAnsi="宋体" w:eastAsia="宋体" w:cs="宋体"/>
          <w:b/>
          <w:color w:val="auto"/>
          <w:kern w:val="0"/>
          <w:sz w:val="32"/>
          <w:szCs w:val="28"/>
          <w:highlight w:val="none"/>
        </w:rPr>
      </w:pPr>
      <w:r>
        <w:rPr>
          <w:rFonts w:hint="eastAsia" w:ascii="宋体" w:hAnsi="宋体" w:eastAsia="宋体" w:cs="宋体"/>
          <w:b/>
          <w:color w:val="auto"/>
          <w:kern w:val="0"/>
          <w:sz w:val="32"/>
          <w:szCs w:val="28"/>
          <w:highlight w:val="none"/>
        </w:rPr>
        <w:t xml:space="preserve">性 </w:t>
      </w:r>
    </w:p>
    <w:p w14:paraId="01A728CE">
      <w:pPr>
        <w:widowControl/>
        <w:ind w:firstLine="360"/>
        <w:jc w:val="center"/>
        <w:rPr>
          <w:rFonts w:ascii="宋体" w:hAnsi="宋体" w:eastAsia="宋体" w:cs="宋体"/>
          <w:b/>
          <w:color w:val="auto"/>
          <w:kern w:val="0"/>
          <w:sz w:val="32"/>
          <w:szCs w:val="28"/>
          <w:highlight w:val="none"/>
        </w:rPr>
      </w:pPr>
      <w:r>
        <w:rPr>
          <w:rFonts w:ascii="宋体" w:hAnsi="宋体" w:eastAsia="宋体" w:cs="宋体"/>
          <w:b/>
          <w:color w:val="auto"/>
          <w:kern w:val="0"/>
          <w:sz w:val="32"/>
          <w:szCs w:val="28"/>
          <w:highlight w:val="none"/>
        </w:rPr>
        <w:t xml:space="preserve"> </w:t>
      </w:r>
    </w:p>
    <w:p w14:paraId="3D02CB0B">
      <w:pPr>
        <w:widowControl/>
        <w:ind w:firstLine="360"/>
        <w:jc w:val="center"/>
        <w:rPr>
          <w:rFonts w:ascii="宋体" w:hAnsi="宋体" w:eastAsia="宋体" w:cs="宋体"/>
          <w:b/>
          <w:color w:val="auto"/>
          <w:kern w:val="0"/>
          <w:sz w:val="32"/>
          <w:szCs w:val="28"/>
          <w:highlight w:val="none"/>
        </w:rPr>
      </w:pPr>
      <w:r>
        <w:rPr>
          <w:rFonts w:hint="eastAsia" w:ascii="宋体" w:hAnsi="宋体" w:eastAsia="宋体" w:cs="宋体"/>
          <w:b/>
          <w:color w:val="auto"/>
          <w:kern w:val="0"/>
          <w:sz w:val="32"/>
          <w:szCs w:val="28"/>
          <w:highlight w:val="none"/>
        </w:rPr>
        <w:t xml:space="preserve">文 </w:t>
      </w:r>
    </w:p>
    <w:p w14:paraId="3DCD060B">
      <w:pPr>
        <w:widowControl/>
        <w:ind w:firstLine="360"/>
        <w:jc w:val="center"/>
        <w:rPr>
          <w:rFonts w:ascii="宋体" w:hAnsi="宋体" w:eastAsia="宋体" w:cs="宋体"/>
          <w:b/>
          <w:color w:val="auto"/>
          <w:kern w:val="0"/>
          <w:sz w:val="32"/>
          <w:szCs w:val="28"/>
          <w:highlight w:val="none"/>
        </w:rPr>
      </w:pPr>
      <w:r>
        <w:rPr>
          <w:rFonts w:ascii="宋体" w:hAnsi="宋体" w:eastAsia="宋体" w:cs="宋体"/>
          <w:b/>
          <w:color w:val="auto"/>
          <w:kern w:val="0"/>
          <w:sz w:val="32"/>
          <w:szCs w:val="28"/>
          <w:highlight w:val="none"/>
        </w:rPr>
        <w:t xml:space="preserve"> </w:t>
      </w:r>
    </w:p>
    <w:p w14:paraId="78866529">
      <w:pPr>
        <w:widowControl/>
        <w:ind w:firstLine="360"/>
        <w:jc w:val="center"/>
        <w:rPr>
          <w:rFonts w:ascii="宋体" w:hAnsi="宋体" w:eastAsia="宋体" w:cs="宋体"/>
          <w:b/>
          <w:color w:val="auto"/>
          <w:kern w:val="0"/>
          <w:sz w:val="32"/>
          <w:szCs w:val="28"/>
          <w:highlight w:val="none"/>
        </w:rPr>
      </w:pPr>
      <w:r>
        <w:rPr>
          <w:rFonts w:hint="eastAsia" w:ascii="宋体" w:hAnsi="宋体" w:eastAsia="宋体" w:cs="宋体"/>
          <w:b/>
          <w:color w:val="auto"/>
          <w:kern w:val="0"/>
          <w:sz w:val="32"/>
          <w:szCs w:val="28"/>
          <w:highlight w:val="none"/>
        </w:rPr>
        <w:t>件</w:t>
      </w:r>
    </w:p>
    <w:p w14:paraId="044CA71F">
      <w:pPr>
        <w:widowControl/>
        <w:ind w:firstLine="360"/>
        <w:jc w:val="center"/>
        <w:rPr>
          <w:rFonts w:ascii="宋体" w:hAnsi="宋体" w:eastAsia="宋体" w:cs="宋体"/>
          <w:b/>
          <w:color w:val="auto"/>
          <w:kern w:val="0"/>
          <w:sz w:val="24"/>
          <w:highlight w:val="none"/>
        </w:rPr>
      </w:pPr>
    </w:p>
    <w:p w14:paraId="5003C3E1">
      <w:pPr>
        <w:widowControl/>
        <w:spacing w:line="360" w:lineRule="auto"/>
        <w:ind w:firstLine="840" w:firstLineChars="350"/>
        <w:jc w:val="left"/>
        <w:rPr>
          <w:rFonts w:ascii="Calibri" w:hAnsi="Calibri" w:eastAsia="宋体" w:cs="Times New Roman"/>
          <w:color w:val="auto"/>
          <w:kern w:val="0"/>
          <w:sz w:val="24"/>
          <w:highlight w:val="none"/>
        </w:rPr>
      </w:pPr>
    </w:p>
    <w:p w14:paraId="7F383B75">
      <w:pPr>
        <w:widowControl/>
        <w:spacing w:line="360" w:lineRule="auto"/>
        <w:ind w:firstLine="840" w:firstLineChars="350"/>
        <w:jc w:val="left"/>
        <w:rPr>
          <w:rFonts w:ascii="Calibri" w:hAnsi="Calibri" w:eastAsia="宋体" w:cs="Times New Roman"/>
          <w:color w:val="auto"/>
          <w:kern w:val="0"/>
          <w:sz w:val="24"/>
          <w:highlight w:val="none"/>
        </w:rPr>
      </w:pPr>
    </w:p>
    <w:p w14:paraId="6F8D5894">
      <w:pPr>
        <w:widowControl/>
        <w:spacing w:line="360" w:lineRule="auto"/>
        <w:ind w:firstLine="840" w:firstLineChars="350"/>
        <w:jc w:val="left"/>
        <w:rPr>
          <w:rFonts w:ascii="Calibri" w:hAnsi="Calibri" w:eastAsia="宋体" w:cs="Times New Roman"/>
          <w:color w:val="auto"/>
          <w:kern w:val="0"/>
          <w:sz w:val="24"/>
          <w:highlight w:val="none"/>
        </w:rPr>
      </w:pPr>
    </w:p>
    <w:p w14:paraId="5FEECF1C">
      <w:pPr>
        <w:widowControl/>
        <w:spacing w:line="360" w:lineRule="auto"/>
        <w:ind w:firstLine="840" w:firstLineChars="350"/>
        <w:jc w:val="left"/>
        <w:rPr>
          <w:rFonts w:ascii="Calibri" w:hAnsi="Calibri" w:eastAsia="宋体" w:cs="Times New Roman"/>
          <w:color w:val="auto"/>
          <w:kern w:val="0"/>
          <w:sz w:val="24"/>
          <w:highlight w:val="none"/>
        </w:rPr>
      </w:pPr>
    </w:p>
    <w:p w14:paraId="6CFB6BAB">
      <w:pPr>
        <w:widowControl/>
        <w:spacing w:line="360" w:lineRule="auto"/>
        <w:ind w:firstLine="840" w:firstLineChars="350"/>
        <w:jc w:val="left"/>
        <w:rPr>
          <w:rFonts w:ascii="Calibri" w:hAnsi="Calibri" w:eastAsia="宋体" w:cs="Times New Roman"/>
          <w:color w:val="auto"/>
          <w:kern w:val="0"/>
          <w:sz w:val="24"/>
          <w:highlight w:val="none"/>
        </w:rPr>
      </w:pPr>
    </w:p>
    <w:p w14:paraId="04CB74DF">
      <w:pPr>
        <w:widowControl/>
        <w:spacing w:line="360" w:lineRule="auto"/>
        <w:ind w:firstLine="1446" w:firstLineChars="600"/>
        <w:jc w:val="left"/>
        <w:rPr>
          <w:rFonts w:ascii="Calibri" w:hAnsi="Calibri" w:eastAsia="宋体" w:cs="Times New Roman"/>
          <w:b/>
          <w:color w:val="auto"/>
          <w:kern w:val="0"/>
          <w:sz w:val="24"/>
          <w:highlight w:val="none"/>
        </w:rPr>
      </w:pPr>
      <w:r>
        <w:rPr>
          <w:rFonts w:hint="eastAsia" w:ascii="Calibri" w:hAnsi="Calibri" w:eastAsia="宋体" w:cs="Times New Roman"/>
          <w:b/>
          <w:color w:val="auto"/>
          <w:kern w:val="0"/>
          <w:sz w:val="24"/>
          <w:highlight w:val="none"/>
        </w:rPr>
        <w:t>供应商：</w:t>
      </w:r>
      <w:r>
        <w:rPr>
          <w:rFonts w:hint="eastAsia" w:ascii="Calibri" w:hAnsi="Calibri" w:eastAsia="宋体" w:cs="Times New Roman"/>
          <w:b/>
          <w:color w:val="auto"/>
          <w:kern w:val="0"/>
          <w:sz w:val="24"/>
          <w:highlight w:val="none"/>
          <w:u w:val="single"/>
        </w:rPr>
        <w:t xml:space="preserve">                                  </w:t>
      </w:r>
      <w:r>
        <w:rPr>
          <w:rFonts w:hint="eastAsia" w:ascii="Calibri" w:hAnsi="Calibri" w:eastAsia="宋体" w:cs="Times New Roman"/>
          <w:b/>
          <w:color w:val="auto"/>
          <w:kern w:val="0"/>
          <w:sz w:val="24"/>
          <w:highlight w:val="none"/>
        </w:rPr>
        <w:t>（盖单位章）</w:t>
      </w:r>
    </w:p>
    <w:p w14:paraId="4558F1B5">
      <w:pPr>
        <w:widowControl/>
        <w:spacing w:line="360" w:lineRule="auto"/>
        <w:ind w:firstLine="1446" w:firstLineChars="600"/>
        <w:jc w:val="left"/>
        <w:rPr>
          <w:rFonts w:ascii="Calibri" w:hAnsi="Calibri" w:eastAsia="宋体" w:cs="Times New Roman"/>
          <w:b/>
          <w:color w:val="auto"/>
          <w:kern w:val="0"/>
          <w:sz w:val="24"/>
          <w:highlight w:val="none"/>
        </w:rPr>
      </w:pPr>
      <w:r>
        <w:rPr>
          <w:rFonts w:hint="eastAsia" w:ascii="Calibri" w:hAnsi="Calibri" w:eastAsia="宋体" w:cs="Times New Roman"/>
          <w:b/>
          <w:color w:val="auto"/>
          <w:kern w:val="0"/>
          <w:sz w:val="24"/>
          <w:highlight w:val="none"/>
        </w:rPr>
        <w:t>法定代表人：</w:t>
      </w:r>
      <w:r>
        <w:rPr>
          <w:rFonts w:hint="eastAsia" w:ascii="Calibri" w:hAnsi="Calibri" w:eastAsia="宋体" w:cs="Times New Roman"/>
          <w:b/>
          <w:color w:val="auto"/>
          <w:kern w:val="0"/>
          <w:sz w:val="24"/>
          <w:highlight w:val="none"/>
          <w:u w:val="single"/>
        </w:rPr>
        <w:t xml:space="preserve">                </w:t>
      </w:r>
      <w:r>
        <w:rPr>
          <w:rFonts w:hint="eastAsia" w:ascii="Calibri" w:hAnsi="Calibri" w:eastAsia="宋体" w:cs="Times New Roman"/>
          <w:b/>
          <w:color w:val="auto"/>
          <w:kern w:val="0"/>
          <w:sz w:val="24"/>
          <w:highlight w:val="none"/>
        </w:rPr>
        <w:t>（电子签章）</w:t>
      </w:r>
    </w:p>
    <w:p w14:paraId="260B91D9">
      <w:pPr>
        <w:widowControl/>
        <w:spacing w:line="360" w:lineRule="auto"/>
        <w:ind w:firstLine="843" w:firstLineChars="350"/>
        <w:jc w:val="left"/>
        <w:rPr>
          <w:rFonts w:ascii="Calibri" w:hAnsi="Calibri" w:eastAsia="宋体" w:cs="Times New Roman"/>
          <w:b/>
          <w:color w:val="auto"/>
          <w:kern w:val="0"/>
          <w:sz w:val="24"/>
          <w:highlight w:val="none"/>
        </w:rPr>
      </w:pPr>
      <w:r>
        <w:rPr>
          <w:rFonts w:hint="eastAsia" w:ascii="Calibri" w:hAnsi="Calibri" w:eastAsia="宋体" w:cs="Times New Roman"/>
          <w:b/>
          <w:color w:val="auto"/>
          <w:kern w:val="0"/>
          <w:sz w:val="24"/>
          <w:highlight w:val="none"/>
        </w:rPr>
        <w:t xml:space="preserve">        </w:t>
      </w:r>
      <w:r>
        <w:rPr>
          <w:rFonts w:hint="eastAsia" w:ascii="Calibri" w:hAnsi="Calibri" w:eastAsia="宋体" w:cs="Times New Roman"/>
          <w:b/>
          <w:color w:val="auto"/>
          <w:kern w:val="0"/>
          <w:sz w:val="24"/>
          <w:highlight w:val="none"/>
          <w:u w:val="single"/>
        </w:rPr>
        <w:t xml:space="preserve">            </w:t>
      </w:r>
      <w:r>
        <w:rPr>
          <w:rFonts w:hint="eastAsia" w:ascii="Calibri" w:hAnsi="Calibri" w:eastAsia="宋体" w:cs="Times New Roman"/>
          <w:b/>
          <w:color w:val="auto"/>
          <w:kern w:val="0"/>
          <w:sz w:val="24"/>
          <w:highlight w:val="none"/>
        </w:rPr>
        <w:t xml:space="preserve"> 年</w:t>
      </w:r>
      <w:r>
        <w:rPr>
          <w:rFonts w:hint="eastAsia" w:ascii="Calibri" w:hAnsi="Calibri" w:eastAsia="宋体" w:cs="Times New Roman"/>
          <w:b/>
          <w:color w:val="auto"/>
          <w:kern w:val="0"/>
          <w:sz w:val="24"/>
          <w:highlight w:val="none"/>
          <w:u w:val="single"/>
        </w:rPr>
        <w:t xml:space="preserve">        </w:t>
      </w:r>
      <w:r>
        <w:rPr>
          <w:rFonts w:hint="eastAsia" w:ascii="Calibri" w:hAnsi="Calibri" w:eastAsia="宋体" w:cs="Times New Roman"/>
          <w:b/>
          <w:color w:val="auto"/>
          <w:kern w:val="0"/>
          <w:sz w:val="24"/>
          <w:highlight w:val="none"/>
        </w:rPr>
        <w:t xml:space="preserve">月 </w:t>
      </w:r>
      <w:r>
        <w:rPr>
          <w:rFonts w:hint="eastAsia" w:ascii="Calibri" w:hAnsi="Calibri" w:eastAsia="宋体" w:cs="Times New Roman"/>
          <w:b/>
          <w:color w:val="auto"/>
          <w:kern w:val="0"/>
          <w:sz w:val="24"/>
          <w:highlight w:val="none"/>
          <w:u w:val="single"/>
        </w:rPr>
        <w:t xml:space="preserve">       </w:t>
      </w:r>
      <w:r>
        <w:rPr>
          <w:rFonts w:hint="eastAsia" w:ascii="Calibri" w:hAnsi="Calibri" w:eastAsia="宋体" w:cs="Times New Roman"/>
          <w:b/>
          <w:color w:val="auto"/>
          <w:kern w:val="0"/>
          <w:sz w:val="24"/>
          <w:highlight w:val="none"/>
        </w:rPr>
        <w:t>日</w:t>
      </w:r>
    </w:p>
    <w:p w14:paraId="3EF008D7">
      <w:pPr>
        <w:widowControl/>
        <w:jc w:val="left"/>
        <w:rPr>
          <w:rFonts w:asciiTheme="minorEastAsia" w:hAnsiTheme="minorEastAsia" w:cstheme="minorEastAsia"/>
          <w:b/>
          <w:color w:val="auto"/>
          <w:sz w:val="28"/>
          <w:szCs w:val="28"/>
          <w:highlight w:val="none"/>
        </w:rPr>
      </w:pPr>
      <w:r>
        <w:rPr>
          <w:rFonts w:asciiTheme="minorEastAsia" w:hAnsiTheme="minorEastAsia" w:cstheme="minorEastAsia"/>
          <w:b/>
          <w:color w:val="auto"/>
          <w:sz w:val="28"/>
          <w:szCs w:val="28"/>
          <w:highlight w:val="none"/>
        </w:rPr>
        <w:br w:type="page"/>
      </w:r>
    </w:p>
    <w:p w14:paraId="603E6BF8">
      <w:pPr>
        <w:spacing w:line="560" w:lineRule="exact"/>
        <w:jc w:val="center"/>
        <w:rPr>
          <w:rFonts w:asciiTheme="minorEastAsia" w:hAnsiTheme="minorEastAsia" w:cstheme="minorEastAsia"/>
          <w:b/>
          <w:color w:val="auto"/>
          <w:sz w:val="28"/>
          <w:szCs w:val="28"/>
          <w:highlight w:val="none"/>
        </w:rPr>
      </w:pPr>
      <w:r>
        <w:rPr>
          <w:rFonts w:hint="eastAsia" w:asciiTheme="minorEastAsia" w:hAnsiTheme="minorEastAsia" w:cstheme="minorEastAsia"/>
          <w:b/>
          <w:color w:val="auto"/>
          <w:sz w:val="28"/>
          <w:szCs w:val="28"/>
          <w:highlight w:val="none"/>
        </w:rPr>
        <w:t>目  录</w:t>
      </w:r>
    </w:p>
    <w:p w14:paraId="2F69CE9C">
      <w:pPr>
        <w:spacing w:line="560" w:lineRule="exact"/>
        <w:jc w:val="center"/>
        <w:rPr>
          <w:rFonts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（自拟）</w:t>
      </w:r>
    </w:p>
    <w:p w14:paraId="5E358529">
      <w:pPr>
        <w:spacing w:line="560" w:lineRule="exact"/>
        <w:rPr>
          <w:rFonts w:asciiTheme="minorEastAsia" w:hAnsiTheme="minorEastAsia" w:cstheme="minorEastAsia"/>
          <w:b/>
          <w:color w:val="auto"/>
          <w:sz w:val="28"/>
          <w:szCs w:val="28"/>
          <w:highlight w:val="none"/>
        </w:rPr>
      </w:pPr>
    </w:p>
    <w:p w14:paraId="3153493A">
      <w:pPr>
        <w:widowControl/>
        <w:spacing w:line="560" w:lineRule="exact"/>
        <w:jc w:val="left"/>
        <w:rPr>
          <w:rFonts w:asciiTheme="minorEastAsia" w:hAnsiTheme="minorEastAsia" w:cstheme="minorEastAsia"/>
          <w:b/>
          <w:color w:val="auto"/>
          <w:sz w:val="28"/>
          <w:szCs w:val="28"/>
          <w:highlight w:val="none"/>
        </w:rPr>
      </w:pPr>
      <w:r>
        <w:rPr>
          <w:rFonts w:hint="eastAsia" w:asciiTheme="minorEastAsia" w:hAnsiTheme="minorEastAsia" w:cstheme="minorEastAsia"/>
          <w:bCs/>
          <w:color w:val="auto"/>
          <w:sz w:val="28"/>
          <w:szCs w:val="28"/>
          <w:highlight w:val="none"/>
        </w:rPr>
        <w:br w:type="page"/>
      </w:r>
    </w:p>
    <w:bookmarkEnd w:id="202"/>
    <w:p w14:paraId="2CF8C6E8">
      <w:pPr>
        <w:pStyle w:val="4"/>
        <w:jc w:val="center"/>
        <w:rPr>
          <w:color w:val="auto"/>
          <w:highlight w:val="none"/>
        </w:rPr>
      </w:pPr>
      <w:r>
        <w:rPr>
          <w:rFonts w:hint="eastAsia"/>
          <w:color w:val="auto"/>
          <w:highlight w:val="none"/>
        </w:rPr>
        <w:t>一、投标函</w:t>
      </w:r>
      <w:bookmarkStart w:id="203" w:name="_Toc19389"/>
      <w:bookmarkEnd w:id="203"/>
      <w:bookmarkStart w:id="204" w:name="_Toc152045789"/>
      <w:bookmarkEnd w:id="204"/>
      <w:bookmarkStart w:id="205" w:name="_Toc179632809"/>
      <w:bookmarkEnd w:id="205"/>
      <w:bookmarkStart w:id="206" w:name="_Toc394651922"/>
      <w:bookmarkEnd w:id="206"/>
      <w:bookmarkStart w:id="207" w:name="_Toc144974858"/>
      <w:bookmarkEnd w:id="207"/>
      <w:bookmarkStart w:id="208" w:name="_Toc247085875"/>
      <w:bookmarkEnd w:id="208"/>
      <w:bookmarkStart w:id="209" w:name="_Toc152042578"/>
      <w:bookmarkEnd w:id="209"/>
      <w:bookmarkStart w:id="210" w:name="_Toc246996357"/>
      <w:bookmarkEnd w:id="210"/>
      <w:bookmarkStart w:id="211" w:name="_Toc246997100"/>
      <w:bookmarkEnd w:id="211"/>
      <w:r>
        <w:rPr>
          <w:rFonts w:hint="eastAsia"/>
          <w:color w:val="auto"/>
          <w:highlight w:val="none"/>
        </w:rPr>
        <w:t>及投标函附录</w:t>
      </w:r>
    </w:p>
    <w:p w14:paraId="4889925A">
      <w:pPr>
        <w:spacing w:line="560" w:lineRule="exact"/>
        <w:ind w:left="420"/>
        <w:jc w:val="center"/>
        <w:rPr>
          <w:rFonts w:asciiTheme="minorEastAsia" w:hAnsiTheme="minorEastAsia" w:cstheme="minorEastAsia"/>
          <w:b/>
          <w:color w:val="auto"/>
          <w:sz w:val="28"/>
          <w:szCs w:val="28"/>
          <w:highlight w:val="none"/>
        </w:rPr>
      </w:pPr>
      <w:r>
        <w:rPr>
          <w:rFonts w:hint="eastAsia" w:asciiTheme="minorEastAsia" w:hAnsiTheme="minorEastAsia" w:cstheme="minorEastAsia"/>
          <w:b/>
          <w:color w:val="auto"/>
          <w:sz w:val="28"/>
          <w:szCs w:val="28"/>
          <w:highlight w:val="none"/>
        </w:rPr>
        <w:t>（1）投标函</w:t>
      </w:r>
    </w:p>
    <w:p w14:paraId="400F8017">
      <w:pPr>
        <w:rPr>
          <w:color w:val="auto"/>
          <w:highlight w:val="none"/>
        </w:rPr>
      </w:pPr>
    </w:p>
    <w:p w14:paraId="21264355">
      <w:pPr>
        <w:spacing w:line="480" w:lineRule="exact"/>
        <w:rPr>
          <w:rFonts w:ascii="宋体" w:hAnsi="宋体" w:cs="宋体"/>
          <w:color w:val="auto"/>
          <w:sz w:val="24"/>
          <w:szCs w:val="24"/>
          <w:highlight w:val="none"/>
        </w:rPr>
      </w:pP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（采购人名称） ： </w:t>
      </w:r>
    </w:p>
    <w:p w14:paraId="79E08DF8">
      <w:pPr>
        <w:spacing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1．我方已仔细研究了</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（项目名称 ）</w:t>
      </w:r>
      <w:r>
        <w:rPr>
          <w:rFonts w:hint="eastAsia" w:ascii="宋体" w:hAnsi="宋体" w:cs="宋体"/>
          <w:color w:val="auto"/>
          <w:spacing w:val="-2"/>
          <w:sz w:val="24"/>
          <w:szCs w:val="24"/>
          <w:highlight w:val="none"/>
        </w:rPr>
        <w:t>竞争性磋商文件</w:t>
      </w:r>
      <w:r>
        <w:rPr>
          <w:rFonts w:hint="eastAsia" w:ascii="宋体" w:hAnsi="宋体" w:cs="宋体"/>
          <w:color w:val="auto"/>
          <w:sz w:val="24"/>
          <w:szCs w:val="24"/>
          <w:highlight w:val="none"/>
        </w:rPr>
        <w:t>的全部内容</w:t>
      </w:r>
      <w:r>
        <w:rPr>
          <w:rFonts w:hint="eastAsia" w:ascii="宋体" w:hAnsi="宋体" w:cs="宋体"/>
          <w:color w:val="auto"/>
          <w:spacing w:val="-2"/>
          <w:sz w:val="24"/>
          <w:szCs w:val="24"/>
          <w:highlight w:val="none"/>
        </w:rPr>
        <w:t>，按照竞争性磋商文件要求交付本次采购项目设备的投标报价为：(大写)</w:t>
      </w:r>
      <w:r>
        <w:rPr>
          <w:rFonts w:hint="eastAsia" w:ascii="宋体" w:hAnsi="宋体" w:cs="宋体"/>
          <w:color w:val="auto"/>
          <w:spacing w:val="-2"/>
          <w:sz w:val="24"/>
          <w:szCs w:val="24"/>
          <w:highlight w:val="none"/>
          <w:u w:val="single"/>
        </w:rPr>
        <w:t xml:space="preserve">      元；   小写：      </w:t>
      </w:r>
      <w:r>
        <w:rPr>
          <w:rFonts w:hint="eastAsia" w:ascii="宋体" w:hAnsi="宋体" w:cs="宋体"/>
          <w:color w:val="auto"/>
          <w:spacing w:val="-2"/>
          <w:sz w:val="24"/>
          <w:szCs w:val="24"/>
          <w:highlight w:val="none"/>
        </w:rPr>
        <w:t>元，</w:t>
      </w:r>
      <w:r>
        <w:rPr>
          <w:rFonts w:hint="eastAsia" w:ascii="宋体" w:hAnsi="宋体" w:cs="宋体"/>
          <w:color w:val="auto"/>
          <w:sz w:val="24"/>
          <w:szCs w:val="24"/>
          <w:highlight w:val="none"/>
        </w:rPr>
        <w:t>供货期</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，质保期</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14:paraId="3CDF68FD">
      <w:pPr>
        <w:spacing w:line="480" w:lineRule="exact"/>
        <w:ind w:firstLine="480" w:firstLineChars="200"/>
        <w:rPr>
          <w:rFonts w:cs="宋体"/>
          <w:color w:val="auto"/>
          <w:sz w:val="24"/>
          <w:szCs w:val="24"/>
          <w:highlight w:val="none"/>
        </w:rPr>
      </w:pPr>
      <w:r>
        <w:rPr>
          <w:rFonts w:hint="eastAsia" w:cs="宋体"/>
          <w:color w:val="auto"/>
          <w:sz w:val="24"/>
          <w:szCs w:val="24"/>
          <w:highlight w:val="none"/>
        </w:rPr>
        <w:t>2．我方承诺在竞争性磋商文件规定的投标有效期内不修改、撤销响应文件。</w:t>
      </w:r>
    </w:p>
    <w:p w14:paraId="56613A37">
      <w:pPr>
        <w:spacing w:line="480" w:lineRule="exact"/>
        <w:ind w:firstLine="480" w:firstLineChars="200"/>
        <w:outlineLvl w:val="2"/>
        <w:rPr>
          <w:rFonts w:cs="宋体"/>
          <w:color w:val="auto"/>
          <w:sz w:val="24"/>
          <w:szCs w:val="24"/>
          <w:highlight w:val="none"/>
        </w:rPr>
      </w:pPr>
      <w:r>
        <w:rPr>
          <w:rFonts w:hint="eastAsia" w:cs="宋体"/>
          <w:color w:val="auto"/>
          <w:sz w:val="24"/>
          <w:szCs w:val="24"/>
          <w:highlight w:val="none"/>
        </w:rPr>
        <w:t>3．如我方中标：</w:t>
      </w:r>
    </w:p>
    <w:p w14:paraId="2FF110F8">
      <w:pPr>
        <w:spacing w:line="480" w:lineRule="exact"/>
        <w:ind w:firstLine="818" w:firstLineChars="341"/>
        <w:rPr>
          <w:rFonts w:cs="宋体"/>
          <w:color w:val="auto"/>
          <w:sz w:val="24"/>
          <w:szCs w:val="24"/>
          <w:highlight w:val="none"/>
        </w:rPr>
      </w:pPr>
      <w:r>
        <w:rPr>
          <w:rFonts w:hint="eastAsia" w:cs="宋体"/>
          <w:color w:val="auto"/>
          <w:sz w:val="24"/>
          <w:szCs w:val="24"/>
          <w:highlight w:val="none"/>
        </w:rPr>
        <w:t>（1）我方承诺在收到中标通知书后，在中标通知书规定的期限内与你方签订合同。</w:t>
      </w:r>
    </w:p>
    <w:p w14:paraId="23102940">
      <w:pPr>
        <w:spacing w:line="480" w:lineRule="exact"/>
        <w:ind w:firstLine="818" w:firstLineChars="341"/>
        <w:rPr>
          <w:rFonts w:cs="宋体"/>
          <w:color w:val="auto"/>
          <w:sz w:val="24"/>
          <w:szCs w:val="24"/>
          <w:highlight w:val="none"/>
        </w:rPr>
      </w:pPr>
      <w:r>
        <w:rPr>
          <w:rFonts w:hint="eastAsia" w:cs="宋体"/>
          <w:color w:val="auto"/>
          <w:sz w:val="24"/>
          <w:szCs w:val="24"/>
          <w:highlight w:val="none"/>
        </w:rPr>
        <w:t>（2）随同本投标函递交的投标函附录属于合同文件的组成部分。</w:t>
      </w:r>
    </w:p>
    <w:p w14:paraId="2C55BDC3">
      <w:pPr>
        <w:spacing w:line="480" w:lineRule="exact"/>
        <w:ind w:firstLine="818" w:firstLineChars="341"/>
        <w:rPr>
          <w:rFonts w:cs="宋体"/>
          <w:color w:val="auto"/>
          <w:sz w:val="24"/>
          <w:szCs w:val="24"/>
          <w:highlight w:val="none"/>
        </w:rPr>
      </w:pPr>
      <w:r>
        <w:rPr>
          <w:rFonts w:hint="eastAsia" w:cs="宋体"/>
          <w:color w:val="auto"/>
          <w:sz w:val="24"/>
          <w:szCs w:val="24"/>
          <w:highlight w:val="none"/>
        </w:rPr>
        <w:t>（3）我方承诺按照竞争性磋商文件规定向你方递交履约担保。</w:t>
      </w:r>
    </w:p>
    <w:p w14:paraId="57EE139A">
      <w:pPr>
        <w:spacing w:line="480" w:lineRule="exact"/>
        <w:ind w:firstLine="818" w:firstLineChars="341"/>
        <w:rPr>
          <w:rFonts w:cs="宋体"/>
          <w:color w:val="auto"/>
          <w:sz w:val="24"/>
          <w:szCs w:val="24"/>
          <w:highlight w:val="none"/>
        </w:rPr>
      </w:pPr>
      <w:r>
        <w:rPr>
          <w:rFonts w:hint="eastAsia" w:cs="宋体"/>
          <w:color w:val="auto"/>
          <w:sz w:val="24"/>
          <w:szCs w:val="24"/>
          <w:highlight w:val="none"/>
        </w:rPr>
        <w:t>（4）我方承诺在合同约定的期限内完成并移交全部合同工程。</w:t>
      </w:r>
    </w:p>
    <w:p w14:paraId="6693D5E6">
      <w:pPr>
        <w:spacing w:line="480" w:lineRule="exact"/>
        <w:rPr>
          <w:rFonts w:cs="宋体"/>
          <w:color w:val="auto"/>
          <w:sz w:val="24"/>
          <w:szCs w:val="24"/>
          <w:highlight w:val="none"/>
        </w:rPr>
      </w:pPr>
      <w:r>
        <w:rPr>
          <w:rFonts w:hint="eastAsia" w:cs="宋体"/>
          <w:color w:val="auto"/>
          <w:sz w:val="24"/>
          <w:szCs w:val="24"/>
          <w:highlight w:val="none"/>
        </w:rPr>
        <w:t xml:space="preserve">    4．我方在此声明，所递交的响应文件及有关资料内容完整、真实和准确。</w:t>
      </w:r>
    </w:p>
    <w:p w14:paraId="0A9293A3">
      <w:pPr>
        <w:spacing w:line="480" w:lineRule="exact"/>
        <w:ind w:firstLine="480" w:firstLineChars="200"/>
        <w:rPr>
          <w:rFonts w:cs="宋体"/>
          <w:color w:val="auto"/>
          <w:sz w:val="24"/>
          <w:szCs w:val="24"/>
          <w:highlight w:val="none"/>
        </w:rPr>
      </w:pPr>
      <w:r>
        <w:rPr>
          <w:rFonts w:hint="eastAsia" w:cs="宋体"/>
          <w:color w:val="auto"/>
          <w:sz w:val="24"/>
          <w:szCs w:val="24"/>
          <w:highlight w:val="none"/>
        </w:rPr>
        <w:t>5．（其他补充说明）。</w:t>
      </w:r>
    </w:p>
    <w:p w14:paraId="6F8E7B3A">
      <w:pPr>
        <w:spacing w:line="480" w:lineRule="exact"/>
        <w:ind w:firstLine="4200" w:firstLineChars="1750"/>
        <w:rPr>
          <w:rFonts w:ascii="宋体" w:hAnsi="宋体" w:cs="宋体"/>
          <w:color w:val="auto"/>
          <w:sz w:val="24"/>
          <w:highlight w:val="none"/>
        </w:rPr>
      </w:pPr>
    </w:p>
    <w:p w14:paraId="65AA4373">
      <w:pPr>
        <w:spacing w:line="480" w:lineRule="exact"/>
        <w:ind w:firstLine="4200" w:firstLineChars="1750"/>
        <w:rPr>
          <w:rFonts w:ascii="宋体" w:hAnsi="宋体" w:cs="宋体"/>
          <w:color w:val="auto"/>
          <w:sz w:val="24"/>
          <w:highlight w:val="none"/>
        </w:rPr>
      </w:pPr>
    </w:p>
    <w:p w14:paraId="260F3700">
      <w:pPr>
        <w:spacing w:line="540" w:lineRule="exact"/>
        <w:jc w:val="right"/>
        <w:rPr>
          <w:rFonts w:ascii="Calibri" w:hAnsi="Calibri" w:eastAsia="宋体" w:cs="Times New Roman"/>
          <w:color w:val="auto"/>
          <w:kern w:val="0"/>
          <w:sz w:val="24"/>
          <w:highlight w:val="none"/>
          <w:u w:val="single"/>
        </w:rPr>
      </w:pPr>
      <w:r>
        <w:rPr>
          <w:rFonts w:hint="eastAsia" w:asciiTheme="minorEastAsia" w:hAnsiTheme="minorEastAsia" w:cstheme="minorEastAsia"/>
          <w:color w:val="auto"/>
          <w:sz w:val="28"/>
          <w:szCs w:val="28"/>
          <w:highlight w:val="none"/>
        </w:rPr>
        <w:t xml:space="preserve">                       </w:t>
      </w:r>
      <w:r>
        <w:rPr>
          <w:rFonts w:hint="eastAsia" w:ascii="Calibri" w:hAnsi="Calibri" w:eastAsia="宋体" w:cs="Times New Roman"/>
          <w:color w:val="auto"/>
          <w:kern w:val="0"/>
          <w:sz w:val="24"/>
          <w:highlight w:val="none"/>
        </w:rPr>
        <w:t>供应商</w:t>
      </w:r>
      <w:r>
        <w:rPr>
          <w:rFonts w:ascii="Calibri" w:hAnsi="Calibri" w:eastAsia="宋体" w:cs="Times New Roman"/>
          <w:color w:val="auto"/>
          <w:kern w:val="0"/>
          <w:sz w:val="24"/>
          <w:highlight w:val="none"/>
        </w:rPr>
        <w:t>：</w:t>
      </w:r>
      <w:r>
        <w:rPr>
          <w:rFonts w:ascii="Calibri" w:hAnsi="Calibri" w:eastAsia="宋体" w:cs="Times New Roman"/>
          <w:color w:val="auto"/>
          <w:kern w:val="0"/>
          <w:sz w:val="24"/>
          <w:highlight w:val="none"/>
          <w:u w:val="single"/>
        </w:rPr>
        <w:t xml:space="preserve">                      （</w:t>
      </w:r>
      <w:r>
        <w:rPr>
          <w:rFonts w:hint="eastAsia" w:ascii="Calibri" w:hAnsi="Calibri" w:eastAsia="宋体" w:cs="Times New Roman"/>
          <w:color w:val="auto"/>
          <w:kern w:val="0"/>
          <w:sz w:val="24"/>
          <w:highlight w:val="none"/>
          <w:u w:val="single"/>
        </w:rPr>
        <w:t>盖单位公章</w:t>
      </w:r>
      <w:r>
        <w:rPr>
          <w:rFonts w:ascii="Calibri" w:hAnsi="Calibri" w:eastAsia="宋体" w:cs="Times New Roman"/>
          <w:color w:val="auto"/>
          <w:kern w:val="0"/>
          <w:sz w:val="24"/>
          <w:highlight w:val="none"/>
          <w:u w:val="single"/>
        </w:rPr>
        <w:t>）</w:t>
      </w:r>
    </w:p>
    <w:p w14:paraId="2873121A">
      <w:pPr>
        <w:widowControl/>
        <w:spacing w:line="540" w:lineRule="exact"/>
        <w:ind w:firstLine="360"/>
        <w:jc w:val="right"/>
        <w:rPr>
          <w:rFonts w:ascii="Calibri" w:hAnsi="Calibri" w:eastAsia="宋体" w:cs="Times New Roman"/>
          <w:color w:val="auto"/>
          <w:kern w:val="0"/>
          <w:sz w:val="24"/>
          <w:highlight w:val="none"/>
          <w:u w:val="single"/>
        </w:rPr>
      </w:pPr>
      <w:r>
        <w:rPr>
          <w:rFonts w:ascii="Calibri" w:hAnsi="Calibri" w:eastAsia="宋体" w:cs="Times New Roman"/>
          <w:color w:val="auto"/>
          <w:kern w:val="0"/>
          <w:sz w:val="24"/>
          <w:highlight w:val="none"/>
        </w:rPr>
        <w:t xml:space="preserve">法定代表人： </w:t>
      </w:r>
      <w:r>
        <w:rPr>
          <w:rFonts w:ascii="Calibri" w:hAnsi="Calibri" w:eastAsia="宋体" w:cs="Times New Roman"/>
          <w:color w:val="auto"/>
          <w:kern w:val="0"/>
          <w:sz w:val="24"/>
          <w:highlight w:val="none"/>
          <w:u w:val="single"/>
        </w:rPr>
        <w:t xml:space="preserve">             （</w:t>
      </w:r>
      <w:r>
        <w:rPr>
          <w:rFonts w:hint="eastAsia" w:ascii="Calibri" w:hAnsi="Calibri" w:eastAsia="宋体" w:cs="Times New Roman"/>
          <w:color w:val="auto"/>
          <w:kern w:val="0"/>
          <w:sz w:val="24"/>
          <w:highlight w:val="none"/>
          <w:u w:val="single"/>
        </w:rPr>
        <w:t>电子签章</w:t>
      </w:r>
      <w:r>
        <w:rPr>
          <w:rFonts w:ascii="Calibri" w:hAnsi="Calibri" w:eastAsia="宋体" w:cs="Times New Roman"/>
          <w:color w:val="auto"/>
          <w:kern w:val="0"/>
          <w:sz w:val="24"/>
          <w:highlight w:val="none"/>
          <w:u w:val="single"/>
        </w:rPr>
        <w:t>）</w:t>
      </w:r>
    </w:p>
    <w:p w14:paraId="6CFB92AD">
      <w:pPr>
        <w:widowControl/>
        <w:spacing w:line="540" w:lineRule="exact"/>
        <w:ind w:firstLine="360"/>
        <w:jc w:val="right"/>
        <w:rPr>
          <w:rFonts w:ascii="Calibri" w:hAnsi="Calibri" w:eastAsia="宋体" w:cs="Times New Roman"/>
          <w:color w:val="auto"/>
          <w:kern w:val="0"/>
          <w:sz w:val="24"/>
          <w:highlight w:val="none"/>
        </w:rPr>
      </w:pPr>
      <w:r>
        <w:rPr>
          <w:rFonts w:ascii="Calibri" w:hAnsi="Calibri" w:eastAsia="宋体" w:cs="Times New Roman"/>
          <w:color w:val="auto"/>
          <w:kern w:val="0"/>
          <w:sz w:val="24"/>
          <w:highlight w:val="none"/>
        </w:rPr>
        <w:t>日期：</w:t>
      </w:r>
      <w:r>
        <w:rPr>
          <w:rFonts w:ascii="Calibri" w:hAnsi="Calibri" w:eastAsia="宋体" w:cs="Times New Roman"/>
          <w:color w:val="auto"/>
          <w:kern w:val="0"/>
          <w:sz w:val="24"/>
          <w:highlight w:val="none"/>
          <w:u w:val="single"/>
        </w:rPr>
        <w:t xml:space="preserve">        </w:t>
      </w:r>
      <w:r>
        <w:rPr>
          <w:rFonts w:ascii="Calibri" w:hAnsi="Calibri" w:eastAsia="宋体" w:cs="Times New Roman"/>
          <w:color w:val="auto"/>
          <w:kern w:val="0"/>
          <w:sz w:val="24"/>
          <w:highlight w:val="none"/>
        </w:rPr>
        <w:t>年</w:t>
      </w:r>
      <w:r>
        <w:rPr>
          <w:rFonts w:ascii="Calibri" w:hAnsi="Calibri" w:eastAsia="宋体" w:cs="Times New Roman"/>
          <w:color w:val="auto"/>
          <w:kern w:val="0"/>
          <w:sz w:val="24"/>
          <w:highlight w:val="none"/>
          <w:u w:val="single"/>
        </w:rPr>
        <w:t xml:space="preserve">      </w:t>
      </w:r>
      <w:r>
        <w:rPr>
          <w:rFonts w:ascii="Calibri" w:hAnsi="Calibri" w:eastAsia="宋体" w:cs="Times New Roman"/>
          <w:color w:val="auto"/>
          <w:kern w:val="0"/>
          <w:sz w:val="24"/>
          <w:highlight w:val="none"/>
        </w:rPr>
        <w:t>月</w:t>
      </w:r>
      <w:r>
        <w:rPr>
          <w:rFonts w:ascii="Calibri" w:hAnsi="Calibri" w:eastAsia="宋体" w:cs="Times New Roman"/>
          <w:color w:val="auto"/>
          <w:kern w:val="0"/>
          <w:sz w:val="24"/>
          <w:highlight w:val="none"/>
          <w:u w:val="single"/>
        </w:rPr>
        <w:t xml:space="preserve">      </w:t>
      </w:r>
      <w:r>
        <w:rPr>
          <w:rFonts w:ascii="Calibri" w:hAnsi="Calibri" w:eastAsia="宋体" w:cs="Times New Roman"/>
          <w:color w:val="auto"/>
          <w:kern w:val="0"/>
          <w:sz w:val="24"/>
          <w:highlight w:val="none"/>
        </w:rPr>
        <w:t>日</w:t>
      </w:r>
    </w:p>
    <w:p w14:paraId="66351C6F">
      <w:pPr>
        <w:jc w:val="center"/>
        <w:rPr>
          <w:rFonts w:ascii="宋体" w:hAnsi="宋体" w:cs="宋体"/>
          <w:b/>
          <w:bCs/>
          <w:color w:val="auto"/>
          <w:sz w:val="24"/>
          <w:highlight w:val="none"/>
        </w:rPr>
      </w:pPr>
      <w:r>
        <w:rPr>
          <w:rFonts w:hint="eastAsia" w:ascii="宋体" w:hAnsi="宋体" w:cs="宋体"/>
          <w:b/>
          <w:bCs/>
          <w:color w:val="auto"/>
          <w:sz w:val="24"/>
          <w:highlight w:val="none"/>
        </w:rPr>
        <w:br w:type="page"/>
      </w:r>
      <w:bookmarkStart w:id="212" w:name="_Toc528078068"/>
      <w:bookmarkEnd w:id="212"/>
      <w:r>
        <w:rPr>
          <w:rFonts w:hint="eastAsia" w:ascii="宋体" w:hAnsi="宋体" w:cs="宋体"/>
          <w:b/>
          <w:bCs/>
          <w:color w:val="auto"/>
          <w:sz w:val="24"/>
          <w:highlight w:val="none"/>
        </w:rPr>
        <w:t>（2）投标函附录</w:t>
      </w:r>
    </w:p>
    <w:tbl>
      <w:tblPr>
        <w:tblStyle w:val="21"/>
        <w:tblW w:w="0" w:type="auto"/>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1768"/>
        <w:gridCol w:w="6733"/>
      </w:tblGrid>
      <w:tr w14:paraId="6F7086D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59" w:hRule="atLeast"/>
        </w:trPr>
        <w:tc>
          <w:tcPr>
            <w:tcW w:w="1768" w:type="dxa"/>
            <w:tcBorders>
              <w:top w:val="single" w:color="auto" w:sz="4" w:space="0"/>
              <w:left w:val="single" w:color="auto" w:sz="4" w:space="0"/>
              <w:bottom w:val="single" w:color="auto" w:sz="4" w:space="0"/>
              <w:right w:val="single" w:color="auto" w:sz="4" w:space="0"/>
            </w:tcBorders>
            <w:vAlign w:val="center"/>
          </w:tcPr>
          <w:p w14:paraId="55BAF29F">
            <w:pPr>
              <w:spacing w:line="480" w:lineRule="exact"/>
              <w:jc w:val="center"/>
              <w:rPr>
                <w:rFonts w:cs="宋体"/>
                <w:color w:val="auto"/>
                <w:sz w:val="24"/>
                <w:szCs w:val="24"/>
                <w:highlight w:val="none"/>
              </w:rPr>
            </w:pPr>
            <w:r>
              <w:rPr>
                <w:rFonts w:hint="eastAsia" w:cs="宋体"/>
                <w:color w:val="auto"/>
                <w:sz w:val="24"/>
                <w:szCs w:val="24"/>
                <w:highlight w:val="none"/>
              </w:rPr>
              <w:t>项目名称</w:t>
            </w:r>
          </w:p>
        </w:tc>
        <w:tc>
          <w:tcPr>
            <w:tcW w:w="6733" w:type="dxa"/>
            <w:tcBorders>
              <w:top w:val="single" w:color="auto" w:sz="4" w:space="0"/>
              <w:left w:val="nil"/>
              <w:bottom w:val="single" w:color="auto" w:sz="4" w:space="0"/>
              <w:right w:val="single" w:color="auto" w:sz="4" w:space="0"/>
            </w:tcBorders>
            <w:vAlign w:val="center"/>
          </w:tcPr>
          <w:p w14:paraId="1666269B">
            <w:pPr>
              <w:spacing w:line="480" w:lineRule="exact"/>
              <w:ind w:firstLine="818" w:firstLineChars="341"/>
              <w:rPr>
                <w:rFonts w:cs="宋体"/>
                <w:color w:val="auto"/>
                <w:sz w:val="24"/>
                <w:szCs w:val="24"/>
                <w:highlight w:val="none"/>
              </w:rPr>
            </w:pPr>
          </w:p>
        </w:tc>
      </w:tr>
      <w:tr w14:paraId="38B6A1E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59" w:hRule="atLeast"/>
        </w:trPr>
        <w:tc>
          <w:tcPr>
            <w:tcW w:w="1768" w:type="dxa"/>
            <w:tcBorders>
              <w:top w:val="single" w:color="auto" w:sz="4" w:space="0"/>
              <w:left w:val="single" w:color="auto" w:sz="4" w:space="0"/>
              <w:bottom w:val="single" w:color="auto" w:sz="4" w:space="0"/>
              <w:right w:val="single" w:color="auto" w:sz="4" w:space="0"/>
            </w:tcBorders>
            <w:vAlign w:val="center"/>
          </w:tcPr>
          <w:p w14:paraId="6F7CB275">
            <w:pPr>
              <w:spacing w:line="480" w:lineRule="exact"/>
              <w:jc w:val="center"/>
              <w:rPr>
                <w:rFonts w:cs="宋体"/>
                <w:color w:val="auto"/>
                <w:sz w:val="24"/>
                <w:szCs w:val="24"/>
                <w:highlight w:val="none"/>
              </w:rPr>
            </w:pPr>
            <w:r>
              <w:rPr>
                <w:rFonts w:hint="eastAsia" w:cs="宋体"/>
                <w:color w:val="auto"/>
                <w:sz w:val="24"/>
                <w:szCs w:val="24"/>
                <w:highlight w:val="none"/>
              </w:rPr>
              <w:t>供应商名称</w:t>
            </w:r>
          </w:p>
        </w:tc>
        <w:tc>
          <w:tcPr>
            <w:tcW w:w="6733" w:type="dxa"/>
            <w:tcBorders>
              <w:top w:val="single" w:color="auto" w:sz="4" w:space="0"/>
              <w:left w:val="nil"/>
              <w:bottom w:val="single" w:color="auto" w:sz="4" w:space="0"/>
              <w:right w:val="single" w:color="auto" w:sz="4" w:space="0"/>
            </w:tcBorders>
            <w:vAlign w:val="center"/>
          </w:tcPr>
          <w:p w14:paraId="08E57D14">
            <w:pPr>
              <w:spacing w:line="480" w:lineRule="exact"/>
              <w:ind w:firstLine="818" w:firstLineChars="341"/>
              <w:rPr>
                <w:rFonts w:cs="宋体"/>
                <w:color w:val="auto"/>
                <w:sz w:val="24"/>
                <w:szCs w:val="24"/>
                <w:highlight w:val="none"/>
              </w:rPr>
            </w:pPr>
          </w:p>
        </w:tc>
      </w:tr>
      <w:tr w14:paraId="7F6CC27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59" w:hRule="atLeast"/>
        </w:trPr>
        <w:tc>
          <w:tcPr>
            <w:tcW w:w="1768" w:type="dxa"/>
            <w:tcBorders>
              <w:top w:val="single" w:color="auto" w:sz="4" w:space="0"/>
              <w:left w:val="single" w:color="auto" w:sz="4" w:space="0"/>
              <w:bottom w:val="single" w:color="auto" w:sz="4" w:space="0"/>
              <w:right w:val="single" w:color="auto" w:sz="4" w:space="0"/>
            </w:tcBorders>
            <w:vAlign w:val="center"/>
          </w:tcPr>
          <w:p w14:paraId="1FD5D2A0">
            <w:pPr>
              <w:spacing w:line="480" w:lineRule="exact"/>
              <w:jc w:val="center"/>
              <w:rPr>
                <w:rFonts w:cs="宋体"/>
                <w:color w:val="auto"/>
                <w:sz w:val="24"/>
                <w:szCs w:val="24"/>
                <w:highlight w:val="none"/>
              </w:rPr>
            </w:pPr>
            <w:r>
              <w:rPr>
                <w:rFonts w:hint="eastAsia" w:cs="宋体"/>
                <w:color w:val="auto"/>
                <w:sz w:val="24"/>
                <w:szCs w:val="24"/>
                <w:highlight w:val="none"/>
              </w:rPr>
              <w:t>供应商地址</w:t>
            </w:r>
          </w:p>
        </w:tc>
        <w:tc>
          <w:tcPr>
            <w:tcW w:w="6733" w:type="dxa"/>
            <w:tcBorders>
              <w:top w:val="single" w:color="auto" w:sz="4" w:space="0"/>
              <w:left w:val="nil"/>
              <w:bottom w:val="single" w:color="auto" w:sz="4" w:space="0"/>
              <w:right w:val="single" w:color="auto" w:sz="4" w:space="0"/>
            </w:tcBorders>
            <w:vAlign w:val="center"/>
          </w:tcPr>
          <w:p w14:paraId="1C17EC44">
            <w:pPr>
              <w:spacing w:line="480" w:lineRule="exact"/>
              <w:ind w:firstLine="818" w:firstLineChars="341"/>
              <w:rPr>
                <w:rFonts w:cs="宋体"/>
                <w:color w:val="auto"/>
                <w:sz w:val="24"/>
                <w:szCs w:val="24"/>
                <w:highlight w:val="none"/>
              </w:rPr>
            </w:pPr>
          </w:p>
        </w:tc>
      </w:tr>
      <w:tr w14:paraId="52C74BD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59" w:hRule="atLeast"/>
        </w:trPr>
        <w:tc>
          <w:tcPr>
            <w:tcW w:w="1768" w:type="dxa"/>
            <w:tcBorders>
              <w:top w:val="single" w:color="auto" w:sz="4" w:space="0"/>
              <w:left w:val="single" w:color="auto" w:sz="4" w:space="0"/>
              <w:bottom w:val="single" w:color="auto" w:sz="4" w:space="0"/>
              <w:right w:val="single" w:color="auto" w:sz="4" w:space="0"/>
            </w:tcBorders>
            <w:vAlign w:val="center"/>
          </w:tcPr>
          <w:p w14:paraId="5E102B4C">
            <w:pPr>
              <w:spacing w:line="480" w:lineRule="exact"/>
              <w:jc w:val="center"/>
              <w:rPr>
                <w:rFonts w:cs="宋体"/>
                <w:color w:val="auto"/>
                <w:sz w:val="24"/>
                <w:szCs w:val="24"/>
                <w:highlight w:val="none"/>
              </w:rPr>
            </w:pPr>
            <w:r>
              <w:rPr>
                <w:rFonts w:hint="eastAsia" w:cs="宋体"/>
                <w:color w:val="auto"/>
                <w:sz w:val="24"/>
                <w:szCs w:val="24"/>
                <w:highlight w:val="none"/>
              </w:rPr>
              <w:t>供应商统一社会信用代码</w:t>
            </w:r>
          </w:p>
        </w:tc>
        <w:tc>
          <w:tcPr>
            <w:tcW w:w="6733" w:type="dxa"/>
            <w:tcBorders>
              <w:top w:val="single" w:color="auto" w:sz="4" w:space="0"/>
              <w:left w:val="nil"/>
              <w:bottom w:val="single" w:color="auto" w:sz="4" w:space="0"/>
              <w:right w:val="single" w:color="auto" w:sz="4" w:space="0"/>
            </w:tcBorders>
            <w:vAlign w:val="center"/>
          </w:tcPr>
          <w:p w14:paraId="7186425A">
            <w:pPr>
              <w:spacing w:line="480" w:lineRule="exact"/>
              <w:ind w:firstLine="818" w:firstLineChars="341"/>
              <w:rPr>
                <w:rFonts w:cs="宋体"/>
                <w:color w:val="auto"/>
                <w:sz w:val="24"/>
                <w:szCs w:val="24"/>
                <w:highlight w:val="none"/>
              </w:rPr>
            </w:pPr>
          </w:p>
        </w:tc>
      </w:tr>
      <w:tr w14:paraId="48B16E5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60" w:hRule="atLeast"/>
        </w:trPr>
        <w:tc>
          <w:tcPr>
            <w:tcW w:w="1768" w:type="dxa"/>
            <w:tcBorders>
              <w:top w:val="single" w:color="auto" w:sz="4" w:space="0"/>
              <w:left w:val="single" w:color="auto" w:sz="4" w:space="0"/>
              <w:bottom w:val="nil"/>
              <w:right w:val="single" w:color="auto" w:sz="4" w:space="0"/>
            </w:tcBorders>
            <w:vAlign w:val="center"/>
          </w:tcPr>
          <w:p w14:paraId="56515586">
            <w:pPr>
              <w:spacing w:line="480" w:lineRule="exact"/>
              <w:jc w:val="center"/>
              <w:rPr>
                <w:rFonts w:cs="宋体"/>
                <w:color w:val="auto"/>
                <w:sz w:val="24"/>
                <w:szCs w:val="24"/>
                <w:highlight w:val="none"/>
              </w:rPr>
            </w:pPr>
            <w:r>
              <w:rPr>
                <w:rFonts w:hint="eastAsia" w:cs="宋体"/>
                <w:color w:val="auto"/>
                <w:sz w:val="24"/>
                <w:szCs w:val="24"/>
                <w:highlight w:val="none"/>
              </w:rPr>
              <w:t>投标报价</w:t>
            </w:r>
          </w:p>
        </w:tc>
        <w:tc>
          <w:tcPr>
            <w:tcW w:w="6733" w:type="dxa"/>
            <w:tcBorders>
              <w:top w:val="single" w:color="auto" w:sz="4" w:space="0"/>
              <w:left w:val="nil"/>
              <w:bottom w:val="single" w:color="auto" w:sz="4" w:space="0"/>
              <w:right w:val="single" w:color="auto" w:sz="4" w:space="0"/>
            </w:tcBorders>
            <w:vAlign w:val="center"/>
          </w:tcPr>
          <w:p w14:paraId="204BE9A6">
            <w:pPr>
              <w:spacing w:line="480" w:lineRule="exact"/>
              <w:ind w:firstLine="818" w:firstLineChars="341"/>
              <w:rPr>
                <w:rFonts w:cs="宋体"/>
                <w:color w:val="auto"/>
                <w:sz w:val="24"/>
                <w:szCs w:val="24"/>
                <w:highlight w:val="none"/>
              </w:rPr>
            </w:pPr>
            <w:r>
              <w:rPr>
                <w:rFonts w:hint="eastAsia" w:cs="宋体"/>
                <w:color w:val="auto"/>
                <w:sz w:val="24"/>
                <w:szCs w:val="24"/>
                <w:highlight w:val="none"/>
              </w:rPr>
              <w:t>（大写）     ，    （小写）    元</w:t>
            </w:r>
          </w:p>
        </w:tc>
      </w:tr>
      <w:tr w14:paraId="040E440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08" w:hRule="atLeast"/>
        </w:trPr>
        <w:tc>
          <w:tcPr>
            <w:tcW w:w="1768" w:type="dxa"/>
            <w:tcBorders>
              <w:top w:val="single" w:color="auto" w:sz="4" w:space="0"/>
              <w:left w:val="single" w:color="auto" w:sz="4" w:space="0"/>
              <w:bottom w:val="nil"/>
              <w:right w:val="single" w:color="auto" w:sz="4" w:space="0"/>
            </w:tcBorders>
            <w:vAlign w:val="center"/>
          </w:tcPr>
          <w:p w14:paraId="67233C18">
            <w:pPr>
              <w:spacing w:line="480" w:lineRule="exact"/>
              <w:jc w:val="center"/>
              <w:rPr>
                <w:rFonts w:cs="宋体"/>
                <w:color w:val="auto"/>
                <w:sz w:val="24"/>
                <w:szCs w:val="24"/>
                <w:highlight w:val="none"/>
              </w:rPr>
            </w:pPr>
            <w:r>
              <w:rPr>
                <w:rFonts w:hint="eastAsia" w:cs="宋体"/>
                <w:color w:val="auto"/>
                <w:sz w:val="24"/>
                <w:szCs w:val="24"/>
                <w:highlight w:val="none"/>
              </w:rPr>
              <w:t>供货期</w:t>
            </w:r>
          </w:p>
        </w:tc>
        <w:tc>
          <w:tcPr>
            <w:tcW w:w="6733" w:type="dxa"/>
            <w:tcBorders>
              <w:top w:val="single" w:color="auto" w:sz="4" w:space="0"/>
              <w:left w:val="nil"/>
              <w:bottom w:val="single" w:color="auto" w:sz="4" w:space="0"/>
              <w:right w:val="single" w:color="auto" w:sz="4" w:space="0"/>
            </w:tcBorders>
            <w:vAlign w:val="center"/>
          </w:tcPr>
          <w:p w14:paraId="181D32F7">
            <w:pPr>
              <w:spacing w:line="480" w:lineRule="exact"/>
              <w:rPr>
                <w:rFonts w:cs="宋体"/>
                <w:color w:val="auto"/>
                <w:sz w:val="24"/>
                <w:szCs w:val="24"/>
                <w:highlight w:val="none"/>
              </w:rPr>
            </w:pPr>
          </w:p>
        </w:tc>
      </w:tr>
      <w:tr w14:paraId="0BC68A3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923" w:hRule="atLeast"/>
        </w:trPr>
        <w:tc>
          <w:tcPr>
            <w:tcW w:w="1768" w:type="dxa"/>
            <w:tcBorders>
              <w:top w:val="single" w:color="auto" w:sz="4" w:space="0"/>
              <w:left w:val="single" w:color="auto" w:sz="4" w:space="0"/>
              <w:bottom w:val="single" w:color="auto" w:sz="4" w:space="0"/>
              <w:right w:val="single" w:color="auto" w:sz="4" w:space="0"/>
            </w:tcBorders>
            <w:vAlign w:val="center"/>
          </w:tcPr>
          <w:p w14:paraId="06820906">
            <w:pPr>
              <w:spacing w:line="480" w:lineRule="exact"/>
              <w:jc w:val="center"/>
              <w:rPr>
                <w:rFonts w:cs="宋体"/>
                <w:color w:val="auto"/>
                <w:sz w:val="24"/>
                <w:szCs w:val="24"/>
                <w:highlight w:val="none"/>
              </w:rPr>
            </w:pPr>
            <w:r>
              <w:rPr>
                <w:rFonts w:hint="eastAsia" w:cs="宋体"/>
                <w:color w:val="auto"/>
                <w:sz w:val="24"/>
                <w:szCs w:val="24"/>
                <w:highlight w:val="none"/>
              </w:rPr>
              <w:t>质保期</w:t>
            </w:r>
          </w:p>
        </w:tc>
        <w:tc>
          <w:tcPr>
            <w:tcW w:w="6733" w:type="dxa"/>
            <w:tcBorders>
              <w:top w:val="single" w:color="auto" w:sz="4" w:space="0"/>
              <w:left w:val="nil"/>
              <w:bottom w:val="single" w:color="auto" w:sz="4" w:space="0"/>
              <w:right w:val="single" w:color="auto" w:sz="4" w:space="0"/>
            </w:tcBorders>
            <w:vAlign w:val="center"/>
          </w:tcPr>
          <w:p w14:paraId="57ECFBAD">
            <w:pPr>
              <w:spacing w:line="480" w:lineRule="exact"/>
              <w:ind w:firstLine="818" w:firstLineChars="341"/>
              <w:rPr>
                <w:rFonts w:cs="宋体"/>
                <w:color w:val="auto"/>
                <w:sz w:val="24"/>
                <w:szCs w:val="24"/>
                <w:highlight w:val="none"/>
              </w:rPr>
            </w:pPr>
          </w:p>
        </w:tc>
      </w:tr>
      <w:tr w14:paraId="1AB7AA4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923" w:hRule="atLeast"/>
        </w:trPr>
        <w:tc>
          <w:tcPr>
            <w:tcW w:w="1768" w:type="dxa"/>
            <w:tcBorders>
              <w:top w:val="single" w:color="auto" w:sz="4" w:space="0"/>
              <w:left w:val="single" w:color="auto" w:sz="4" w:space="0"/>
              <w:bottom w:val="single" w:color="auto" w:sz="4" w:space="0"/>
              <w:right w:val="single" w:color="auto" w:sz="4" w:space="0"/>
            </w:tcBorders>
            <w:vAlign w:val="center"/>
          </w:tcPr>
          <w:p w14:paraId="53544AA4">
            <w:pPr>
              <w:spacing w:line="480" w:lineRule="exact"/>
              <w:jc w:val="center"/>
              <w:rPr>
                <w:rFonts w:cs="宋体"/>
                <w:color w:val="auto"/>
                <w:sz w:val="24"/>
                <w:szCs w:val="24"/>
                <w:highlight w:val="none"/>
              </w:rPr>
            </w:pPr>
            <w:r>
              <w:rPr>
                <w:rFonts w:hint="eastAsia" w:cs="宋体"/>
                <w:color w:val="auto"/>
                <w:sz w:val="24"/>
                <w:szCs w:val="24"/>
                <w:highlight w:val="none"/>
              </w:rPr>
              <w:t>质量要求</w:t>
            </w:r>
          </w:p>
        </w:tc>
        <w:tc>
          <w:tcPr>
            <w:tcW w:w="6733" w:type="dxa"/>
            <w:tcBorders>
              <w:top w:val="single" w:color="auto" w:sz="4" w:space="0"/>
              <w:left w:val="nil"/>
              <w:bottom w:val="single" w:color="auto" w:sz="4" w:space="0"/>
              <w:right w:val="single" w:color="auto" w:sz="4" w:space="0"/>
            </w:tcBorders>
            <w:vAlign w:val="center"/>
          </w:tcPr>
          <w:p w14:paraId="125D292D">
            <w:pPr>
              <w:spacing w:line="480" w:lineRule="exact"/>
              <w:ind w:firstLine="818" w:firstLineChars="341"/>
              <w:rPr>
                <w:rFonts w:cs="宋体"/>
                <w:color w:val="auto"/>
                <w:sz w:val="24"/>
                <w:szCs w:val="24"/>
                <w:highlight w:val="none"/>
              </w:rPr>
            </w:pPr>
          </w:p>
        </w:tc>
      </w:tr>
      <w:tr w14:paraId="218BF46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923" w:hRule="atLeast"/>
        </w:trPr>
        <w:tc>
          <w:tcPr>
            <w:tcW w:w="1768" w:type="dxa"/>
            <w:tcBorders>
              <w:top w:val="single" w:color="auto" w:sz="4" w:space="0"/>
              <w:left w:val="single" w:color="auto" w:sz="4" w:space="0"/>
              <w:bottom w:val="single" w:color="auto" w:sz="4" w:space="0"/>
              <w:right w:val="single" w:color="auto" w:sz="4" w:space="0"/>
            </w:tcBorders>
            <w:vAlign w:val="center"/>
          </w:tcPr>
          <w:p w14:paraId="76E70009">
            <w:pPr>
              <w:spacing w:line="480" w:lineRule="exact"/>
              <w:jc w:val="center"/>
              <w:rPr>
                <w:rFonts w:cs="宋体"/>
                <w:color w:val="auto"/>
                <w:sz w:val="24"/>
                <w:szCs w:val="24"/>
                <w:highlight w:val="none"/>
              </w:rPr>
            </w:pPr>
            <w:r>
              <w:rPr>
                <w:rFonts w:hint="eastAsia" w:cs="宋体"/>
                <w:color w:val="auto"/>
                <w:sz w:val="24"/>
                <w:szCs w:val="24"/>
                <w:highlight w:val="none"/>
              </w:rPr>
              <w:t>投标有效期</w:t>
            </w:r>
          </w:p>
        </w:tc>
        <w:tc>
          <w:tcPr>
            <w:tcW w:w="6733" w:type="dxa"/>
            <w:tcBorders>
              <w:top w:val="single" w:color="auto" w:sz="4" w:space="0"/>
              <w:left w:val="nil"/>
              <w:bottom w:val="single" w:color="auto" w:sz="4" w:space="0"/>
              <w:right w:val="single" w:color="auto" w:sz="4" w:space="0"/>
            </w:tcBorders>
            <w:vAlign w:val="center"/>
          </w:tcPr>
          <w:p w14:paraId="04C66546">
            <w:pPr>
              <w:spacing w:line="480" w:lineRule="exact"/>
              <w:ind w:firstLine="818" w:firstLineChars="341"/>
              <w:rPr>
                <w:rFonts w:cs="宋体"/>
                <w:color w:val="auto"/>
                <w:sz w:val="24"/>
                <w:szCs w:val="24"/>
                <w:highlight w:val="none"/>
              </w:rPr>
            </w:pPr>
          </w:p>
        </w:tc>
      </w:tr>
      <w:tr w14:paraId="05EB4C4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923" w:hRule="atLeast"/>
        </w:trPr>
        <w:tc>
          <w:tcPr>
            <w:tcW w:w="1768" w:type="dxa"/>
            <w:tcBorders>
              <w:top w:val="single" w:color="auto" w:sz="4" w:space="0"/>
              <w:left w:val="single" w:color="auto" w:sz="4" w:space="0"/>
              <w:bottom w:val="single" w:color="auto" w:sz="4" w:space="0"/>
              <w:right w:val="single" w:color="auto" w:sz="4" w:space="0"/>
            </w:tcBorders>
            <w:vAlign w:val="center"/>
          </w:tcPr>
          <w:p w14:paraId="2899DE4B">
            <w:pPr>
              <w:spacing w:line="480" w:lineRule="exact"/>
              <w:jc w:val="center"/>
              <w:rPr>
                <w:rFonts w:cs="宋体"/>
                <w:color w:val="auto"/>
                <w:sz w:val="24"/>
                <w:szCs w:val="24"/>
                <w:highlight w:val="none"/>
              </w:rPr>
            </w:pPr>
            <w:r>
              <w:rPr>
                <w:rFonts w:hint="eastAsia" w:cs="宋体"/>
                <w:color w:val="auto"/>
                <w:sz w:val="24"/>
                <w:szCs w:val="24"/>
                <w:highlight w:val="none"/>
              </w:rPr>
              <w:t>项目负责人及联系方式</w:t>
            </w:r>
          </w:p>
        </w:tc>
        <w:tc>
          <w:tcPr>
            <w:tcW w:w="6733" w:type="dxa"/>
            <w:tcBorders>
              <w:top w:val="single" w:color="auto" w:sz="4" w:space="0"/>
              <w:left w:val="nil"/>
              <w:bottom w:val="single" w:color="auto" w:sz="4" w:space="0"/>
              <w:right w:val="single" w:color="auto" w:sz="4" w:space="0"/>
            </w:tcBorders>
            <w:vAlign w:val="center"/>
          </w:tcPr>
          <w:p w14:paraId="081AB2AC">
            <w:pPr>
              <w:spacing w:line="480" w:lineRule="exact"/>
              <w:ind w:firstLine="818" w:firstLineChars="341"/>
              <w:rPr>
                <w:rFonts w:cs="宋体"/>
                <w:color w:val="auto"/>
                <w:sz w:val="24"/>
                <w:szCs w:val="24"/>
                <w:highlight w:val="none"/>
              </w:rPr>
            </w:pPr>
          </w:p>
        </w:tc>
      </w:tr>
      <w:tr w14:paraId="6933AF9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13" w:hRule="atLeast"/>
        </w:trPr>
        <w:tc>
          <w:tcPr>
            <w:tcW w:w="8501" w:type="dxa"/>
            <w:gridSpan w:val="2"/>
            <w:tcBorders>
              <w:top w:val="single" w:color="auto" w:sz="4" w:space="0"/>
              <w:left w:val="single" w:color="auto" w:sz="4" w:space="0"/>
              <w:bottom w:val="single" w:color="auto" w:sz="4" w:space="0"/>
              <w:right w:val="single" w:color="auto" w:sz="4" w:space="0"/>
            </w:tcBorders>
          </w:tcPr>
          <w:p w14:paraId="48741EF8">
            <w:pPr>
              <w:spacing w:line="480" w:lineRule="exact"/>
              <w:ind w:firstLine="818" w:firstLineChars="341"/>
              <w:rPr>
                <w:rFonts w:cs="宋体"/>
                <w:color w:val="auto"/>
                <w:sz w:val="24"/>
                <w:szCs w:val="24"/>
                <w:highlight w:val="none"/>
              </w:rPr>
            </w:pPr>
            <w:r>
              <w:rPr>
                <w:rFonts w:hint="eastAsia" w:cs="宋体"/>
                <w:color w:val="auto"/>
                <w:sz w:val="24"/>
                <w:szCs w:val="24"/>
                <w:highlight w:val="none"/>
              </w:rPr>
              <w:t>补充（如有）</w:t>
            </w:r>
          </w:p>
        </w:tc>
      </w:tr>
    </w:tbl>
    <w:p w14:paraId="4B9329F9">
      <w:pPr>
        <w:spacing w:line="540" w:lineRule="exact"/>
        <w:jc w:val="right"/>
        <w:rPr>
          <w:rFonts w:ascii="Calibri" w:hAnsi="Calibri" w:eastAsia="宋体" w:cs="Times New Roman"/>
          <w:color w:val="auto"/>
          <w:kern w:val="0"/>
          <w:sz w:val="24"/>
          <w:highlight w:val="none"/>
          <w:u w:val="single"/>
        </w:rPr>
      </w:pPr>
      <w:r>
        <w:rPr>
          <w:rFonts w:hint="eastAsia" w:asciiTheme="minorEastAsia" w:hAnsiTheme="minorEastAsia" w:cstheme="minorEastAsia"/>
          <w:color w:val="auto"/>
          <w:sz w:val="28"/>
          <w:szCs w:val="28"/>
          <w:highlight w:val="none"/>
        </w:rPr>
        <w:t xml:space="preserve">                       </w:t>
      </w:r>
      <w:r>
        <w:rPr>
          <w:rFonts w:hint="eastAsia" w:ascii="Calibri" w:hAnsi="Calibri" w:eastAsia="宋体" w:cs="Times New Roman"/>
          <w:color w:val="auto"/>
          <w:kern w:val="0"/>
          <w:sz w:val="24"/>
          <w:highlight w:val="none"/>
        </w:rPr>
        <w:t>供应商</w:t>
      </w:r>
      <w:r>
        <w:rPr>
          <w:rFonts w:ascii="Calibri" w:hAnsi="Calibri" w:eastAsia="宋体" w:cs="Times New Roman"/>
          <w:color w:val="auto"/>
          <w:kern w:val="0"/>
          <w:sz w:val="24"/>
          <w:highlight w:val="none"/>
        </w:rPr>
        <w:t>：</w:t>
      </w:r>
      <w:r>
        <w:rPr>
          <w:rFonts w:ascii="Calibri" w:hAnsi="Calibri" w:eastAsia="宋体" w:cs="Times New Roman"/>
          <w:color w:val="auto"/>
          <w:kern w:val="0"/>
          <w:sz w:val="24"/>
          <w:highlight w:val="none"/>
          <w:u w:val="single"/>
        </w:rPr>
        <w:t xml:space="preserve">                      （</w:t>
      </w:r>
      <w:r>
        <w:rPr>
          <w:rFonts w:hint="eastAsia" w:ascii="Calibri" w:hAnsi="Calibri" w:eastAsia="宋体" w:cs="Times New Roman"/>
          <w:color w:val="auto"/>
          <w:kern w:val="0"/>
          <w:sz w:val="24"/>
          <w:highlight w:val="none"/>
          <w:u w:val="single"/>
        </w:rPr>
        <w:t>盖单位公章</w:t>
      </w:r>
      <w:r>
        <w:rPr>
          <w:rFonts w:ascii="Calibri" w:hAnsi="Calibri" w:eastAsia="宋体" w:cs="Times New Roman"/>
          <w:color w:val="auto"/>
          <w:kern w:val="0"/>
          <w:sz w:val="24"/>
          <w:highlight w:val="none"/>
          <w:u w:val="single"/>
        </w:rPr>
        <w:t>）</w:t>
      </w:r>
    </w:p>
    <w:p w14:paraId="46048B02">
      <w:pPr>
        <w:widowControl/>
        <w:spacing w:line="540" w:lineRule="exact"/>
        <w:ind w:firstLine="360"/>
        <w:jc w:val="right"/>
        <w:rPr>
          <w:rFonts w:ascii="Calibri" w:hAnsi="Calibri" w:eastAsia="宋体" w:cs="Times New Roman"/>
          <w:color w:val="auto"/>
          <w:kern w:val="0"/>
          <w:sz w:val="24"/>
          <w:highlight w:val="none"/>
          <w:u w:val="single"/>
        </w:rPr>
      </w:pPr>
      <w:r>
        <w:rPr>
          <w:rFonts w:ascii="Calibri" w:hAnsi="Calibri" w:eastAsia="宋体" w:cs="Times New Roman"/>
          <w:color w:val="auto"/>
          <w:kern w:val="0"/>
          <w:sz w:val="24"/>
          <w:highlight w:val="none"/>
        </w:rPr>
        <w:t xml:space="preserve">法定代表人： </w:t>
      </w:r>
      <w:r>
        <w:rPr>
          <w:rFonts w:ascii="Calibri" w:hAnsi="Calibri" w:eastAsia="宋体" w:cs="Times New Roman"/>
          <w:color w:val="auto"/>
          <w:kern w:val="0"/>
          <w:sz w:val="24"/>
          <w:highlight w:val="none"/>
          <w:u w:val="single"/>
        </w:rPr>
        <w:t xml:space="preserve">             （</w:t>
      </w:r>
      <w:r>
        <w:rPr>
          <w:rFonts w:hint="eastAsia" w:ascii="Calibri" w:hAnsi="Calibri" w:eastAsia="宋体" w:cs="Times New Roman"/>
          <w:color w:val="auto"/>
          <w:kern w:val="0"/>
          <w:sz w:val="24"/>
          <w:highlight w:val="none"/>
          <w:u w:val="single"/>
        </w:rPr>
        <w:t>电子签章</w:t>
      </w:r>
      <w:r>
        <w:rPr>
          <w:rFonts w:ascii="Calibri" w:hAnsi="Calibri" w:eastAsia="宋体" w:cs="Times New Roman"/>
          <w:color w:val="auto"/>
          <w:kern w:val="0"/>
          <w:sz w:val="24"/>
          <w:highlight w:val="none"/>
          <w:u w:val="single"/>
        </w:rPr>
        <w:t>）</w:t>
      </w:r>
    </w:p>
    <w:p w14:paraId="69D112C0">
      <w:pPr>
        <w:widowControl/>
        <w:spacing w:line="540" w:lineRule="exact"/>
        <w:ind w:firstLine="360"/>
        <w:jc w:val="right"/>
        <w:rPr>
          <w:rFonts w:ascii="Calibri" w:hAnsi="Calibri" w:eastAsia="宋体" w:cs="Times New Roman"/>
          <w:color w:val="auto"/>
          <w:kern w:val="0"/>
          <w:sz w:val="24"/>
          <w:highlight w:val="none"/>
        </w:rPr>
      </w:pPr>
      <w:r>
        <w:rPr>
          <w:rFonts w:ascii="Calibri" w:hAnsi="Calibri" w:eastAsia="宋体" w:cs="Times New Roman"/>
          <w:color w:val="auto"/>
          <w:kern w:val="0"/>
          <w:sz w:val="24"/>
          <w:highlight w:val="none"/>
        </w:rPr>
        <w:t>日期：</w:t>
      </w:r>
      <w:r>
        <w:rPr>
          <w:rFonts w:ascii="Calibri" w:hAnsi="Calibri" w:eastAsia="宋体" w:cs="Times New Roman"/>
          <w:color w:val="auto"/>
          <w:kern w:val="0"/>
          <w:sz w:val="24"/>
          <w:highlight w:val="none"/>
          <w:u w:val="single"/>
        </w:rPr>
        <w:t xml:space="preserve">        </w:t>
      </w:r>
      <w:r>
        <w:rPr>
          <w:rFonts w:ascii="Calibri" w:hAnsi="Calibri" w:eastAsia="宋体" w:cs="Times New Roman"/>
          <w:color w:val="auto"/>
          <w:kern w:val="0"/>
          <w:sz w:val="24"/>
          <w:highlight w:val="none"/>
        </w:rPr>
        <w:t>年</w:t>
      </w:r>
      <w:r>
        <w:rPr>
          <w:rFonts w:ascii="Calibri" w:hAnsi="Calibri" w:eastAsia="宋体" w:cs="Times New Roman"/>
          <w:color w:val="auto"/>
          <w:kern w:val="0"/>
          <w:sz w:val="24"/>
          <w:highlight w:val="none"/>
          <w:u w:val="single"/>
        </w:rPr>
        <w:t xml:space="preserve">      </w:t>
      </w:r>
      <w:r>
        <w:rPr>
          <w:rFonts w:ascii="Calibri" w:hAnsi="Calibri" w:eastAsia="宋体" w:cs="Times New Roman"/>
          <w:color w:val="auto"/>
          <w:kern w:val="0"/>
          <w:sz w:val="24"/>
          <w:highlight w:val="none"/>
        </w:rPr>
        <w:t>月</w:t>
      </w:r>
      <w:r>
        <w:rPr>
          <w:rFonts w:ascii="Calibri" w:hAnsi="Calibri" w:eastAsia="宋体" w:cs="Times New Roman"/>
          <w:color w:val="auto"/>
          <w:kern w:val="0"/>
          <w:sz w:val="24"/>
          <w:highlight w:val="none"/>
          <w:u w:val="single"/>
        </w:rPr>
        <w:t xml:space="preserve">      </w:t>
      </w:r>
      <w:r>
        <w:rPr>
          <w:rFonts w:ascii="Calibri" w:hAnsi="Calibri" w:eastAsia="宋体" w:cs="Times New Roman"/>
          <w:color w:val="auto"/>
          <w:kern w:val="0"/>
          <w:sz w:val="24"/>
          <w:highlight w:val="none"/>
        </w:rPr>
        <w:t>日</w:t>
      </w:r>
    </w:p>
    <w:p w14:paraId="6516CD82">
      <w:pPr>
        <w:pStyle w:val="4"/>
        <w:jc w:val="center"/>
        <w:rPr>
          <w:color w:val="auto"/>
          <w:highlight w:val="none"/>
        </w:rPr>
      </w:pPr>
      <w:r>
        <w:rPr>
          <w:rFonts w:hint="eastAsia" w:ascii="宋体" w:hAnsi="宋体" w:cs="宋体"/>
          <w:color w:val="auto"/>
          <w:szCs w:val="24"/>
          <w:highlight w:val="none"/>
        </w:rPr>
        <w:br w:type="page"/>
      </w:r>
      <w:bookmarkStart w:id="213" w:name="_Toc26862"/>
      <w:bookmarkEnd w:id="213"/>
      <w:r>
        <w:rPr>
          <w:rFonts w:hint="eastAsia"/>
          <w:color w:val="auto"/>
          <w:highlight w:val="none"/>
        </w:rPr>
        <w:t>二、法定代表人身份证明</w:t>
      </w:r>
    </w:p>
    <w:p w14:paraId="1E19ED22">
      <w:pPr>
        <w:spacing w:line="560" w:lineRule="exact"/>
        <w:ind w:right="420" w:rightChars="200" w:firstLine="480" w:firstLineChars="200"/>
        <w:rPr>
          <w:rFonts w:asciiTheme="minorEastAsia" w:hAnsiTheme="minorEastAsia" w:cstheme="minorEastAsia"/>
          <w:color w:val="auto"/>
          <w:sz w:val="24"/>
          <w:szCs w:val="28"/>
          <w:highlight w:val="none"/>
        </w:rPr>
      </w:pPr>
      <w:r>
        <w:rPr>
          <w:rFonts w:hint="eastAsia" w:asciiTheme="minorEastAsia" w:hAnsiTheme="minorEastAsia" w:cstheme="minorEastAsia"/>
          <w:color w:val="auto"/>
          <w:sz w:val="24"/>
          <w:szCs w:val="28"/>
          <w:highlight w:val="none"/>
        </w:rPr>
        <w:t>供应商名称：</w:t>
      </w:r>
      <w:r>
        <w:rPr>
          <w:rFonts w:hint="eastAsia" w:asciiTheme="minorEastAsia" w:hAnsiTheme="minorEastAsia" w:cstheme="minorEastAsia"/>
          <w:color w:val="auto"/>
          <w:sz w:val="24"/>
          <w:szCs w:val="28"/>
          <w:highlight w:val="none"/>
          <w:u w:val="single"/>
        </w:rPr>
        <w:t xml:space="preserve">                       </w:t>
      </w:r>
      <w:r>
        <w:rPr>
          <w:rFonts w:hint="eastAsia" w:asciiTheme="minorEastAsia" w:hAnsiTheme="minorEastAsia" w:cstheme="minorEastAsia"/>
          <w:color w:val="auto"/>
          <w:sz w:val="24"/>
          <w:szCs w:val="28"/>
          <w:highlight w:val="none"/>
        </w:rPr>
        <w:t xml:space="preserve"> </w:t>
      </w:r>
    </w:p>
    <w:p w14:paraId="4D285F12">
      <w:pPr>
        <w:spacing w:line="560" w:lineRule="exact"/>
        <w:ind w:right="420" w:rightChars="200" w:firstLine="480" w:firstLineChars="200"/>
        <w:rPr>
          <w:rFonts w:asciiTheme="minorEastAsia" w:hAnsiTheme="minorEastAsia" w:cstheme="minorEastAsia"/>
          <w:color w:val="auto"/>
          <w:sz w:val="24"/>
          <w:szCs w:val="28"/>
          <w:highlight w:val="none"/>
        </w:rPr>
      </w:pPr>
      <w:r>
        <w:rPr>
          <w:rFonts w:hint="eastAsia" w:asciiTheme="minorEastAsia" w:hAnsiTheme="minorEastAsia" w:cstheme="minorEastAsia"/>
          <w:color w:val="auto"/>
          <w:sz w:val="24"/>
          <w:szCs w:val="28"/>
          <w:highlight w:val="none"/>
        </w:rPr>
        <w:t>单位性质：</w:t>
      </w:r>
      <w:r>
        <w:rPr>
          <w:rFonts w:hint="eastAsia" w:asciiTheme="minorEastAsia" w:hAnsiTheme="minorEastAsia" w:cstheme="minorEastAsia"/>
          <w:color w:val="auto"/>
          <w:sz w:val="24"/>
          <w:szCs w:val="28"/>
          <w:highlight w:val="none"/>
          <w:u w:val="single"/>
        </w:rPr>
        <w:t xml:space="preserve">                        </w:t>
      </w:r>
    </w:p>
    <w:p w14:paraId="0A970AC7">
      <w:pPr>
        <w:spacing w:line="560" w:lineRule="exact"/>
        <w:ind w:right="420" w:rightChars="200" w:firstLine="480" w:firstLineChars="200"/>
        <w:rPr>
          <w:rFonts w:asciiTheme="minorEastAsia" w:hAnsiTheme="minorEastAsia" w:cstheme="minorEastAsia"/>
          <w:color w:val="auto"/>
          <w:sz w:val="24"/>
          <w:szCs w:val="28"/>
          <w:highlight w:val="none"/>
        </w:rPr>
      </w:pPr>
      <w:r>
        <w:rPr>
          <w:rFonts w:hint="eastAsia" w:asciiTheme="minorEastAsia" w:hAnsiTheme="minorEastAsia" w:cstheme="minorEastAsia"/>
          <w:color w:val="auto"/>
          <w:sz w:val="24"/>
          <w:szCs w:val="28"/>
          <w:highlight w:val="none"/>
        </w:rPr>
        <w:t>地址：</w:t>
      </w:r>
      <w:r>
        <w:rPr>
          <w:rFonts w:hint="eastAsia" w:asciiTheme="minorEastAsia" w:hAnsiTheme="minorEastAsia" w:cstheme="minorEastAsia"/>
          <w:color w:val="auto"/>
          <w:sz w:val="24"/>
          <w:szCs w:val="28"/>
          <w:highlight w:val="none"/>
          <w:u w:val="single"/>
        </w:rPr>
        <w:t xml:space="preserve">                        </w:t>
      </w:r>
    </w:p>
    <w:p w14:paraId="7620D430">
      <w:pPr>
        <w:spacing w:line="560" w:lineRule="exact"/>
        <w:ind w:right="420" w:rightChars="200" w:firstLine="480" w:firstLineChars="200"/>
        <w:rPr>
          <w:rFonts w:asciiTheme="minorEastAsia" w:hAnsiTheme="minorEastAsia" w:cstheme="minorEastAsia"/>
          <w:color w:val="auto"/>
          <w:sz w:val="24"/>
          <w:szCs w:val="28"/>
          <w:highlight w:val="none"/>
        </w:rPr>
      </w:pPr>
      <w:r>
        <w:rPr>
          <w:rFonts w:hint="eastAsia" w:asciiTheme="minorEastAsia" w:hAnsiTheme="minorEastAsia" w:cstheme="minorEastAsia"/>
          <w:color w:val="auto"/>
          <w:sz w:val="24"/>
          <w:szCs w:val="28"/>
          <w:highlight w:val="none"/>
        </w:rPr>
        <w:t>成立时间：</w:t>
      </w:r>
      <w:r>
        <w:rPr>
          <w:rFonts w:hint="eastAsia" w:asciiTheme="minorEastAsia" w:hAnsiTheme="minorEastAsia" w:cstheme="minorEastAsia"/>
          <w:color w:val="auto"/>
          <w:sz w:val="24"/>
          <w:szCs w:val="28"/>
          <w:highlight w:val="none"/>
          <w:u w:val="single"/>
        </w:rPr>
        <w:t xml:space="preserve">     </w:t>
      </w:r>
      <w:r>
        <w:rPr>
          <w:rFonts w:hint="eastAsia" w:asciiTheme="minorEastAsia" w:hAnsiTheme="minorEastAsia" w:cstheme="minorEastAsia"/>
          <w:color w:val="auto"/>
          <w:sz w:val="24"/>
          <w:szCs w:val="28"/>
          <w:highlight w:val="none"/>
        </w:rPr>
        <w:t>年</w:t>
      </w:r>
      <w:r>
        <w:rPr>
          <w:rFonts w:hint="eastAsia" w:asciiTheme="minorEastAsia" w:hAnsiTheme="minorEastAsia" w:cstheme="minorEastAsia"/>
          <w:color w:val="auto"/>
          <w:sz w:val="24"/>
          <w:szCs w:val="28"/>
          <w:highlight w:val="none"/>
          <w:u w:val="single"/>
        </w:rPr>
        <w:t xml:space="preserve">       </w:t>
      </w:r>
      <w:r>
        <w:rPr>
          <w:rFonts w:hint="eastAsia" w:asciiTheme="minorEastAsia" w:hAnsiTheme="minorEastAsia" w:cstheme="minorEastAsia"/>
          <w:color w:val="auto"/>
          <w:sz w:val="24"/>
          <w:szCs w:val="28"/>
          <w:highlight w:val="none"/>
        </w:rPr>
        <w:t>月</w:t>
      </w:r>
      <w:r>
        <w:rPr>
          <w:rFonts w:hint="eastAsia" w:asciiTheme="minorEastAsia" w:hAnsiTheme="minorEastAsia" w:cstheme="minorEastAsia"/>
          <w:color w:val="auto"/>
          <w:sz w:val="24"/>
          <w:szCs w:val="28"/>
          <w:highlight w:val="none"/>
          <w:u w:val="single"/>
        </w:rPr>
        <w:t xml:space="preserve">      </w:t>
      </w:r>
      <w:r>
        <w:rPr>
          <w:rFonts w:hint="eastAsia" w:asciiTheme="minorEastAsia" w:hAnsiTheme="minorEastAsia" w:cstheme="minorEastAsia"/>
          <w:color w:val="auto"/>
          <w:sz w:val="24"/>
          <w:szCs w:val="28"/>
          <w:highlight w:val="none"/>
        </w:rPr>
        <w:t>日</w:t>
      </w:r>
    </w:p>
    <w:p w14:paraId="3A4DF1BF">
      <w:pPr>
        <w:spacing w:line="560" w:lineRule="exact"/>
        <w:ind w:right="420" w:rightChars="200" w:firstLine="480" w:firstLineChars="200"/>
        <w:rPr>
          <w:rFonts w:asciiTheme="minorEastAsia" w:hAnsiTheme="minorEastAsia" w:cstheme="minorEastAsia"/>
          <w:color w:val="auto"/>
          <w:sz w:val="24"/>
          <w:szCs w:val="28"/>
          <w:highlight w:val="none"/>
        </w:rPr>
      </w:pPr>
      <w:r>
        <w:rPr>
          <w:rFonts w:hint="eastAsia" w:asciiTheme="minorEastAsia" w:hAnsiTheme="minorEastAsia" w:cstheme="minorEastAsia"/>
          <w:color w:val="auto"/>
          <w:sz w:val="24"/>
          <w:szCs w:val="28"/>
          <w:highlight w:val="none"/>
        </w:rPr>
        <w:t>经营期限：</w:t>
      </w:r>
      <w:r>
        <w:rPr>
          <w:rFonts w:hint="eastAsia" w:asciiTheme="minorEastAsia" w:hAnsiTheme="minorEastAsia" w:cstheme="minorEastAsia"/>
          <w:color w:val="auto"/>
          <w:sz w:val="24"/>
          <w:szCs w:val="28"/>
          <w:highlight w:val="none"/>
          <w:u w:val="single"/>
        </w:rPr>
        <w:t xml:space="preserve">                        </w:t>
      </w:r>
    </w:p>
    <w:p w14:paraId="62A99783">
      <w:pPr>
        <w:spacing w:line="560" w:lineRule="exact"/>
        <w:ind w:right="420" w:rightChars="200" w:firstLine="480" w:firstLineChars="200"/>
        <w:rPr>
          <w:rFonts w:asciiTheme="minorEastAsia" w:hAnsiTheme="minorEastAsia" w:cstheme="minorEastAsia"/>
          <w:color w:val="auto"/>
          <w:sz w:val="24"/>
          <w:szCs w:val="28"/>
          <w:highlight w:val="none"/>
        </w:rPr>
      </w:pPr>
      <w:r>
        <w:rPr>
          <w:rFonts w:hint="eastAsia" w:asciiTheme="minorEastAsia" w:hAnsiTheme="minorEastAsia" w:cstheme="minorEastAsia"/>
          <w:color w:val="auto"/>
          <w:sz w:val="24"/>
          <w:szCs w:val="28"/>
          <w:highlight w:val="none"/>
        </w:rPr>
        <w:t>姓名：</w:t>
      </w:r>
      <w:r>
        <w:rPr>
          <w:rFonts w:hint="eastAsia" w:asciiTheme="minorEastAsia" w:hAnsiTheme="minorEastAsia" w:cstheme="minorEastAsia"/>
          <w:color w:val="auto"/>
          <w:sz w:val="24"/>
          <w:szCs w:val="28"/>
          <w:highlight w:val="none"/>
          <w:u w:val="single"/>
        </w:rPr>
        <w:t xml:space="preserve">                </w:t>
      </w:r>
      <w:r>
        <w:rPr>
          <w:rFonts w:hint="eastAsia" w:asciiTheme="minorEastAsia" w:hAnsiTheme="minorEastAsia" w:cstheme="minorEastAsia"/>
          <w:color w:val="auto"/>
          <w:sz w:val="24"/>
          <w:szCs w:val="28"/>
          <w:highlight w:val="none"/>
        </w:rPr>
        <w:t>；性别：</w:t>
      </w:r>
      <w:r>
        <w:rPr>
          <w:rFonts w:hint="eastAsia" w:asciiTheme="minorEastAsia" w:hAnsiTheme="minorEastAsia" w:cstheme="minorEastAsia"/>
          <w:color w:val="auto"/>
          <w:sz w:val="24"/>
          <w:szCs w:val="28"/>
          <w:highlight w:val="none"/>
          <w:u w:val="single"/>
        </w:rPr>
        <w:t xml:space="preserve">                </w:t>
      </w:r>
      <w:r>
        <w:rPr>
          <w:rFonts w:hint="eastAsia" w:asciiTheme="minorEastAsia" w:hAnsiTheme="minorEastAsia" w:cstheme="minorEastAsia"/>
          <w:color w:val="auto"/>
          <w:sz w:val="24"/>
          <w:szCs w:val="28"/>
          <w:highlight w:val="none"/>
        </w:rPr>
        <w:t>；</w:t>
      </w:r>
    </w:p>
    <w:p w14:paraId="14A50840">
      <w:pPr>
        <w:spacing w:line="560" w:lineRule="exact"/>
        <w:ind w:right="420" w:rightChars="200" w:firstLine="480" w:firstLineChars="200"/>
        <w:rPr>
          <w:rFonts w:asciiTheme="minorEastAsia" w:hAnsiTheme="minorEastAsia" w:cstheme="minorEastAsia"/>
          <w:color w:val="auto"/>
          <w:sz w:val="24"/>
          <w:szCs w:val="28"/>
          <w:highlight w:val="none"/>
        </w:rPr>
      </w:pPr>
      <w:r>
        <w:rPr>
          <w:rFonts w:hint="eastAsia" w:asciiTheme="minorEastAsia" w:hAnsiTheme="minorEastAsia" w:cstheme="minorEastAsia"/>
          <w:color w:val="auto"/>
          <w:sz w:val="24"/>
          <w:szCs w:val="28"/>
          <w:highlight w:val="none"/>
        </w:rPr>
        <w:t>年龄：</w:t>
      </w:r>
      <w:r>
        <w:rPr>
          <w:rFonts w:hint="eastAsia" w:asciiTheme="minorEastAsia" w:hAnsiTheme="minorEastAsia" w:cstheme="minorEastAsia"/>
          <w:color w:val="auto"/>
          <w:sz w:val="24"/>
          <w:szCs w:val="28"/>
          <w:highlight w:val="none"/>
          <w:u w:val="single"/>
        </w:rPr>
        <w:t xml:space="preserve">                </w:t>
      </w:r>
      <w:r>
        <w:rPr>
          <w:rFonts w:hint="eastAsia" w:asciiTheme="minorEastAsia" w:hAnsiTheme="minorEastAsia" w:cstheme="minorEastAsia"/>
          <w:color w:val="auto"/>
          <w:sz w:val="24"/>
          <w:szCs w:val="28"/>
          <w:highlight w:val="none"/>
        </w:rPr>
        <w:t>；职务：</w:t>
      </w:r>
      <w:r>
        <w:rPr>
          <w:rFonts w:hint="eastAsia" w:asciiTheme="minorEastAsia" w:hAnsiTheme="minorEastAsia" w:cstheme="minorEastAsia"/>
          <w:color w:val="auto"/>
          <w:sz w:val="24"/>
          <w:szCs w:val="28"/>
          <w:highlight w:val="none"/>
          <w:u w:val="single"/>
        </w:rPr>
        <w:t xml:space="preserve">                </w:t>
      </w:r>
      <w:r>
        <w:rPr>
          <w:rFonts w:hint="eastAsia" w:asciiTheme="minorEastAsia" w:hAnsiTheme="minorEastAsia" w:cstheme="minorEastAsia"/>
          <w:color w:val="auto"/>
          <w:sz w:val="24"/>
          <w:szCs w:val="28"/>
          <w:highlight w:val="none"/>
        </w:rPr>
        <w:t>；</w:t>
      </w:r>
    </w:p>
    <w:p w14:paraId="04967196">
      <w:pPr>
        <w:spacing w:line="560" w:lineRule="exact"/>
        <w:ind w:right="420" w:rightChars="200" w:firstLine="480" w:firstLineChars="200"/>
        <w:rPr>
          <w:rFonts w:asciiTheme="minorEastAsia" w:hAnsiTheme="minorEastAsia" w:cstheme="minorEastAsia"/>
          <w:color w:val="auto"/>
          <w:sz w:val="24"/>
          <w:szCs w:val="28"/>
          <w:highlight w:val="none"/>
        </w:rPr>
      </w:pPr>
      <w:r>
        <w:rPr>
          <w:rFonts w:hint="eastAsia" w:asciiTheme="minorEastAsia" w:hAnsiTheme="minorEastAsia" w:cstheme="minorEastAsia"/>
          <w:color w:val="auto"/>
          <w:sz w:val="24"/>
          <w:szCs w:val="28"/>
          <w:highlight w:val="none"/>
        </w:rPr>
        <w:t>身份证号码：</w:t>
      </w:r>
      <w:r>
        <w:rPr>
          <w:rFonts w:hint="eastAsia" w:asciiTheme="minorEastAsia" w:hAnsiTheme="minorEastAsia" w:cstheme="minorEastAsia"/>
          <w:color w:val="auto"/>
          <w:sz w:val="24"/>
          <w:szCs w:val="28"/>
          <w:highlight w:val="none"/>
          <w:u w:val="single"/>
        </w:rPr>
        <w:t xml:space="preserve">                       </w:t>
      </w:r>
      <w:r>
        <w:rPr>
          <w:rFonts w:hint="eastAsia" w:asciiTheme="minorEastAsia" w:hAnsiTheme="minorEastAsia" w:cstheme="minorEastAsia"/>
          <w:color w:val="auto"/>
          <w:sz w:val="24"/>
          <w:szCs w:val="28"/>
          <w:highlight w:val="none"/>
        </w:rPr>
        <w:t>，系</w:t>
      </w:r>
      <w:r>
        <w:rPr>
          <w:rFonts w:hint="eastAsia" w:asciiTheme="minorEastAsia" w:hAnsiTheme="minorEastAsia" w:cstheme="minorEastAsia"/>
          <w:color w:val="auto"/>
          <w:sz w:val="24"/>
          <w:szCs w:val="28"/>
          <w:highlight w:val="none"/>
          <w:u w:val="single"/>
        </w:rPr>
        <w:t xml:space="preserve">                  </w:t>
      </w:r>
      <w:r>
        <w:rPr>
          <w:rFonts w:hint="eastAsia" w:asciiTheme="minorEastAsia" w:hAnsiTheme="minorEastAsia" w:cstheme="minorEastAsia"/>
          <w:color w:val="auto"/>
          <w:sz w:val="24"/>
          <w:szCs w:val="28"/>
          <w:highlight w:val="none"/>
        </w:rPr>
        <w:t>（供应商名称）的法定代表人。</w:t>
      </w:r>
    </w:p>
    <w:p w14:paraId="6BE19D0A">
      <w:pPr>
        <w:spacing w:line="560" w:lineRule="exact"/>
        <w:ind w:right="420" w:rightChars="200" w:firstLine="480" w:firstLineChars="200"/>
        <w:rPr>
          <w:rFonts w:asciiTheme="minorEastAsia" w:hAnsiTheme="minorEastAsia" w:cstheme="minorEastAsia"/>
          <w:color w:val="auto"/>
          <w:sz w:val="24"/>
          <w:szCs w:val="28"/>
          <w:highlight w:val="none"/>
        </w:rPr>
      </w:pPr>
      <w:r>
        <w:rPr>
          <w:rFonts w:hint="eastAsia" w:asciiTheme="minorEastAsia" w:hAnsiTheme="minorEastAsia" w:cstheme="minorEastAsia"/>
          <w:color w:val="auto"/>
          <w:sz w:val="24"/>
          <w:szCs w:val="28"/>
          <w:highlight w:val="none"/>
        </w:rPr>
        <w:t>特此证明。</w:t>
      </w:r>
    </w:p>
    <w:p w14:paraId="5D55E92B">
      <w:pPr>
        <w:spacing w:line="560" w:lineRule="exact"/>
        <w:ind w:right="420" w:rightChars="200" w:firstLine="480" w:firstLineChars="200"/>
        <w:rPr>
          <w:rFonts w:asciiTheme="minorEastAsia" w:hAnsiTheme="minorEastAsia" w:cstheme="minorEastAsia"/>
          <w:color w:val="auto"/>
          <w:sz w:val="24"/>
          <w:szCs w:val="28"/>
          <w:highlight w:val="none"/>
        </w:rPr>
      </w:pPr>
      <w:r>
        <w:rPr>
          <w:rFonts w:hint="eastAsia" w:asciiTheme="minorEastAsia" w:hAnsiTheme="minorEastAsia" w:cstheme="minorEastAsia"/>
          <w:color w:val="auto"/>
          <w:sz w:val="24"/>
          <w:szCs w:val="28"/>
          <w:highlight w:val="none"/>
        </w:rPr>
        <w:t>附：法定代表人身份证扫描件，加盖公章。</w:t>
      </w:r>
    </w:p>
    <w:p w14:paraId="0005D985">
      <w:pPr>
        <w:spacing w:line="560" w:lineRule="exact"/>
        <w:ind w:left="170" w:firstLine="480" w:firstLineChars="200"/>
        <w:rPr>
          <w:rFonts w:asciiTheme="minorEastAsia" w:hAnsiTheme="minorEastAsia" w:cstheme="minorEastAsia"/>
          <w:color w:val="auto"/>
          <w:sz w:val="24"/>
          <w:szCs w:val="28"/>
          <w:highlight w:val="none"/>
        </w:rPr>
      </w:pPr>
    </w:p>
    <w:p w14:paraId="588EBDF4">
      <w:pPr>
        <w:autoSpaceDE w:val="0"/>
        <w:autoSpaceDN w:val="0"/>
        <w:adjustRightInd w:val="0"/>
        <w:spacing w:line="560" w:lineRule="exact"/>
        <w:ind w:firstLine="3084" w:firstLineChars="1285"/>
        <w:jc w:val="right"/>
        <w:rPr>
          <w:rFonts w:asciiTheme="minorEastAsia" w:hAnsiTheme="minorEastAsia" w:cstheme="minorEastAsia"/>
          <w:color w:val="auto"/>
          <w:kern w:val="0"/>
          <w:sz w:val="24"/>
          <w:szCs w:val="28"/>
          <w:highlight w:val="none"/>
        </w:rPr>
      </w:pPr>
    </w:p>
    <w:p w14:paraId="2D3D068C">
      <w:pPr>
        <w:autoSpaceDE w:val="0"/>
        <w:autoSpaceDN w:val="0"/>
        <w:adjustRightInd w:val="0"/>
        <w:spacing w:line="560" w:lineRule="exact"/>
        <w:ind w:firstLine="3084" w:firstLineChars="1285"/>
        <w:jc w:val="center"/>
        <w:rPr>
          <w:rFonts w:asciiTheme="minorEastAsia" w:hAnsiTheme="minorEastAsia" w:cstheme="minorEastAsia"/>
          <w:color w:val="auto"/>
          <w:kern w:val="0"/>
          <w:sz w:val="24"/>
          <w:szCs w:val="28"/>
          <w:highlight w:val="none"/>
        </w:rPr>
      </w:pPr>
      <w:r>
        <w:rPr>
          <w:rFonts w:hint="eastAsia" w:asciiTheme="minorEastAsia" w:hAnsiTheme="minorEastAsia" w:cstheme="minorEastAsia"/>
          <w:color w:val="auto"/>
          <w:kern w:val="0"/>
          <w:sz w:val="24"/>
          <w:szCs w:val="28"/>
          <w:highlight w:val="none"/>
        </w:rPr>
        <w:t>供应商：</w:t>
      </w:r>
      <w:r>
        <w:rPr>
          <w:rFonts w:hint="eastAsia" w:asciiTheme="minorEastAsia" w:hAnsiTheme="minorEastAsia" w:cstheme="minorEastAsia"/>
          <w:color w:val="auto"/>
          <w:sz w:val="24"/>
          <w:szCs w:val="28"/>
          <w:highlight w:val="none"/>
          <w:u w:val="single"/>
        </w:rPr>
        <w:t xml:space="preserve">                  </w:t>
      </w:r>
      <w:r>
        <w:rPr>
          <w:rFonts w:hint="eastAsia" w:asciiTheme="minorEastAsia" w:hAnsiTheme="minorEastAsia" w:cstheme="minorEastAsia"/>
          <w:color w:val="auto"/>
          <w:kern w:val="0"/>
          <w:sz w:val="24"/>
          <w:szCs w:val="28"/>
          <w:highlight w:val="none"/>
        </w:rPr>
        <w:t>（盖单位公章）</w:t>
      </w:r>
    </w:p>
    <w:p w14:paraId="4427DF13">
      <w:pPr>
        <w:autoSpaceDE w:val="0"/>
        <w:autoSpaceDN w:val="0"/>
        <w:adjustRightInd w:val="0"/>
        <w:spacing w:line="560" w:lineRule="exact"/>
        <w:ind w:right="420" w:firstLine="3760" w:firstLineChars="1567"/>
        <w:rPr>
          <w:rFonts w:asciiTheme="minorEastAsia" w:hAnsiTheme="minorEastAsia" w:cstheme="minorEastAsia"/>
          <w:color w:val="auto"/>
          <w:kern w:val="0"/>
          <w:sz w:val="24"/>
          <w:szCs w:val="28"/>
          <w:highlight w:val="none"/>
        </w:rPr>
      </w:pPr>
      <w:r>
        <w:rPr>
          <w:rFonts w:hint="eastAsia" w:asciiTheme="minorEastAsia" w:hAnsiTheme="minorEastAsia" w:cstheme="minorEastAsia"/>
          <w:color w:val="auto"/>
          <w:kern w:val="0"/>
          <w:sz w:val="24"/>
          <w:szCs w:val="28"/>
          <w:highlight w:val="none"/>
        </w:rPr>
        <w:t>日期：</w:t>
      </w:r>
      <w:r>
        <w:rPr>
          <w:rFonts w:hint="eastAsia" w:asciiTheme="minorEastAsia" w:hAnsiTheme="minorEastAsia" w:cstheme="minorEastAsia"/>
          <w:color w:val="auto"/>
          <w:kern w:val="0"/>
          <w:sz w:val="24"/>
          <w:szCs w:val="28"/>
          <w:highlight w:val="none"/>
          <w:u w:val="single"/>
        </w:rPr>
        <w:t xml:space="preserve">      年       月      日</w:t>
      </w:r>
    </w:p>
    <w:p w14:paraId="3AA830A9">
      <w:pPr>
        <w:pStyle w:val="4"/>
        <w:jc w:val="center"/>
        <w:rPr>
          <w:color w:val="auto"/>
          <w:highlight w:val="none"/>
        </w:rPr>
      </w:pPr>
      <w:r>
        <w:rPr>
          <w:rFonts w:hint="eastAsia" w:ascii="宋体" w:hAnsi="宋体" w:cs="宋体"/>
          <w:color w:val="auto"/>
          <w:szCs w:val="24"/>
          <w:highlight w:val="none"/>
        </w:rPr>
        <w:br w:type="page"/>
      </w:r>
      <w:bookmarkStart w:id="214" w:name="_Toc528078069"/>
      <w:bookmarkEnd w:id="214"/>
      <w:bookmarkStart w:id="215" w:name="_Toc23204"/>
      <w:r>
        <w:rPr>
          <w:rFonts w:hint="eastAsia"/>
          <w:color w:val="auto"/>
          <w:highlight w:val="none"/>
        </w:rPr>
        <w:t>三、授权委托书</w:t>
      </w:r>
      <w:bookmarkEnd w:id="215"/>
    </w:p>
    <w:p w14:paraId="33AD7B08">
      <w:pPr>
        <w:spacing w:line="500" w:lineRule="exact"/>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本人</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（姓名）系</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（供应商名称）的法定代表人，现委托</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（姓名）为我方代理人。代理人根据授权，以我方名义签署、澄清、说明、补正、递交、撤回、修改</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（项目名称）投标文件、签订合同和处理有关事宜，其法律后果由我方承担。</w:t>
      </w:r>
    </w:p>
    <w:p w14:paraId="5F82F0CF">
      <w:pPr>
        <w:spacing w:line="500" w:lineRule="exact"/>
        <w:ind w:firstLine="480" w:firstLineChars="200"/>
        <w:rPr>
          <w:rFonts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rPr>
        <w:t>委托期限：</w:t>
      </w:r>
      <w:r>
        <w:rPr>
          <w:rFonts w:hint="eastAsia" w:ascii="宋体" w:hAnsi="宋体" w:eastAsia="宋体" w:cs="Times New Roman"/>
          <w:color w:val="auto"/>
          <w:sz w:val="24"/>
          <w:szCs w:val="24"/>
          <w:highlight w:val="none"/>
          <w:u w:val="single"/>
        </w:rPr>
        <w:t xml:space="preserve">                        </w:t>
      </w:r>
    </w:p>
    <w:p w14:paraId="0038ABD3">
      <w:pPr>
        <w:spacing w:line="500" w:lineRule="exact"/>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代理人无转委托权。</w:t>
      </w:r>
    </w:p>
    <w:p w14:paraId="18918FB3">
      <w:pPr>
        <w:spacing w:line="500" w:lineRule="exact"/>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附：法定代表人身份证复印件、被授权委托人身份证复印件</w:t>
      </w:r>
    </w:p>
    <w:p w14:paraId="1FD0C429">
      <w:pPr>
        <w:spacing w:line="50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 xml:space="preserve"> </w:t>
      </w:r>
    </w:p>
    <w:p w14:paraId="40232F86">
      <w:pPr>
        <w:suppressAutoHyphens/>
        <w:spacing w:line="360" w:lineRule="auto"/>
        <w:ind w:firstLine="3120" w:firstLineChars="1300"/>
        <w:rPr>
          <w:rFonts w:ascii="宋体" w:hAnsi="宋体" w:eastAsia="宋体" w:cs="Times New Roman"/>
          <w:color w:val="auto"/>
          <w:kern w:val="1"/>
          <w:sz w:val="24"/>
          <w:szCs w:val="24"/>
          <w:highlight w:val="none"/>
        </w:rPr>
      </w:pPr>
    </w:p>
    <w:p w14:paraId="63D457D6">
      <w:pPr>
        <w:suppressAutoHyphens/>
        <w:spacing w:line="360" w:lineRule="auto"/>
        <w:ind w:firstLine="3120" w:firstLineChars="1300"/>
        <w:rPr>
          <w:rFonts w:ascii="宋体" w:hAnsi="宋体" w:eastAsia="宋体" w:cs="Times New Roman"/>
          <w:color w:val="auto"/>
          <w:kern w:val="1"/>
          <w:sz w:val="24"/>
          <w:szCs w:val="24"/>
          <w:highlight w:val="none"/>
        </w:rPr>
      </w:pPr>
    </w:p>
    <w:p w14:paraId="2CE1666E">
      <w:pPr>
        <w:suppressAutoHyphens/>
        <w:spacing w:line="480" w:lineRule="auto"/>
        <w:ind w:firstLine="3120" w:firstLineChars="1300"/>
        <w:rPr>
          <w:rFonts w:ascii="宋体" w:hAnsi="宋体" w:eastAsia="宋体" w:cs="Times New Roman"/>
          <w:color w:val="auto"/>
          <w:kern w:val="1"/>
          <w:sz w:val="24"/>
          <w:szCs w:val="24"/>
          <w:highlight w:val="none"/>
        </w:rPr>
      </w:pPr>
      <w:r>
        <w:rPr>
          <w:rFonts w:hint="eastAsia" w:ascii="宋体" w:hAnsi="宋体" w:eastAsia="宋体" w:cs="Times New Roman"/>
          <w:color w:val="auto"/>
          <w:kern w:val="1"/>
          <w:sz w:val="24"/>
          <w:szCs w:val="24"/>
          <w:highlight w:val="none"/>
        </w:rPr>
        <w:t>供应商：</w:t>
      </w:r>
      <w:r>
        <w:rPr>
          <w:rFonts w:hint="eastAsia" w:ascii="宋体" w:hAnsi="宋体" w:eastAsia="宋体" w:cs="Times New Roman"/>
          <w:color w:val="auto"/>
          <w:kern w:val="1"/>
          <w:sz w:val="24"/>
          <w:szCs w:val="24"/>
          <w:highlight w:val="none"/>
          <w:u w:val="single"/>
        </w:rPr>
        <w:t xml:space="preserve">                        </w:t>
      </w:r>
      <w:r>
        <w:rPr>
          <w:rFonts w:hint="eastAsia" w:ascii="宋体" w:hAnsi="宋体" w:eastAsia="宋体" w:cs="Times New Roman"/>
          <w:color w:val="auto"/>
          <w:kern w:val="1"/>
          <w:sz w:val="24"/>
          <w:szCs w:val="24"/>
          <w:highlight w:val="none"/>
        </w:rPr>
        <w:t>（盖单位公章）</w:t>
      </w:r>
    </w:p>
    <w:p w14:paraId="79C799DA">
      <w:pPr>
        <w:suppressAutoHyphens/>
        <w:spacing w:line="480" w:lineRule="auto"/>
        <w:ind w:firstLine="3120" w:firstLineChars="1300"/>
        <w:rPr>
          <w:rFonts w:ascii="宋体" w:hAnsi="宋体" w:eastAsia="宋体" w:cs="Times New Roman"/>
          <w:color w:val="auto"/>
          <w:kern w:val="1"/>
          <w:sz w:val="24"/>
          <w:szCs w:val="24"/>
          <w:highlight w:val="none"/>
        </w:rPr>
      </w:pPr>
      <w:r>
        <w:rPr>
          <w:rFonts w:hint="eastAsia" w:ascii="宋体" w:hAnsi="宋体" w:eastAsia="宋体" w:cs="Times New Roman"/>
          <w:color w:val="auto"/>
          <w:kern w:val="1"/>
          <w:sz w:val="24"/>
          <w:szCs w:val="24"/>
          <w:highlight w:val="none"/>
        </w:rPr>
        <w:t>法定代表人：</w:t>
      </w:r>
      <w:r>
        <w:rPr>
          <w:rFonts w:hint="eastAsia" w:ascii="宋体" w:hAnsi="宋体" w:eastAsia="宋体" w:cs="Times New Roman"/>
          <w:color w:val="auto"/>
          <w:kern w:val="1"/>
          <w:sz w:val="24"/>
          <w:szCs w:val="24"/>
          <w:highlight w:val="none"/>
          <w:u w:val="single"/>
        </w:rPr>
        <w:t xml:space="preserve">                   </w:t>
      </w:r>
      <w:r>
        <w:rPr>
          <w:rFonts w:hint="eastAsia" w:ascii="宋体" w:hAnsi="宋体" w:eastAsia="宋体" w:cs="Times New Roman"/>
          <w:color w:val="auto"/>
          <w:kern w:val="1"/>
          <w:sz w:val="24"/>
          <w:szCs w:val="24"/>
          <w:highlight w:val="none"/>
        </w:rPr>
        <w:t>（</w:t>
      </w:r>
      <w:r>
        <w:rPr>
          <w:rFonts w:hint="eastAsia" w:ascii="宋体" w:hAnsi="宋体" w:eastAsia="宋体" w:cs="黑体"/>
          <w:bCs/>
          <w:color w:val="auto"/>
          <w:kern w:val="0"/>
          <w:sz w:val="24"/>
          <w:szCs w:val="21"/>
          <w:highlight w:val="none"/>
        </w:rPr>
        <w:t>电子签章</w:t>
      </w:r>
      <w:r>
        <w:rPr>
          <w:rFonts w:hint="eastAsia" w:ascii="宋体" w:hAnsi="宋体" w:eastAsia="宋体" w:cs="Times New Roman"/>
          <w:color w:val="auto"/>
          <w:kern w:val="1"/>
          <w:sz w:val="24"/>
          <w:szCs w:val="24"/>
          <w:highlight w:val="none"/>
        </w:rPr>
        <w:t>）</w:t>
      </w:r>
    </w:p>
    <w:p w14:paraId="384D5476">
      <w:pPr>
        <w:suppressAutoHyphens/>
        <w:spacing w:line="480" w:lineRule="auto"/>
        <w:ind w:firstLine="3120" w:firstLineChars="1300"/>
        <w:rPr>
          <w:rFonts w:hint="eastAsia" w:ascii="宋体" w:hAnsi="宋体" w:eastAsia="宋体" w:cs="Times New Roman"/>
          <w:color w:val="auto"/>
          <w:kern w:val="1"/>
          <w:sz w:val="24"/>
          <w:szCs w:val="24"/>
          <w:highlight w:val="none"/>
          <w:u w:val="single"/>
        </w:rPr>
      </w:pPr>
      <w:r>
        <w:rPr>
          <w:rFonts w:hint="eastAsia" w:ascii="宋体" w:hAnsi="宋体" w:eastAsia="宋体" w:cs="仿宋_GB2312"/>
          <w:color w:val="auto"/>
          <w:kern w:val="0"/>
          <w:sz w:val="24"/>
          <w:szCs w:val="24"/>
          <w:highlight w:val="none"/>
        </w:rPr>
        <w:t>身份证号码：</w:t>
      </w:r>
      <w:r>
        <w:rPr>
          <w:rFonts w:hint="eastAsia" w:ascii="宋体" w:hAnsi="宋体" w:eastAsia="宋体" w:cs="仿宋_GB2312"/>
          <w:color w:val="auto"/>
          <w:kern w:val="0"/>
          <w:sz w:val="24"/>
          <w:szCs w:val="24"/>
          <w:highlight w:val="none"/>
          <w:u w:val="single"/>
        </w:rPr>
        <w:t xml:space="preserve">                  </w:t>
      </w:r>
      <w:r>
        <w:rPr>
          <w:rFonts w:hint="eastAsia" w:ascii="宋体" w:hAnsi="宋体" w:eastAsia="宋体" w:cs="Times New Roman"/>
          <w:color w:val="auto"/>
          <w:kern w:val="1"/>
          <w:sz w:val="24"/>
          <w:szCs w:val="24"/>
          <w:highlight w:val="none"/>
          <w:u w:val="single"/>
        </w:rPr>
        <w:t xml:space="preserve">   </w:t>
      </w:r>
    </w:p>
    <w:p w14:paraId="46A791D1">
      <w:pPr>
        <w:suppressAutoHyphens/>
        <w:spacing w:line="480" w:lineRule="auto"/>
        <w:ind w:firstLine="3120" w:firstLineChars="1300"/>
        <w:rPr>
          <w:rFonts w:hint="eastAsia" w:ascii="宋体" w:hAnsi="宋体" w:eastAsia="宋体" w:cs="Times New Roman"/>
          <w:color w:val="auto"/>
          <w:kern w:val="1"/>
          <w:sz w:val="24"/>
          <w:szCs w:val="24"/>
          <w:highlight w:val="none"/>
          <w:u w:val="single"/>
          <w:lang w:val="en-US" w:eastAsia="zh-CN"/>
        </w:rPr>
      </w:pPr>
      <w:r>
        <w:rPr>
          <w:rFonts w:hint="eastAsia" w:ascii="宋体" w:hAnsi="宋体" w:eastAsia="宋体" w:cs="Times New Roman"/>
          <w:color w:val="auto"/>
          <w:kern w:val="1"/>
          <w:sz w:val="24"/>
          <w:szCs w:val="24"/>
          <w:highlight w:val="none"/>
          <w:u w:val="none"/>
          <w:lang w:val="en-US" w:eastAsia="zh-CN"/>
        </w:rPr>
        <w:t>联系电话：</w:t>
      </w:r>
      <w:r>
        <w:rPr>
          <w:rFonts w:hint="eastAsia" w:ascii="宋体" w:hAnsi="宋体" w:eastAsia="宋体" w:cs="仿宋_GB2312"/>
          <w:color w:val="auto"/>
          <w:kern w:val="0"/>
          <w:sz w:val="24"/>
          <w:szCs w:val="24"/>
          <w:highlight w:val="none"/>
          <w:u w:val="single"/>
        </w:rPr>
        <w:t xml:space="preserve">                  </w:t>
      </w:r>
      <w:r>
        <w:rPr>
          <w:rFonts w:hint="eastAsia" w:ascii="宋体" w:hAnsi="宋体" w:eastAsia="宋体" w:cs="Times New Roman"/>
          <w:color w:val="auto"/>
          <w:kern w:val="1"/>
          <w:sz w:val="24"/>
          <w:szCs w:val="24"/>
          <w:highlight w:val="none"/>
          <w:u w:val="single"/>
        </w:rPr>
        <w:t xml:space="preserve">   </w:t>
      </w:r>
    </w:p>
    <w:p w14:paraId="786E4934">
      <w:pPr>
        <w:suppressAutoHyphens/>
        <w:spacing w:line="480" w:lineRule="auto"/>
        <w:ind w:firstLine="3120" w:firstLineChars="1300"/>
        <w:rPr>
          <w:rFonts w:ascii="宋体" w:hAnsi="宋体" w:eastAsia="宋体" w:cs="Times New Roman"/>
          <w:color w:val="auto"/>
          <w:kern w:val="1"/>
          <w:sz w:val="24"/>
          <w:szCs w:val="24"/>
          <w:highlight w:val="none"/>
        </w:rPr>
      </w:pPr>
      <w:r>
        <w:rPr>
          <w:rFonts w:hint="eastAsia" w:ascii="宋体" w:hAnsi="宋体" w:eastAsia="宋体" w:cs="Times New Roman"/>
          <w:color w:val="auto"/>
          <w:kern w:val="1"/>
          <w:sz w:val="24"/>
          <w:szCs w:val="24"/>
          <w:highlight w:val="none"/>
        </w:rPr>
        <w:t>委托代理人：</w:t>
      </w:r>
      <w:r>
        <w:rPr>
          <w:rFonts w:hint="eastAsia" w:ascii="宋体" w:hAnsi="宋体" w:eastAsia="宋体" w:cs="Times New Roman"/>
          <w:color w:val="auto"/>
          <w:kern w:val="1"/>
          <w:sz w:val="24"/>
          <w:szCs w:val="24"/>
          <w:highlight w:val="none"/>
          <w:u w:val="single"/>
        </w:rPr>
        <w:t xml:space="preserve">                   </w:t>
      </w:r>
      <w:r>
        <w:rPr>
          <w:rFonts w:hint="eastAsia" w:ascii="宋体" w:hAnsi="宋体" w:eastAsia="宋体" w:cs="Times New Roman"/>
          <w:color w:val="auto"/>
          <w:kern w:val="1"/>
          <w:sz w:val="24"/>
          <w:szCs w:val="24"/>
          <w:highlight w:val="none"/>
        </w:rPr>
        <w:t xml:space="preserve">（签字） </w:t>
      </w:r>
    </w:p>
    <w:p w14:paraId="073FFE5D">
      <w:pPr>
        <w:suppressAutoHyphens/>
        <w:spacing w:line="480" w:lineRule="auto"/>
        <w:ind w:firstLine="3120" w:firstLineChars="1300"/>
        <w:rPr>
          <w:rFonts w:hint="eastAsia" w:ascii="宋体" w:hAnsi="宋体" w:eastAsia="宋体" w:cs="Times New Roman"/>
          <w:color w:val="auto"/>
          <w:kern w:val="1"/>
          <w:sz w:val="24"/>
          <w:szCs w:val="24"/>
          <w:highlight w:val="none"/>
          <w:u w:val="single"/>
        </w:rPr>
      </w:pPr>
      <w:r>
        <w:rPr>
          <w:rFonts w:hint="eastAsia" w:ascii="宋体" w:hAnsi="宋体" w:eastAsia="宋体" w:cs="Times New Roman"/>
          <w:color w:val="auto"/>
          <w:kern w:val="1"/>
          <w:sz w:val="24"/>
          <w:szCs w:val="24"/>
          <w:highlight w:val="none"/>
        </w:rPr>
        <w:t>身份证号码：</w:t>
      </w:r>
      <w:r>
        <w:rPr>
          <w:rFonts w:hint="eastAsia" w:ascii="宋体" w:hAnsi="宋体" w:eastAsia="宋体" w:cs="Times New Roman"/>
          <w:color w:val="auto"/>
          <w:kern w:val="1"/>
          <w:sz w:val="24"/>
          <w:szCs w:val="24"/>
          <w:highlight w:val="none"/>
          <w:u w:val="single"/>
        </w:rPr>
        <w:t xml:space="preserve">                      </w:t>
      </w:r>
    </w:p>
    <w:p w14:paraId="01AEF3D8">
      <w:pPr>
        <w:suppressAutoHyphens/>
        <w:spacing w:line="480" w:lineRule="auto"/>
        <w:ind w:firstLine="3120" w:firstLineChars="1300"/>
        <w:rPr>
          <w:rFonts w:hint="eastAsia" w:ascii="宋体" w:hAnsi="宋体" w:eastAsia="宋体" w:cs="Times New Roman"/>
          <w:color w:val="auto"/>
          <w:kern w:val="1"/>
          <w:sz w:val="24"/>
          <w:szCs w:val="24"/>
          <w:highlight w:val="none"/>
          <w:u w:val="single"/>
          <w:lang w:val="en-US" w:eastAsia="zh-CN"/>
        </w:rPr>
      </w:pPr>
      <w:r>
        <w:rPr>
          <w:rFonts w:hint="eastAsia" w:ascii="宋体" w:hAnsi="宋体" w:eastAsia="宋体" w:cs="Times New Roman"/>
          <w:color w:val="auto"/>
          <w:kern w:val="1"/>
          <w:sz w:val="24"/>
          <w:szCs w:val="24"/>
          <w:highlight w:val="none"/>
          <w:u w:val="none"/>
          <w:lang w:val="en-US" w:eastAsia="zh-CN"/>
        </w:rPr>
        <w:t>联系电话：</w:t>
      </w:r>
      <w:r>
        <w:rPr>
          <w:rFonts w:hint="eastAsia" w:ascii="宋体" w:hAnsi="宋体" w:eastAsia="宋体" w:cs="仿宋_GB2312"/>
          <w:color w:val="auto"/>
          <w:kern w:val="0"/>
          <w:sz w:val="24"/>
          <w:szCs w:val="24"/>
          <w:highlight w:val="none"/>
          <w:u w:val="single"/>
        </w:rPr>
        <w:t xml:space="preserve">                  </w:t>
      </w:r>
      <w:r>
        <w:rPr>
          <w:rFonts w:hint="eastAsia" w:ascii="宋体" w:hAnsi="宋体" w:eastAsia="宋体" w:cs="Times New Roman"/>
          <w:color w:val="auto"/>
          <w:kern w:val="1"/>
          <w:sz w:val="24"/>
          <w:szCs w:val="24"/>
          <w:highlight w:val="none"/>
          <w:u w:val="single"/>
        </w:rPr>
        <w:t xml:space="preserve">  </w:t>
      </w:r>
      <w:r>
        <w:rPr>
          <w:rFonts w:hint="eastAsia" w:ascii="宋体" w:hAnsi="宋体" w:eastAsia="宋体" w:cs="Times New Roman"/>
          <w:color w:val="auto"/>
          <w:kern w:val="1"/>
          <w:sz w:val="24"/>
          <w:szCs w:val="24"/>
          <w:highlight w:val="none"/>
          <w:u w:val="single"/>
          <w:lang w:val="en-US" w:eastAsia="zh-CN"/>
        </w:rPr>
        <w:t xml:space="preserve">   </w:t>
      </w:r>
      <w:r>
        <w:rPr>
          <w:rFonts w:hint="eastAsia" w:ascii="宋体" w:hAnsi="宋体" w:eastAsia="宋体" w:cs="Times New Roman"/>
          <w:color w:val="auto"/>
          <w:kern w:val="1"/>
          <w:sz w:val="24"/>
          <w:szCs w:val="24"/>
          <w:highlight w:val="none"/>
          <w:u w:val="single"/>
        </w:rPr>
        <w:t xml:space="preserve"> </w:t>
      </w:r>
    </w:p>
    <w:p w14:paraId="2DD3CB19">
      <w:pPr>
        <w:suppressAutoHyphens/>
        <w:spacing w:line="360" w:lineRule="auto"/>
        <w:ind w:firstLine="3120" w:firstLineChars="1300"/>
        <w:rPr>
          <w:rFonts w:ascii="宋体" w:hAnsi="宋体" w:eastAsia="宋体" w:cs="Times New Roman"/>
          <w:color w:val="auto"/>
          <w:kern w:val="1"/>
          <w:sz w:val="24"/>
          <w:szCs w:val="24"/>
          <w:highlight w:val="none"/>
        </w:rPr>
      </w:pPr>
    </w:p>
    <w:p w14:paraId="2DDB45BE">
      <w:pPr>
        <w:suppressAutoHyphens/>
        <w:spacing w:line="360" w:lineRule="auto"/>
        <w:ind w:firstLine="4920" w:firstLineChars="2050"/>
        <w:rPr>
          <w:rFonts w:ascii="宋体" w:hAnsi="宋体" w:eastAsia="宋体" w:cs="Times New Roman"/>
          <w:color w:val="auto"/>
          <w:kern w:val="1"/>
          <w:sz w:val="24"/>
          <w:szCs w:val="24"/>
          <w:highlight w:val="none"/>
        </w:rPr>
      </w:pPr>
      <w:r>
        <w:rPr>
          <w:rFonts w:hint="eastAsia" w:ascii="宋体" w:hAnsi="宋体" w:eastAsia="宋体" w:cs="Times New Roman"/>
          <w:color w:val="auto"/>
          <w:kern w:val="1"/>
          <w:sz w:val="24"/>
          <w:szCs w:val="24"/>
          <w:highlight w:val="none"/>
          <w:u w:val="single"/>
        </w:rPr>
        <w:t xml:space="preserve">       </w:t>
      </w:r>
      <w:r>
        <w:rPr>
          <w:rFonts w:hint="eastAsia" w:ascii="宋体" w:hAnsi="宋体" w:eastAsia="宋体" w:cs="Times New Roman"/>
          <w:color w:val="auto"/>
          <w:kern w:val="1"/>
          <w:sz w:val="24"/>
          <w:szCs w:val="24"/>
          <w:highlight w:val="none"/>
        </w:rPr>
        <w:t>年</w:t>
      </w:r>
      <w:r>
        <w:rPr>
          <w:rFonts w:hint="eastAsia" w:ascii="宋体" w:hAnsi="宋体" w:eastAsia="宋体" w:cs="Times New Roman"/>
          <w:color w:val="auto"/>
          <w:kern w:val="1"/>
          <w:sz w:val="24"/>
          <w:szCs w:val="24"/>
          <w:highlight w:val="none"/>
          <w:u w:val="single"/>
        </w:rPr>
        <w:t xml:space="preserve">       </w:t>
      </w:r>
      <w:r>
        <w:rPr>
          <w:rFonts w:hint="eastAsia" w:ascii="宋体" w:hAnsi="宋体" w:eastAsia="宋体" w:cs="Times New Roman"/>
          <w:color w:val="auto"/>
          <w:kern w:val="1"/>
          <w:sz w:val="24"/>
          <w:szCs w:val="24"/>
          <w:highlight w:val="none"/>
        </w:rPr>
        <w:t>月</w:t>
      </w:r>
      <w:r>
        <w:rPr>
          <w:rFonts w:hint="eastAsia" w:ascii="宋体" w:hAnsi="宋体" w:eastAsia="宋体" w:cs="Times New Roman"/>
          <w:color w:val="auto"/>
          <w:kern w:val="1"/>
          <w:sz w:val="24"/>
          <w:szCs w:val="24"/>
          <w:highlight w:val="none"/>
          <w:u w:val="single"/>
        </w:rPr>
        <w:t xml:space="preserve">       </w:t>
      </w:r>
      <w:r>
        <w:rPr>
          <w:rFonts w:hint="eastAsia" w:ascii="宋体" w:hAnsi="宋体" w:eastAsia="宋体" w:cs="Times New Roman"/>
          <w:color w:val="auto"/>
          <w:kern w:val="1"/>
          <w:sz w:val="24"/>
          <w:szCs w:val="24"/>
          <w:highlight w:val="none"/>
        </w:rPr>
        <w:t>日</w:t>
      </w:r>
    </w:p>
    <w:p w14:paraId="666BD3D3">
      <w:pPr>
        <w:widowControl/>
        <w:jc w:val="lef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 xml:space="preserve"> </w:t>
      </w:r>
    </w:p>
    <w:p w14:paraId="66C07DE1">
      <w:pPr>
        <w:widowControl/>
        <w:jc w:val="lef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 xml:space="preserve"> </w:t>
      </w:r>
    </w:p>
    <w:p w14:paraId="7E3A333C">
      <w:pPr>
        <w:widowControl/>
        <w:jc w:val="lef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 xml:space="preserve"> </w:t>
      </w:r>
    </w:p>
    <w:p w14:paraId="7E846A4C">
      <w:pPr>
        <w:widowControl/>
        <w:ind w:firstLine="360"/>
        <w:jc w:val="left"/>
        <w:rPr>
          <w:rFonts w:ascii="宋体" w:hAnsi="宋体" w:eastAsia="宋体" w:cs="宋体"/>
          <w:b/>
          <w:bCs/>
          <w:color w:val="auto"/>
          <w:spacing w:val="10"/>
          <w:kern w:val="0"/>
          <w:sz w:val="24"/>
          <w:highlight w:val="none"/>
        </w:rPr>
      </w:pPr>
    </w:p>
    <w:p w14:paraId="472DB41A">
      <w:pPr>
        <w:spacing w:line="560" w:lineRule="exact"/>
        <w:rPr>
          <w:rFonts w:asciiTheme="minorEastAsia" w:hAnsiTheme="minorEastAsia" w:cstheme="minorEastAsia"/>
          <w:b/>
          <w:bCs/>
          <w:color w:val="auto"/>
          <w:kern w:val="0"/>
          <w:sz w:val="28"/>
          <w:szCs w:val="28"/>
          <w:highlight w:val="none"/>
        </w:rPr>
      </w:pPr>
    </w:p>
    <w:p w14:paraId="37C73FAF">
      <w:pPr>
        <w:rPr>
          <w:rFonts w:ascii="宋体" w:hAnsi="宋体" w:cs="宋体"/>
          <w:b/>
          <w:bCs/>
          <w:color w:val="auto"/>
          <w:sz w:val="24"/>
          <w:highlight w:val="none"/>
        </w:rPr>
      </w:pPr>
      <w:r>
        <w:rPr>
          <w:rFonts w:hint="eastAsia" w:ascii="宋体" w:hAnsi="宋体" w:cs="宋体"/>
          <w:b/>
          <w:bCs/>
          <w:color w:val="auto"/>
          <w:sz w:val="24"/>
          <w:highlight w:val="none"/>
        </w:rPr>
        <w:t xml:space="preserve"> </w:t>
      </w:r>
    </w:p>
    <w:p w14:paraId="49BFF792">
      <w:pPr>
        <w:pStyle w:val="4"/>
        <w:jc w:val="center"/>
        <w:rPr>
          <w:color w:val="auto"/>
          <w:highlight w:val="none"/>
        </w:rPr>
      </w:pPr>
      <w:bookmarkStart w:id="216" w:name="_Toc10352"/>
      <w:bookmarkEnd w:id="216"/>
      <w:r>
        <w:rPr>
          <w:rFonts w:hint="eastAsia" w:ascii="宋体" w:hAnsi="宋体" w:cs="宋体"/>
          <w:color w:val="auto"/>
          <w:szCs w:val="24"/>
          <w:highlight w:val="none"/>
        </w:rPr>
        <w:br w:type="page"/>
      </w:r>
      <w:r>
        <w:rPr>
          <w:rFonts w:hint="eastAsia"/>
          <w:color w:val="auto"/>
          <w:highlight w:val="none"/>
        </w:rPr>
        <w:t>四、投标承诺函</w:t>
      </w:r>
    </w:p>
    <w:p w14:paraId="612B2FF6">
      <w:pPr>
        <w:spacing w:line="360" w:lineRule="auto"/>
        <w:ind w:firstLine="480" w:firstLineChars="200"/>
        <w:rPr>
          <w:color w:val="auto"/>
          <w:sz w:val="24"/>
          <w:szCs w:val="28"/>
          <w:highlight w:val="none"/>
        </w:rPr>
      </w:pPr>
      <w:r>
        <w:rPr>
          <w:rFonts w:hint="eastAsia"/>
          <w:color w:val="auto"/>
          <w:sz w:val="24"/>
          <w:szCs w:val="28"/>
          <w:highlight w:val="none"/>
        </w:rPr>
        <w:t xml:space="preserve">致 （招标人）：                     </w:t>
      </w:r>
    </w:p>
    <w:p w14:paraId="3D73AA6D">
      <w:pPr>
        <w:spacing w:line="360" w:lineRule="auto"/>
        <w:ind w:firstLine="480" w:firstLineChars="200"/>
        <w:rPr>
          <w:color w:val="auto"/>
          <w:sz w:val="24"/>
          <w:szCs w:val="28"/>
          <w:highlight w:val="none"/>
        </w:rPr>
      </w:pPr>
      <w:r>
        <w:rPr>
          <w:rFonts w:hint="eastAsia"/>
          <w:color w:val="auto"/>
          <w:sz w:val="24"/>
          <w:szCs w:val="28"/>
          <w:highlight w:val="none"/>
        </w:rPr>
        <w:t>我公司作为本次采购项目的供应商，根据招标文件要求，现郑重承诺如下：</w:t>
      </w:r>
    </w:p>
    <w:p w14:paraId="5FBCA3F4">
      <w:pPr>
        <w:spacing w:line="360" w:lineRule="auto"/>
        <w:ind w:firstLine="480" w:firstLineChars="200"/>
        <w:rPr>
          <w:color w:val="auto"/>
          <w:sz w:val="24"/>
          <w:szCs w:val="28"/>
          <w:highlight w:val="none"/>
        </w:rPr>
      </w:pPr>
      <w:r>
        <w:rPr>
          <w:rFonts w:hint="eastAsia"/>
          <w:color w:val="auto"/>
          <w:sz w:val="24"/>
          <w:szCs w:val="28"/>
          <w:highlight w:val="none"/>
        </w:rPr>
        <w:t>一、具备《中华人民共和国政府采购法》第二十二条第一款和本项目规定的条件：</w:t>
      </w:r>
    </w:p>
    <w:p w14:paraId="656A597A">
      <w:pPr>
        <w:spacing w:line="360" w:lineRule="auto"/>
        <w:ind w:firstLine="480" w:firstLineChars="200"/>
        <w:rPr>
          <w:color w:val="auto"/>
          <w:sz w:val="24"/>
          <w:szCs w:val="28"/>
          <w:highlight w:val="none"/>
        </w:rPr>
      </w:pPr>
      <w:r>
        <w:rPr>
          <w:rFonts w:hint="eastAsia"/>
          <w:color w:val="auto"/>
          <w:sz w:val="24"/>
          <w:szCs w:val="28"/>
          <w:highlight w:val="none"/>
        </w:rPr>
        <w:t>（一）具有独立承担民事责任的能力；</w:t>
      </w:r>
    </w:p>
    <w:p w14:paraId="52EE1FE7">
      <w:pPr>
        <w:spacing w:line="360" w:lineRule="auto"/>
        <w:ind w:firstLine="480" w:firstLineChars="200"/>
        <w:rPr>
          <w:color w:val="auto"/>
          <w:sz w:val="24"/>
          <w:szCs w:val="28"/>
          <w:highlight w:val="none"/>
        </w:rPr>
      </w:pPr>
      <w:r>
        <w:rPr>
          <w:rFonts w:hint="eastAsia"/>
          <w:color w:val="auto"/>
          <w:sz w:val="24"/>
          <w:szCs w:val="28"/>
          <w:highlight w:val="none"/>
        </w:rPr>
        <w:t>（二）具有良好的商业信誉和健全的财务会计制度；</w:t>
      </w:r>
    </w:p>
    <w:p w14:paraId="2143C636">
      <w:pPr>
        <w:spacing w:line="360" w:lineRule="auto"/>
        <w:ind w:firstLine="480" w:firstLineChars="200"/>
        <w:rPr>
          <w:color w:val="auto"/>
          <w:sz w:val="24"/>
          <w:szCs w:val="28"/>
          <w:highlight w:val="none"/>
        </w:rPr>
      </w:pPr>
      <w:r>
        <w:rPr>
          <w:rFonts w:hint="eastAsia"/>
          <w:color w:val="auto"/>
          <w:sz w:val="24"/>
          <w:szCs w:val="28"/>
          <w:highlight w:val="none"/>
        </w:rPr>
        <w:t>（三）具有履行合同所必需的设备和专业技术能力；</w:t>
      </w:r>
    </w:p>
    <w:p w14:paraId="33FC2A55">
      <w:pPr>
        <w:spacing w:line="360" w:lineRule="auto"/>
        <w:ind w:firstLine="480" w:firstLineChars="200"/>
        <w:rPr>
          <w:color w:val="auto"/>
          <w:sz w:val="24"/>
          <w:szCs w:val="28"/>
          <w:highlight w:val="none"/>
        </w:rPr>
      </w:pPr>
      <w:r>
        <w:rPr>
          <w:rFonts w:hint="eastAsia"/>
          <w:color w:val="auto"/>
          <w:sz w:val="24"/>
          <w:szCs w:val="28"/>
          <w:highlight w:val="none"/>
        </w:rPr>
        <w:t>（四）有依法缴纳税收的良好记录；</w:t>
      </w:r>
    </w:p>
    <w:p w14:paraId="03102A7B">
      <w:pPr>
        <w:spacing w:line="360" w:lineRule="auto"/>
        <w:ind w:firstLine="480" w:firstLineChars="200"/>
        <w:rPr>
          <w:color w:val="auto"/>
          <w:sz w:val="24"/>
          <w:szCs w:val="28"/>
          <w:highlight w:val="none"/>
        </w:rPr>
      </w:pPr>
      <w:r>
        <w:rPr>
          <w:rFonts w:hint="eastAsia"/>
          <w:color w:val="auto"/>
          <w:sz w:val="24"/>
          <w:szCs w:val="28"/>
          <w:highlight w:val="none"/>
        </w:rPr>
        <w:t>（五）参加政府采购活动前三年内，在经营活动中没有重大违法记录；</w:t>
      </w:r>
    </w:p>
    <w:p w14:paraId="3470D4E2">
      <w:pPr>
        <w:spacing w:line="360" w:lineRule="auto"/>
        <w:ind w:firstLine="480" w:firstLineChars="200"/>
        <w:rPr>
          <w:color w:val="auto"/>
          <w:sz w:val="24"/>
          <w:szCs w:val="28"/>
          <w:highlight w:val="none"/>
        </w:rPr>
      </w:pPr>
      <w:r>
        <w:rPr>
          <w:rFonts w:hint="eastAsia"/>
          <w:color w:val="auto"/>
          <w:sz w:val="24"/>
          <w:szCs w:val="28"/>
          <w:highlight w:val="none"/>
        </w:rPr>
        <w:t>（六）法律、行政法规规定的其他条件；</w:t>
      </w:r>
    </w:p>
    <w:p w14:paraId="25F50638">
      <w:pPr>
        <w:spacing w:line="360" w:lineRule="auto"/>
        <w:ind w:firstLine="480" w:firstLineChars="200"/>
        <w:rPr>
          <w:color w:val="auto"/>
          <w:sz w:val="24"/>
          <w:szCs w:val="28"/>
          <w:highlight w:val="none"/>
        </w:rPr>
      </w:pPr>
      <w:r>
        <w:rPr>
          <w:rFonts w:hint="eastAsia"/>
          <w:color w:val="auto"/>
          <w:sz w:val="24"/>
          <w:szCs w:val="28"/>
          <w:highlight w:val="none"/>
        </w:rPr>
        <w:t>（七）根据采购项目提出的特殊条件。</w:t>
      </w:r>
    </w:p>
    <w:p w14:paraId="0EE52E29">
      <w:pPr>
        <w:spacing w:line="360" w:lineRule="auto"/>
        <w:ind w:firstLine="480" w:firstLineChars="200"/>
        <w:rPr>
          <w:color w:val="auto"/>
          <w:sz w:val="24"/>
          <w:szCs w:val="28"/>
          <w:highlight w:val="none"/>
        </w:rPr>
      </w:pPr>
      <w:r>
        <w:rPr>
          <w:rFonts w:hint="eastAsia"/>
          <w:color w:val="auto"/>
          <w:sz w:val="24"/>
          <w:szCs w:val="28"/>
          <w:highlight w:val="none"/>
        </w:rPr>
        <w:t>二、完全接受和满足本项目招标文件中规定的实质性要求，如对竞招标文件有异议，已经在投标截止时间届满前依法进行维权救济，不存在对招标文件有异议的同时又参加投标以求侥幸中标或者为实现其他非法目的的行为。</w:t>
      </w:r>
    </w:p>
    <w:p w14:paraId="1A485CC0">
      <w:pPr>
        <w:spacing w:line="360" w:lineRule="auto"/>
        <w:ind w:firstLine="480" w:firstLineChars="200"/>
        <w:rPr>
          <w:color w:val="auto"/>
          <w:sz w:val="24"/>
          <w:szCs w:val="28"/>
          <w:highlight w:val="none"/>
        </w:rPr>
      </w:pPr>
      <w:r>
        <w:rPr>
          <w:rFonts w:hint="eastAsia"/>
          <w:color w:val="auto"/>
          <w:sz w:val="24"/>
          <w:szCs w:val="28"/>
          <w:highlight w:val="none"/>
        </w:rPr>
        <w:t>三、参加本次招标采购活动，不存在与单位负责人为同一人或者存在直接控股、管理关系的其他供应商参与同一合同项下的政府采购活动的行为。</w:t>
      </w:r>
    </w:p>
    <w:p w14:paraId="2260403B">
      <w:pPr>
        <w:spacing w:line="360" w:lineRule="auto"/>
        <w:ind w:firstLine="480" w:firstLineChars="200"/>
        <w:rPr>
          <w:color w:val="auto"/>
          <w:sz w:val="24"/>
          <w:szCs w:val="28"/>
          <w:highlight w:val="none"/>
        </w:rPr>
      </w:pPr>
      <w:r>
        <w:rPr>
          <w:rFonts w:hint="eastAsia"/>
          <w:color w:val="auto"/>
          <w:sz w:val="24"/>
          <w:szCs w:val="28"/>
          <w:highlight w:val="none"/>
        </w:rPr>
        <w:t>四、参加本次招标采购活动，不存在为采购项目提供整体设计、规范编制或者项目管理、监理、检测等服务的行为。</w:t>
      </w:r>
    </w:p>
    <w:p w14:paraId="4A2FD33C">
      <w:pPr>
        <w:spacing w:line="360" w:lineRule="auto"/>
        <w:ind w:firstLine="480" w:firstLineChars="200"/>
        <w:rPr>
          <w:color w:val="auto"/>
          <w:sz w:val="24"/>
          <w:szCs w:val="28"/>
          <w:highlight w:val="none"/>
        </w:rPr>
      </w:pPr>
      <w:r>
        <w:rPr>
          <w:rFonts w:hint="eastAsia"/>
          <w:color w:val="auto"/>
          <w:sz w:val="24"/>
          <w:szCs w:val="28"/>
          <w:highlight w:val="none"/>
        </w:rPr>
        <w:t>五、参加本次招标采购活动，不存在和其他供应商在同一合同项下的采购项目中，同时委托同一个自然人、同一家庭的人员、同一单位的人员作为代理人的行为。</w:t>
      </w:r>
    </w:p>
    <w:p w14:paraId="4CC7AB31">
      <w:pPr>
        <w:spacing w:line="360" w:lineRule="auto"/>
        <w:ind w:firstLine="480" w:firstLineChars="200"/>
        <w:rPr>
          <w:color w:val="auto"/>
          <w:sz w:val="24"/>
          <w:szCs w:val="28"/>
          <w:highlight w:val="none"/>
        </w:rPr>
      </w:pPr>
      <w:r>
        <w:rPr>
          <w:rFonts w:hint="eastAsia"/>
          <w:color w:val="auto"/>
          <w:sz w:val="24"/>
          <w:szCs w:val="28"/>
          <w:highlight w:val="none"/>
        </w:rPr>
        <w:t>六、供应商参加本次政府采购活动要求在近三年内供应商和其法定代表人没有行贿犯罪行为。</w:t>
      </w:r>
    </w:p>
    <w:p w14:paraId="0FED990F">
      <w:pPr>
        <w:spacing w:line="360" w:lineRule="auto"/>
        <w:ind w:firstLine="480" w:firstLineChars="200"/>
        <w:rPr>
          <w:color w:val="auto"/>
          <w:sz w:val="24"/>
          <w:szCs w:val="28"/>
          <w:highlight w:val="none"/>
        </w:rPr>
      </w:pPr>
      <w:r>
        <w:rPr>
          <w:rFonts w:hint="eastAsia"/>
          <w:color w:val="auto"/>
          <w:sz w:val="24"/>
          <w:szCs w:val="28"/>
          <w:highlight w:val="none"/>
        </w:rPr>
        <w:t>七、参加本次招标采购活动，不存在联合体投标。</w:t>
      </w:r>
    </w:p>
    <w:p w14:paraId="5A9BE31D">
      <w:pPr>
        <w:spacing w:line="360" w:lineRule="auto"/>
        <w:ind w:firstLine="480" w:firstLineChars="200"/>
        <w:rPr>
          <w:color w:val="auto"/>
          <w:sz w:val="24"/>
          <w:szCs w:val="28"/>
          <w:highlight w:val="none"/>
        </w:rPr>
      </w:pPr>
      <w:r>
        <w:rPr>
          <w:rFonts w:hint="eastAsia"/>
          <w:color w:val="auto"/>
          <w:sz w:val="24"/>
          <w:szCs w:val="28"/>
          <w:highlight w:val="none"/>
        </w:rPr>
        <w:t>八、投标文件中提供的能够给予我公司带来优惠、好处的任何材料资料和技术、服务、商务等响应承诺情况都是真实的、有效的、合法的。</w:t>
      </w:r>
    </w:p>
    <w:p w14:paraId="3FD4C8F1">
      <w:pPr>
        <w:spacing w:line="360" w:lineRule="auto"/>
        <w:ind w:firstLine="480" w:firstLineChars="200"/>
        <w:rPr>
          <w:color w:val="auto"/>
          <w:sz w:val="24"/>
          <w:szCs w:val="28"/>
          <w:highlight w:val="none"/>
        </w:rPr>
      </w:pPr>
      <w:r>
        <w:rPr>
          <w:rFonts w:hint="eastAsia"/>
          <w:color w:val="auto"/>
          <w:sz w:val="24"/>
          <w:szCs w:val="28"/>
          <w:highlight w:val="none"/>
        </w:rPr>
        <w:t>九、如本项目评标过程中需要提供样品，则我公司提供的样品即为中标后将要提供的中标产品，我公司对提供样品的性能和质量负责，因样品存在缺陷或者不符合招标文件导致未能中标的，我公司愿意承担相应不利后果。（如提供样品）</w:t>
      </w:r>
    </w:p>
    <w:p w14:paraId="43A490C6">
      <w:pPr>
        <w:spacing w:line="360" w:lineRule="auto"/>
        <w:ind w:firstLine="480" w:firstLineChars="200"/>
        <w:rPr>
          <w:color w:val="auto"/>
          <w:sz w:val="24"/>
          <w:szCs w:val="28"/>
          <w:highlight w:val="none"/>
        </w:rPr>
      </w:pPr>
      <w:r>
        <w:rPr>
          <w:rFonts w:hint="eastAsia"/>
          <w:color w:val="auto"/>
          <w:sz w:val="24"/>
          <w:szCs w:val="28"/>
          <w:highlight w:val="none"/>
        </w:rPr>
        <w:t>十、存在以下行为之一的愿意接受相关部门的处理：</w:t>
      </w:r>
    </w:p>
    <w:p w14:paraId="44EAD013">
      <w:pPr>
        <w:spacing w:line="360" w:lineRule="auto"/>
        <w:ind w:firstLine="480" w:firstLineChars="200"/>
        <w:rPr>
          <w:color w:val="auto"/>
          <w:sz w:val="24"/>
          <w:szCs w:val="28"/>
          <w:highlight w:val="none"/>
        </w:rPr>
      </w:pPr>
      <w:r>
        <w:rPr>
          <w:rFonts w:hint="eastAsia"/>
          <w:color w:val="auto"/>
          <w:sz w:val="24"/>
          <w:szCs w:val="28"/>
          <w:highlight w:val="none"/>
        </w:rPr>
        <w:t>（一）投标有效期内撤销投标文件的；</w:t>
      </w:r>
    </w:p>
    <w:p w14:paraId="312C8E47">
      <w:pPr>
        <w:spacing w:line="360" w:lineRule="auto"/>
        <w:ind w:firstLine="480" w:firstLineChars="200"/>
        <w:rPr>
          <w:color w:val="auto"/>
          <w:sz w:val="24"/>
          <w:szCs w:val="28"/>
          <w:highlight w:val="none"/>
        </w:rPr>
      </w:pPr>
      <w:r>
        <w:rPr>
          <w:rFonts w:hint="eastAsia"/>
          <w:color w:val="auto"/>
          <w:sz w:val="24"/>
          <w:szCs w:val="28"/>
          <w:highlight w:val="none"/>
        </w:rPr>
        <w:t>（二）在招标人确定中标人以前放弃中标候选资格的；</w:t>
      </w:r>
    </w:p>
    <w:p w14:paraId="1BB167BF">
      <w:pPr>
        <w:spacing w:line="360" w:lineRule="auto"/>
        <w:ind w:firstLine="480" w:firstLineChars="200"/>
        <w:rPr>
          <w:color w:val="auto"/>
          <w:sz w:val="24"/>
          <w:szCs w:val="28"/>
          <w:highlight w:val="none"/>
        </w:rPr>
      </w:pPr>
      <w:r>
        <w:rPr>
          <w:rFonts w:hint="eastAsia"/>
          <w:color w:val="auto"/>
          <w:sz w:val="24"/>
          <w:szCs w:val="28"/>
          <w:highlight w:val="none"/>
        </w:rPr>
        <w:t>（三）由于中标人的原因未能按照招标文件的规定与招标人签订合同；</w:t>
      </w:r>
    </w:p>
    <w:p w14:paraId="0A5B78BF">
      <w:pPr>
        <w:spacing w:line="360" w:lineRule="auto"/>
        <w:ind w:firstLine="480" w:firstLineChars="200"/>
        <w:rPr>
          <w:color w:val="auto"/>
          <w:sz w:val="24"/>
          <w:szCs w:val="28"/>
          <w:highlight w:val="none"/>
        </w:rPr>
      </w:pPr>
      <w:r>
        <w:rPr>
          <w:rFonts w:hint="eastAsia"/>
          <w:color w:val="auto"/>
          <w:sz w:val="24"/>
          <w:szCs w:val="28"/>
          <w:highlight w:val="none"/>
        </w:rPr>
        <w:t>（四）在投标文件中提供虚假材料谋取中标；</w:t>
      </w:r>
    </w:p>
    <w:p w14:paraId="1F976C0C">
      <w:pPr>
        <w:spacing w:line="360" w:lineRule="auto"/>
        <w:ind w:firstLine="480" w:firstLineChars="200"/>
        <w:rPr>
          <w:color w:val="auto"/>
          <w:sz w:val="24"/>
          <w:szCs w:val="28"/>
          <w:highlight w:val="none"/>
        </w:rPr>
      </w:pPr>
      <w:r>
        <w:rPr>
          <w:rFonts w:hint="eastAsia"/>
          <w:color w:val="auto"/>
          <w:sz w:val="24"/>
          <w:szCs w:val="28"/>
          <w:highlight w:val="none"/>
        </w:rPr>
        <w:t>（五）与招标人、其他供应商或者招标代理机构恶意串通的；</w:t>
      </w:r>
    </w:p>
    <w:p w14:paraId="0CCEACCD">
      <w:pPr>
        <w:spacing w:line="360" w:lineRule="auto"/>
        <w:ind w:firstLine="480" w:firstLineChars="200"/>
        <w:rPr>
          <w:color w:val="auto"/>
          <w:sz w:val="24"/>
          <w:szCs w:val="28"/>
          <w:highlight w:val="none"/>
        </w:rPr>
      </w:pPr>
      <w:r>
        <w:rPr>
          <w:rFonts w:hint="eastAsia"/>
          <w:color w:val="auto"/>
          <w:sz w:val="24"/>
          <w:szCs w:val="28"/>
          <w:highlight w:val="none"/>
        </w:rPr>
        <w:t>（六）投标有效期内，供应商在政府采购活动中有违法、违规、违纪行为。由此产生的一切法律后果和责任由我公司承担。我公司声明放弃对此提出任何异议和追索的权利。</w:t>
      </w:r>
    </w:p>
    <w:p w14:paraId="5F895A42">
      <w:pPr>
        <w:spacing w:line="360" w:lineRule="auto"/>
        <w:ind w:firstLine="480" w:firstLineChars="200"/>
        <w:rPr>
          <w:color w:val="auto"/>
          <w:sz w:val="24"/>
          <w:szCs w:val="28"/>
          <w:highlight w:val="none"/>
        </w:rPr>
      </w:pPr>
      <w:r>
        <w:rPr>
          <w:rFonts w:hint="eastAsia"/>
          <w:color w:val="auto"/>
          <w:sz w:val="24"/>
          <w:szCs w:val="28"/>
          <w:highlight w:val="none"/>
        </w:rPr>
        <w:t>本公司对上述承诺的内容事项真实性负责。如经查实上述承诺的内容事项存在虚假，我公司愿意接受以提供虚假材料谋取中标追究法律责任。</w:t>
      </w:r>
    </w:p>
    <w:p w14:paraId="07B5D745">
      <w:pPr>
        <w:spacing w:line="360" w:lineRule="auto"/>
        <w:ind w:firstLine="480" w:firstLineChars="200"/>
        <w:rPr>
          <w:color w:val="auto"/>
          <w:sz w:val="24"/>
          <w:szCs w:val="28"/>
          <w:highlight w:val="none"/>
        </w:rPr>
      </w:pPr>
    </w:p>
    <w:p w14:paraId="36B485A9">
      <w:pPr>
        <w:spacing w:line="360" w:lineRule="auto"/>
        <w:ind w:firstLine="480" w:firstLineChars="200"/>
        <w:rPr>
          <w:color w:val="auto"/>
          <w:sz w:val="24"/>
          <w:szCs w:val="28"/>
          <w:highlight w:val="none"/>
        </w:rPr>
      </w:pPr>
      <w:bookmarkStart w:id="217" w:name="五、磋商报价明细表"/>
      <w:bookmarkEnd w:id="217"/>
    </w:p>
    <w:p w14:paraId="25F3EF06">
      <w:pPr>
        <w:spacing w:line="360" w:lineRule="auto"/>
        <w:ind w:firstLine="480" w:firstLineChars="200"/>
        <w:rPr>
          <w:color w:val="auto"/>
          <w:sz w:val="24"/>
          <w:szCs w:val="28"/>
          <w:highlight w:val="none"/>
        </w:rPr>
      </w:pPr>
      <w:r>
        <w:rPr>
          <w:rFonts w:hint="eastAsia"/>
          <w:color w:val="auto"/>
          <w:sz w:val="24"/>
          <w:szCs w:val="28"/>
          <w:highlight w:val="none"/>
        </w:rPr>
        <w:t>供应商：                      （盖单位公章）</w:t>
      </w:r>
    </w:p>
    <w:p w14:paraId="7375CB7B">
      <w:pPr>
        <w:spacing w:line="360" w:lineRule="auto"/>
        <w:ind w:firstLine="480" w:firstLineChars="200"/>
        <w:rPr>
          <w:color w:val="auto"/>
          <w:sz w:val="24"/>
          <w:szCs w:val="28"/>
          <w:highlight w:val="none"/>
        </w:rPr>
      </w:pPr>
      <w:r>
        <w:rPr>
          <w:rFonts w:hint="eastAsia"/>
          <w:color w:val="auto"/>
          <w:sz w:val="24"/>
          <w:szCs w:val="28"/>
          <w:highlight w:val="none"/>
        </w:rPr>
        <w:t>法定代表人：              （电子签章）</w:t>
      </w:r>
    </w:p>
    <w:p w14:paraId="293E172C">
      <w:pPr>
        <w:spacing w:line="360" w:lineRule="auto"/>
        <w:ind w:firstLine="480" w:firstLineChars="200"/>
        <w:rPr>
          <w:color w:val="auto"/>
          <w:sz w:val="24"/>
          <w:szCs w:val="28"/>
          <w:highlight w:val="none"/>
        </w:rPr>
      </w:pPr>
      <w:r>
        <w:rPr>
          <w:rFonts w:hint="eastAsia"/>
          <w:color w:val="auto"/>
          <w:sz w:val="24"/>
          <w:szCs w:val="28"/>
          <w:highlight w:val="none"/>
        </w:rPr>
        <w:t>日期：        年      月      日</w:t>
      </w:r>
    </w:p>
    <w:p w14:paraId="47FC1A09">
      <w:pPr>
        <w:pStyle w:val="4"/>
        <w:jc w:val="center"/>
        <w:rPr>
          <w:color w:val="auto"/>
          <w:highlight w:val="none"/>
        </w:rPr>
      </w:pPr>
      <w:r>
        <w:rPr>
          <w:rFonts w:hint="eastAsia" w:ascii="宋体" w:hAnsi="宋体" w:cs="宋体"/>
          <w:color w:val="auto"/>
          <w:szCs w:val="24"/>
          <w:highlight w:val="none"/>
        </w:rPr>
        <w:br w:type="page"/>
      </w:r>
      <w:bookmarkStart w:id="218" w:name="_Toc361989462"/>
      <w:bookmarkEnd w:id="218"/>
      <w:bookmarkStart w:id="219" w:name="_Toc528078071"/>
      <w:bookmarkEnd w:id="219"/>
      <w:bookmarkStart w:id="220" w:name="_Toc244934212"/>
      <w:bookmarkEnd w:id="220"/>
      <w:bookmarkStart w:id="221" w:name="_Hlk3282331"/>
      <w:bookmarkEnd w:id="221"/>
      <w:bookmarkStart w:id="222" w:name="_Toc28663"/>
      <w:bookmarkStart w:id="223" w:name="_Toc6985"/>
      <w:bookmarkStart w:id="224" w:name="_Toc23028"/>
      <w:r>
        <w:rPr>
          <w:rFonts w:hint="eastAsia"/>
          <w:color w:val="auto"/>
          <w:highlight w:val="none"/>
        </w:rPr>
        <w:t>五、报价明细表</w:t>
      </w:r>
      <w:bookmarkEnd w:id="222"/>
      <w:bookmarkEnd w:id="223"/>
      <w:bookmarkEnd w:id="224"/>
    </w:p>
    <w:tbl>
      <w:tblPr>
        <w:tblStyle w:val="21"/>
        <w:tblW w:w="105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1356"/>
        <w:gridCol w:w="1458"/>
        <w:gridCol w:w="852"/>
        <w:gridCol w:w="945"/>
        <w:gridCol w:w="1320"/>
        <w:gridCol w:w="1342"/>
        <w:gridCol w:w="850"/>
        <w:gridCol w:w="850"/>
        <w:gridCol w:w="850"/>
      </w:tblGrid>
      <w:tr w14:paraId="6CC37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20D355DD">
            <w:pPr>
              <w:jc w:val="center"/>
              <w:rPr>
                <w:rFonts w:ascii="宋体" w:hAnsi="宋体" w:cs="宋体"/>
                <w:color w:val="auto"/>
                <w:sz w:val="24"/>
                <w:highlight w:val="none"/>
              </w:rPr>
            </w:pPr>
            <w:r>
              <w:rPr>
                <w:rFonts w:hint="eastAsia" w:ascii="宋体" w:hAnsi="宋体" w:cs="宋体"/>
                <w:color w:val="auto"/>
                <w:sz w:val="24"/>
                <w:highlight w:val="none"/>
              </w:rPr>
              <w:t>序号</w:t>
            </w:r>
          </w:p>
        </w:tc>
        <w:tc>
          <w:tcPr>
            <w:tcW w:w="1356" w:type="dxa"/>
            <w:tcBorders>
              <w:top w:val="single" w:color="auto" w:sz="4" w:space="0"/>
              <w:left w:val="nil"/>
              <w:bottom w:val="single" w:color="auto" w:sz="4" w:space="0"/>
              <w:right w:val="single" w:color="auto" w:sz="4" w:space="0"/>
            </w:tcBorders>
            <w:vAlign w:val="center"/>
          </w:tcPr>
          <w:p w14:paraId="1813107C">
            <w:pPr>
              <w:rPr>
                <w:rFonts w:ascii="宋体" w:hAnsi="宋体" w:cs="宋体"/>
                <w:color w:val="auto"/>
                <w:sz w:val="24"/>
                <w:szCs w:val="24"/>
                <w:highlight w:val="none"/>
              </w:rPr>
            </w:pPr>
            <w:r>
              <w:rPr>
                <w:rFonts w:hint="eastAsia" w:ascii="宋体" w:hAnsi="宋体" w:eastAsia="宋体" w:cs="宋体"/>
                <w:color w:val="auto"/>
                <w:sz w:val="24"/>
                <w:szCs w:val="24"/>
                <w:highlight w:val="none"/>
              </w:rPr>
              <w:t>设备名称</w:t>
            </w:r>
          </w:p>
        </w:tc>
        <w:tc>
          <w:tcPr>
            <w:tcW w:w="1458" w:type="dxa"/>
            <w:tcBorders>
              <w:top w:val="single" w:color="auto" w:sz="4" w:space="0"/>
              <w:left w:val="nil"/>
              <w:bottom w:val="single" w:color="auto" w:sz="4" w:space="0"/>
              <w:right w:val="single" w:color="auto" w:sz="4" w:space="0"/>
            </w:tcBorders>
            <w:vAlign w:val="center"/>
          </w:tcPr>
          <w:p w14:paraId="2E8B5472">
            <w:pPr>
              <w:jc w:val="center"/>
              <w:rPr>
                <w:rFonts w:ascii="宋体" w:hAnsi="宋体" w:cs="宋体"/>
                <w:color w:val="auto"/>
                <w:sz w:val="24"/>
                <w:szCs w:val="24"/>
                <w:highlight w:val="none"/>
              </w:rPr>
            </w:pPr>
            <w:r>
              <w:rPr>
                <w:rFonts w:hint="eastAsia" w:ascii="宋体" w:hAnsi="宋体" w:cs="宋体"/>
                <w:color w:val="auto"/>
                <w:sz w:val="24"/>
                <w:highlight w:val="none"/>
                <w:lang w:val="en-US" w:eastAsia="zh-CN"/>
              </w:rPr>
              <w:t>型号</w:t>
            </w:r>
          </w:p>
        </w:tc>
        <w:tc>
          <w:tcPr>
            <w:tcW w:w="852" w:type="dxa"/>
            <w:tcBorders>
              <w:top w:val="single" w:color="auto" w:sz="4" w:space="0"/>
              <w:left w:val="nil"/>
              <w:bottom w:val="single" w:color="auto" w:sz="4" w:space="0"/>
              <w:right w:val="single" w:color="auto" w:sz="4" w:space="0"/>
            </w:tcBorders>
            <w:vAlign w:val="center"/>
          </w:tcPr>
          <w:p w14:paraId="2AD58318">
            <w:pPr>
              <w:jc w:val="center"/>
              <w:rPr>
                <w:rFonts w:hint="eastAsia"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品牌</w:t>
            </w:r>
          </w:p>
        </w:tc>
        <w:tc>
          <w:tcPr>
            <w:tcW w:w="945" w:type="dxa"/>
            <w:tcBorders>
              <w:top w:val="single" w:color="auto" w:sz="4" w:space="0"/>
              <w:left w:val="nil"/>
              <w:bottom w:val="single" w:color="auto" w:sz="4" w:space="0"/>
              <w:right w:val="single" w:color="auto" w:sz="4" w:space="0"/>
            </w:tcBorders>
            <w:vAlign w:val="center"/>
          </w:tcPr>
          <w:p w14:paraId="7FCC42A2">
            <w:pPr>
              <w:jc w:val="center"/>
              <w:rPr>
                <w:rFonts w:hint="eastAsia"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制造商</w:t>
            </w:r>
          </w:p>
        </w:tc>
        <w:tc>
          <w:tcPr>
            <w:tcW w:w="1320" w:type="dxa"/>
            <w:tcBorders>
              <w:top w:val="single" w:color="auto" w:sz="4" w:space="0"/>
              <w:left w:val="nil"/>
              <w:bottom w:val="single" w:color="auto" w:sz="4" w:space="0"/>
              <w:right w:val="single" w:color="auto" w:sz="4" w:space="0"/>
            </w:tcBorders>
            <w:vAlign w:val="center"/>
          </w:tcPr>
          <w:p w14:paraId="010EC70F">
            <w:pPr>
              <w:jc w:val="center"/>
              <w:rPr>
                <w:rFonts w:hint="eastAsia" w:ascii="宋体" w:hAnsi="宋体" w:cs="宋体" w:eastAsiaTheme="minorEastAsia"/>
                <w:color w:val="auto"/>
                <w:sz w:val="24"/>
                <w:highlight w:val="none"/>
                <w:lang w:val="en-US" w:eastAsia="zh-CN"/>
              </w:rPr>
            </w:pPr>
            <w:r>
              <w:rPr>
                <w:rFonts w:hint="eastAsia" w:ascii="宋体" w:hAnsi="宋体" w:cs="宋体"/>
                <w:color w:val="auto"/>
                <w:sz w:val="24"/>
                <w:highlight w:val="none"/>
              </w:rPr>
              <w:t>单位</w:t>
            </w:r>
          </w:p>
        </w:tc>
        <w:tc>
          <w:tcPr>
            <w:tcW w:w="1342" w:type="dxa"/>
            <w:tcBorders>
              <w:top w:val="single" w:color="auto" w:sz="4" w:space="0"/>
              <w:left w:val="nil"/>
              <w:bottom w:val="single" w:color="auto" w:sz="4" w:space="0"/>
              <w:right w:val="single" w:color="auto" w:sz="4" w:space="0"/>
            </w:tcBorders>
            <w:vAlign w:val="center"/>
          </w:tcPr>
          <w:p w14:paraId="14018012">
            <w:pPr>
              <w:jc w:val="center"/>
              <w:rPr>
                <w:rFonts w:ascii="宋体" w:hAnsi="宋体" w:cs="宋体"/>
                <w:color w:val="auto"/>
                <w:sz w:val="24"/>
                <w:highlight w:val="none"/>
              </w:rPr>
            </w:pPr>
            <w:r>
              <w:rPr>
                <w:rFonts w:hint="eastAsia" w:ascii="宋体" w:hAnsi="宋体" w:cs="宋体"/>
                <w:color w:val="auto"/>
                <w:sz w:val="24"/>
                <w:highlight w:val="none"/>
              </w:rPr>
              <w:t>数量</w:t>
            </w:r>
          </w:p>
        </w:tc>
        <w:tc>
          <w:tcPr>
            <w:tcW w:w="850" w:type="dxa"/>
            <w:tcBorders>
              <w:top w:val="single" w:color="auto" w:sz="4" w:space="0"/>
              <w:left w:val="nil"/>
              <w:bottom w:val="single" w:color="auto" w:sz="4" w:space="0"/>
              <w:right w:val="single" w:color="auto" w:sz="4" w:space="0"/>
            </w:tcBorders>
            <w:vAlign w:val="center"/>
          </w:tcPr>
          <w:p w14:paraId="58480C98">
            <w:pPr>
              <w:jc w:val="center"/>
              <w:rPr>
                <w:rFonts w:ascii="宋体" w:hAnsi="宋体" w:cs="宋体"/>
                <w:color w:val="auto"/>
                <w:sz w:val="24"/>
                <w:highlight w:val="none"/>
              </w:rPr>
            </w:pPr>
            <w:r>
              <w:rPr>
                <w:rFonts w:hint="eastAsia" w:ascii="宋体" w:hAnsi="宋体" w:cs="宋体"/>
                <w:color w:val="auto"/>
                <w:sz w:val="24"/>
                <w:highlight w:val="none"/>
              </w:rPr>
              <w:t>单价（元）</w:t>
            </w:r>
          </w:p>
        </w:tc>
        <w:tc>
          <w:tcPr>
            <w:tcW w:w="850" w:type="dxa"/>
            <w:tcBorders>
              <w:top w:val="single" w:color="auto" w:sz="4" w:space="0"/>
              <w:left w:val="nil"/>
              <w:bottom w:val="single" w:color="auto" w:sz="4" w:space="0"/>
              <w:right w:val="single" w:color="auto" w:sz="4" w:space="0"/>
            </w:tcBorders>
            <w:vAlign w:val="center"/>
          </w:tcPr>
          <w:p w14:paraId="133D94A0">
            <w:pPr>
              <w:jc w:val="center"/>
              <w:rPr>
                <w:rFonts w:hint="eastAsia" w:ascii="宋体" w:hAnsi="宋体" w:cs="宋体"/>
                <w:color w:val="auto"/>
                <w:sz w:val="24"/>
                <w:highlight w:val="none"/>
              </w:rPr>
            </w:pPr>
            <w:r>
              <w:rPr>
                <w:rFonts w:hint="eastAsia" w:ascii="宋体" w:hAnsi="宋体" w:cs="宋体"/>
                <w:color w:val="auto"/>
                <w:sz w:val="24"/>
                <w:highlight w:val="none"/>
              </w:rPr>
              <w:t>合价（元）</w:t>
            </w:r>
          </w:p>
        </w:tc>
        <w:tc>
          <w:tcPr>
            <w:tcW w:w="850" w:type="dxa"/>
            <w:tcBorders>
              <w:top w:val="single" w:color="auto" w:sz="4" w:space="0"/>
              <w:left w:val="nil"/>
              <w:bottom w:val="single" w:color="auto" w:sz="4" w:space="0"/>
              <w:right w:val="single" w:color="auto" w:sz="4" w:space="0"/>
            </w:tcBorders>
            <w:vAlign w:val="center"/>
          </w:tcPr>
          <w:p w14:paraId="16B61A5E">
            <w:pPr>
              <w:jc w:val="center"/>
              <w:rPr>
                <w:rFonts w:hint="eastAsia"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备注</w:t>
            </w:r>
          </w:p>
        </w:tc>
      </w:tr>
      <w:tr w14:paraId="43D67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4DA82773">
            <w:pPr>
              <w:jc w:val="center"/>
              <w:rPr>
                <w:rFonts w:ascii="宋体" w:hAnsi="宋体" w:cs="宋体"/>
                <w:color w:val="auto"/>
                <w:sz w:val="24"/>
                <w:highlight w:val="none"/>
              </w:rPr>
            </w:pPr>
            <w:r>
              <w:rPr>
                <w:rFonts w:hint="eastAsia" w:ascii="宋体" w:hAnsi="宋体" w:cs="宋体"/>
                <w:color w:val="auto"/>
                <w:sz w:val="24"/>
                <w:highlight w:val="none"/>
              </w:rPr>
              <w:t>1</w:t>
            </w:r>
          </w:p>
        </w:tc>
        <w:tc>
          <w:tcPr>
            <w:tcW w:w="1356" w:type="dxa"/>
            <w:tcBorders>
              <w:top w:val="single" w:color="auto" w:sz="4" w:space="0"/>
              <w:left w:val="nil"/>
              <w:bottom w:val="single" w:color="auto" w:sz="4" w:space="0"/>
              <w:right w:val="single" w:color="auto" w:sz="4" w:space="0"/>
            </w:tcBorders>
            <w:vAlign w:val="center"/>
          </w:tcPr>
          <w:p w14:paraId="1023DC05">
            <w:pPr>
              <w:jc w:val="center"/>
              <w:rPr>
                <w:rFonts w:ascii="宋体" w:hAnsi="宋体" w:cs="宋体"/>
                <w:color w:val="auto"/>
                <w:sz w:val="24"/>
                <w:highlight w:val="none"/>
              </w:rPr>
            </w:pPr>
          </w:p>
        </w:tc>
        <w:tc>
          <w:tcPr>
            <w:tcW w:w="1458" w:type="dxa"/>
            <w:tcBorders>
              <w:top w:val="single" w:color="auto" w:sz="4" w:space="0"/>
              <w:left w:val="nil"/>
              <w:bottom w:val="single" w:color="auto" w:sz="4" w:space="0"/>
              <w:right w:val="single" w:color="auto" w:sz="4" w:space="0"/>
            </w:tcBorders>
            <w:vAlign w:val="center"/>
          </w:tcPr>
          <w:p w14:paraId="53160E5C">
            <w:pPr>
              <w:jc w:val="center"/>
              <w:rPr>
                <w:rFonts w:ascii="宋体" w:hAnsi="宋体" w:cs="宋体"/>
                <w:color w:val="auto"/>
                <w:sz w:val="24"/>
                <w:highlight w:val="none"/>
              </w:rPr>
            </w:pPr>
          </w:p>
        </w:tc>
        <w:tc>
          <w:tcPr>
            <w:tcW w:w="852" w:type="dxa"/>
            <w:tcBorders>
              <w:top w:val="single" w:color="auto" w:sz="4" w:space="0"/>
              <w:left w:val="nil"/>
              <w:bottom w:val="single" w:color="auto" w:sz="4" w:space="0"/>
              <w:right w:val="single" w:color="auto" w:sz="4" w:space="0"/>
            </w:tcBorders>
            <w:vAlign w:val="center"/>
          </w:tcPr>
          <w:p w14:paraId="56559682">
            <w:pPr>
              <w:jc w:val="center"/>
              <w:rPr>
                <w:rFonts w:ascii="宋体" w:hAnsi="宋体" w:cs="宋体"/>
                <w:color w:val="auto"/>
                <w:sz w:val="24"/>
                <w:highlight w:val="none"/>
              </w:rPr>
            </w:pPr>
          </w:p>
        </w:tc>
        <w:tc>
          <w:tcPr>
            <w:tcW w:w="945" w:type="dxa"/>
            <w:tcBorders>
              <w:top w:val="single" w:color="auto" w:sz="4" w:space="0"/>
              <w:left w:val="nil"/>
              <w:bottom w:val="single" w:color="auto" w:sz="4" w:space="0"/>
              <w:right w:val="single" w:color="auto" w:sz="4" w:space="0"/>
            </w:tcBorders>
            <w:vAlign w:val="center"/>
          </w:tcPr>
          <w:p w14:paraId="5ED8C439">
            <w:pPr>
              <w:jc w:val="center"/>
              <w:rPr>
                <w:rFonts w:ascii="宋体" w:hAnsi="宋体" w:cs="宋体"/>
                <w:color w:val="auto"/>
                <w:sz w:val="24"/>
                <w:highlight w:val="none"/>
              </w:rPr>
            </w:pPr>
          </w:p>
        </w:tc>
        <w:tc>
          <w:tcPr>
            <w:tcW w:w="1320" w:type="dxa"/>
            <w:tcBorders>
              <w:top w:val="single" w:color="auto" w:sz="4" w:space="0"/>
              <w:left w:val="nil"/>
              <w:bottom w:val="single" w:color="auto" w:sz="4" w:space="0"/>
              <w:right w:val="single" w:color="auto" w:sz="4" w:space="0"/>
            </w:tcBorders>
            <w:vAlign w:val="center"/>
          </w:tcPr>
          <w:p w14:paraId="264FB22C">
            <w:pPr>
              <w:jc w:val="center"/>
              <w:rPr>
                <w:rFonts w:ascii="宋体" w:hAnsi="宋体" w:cs="宋体"/>
                <w:color w:val="auto"/>
                <w:sz w:val="24"/>
                <w:highlight w:val="none"/>
              </w:rPr>
            </w:pPr>
          </w:p>
        </w:tc>
        <w:tc>
          <w:tcPr>
            <w:tcW w:w="1342" w:type="dxa"/>
            <w:tcBorders>
              <w:top w:val="single" w:color="auto" w:sz="4" w:space="0"/>
              <w:left w:val="nil"/>
              <w:bottom w:val="single" w:color="auto" w:sz="4" w:space="0"/>
              <w:right w:val="single" w:color="auto" w:sz="4" w:space="0"/>
            </w:tcBorders>
            <w:vAlign w:val="center"/>
          </w:tcPr>
          <w:p w14:paraId="31BC8CC0">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7219C4BF">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310C0EC2">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043C7BA9">
            <w:pPr>
              <w:jc w:val="center"/>
              <w:rPr>
                <w:rFonts w:ascii="宋体" w:hAnsi="宋体" w:cs="宋体"/>
                <w:color w:val="auto"/>
                <w:sz w:val="24"/>
                <w:highlight w:val="none"/>
              </w:rPr>
            </w:pPr>
          </w:p>
        </w:tc>
      </w:tr>
      <w:tr w14:paraId="461CC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7F45B0EE">
            <w:pPr>
              <w:jc w:val="center"/>
              <w:rPr>
                <w:rFonts w:ascii="宋体" w:hAnsi="宋体" w:cs="宋体"/>
                <w:color w:val="auto"/>
                <w:sz w:val="24"/>
                <w:highlight w:val="none"/>
              </w:rPr>
            </w:pPr>
            <w:r>
              <w:rPr>
                <w:rFonts w:hint="eastAsia" w:ascii="宋体" w:hAnsi="宋体" w:cs="宋体"/>
                <w:color w:val="auto"/>
                <w:sz w:val="24"/>
                <w:highlight w:val="none"/>
              </w:rPr>
              <w:t>2</w:t>
            </w:r>
          </w:p>
        </w:tc>
        <w:tc>
          <w:tcPr>
            <w:tcW w:w="1356" w:type="dxa"/>
            <w:tcBorders>
              <w:top w:val="single" w:color="auto" w:sz="4" w:space="0"/>
              <w:left w:val="nil"/>
              <w:bottom w:val="single" w:color="auto" w:sz="4" w:space="0"/>
              <w:right w:val="single" w:color="auto" w:sz="4" w:space="0"/>
            </w:tcBorders>
            <w:vAlign w:val="center"/>
          </w:tcPr>
          <w:p w14:paraId="6DD09857">
            <w:pPr>
              <w:jc w:val="center"/>
              <w:rPr>
                <w:rFonts w:ascii="宋体" w:hAnsi="宋体" w:cs="宋体"/>
                <w:color w:val="auto"/>
                <w:sz w:val="24"/>
                <w:highlight w:val="none"/>
              </w:rPr>
            </w:pPr>
          </w:p>
        </w:tc>
        <w:tc>
          <w:tcPr>
            <w:tcW w:w="1458" w:type="dxa"/>
            <w:tcBorders>
              <w:top w:val="single" w:color="auto" w:sz="4" w:space="0"/>
              <w:left w:val="nil"/>
              <w:bottom w:val="single" w:color="auto" w:sz="4" w:space="0"/>
              <w:right w:val="single" w:color="auto" w:sz="4" w:space="0"/>
            </w:tcBorders>
            <w:vAlign w:val="center"/>
          </w:tcPr>
          <w:p w14:paraId="7C1189EC">
            <w:pPr>
              <w:jc w:val="center"/>
              <w:rPr>
                <w:rFonts w:ascii="宋体" w:hAnsi="宋体" w:cs="宋体"/>
                <w:color w:val="auto"/>
                <w:sz w:val="24"/>
                <w:highlight w:val="none"/>
              </w:rPr>
            </w:pPr>
          </w:p>
        </w:tc>
        <w:tc>
          <w:tcPr>
            <w:tcW w:w="852" w:type="dxa"/>
            <w:tcBorders>
              <w:top w:val="single" w:color="auto" w:sz="4" w:space="0"/>
              <w:left w:val="nil"/>
              <w:bottom w:val="single" w:color="auto" w:sz="4" w:space="0"/>
              <w:right w:val="single" w:color="auto" w:sz="4" w:space="0"/>
            </w:tcBorders>
            <w:vAlign w:val="center"/>
          </w:tcPr>
          <w:p w14:paraId="6788A664">
            <w:pPr>
              <w:jc w:val="center"/>
              <w:rPr>
                <w:rFonts w:ascii="宋体" w:hAnsi="宋体" w:cs="宋体"/>
                <w:color w:val="auto"/>
                <w:sz w:val="24"/>
                <w:highlight w:val="none"/>
              </w:rPr>
            </w:pPr>
          </w:p>
        </w:tc>
        <w:tc>
          <w:tcPr>
            <w:tcW w:w="945" w:type="dxa"/>
            <w:tcBorders>
              <w:top w:val="single" w:color="auto" w:sz="4" w:space="0"/>
              <w:left w:val="nil"/>
              <w:bottom w:val="single" w:color="auto" w:sz="4" w:space="0"/>
              <w:right w:val="single" w:color="auto" w:sz="4" w:space="0"/>
            </w:tcBorders>
            <w:vAlign w:val="center"/>
          </w:tcPr>
          <w:p w14:paraId="66A7E274">
            <w:pPr>
              <w:jc w:val="center"/>
              <w:rPr>
                <w:rFonts w:ascii="宋体" w:hAnsi="宋体" w:cs="宋体"/>
                <w:color w:val="auto"/>
                <w:sz w:val="24"/>
                <w:highlight w:val="none"/>
              </w:rPr>
            </w:pPr>
          </w:p>
        </w:tc>
        <w:tc>
          <w:tcPr>
            <w:tcW w:w="1320" w:type="dxa"/>
            <w:tcBorders>
              <w:top w:val="single" w:color="auto" w:sz="4" w:space="0"/>
              <w:left w:val="nil"/>
              <w:bottom w:val="single" w:color="auto" w:sz="4" w:space="0"/>
              <w:right w:val="single" w:color="auto" w:sz="4" w:space="0"/>
            </w:tcBorders>
            <w:vAlign w:val="center"/>
          </w:tcPr>
          <w:p w14:paraId="441BABAE">
            <w:pPr>
              <w:jc w:val="center"/>
              <w:rPr>
                <w:rFonts w:ascii="宋体" w:hAnsi="宋体" w:cs="宋体"/>
                <w:color w:val="auto"/>
                <w:sz w:val="24"/>
                <w:highlight w:val="none"/>
              </w:rPr>
            </w:pPr>
          </w:p>
        </w:tc>
        <w:tc>
          <w:tcPr>
            <w:tcW w:w="1342" w:type="dxa"/>
            <w:tcBorders>
              <w:top w:val="single" w:color="auto" w:sz="4" w:space="0"/>
              <w:left w:val="nil"/>
              <w:bottom w:val="single" w:color="auto" w:sz="4" w:space="0"/>
              <w:right w:val="single" w:color="auto" w:sz="4" w:space="0"/>
            </w:tcBorders>
            <w:vAlign w:val="center"/>
          </w:tcPr>
          <w:p w14:paraId="04A753CD">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06D1F566">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09AE4690">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02FA956C">
            <w:pPr>
              <w:jc w:val="center"/>
              <w:rPr>
                <w:rFonts w:ascii="宋体" w:hAnsi="宋体" w:cs="宋体"/>
                <w:color w:val="auto"/>
                <w:sz w:val="24"/>
                <w:highlight w:val="none"/>
              </w:rPr>
            </w:pPr>
          </w:p>
        </w:tc>
      </w:tr>
      <w:tr w14:paraId="19990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049C3D81">
            <w:pPr>
              <w:jc w:val="center"/>
              <w:rPr>
                <w:rFonts w:ascii="宋体" w:hAnsi="宋体" w:cs="宋体"/>
                <w:color w:val="auto"/>
                <w:sz w:val="24"/>
                <w:highlight w:val="none"/>
              </w:rPr>
            </w:pPr>
            <w:r>
              <w:rPr>
                <w:rFonts w:hint="eastAsia" w:ascii="宋体" w:hAnsi="宋体" w:cs="宋体"/>
                <w:color w:val="auto"/>
                <w:sz w:val="24"/>
                <w:highlight w:val="none"/>
              </w:rPr>
              <w:t>3</w:t>
            </w:r>
          </w:p>
        </w:tc>
        <w:tc>
          <w:tcPr>
            <w:tcW w:w="1356" w:type="dxa"/>
            <w:tcBorders>
              <w:top w:val="single" w:color="auto" w:sz="4" w:space="0"/>
              <w:left w:val="nil"/>
              <w:bottom w:val="single" w:color="auto" w:sz="4" w:space="0"/>
              <w:right w:val="single" w:color="auto" w:sz="4" w:space="0"/>
            </w:tcBorders>
            <w:vAlign w:val="center"/>
          </w:tcPr>
          <w:p w14:paraId="6E4110B3">
            <w:pPr>
              <w:jc w:val="center"/>
              <w:rPr>
                <w:rFonts w:ascii="宋体" w:hAnsi="宋体" w:cs="宋体"/>
                <w:color w:val="auto"/>
                <w:sz w:val="24"/>
                <w:highlight w:val="none"/>
              </w:rPr>
            </w:pPr>
          </w:p>
        </w:tc>
        <w:tc>
          <w:tcPr>
            <w:tcW w:w="1458" w:type="dxa"/>
            <w:tcBorders>
              <w:top w:val="single" w:color="auto" w:sz="4" w:space="0"/>
              <w:left w:val="nil"/>
              <w:bottom w:val="single" w:color="auto" w:sz="4" w:space="0"/>
              <w:right w:val="single" w:color="auto" w:sz="4" w:space="0"/>
            </w:tcBorders>
            <w:vAlign w:val="center"/>
          </w:tcPr>
          <w:p w14:paraId="61AB6AFE">
            <w:pPr>
              <w:jc w:val="center"/>
              <w:rPr>
                <w:rFonts w:ascii="宋体" w:hAnsi="宋体" w:cs="宋体"/>
                <w:color w:val="auto"/>
                <w:sz w:val="24"/>
                <w:highlight w:val="none"/>
              </w:rPr>
            </w:pPr>
          </w:p>
        </w:tc>
        <w:tc>
          <w:tcPr>
            <w:tcW w:w="852" w:type="dxa"/>
            <w:tcBorders>
              <w:top w:val="single" w:color="auto" w:sz="4" w:space="0"/>
              <w:left w:val="nil"/>
              <w:bottom w:val="single" w:color="auto" w:sz="4" w:space="0"/>
              <w:right w:val="single" w:color="auto" w:sz="4" w:space="0"/>
            </w:tcBorders>
            <w:vAlign w:val="center"/>
          </w:tcPr>
          <w:p w14:paraId="1878FBB8">
            <w:pPr>
              <w:jc w:val="center"/>
              <w:rPr>
                <w:rFonts w:ascii="宋体" w:hAnsi="宋体" w:cs="宋体"/>
                <w:color w:val="auto"/>
                <w:sz w:val="24"/>
                <w:highlight w:val="none"/>
              </w:rPr>
            </w:pPr>
          </w:p>
        </w:tc>
        <w:tc>
          <w:tcPr>
            <w:tcW w:w="945" w:type="dxa"/>
            <w:tcBorders>
              <w:top w:val="single" w:color="auto" w:sz="4" w:space="0"/>
              <w:left w:val="nil"/>
              <w:bottom w:val="single" w:color="auto" w:sz="4" w:space="0"/>
              <w:right w:val="single" w:color="auto" w:sz="4" w:space="0"/>
            </w:tcBorders>
            <w:vAlign w:val="center"/>
          </w:tcPr>
          <w:p w14:paraId="22FC8964">
            <w:pPr>
              <w:jc w:val="center"/>
              <w:rPr>
                <w:rFonts w:ascii="宋体" w:hAnsi="宋体" w:cs="宋体"/>
                <w:color w:val="auto"/>
                <w:sz w:val="24"/>
                <w:highlight w:val="none"/>
              </w:rPr>
            </w:pPr>
          </w:p>
        </w:tc>
        <w:tc>
          <w:tcPr>
            <w:tcW w:w="1320" w:type="dxa"/>
            <w:tcBorders>
              <w:top w:val="single" w:color="auto" w:sz="4" w:space="0"/>
              <w:left w:val="nil"/>
              <w:bottom w:val="single" w:color="auto" w:sz="4" w:space="0"/>
              <w:right w:val="single" w:color="auto" w:sz="4" w:space="0"/>
            </w:tcBorders>
            <w:vAlign w:val="center"/>
          </w:tcPr>
          <w:p w14:paraId="4F906A14">
            <w:pPr>
              <w:jc w:val="center"/>
              <w:rPr>
                <w:rFonts w:ascii="宋体" w:hAnsi="宋体" w:cs="宋体"/>
                <w:color w:val="auto"/>
                <w:sz w:val="24"/>
                <w:highlight w:val="none"/>
              </w:rPr>
            </w:pPr>
          </w:p>
        </w:tc>
        <w:tc>
          <w:tcPr>
            <w:tcW w:w="1342" w:type="dxa"/>
            <w:tcBorders>
              <w:top w:val="single" w:color="auto" w:sz="4" w:space="0"/>
              <w:left w:val="nil"/>
              <w:bottom w:val="single" w:color="auto" w:sz="4" w:space="0"/>
              <w:right w:val="single" w:color="auto" w:sz="4" w:space="0"/>
            </w:tcBorders>
            <w:vAlign w:val="center"/>
          </w:tcPr>
          <w:p w14:paraId="57AD7585">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7BA8242C">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5C884407">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62D596B6">
            <w:pPr>
              <w:jc w:val="center"/>
              <w:rPr>
                <w:rFonts w:ascii="宋体" w:hAnsi="宋体" w:cs="宋体"/>
                <w:color w:val="auto"/>
                <w:sz w:val="24"/>
                <w:highlight w:val="none"/>
              </w:rPr>
            </w:pPr>
          </w:p>
        </w:tc>
      </w:tr>
      <w:tr w14:paraId="12579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2392C151">
            <w:pPr>
              <w:jc w:val="center"/>
              <w:rPr>
                <w:rFonts w:ascii="宋体" w:hAnsi="宋体" w:cs="宋体"/>
                <w:color w:val="auto"/>
                <w:sz w:val="24"/>
                <w:highlight w:val="none"/>
              </w:rPr>
            </w:pPr>
            <w:r>
              <w:rPr>
                <w:rFonts w:hint="eastAsia" w:ascii="宋体" w:hAnsi="宋体" w:cs="宋体"/>
                <w:color w:val="auto"/>
                <w:sz w:val="24"/>
                <w:highlight w:val="none"/>
              </w:rPr>
              <w:t>4</w:t>
            </w:r>
          </w:p>
        </w:tc>
        <w:tc>
          <w:tcPr>
            <w:tcW w:w="1356" w:type="dxa"/>
            <w:tcBorders>
              <w:top w:val="single" w:color="auto" w:sz="4" w:space="0"/>
              <w:left w:val="nil"/>
              <w:bottom w:val="single" w:color="auto" w:sz="4" w:space="0"/>
              <w:right w:val="single" w:color="auto" w:sz="4" w:space="0"/>
            </w:tcBorders>
            <w:vAlign w:val="center"/>
          </w:tcPr>
          <w:p w14:paraId="29AAB510">
            <w:pPr>
              <w:jc w:val="center"/>
              <w:rPr>
                <w:rFonts w:ascii="宋体" w:hAnsi="宋体" w:cs="宋体"/>
                <w:color w:val="auto"/>
                <w:sz w:val="24"/>
                <w:highlight w:val="none"/>
              </w:rPr>
            </w:pPr>
          </w:p>
        </w:tc>
        <w:tc>
          <w:tcPr>
            <w:tcW w:w="1458" w:type="dxa"/>
            <w:tcBorders>
              <w:top w:val="single" w:color="auto" w:sz="4" w:space="0"/>
              <w:left w:val="nil"/>
              <w:bottom w:val="single" w:color="auto" w:sz="4" w:space="0"/>
              <w:right w:val="single" w:color="auto" w:sz="4" w:space="0"/>
            </w:tcBorders>
            <w:vAlign w:val="center"/>
          </w:tcPr>
          <w:p w14:paraId="0BE76D8F">
            <w:pPr>
              <w:jc w:val="center"/>
              <w:rPr>
                <w:rFonts w:ascii="宋体" w:hAnsi="宋体" w:cs="宋体"/>
                <w:color w:val="auto"/>
                <w:sz w:val="24"/>
                <w:highlight w:val="none"/>
              </w:rPr>
            </w:pPr>
          </w:p>
        </w:tc>
        <w:tc>
          <w:tcPr>
            <w:tcW w:w="852" w:type="dxa"/>
            <w:tcBorders>
              <w:top w:val="single" w:color="auto" w:sz="4" w:space="0"/>
              <w:left w:val="nil"/>
              <w:bottom w:val="single" w:color="auto" w:sz="4" w:space="0"/>
              <w:right w:val="single" w:color="auto" w:sz="4" w:space="0"/>
            </w:tcBorders>
            <w:vAlign w:val="center"/>
          </w:tcPr>
          <w:p w14:paraId="3C0B5CE7">
            <w:pPr>
              <w:jc w:val="center"/>
              <w:rPr>
                <w:rFonts w:ascii="宋体" w:hAnsi="宋体" w:cs="宋体"/>
                <w:color w:val="auto"/>
                <w:sz w:val="24"/>
                <w:highlight w:val="none"/>
              </w:rPr>
            </w:pPr>
          </w:p>
        </w:tc>
        <w:tc>
          <w:tcPr>
            <w:tcW w:w="945" w:type="dxa"/>
            <w:tcBorders>
              <w:top w:val="single" w:color="auto" w:sz="4" w:space="0"/>
              <w:left w:val="nil"/>
              <w:bottom w:val="single" w:color="auto" w:sz="4" w:space="0"/>
              <w:right w:val="single" w:color="auto" w:sz="4" w:space="0"/>
            </w:tcBorders>
            <w:vAlign w:val="center"/>
          </w:tcPr>
          <w:p w14:paraId="1D6C55D5">
            <w:pPr>
              <w:jc w:val="center"/>
              <w:rPr>
                <w:rFonts w:ascii="宋体" w:hAnsi="宋体" w:cs="宋体"/>
                <w:color w:val="auto"/>
                <w:sz w:val="24"/>
                <w:highlight w:val="none"/>
              </w:rPr>
            </w:pPr>
          </w:p>
        </w:tc>
        <w:tc>
          <w:tcPr>
            <w:tcW w:w="1320" w:type="dxa"/>
            <w:tcBorders>
              <w:top w:val="single" w:color="auto" w:sz="4" w:space="0"/>
              <w:left w:val="nil"/>
              <w:bottom w:val="single" w:color="auto" w:sz="4" w:space="0"/>
              <w:right w:val="single" w:color="auto" w:sz="4" w:space="0"/>
            </w:tcBorders>
            <w:vAlign w:val="center"/>
          </w:tcPr>
          <w:p w14:paraId="6B22F380">
            <w:pPr>
              <w:jc w:val="center"/>
              <w:rPr>
                <w:rFonts w:ascii="宋体" w:hAnsi="宋体" w:cs="宋体"/>
                <w:color w:val="auto"/>
                <w:sz w:val="24"/>
                <w:highlight w:val="none"/>
              </w:rPr>
            </w:pPr>
          </w:p>
        </w:tc>
        <w:tc>
          <w:tcPr>
            <w:tcW w:w="1342" w:type="dxa"/>
            <w:tcBorders>
              <w:top w:val="single" w:color="auto" w:sz="4" w:space="0"/>
              <w:left w:val="nil"/>
              <w:bottom w:val="single" w:color="auto" w:sz="4" w:space="0"/>
              <w:right w:val="single" w:color="auto" w:sz="4" w:space="0"/>
            </w:tcBorders>
            <w:vAlign w:val="center"/>
          </w:tcPr>
          <w:p w14:paraId="1E6B5C82">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5C41B6A9">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1D88C57F">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111208ED">
            <w:pPr>
              <w:jc w:val="center"/>
              <w:rPr>
                <w:rFonts w:ascii="宋体" w:hAnsi="宋体" w:cs="宋体"/>
                <w:color w:val="auto"/>
                <w:sz w:val="24"/>
                <w:highlight w:val="none"/>
              </w:rPr>
            </w:pPr>
          </w:p>
        </w:tc>
      </w:tr>
      <w:tr w14:paraId="3BCC2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23A0C076">
            <w:pPr>
              <w:jc w:val="center"/>
              <w:rPr>
                <w:rFonts w:ascii="宋体" w:hAnsi="宋体" w:cs="宋体"/>
                <w:color w:val="auto"/>
                <w:sz w:val="24"/>
                <w:highlight w:val="none"/>
              </w:rPr>
            </w:pPr>
            <w:r>
              <w:rPr>
                <w:rFonts w:hint="eastAsia" w:ascii="宋体" w:hAnsi="宋体" w:cs="宋体"/>
                <w:color w:val="auto"/>
                <w:sz w:val="24"/>
                <w:highlight w:val="none"/>
              </w:rPr>
              <w:t>5</w:t>
            </w:r>
          </w:p>
        </w:tc>
        <w:tc>
          <w:tcPr>
            <w:tcW w:w="1356" w:type="dxa"/>
            <w:tcBorders>
              <w:top w:val="single" w:color="auto" w:sz="4" w:space="0"/>
              <w:left w:val="nil"/>
              <w:bottom w:val="single" w:color="auto" w:sz="4" w:space="0"/>
              <w:right w:val="single" w:color="auto" w:sz="4" w:space="0"/>
            </w:tcBorders>
            <w:vAlign w:val="center"/>
          </w:tcPr>
          <w:p w14:paraId="05E798CE">
            <w:pPr>
              <w:jc w:val="center"/>
              <w:rPr>
                <w:rFonts w:ascii="宋体" w:hAnsi="宋体" w:cs="宋体"/>
                <w:color w:val="auto"/>
                <w:sz w:val="24"/>
                <w:highlight w:val="none"/>
              </w:rPr>
            </w:pPr>
          </w:p>
        </w:tc>
        <w:tc>
          <w:tcPr>
            <w:tcW w:w="1458" w:type="dxa"/>
            <w:tcBorders>
              <w:top w:val="single" w:color="auto" w:sz="4" w:space="0"/>
              <w:left w:val="nil"/>
              <w:bottom w:val="single" w:color="auto" w:sz="4" w:space="0"/>
              <w:right w:val="single" w:color="auto" w:sz="4" w:space="0"/>
            </w:tcBorders>
            <w:vAlign w:val="center"/>
          </w:tcPr>
          <w:p w14:paraId="60A374C3">
            <w:pPr>
              <w:jc w:val="center"/>
              <w:rPr>
                <w:rFonts w:ascii="宋体" w:hAnsi="宋体" w:cs="宋体"/>
                <w:color w:val="auto"/>
                <w:sz w:val="24"/>
                <w:highlight w:val="none"/>
              </w:rPr>
            </w:pPr>
          </w:p>
        </w:tc>
        <w:tc>
          <w:tcPr>
            <w:tcW w:w="852" w:type="dxa"/>
            <w:tcBorders>
              <w:top w:val="single" w:color="auto" w:sz="4" w:space="0"/>
              <w:left w:val="nil"/>
              <w:bottom w:val="single" w:color="auto" w:sz="4" w:space="0"/>
              <w:right w:val="single" w:color="auto" w:sz="4" w:space="0"/>
            </w:tcBorders>
            <w:vAlign w:val="center"/>
          </w:tcPr>
          <w:p w14:paraId="1249A2F7">
            <w:pPr>
              <w:jc w:val="center"/>
              <w:rPr>
                <w:rFonts w:ascii="宋体" w:hAnsi="宋体" w:cs="宋体"/>
                <w:color w:val="auto"/>
                <w:sz w:val="24"/>
                <w:highlight w:val="none"/>
              </w:rPr>
            </w:pPr>
          </w:p>
        </w:tc>
        <w:tc>
          <w:tcPr>
            <w:tcW w:w="945" w:type="dxa"/>
            <w:tcBorders>
              <w:top w:val="single" w:color="auto" w:sz="4" w:space="0"/>
              <w:left w:val="nil"/>
              <w:bottom w:val="single" w:color="auto" w:sz="4" w:space="0"/>
              <w:right w:val="single" w:color="auto" w:sz="4" w:space="0"/>
            </w:tcBorders>
            <w:vAlign w:val="center"/>
          </w:tcPr>
          <w:p w14:paraId="142F8C84">
            <w:pPr>
              <w:jc w:val="center"/>
              <w:rPr>
                <w:rFonts w:ascii="宋体" w:hAnsi="宋体" w:cs="宋体"/>
                <w:color w:val="auto"/>
                <w:sz w:val="24"/>
                <w:highlight w:val="none"/>
              </w:rPr>
            </w:pPr>
          </w:p>
        </w:tc>
        <w:tc>
          <w:tcPr>
            <w:tcW w:w="1320" w:type="dxa"/>
            <w:tcBorders>
              <w:top w:val="single" w:color="auto" w:sz="4" w:space="0"/>
              <w:left w:val="nil"/>
              <w:bottom w:val="single" w:color="auto" w:sz="4" w:space="0"/>
              <w:right w:val="single" w:color="auto" w:sz="4" w:space="0"/>
            </w:tcBorders>
            <w:vAlign w:val="center"/>
          </w:tcPr>
          <w:p w14:paraId="78570ECF">
            <w:pPr>
              <w:jc w:val="center"/>
              <w:rPr>
                <w:rFonts w:ascii="宋体" w:hAnsi="宋体" w:cs="宋体"/>
                <w:color w:val="auto"/>
                <w:sz w:val="24"/>
                <w:highlight w:val="none"/>
              </w:rPr>
            </w:pPr>
          </w:p>
        </w:tc>
        <w:tc>
          <w:tcPr>
            <w:tcW w:w="1342" w:type="dxa"/>
            <w:tcBorders>
              <w:top w:val="single" w:color="auto" w:sz="4" w:space="0"/>
              <w:left w:val="nil"/>
              <w:bottom w:val="single" w:color="auto" w:sz="4" w:space="0"/>
              <w:right w:val="single" w:color="auto" w:sz="4" w:space="0"/>
            </w:tcBorders>
            <w:vAlign w:val="center"/>
          </w:tcPr>
          <w:p w14:paraId="57CF5D4E">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245944B2">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1E8764B2">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27317977">
            <w:pPr>
              <w:jc w:val="center"/>
              <w:rPr>
                <w:rFonts w:ascii="宋体" w:hAnsi="宋体" w:cs="宋体"/>
                <w:color w:val="auto"/>
                <w:sz w:val="24"/>
                <w:highlight w:val="none"/>
              </w:rPr>
            </w:pPr>
          </w:p>
        </w:tc>
      </w:tr>
      <w:tr w14:paraId="1618A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5BC5BC32">
            <w:pPr>
              <w:jc w:val="center"/>
              <w:rPr>
                <w:rFonts w:ascii="宋体" w:hAnsi="宋体" w:cs="宋体"/>
                <w:color w:val="auto"/>
                <w:sz w:val="24"/>
                <w:highlight w:val="none"/>
              </w:rPr>
            </w:pPr>
            <w:r>
              <w:rPr>
                <w:rFonts w:hint="eastAsia" w:ascii="宋体" w:hAnsi="宋体" w:cs="宋体"/>
                <w:color w:val="auto"/>
                <w:sz w:val="24"/>
                <w:highlight w:val="none"/>
              </w:rPr>
              <w:t>6</w:t>
            </w:r>
          </w:p>
        </w:tc>
        <w:tc>
          <w:tcPr>
            <w:tcW w:w="1356" w:type="dxa"/>
            <w:tcBorders>
              <w:top w:val="single" w:color="auto" w:sz="4" w:space="0"/>
              <w:left w:val="nil"/>
              <w:bottom w:val="single" w:color="auto" w:sz="4" w:space="0"/>
              <w:right w:val="single" w:color="auto" w:sz="4" w:space="0"/>
            </w:tcBorders>
            <w:vAlign w:val="center"/>
          </w:tcPr>
          <w:p w14:paraId="7A4E374D">
            <w:pPr>
              <w:jc w:val="center"/>
              <w:rPr>
                <w:rFonts w:ascii="宋体" w:hAnsi="宋体" w:cs="宋体"/>
                <w:color w:val="auto"/>
                <w:sz w:val="24"/>
                <w:highlight w:val="none"/>
              </w:rPr>
            </w:pPr>
          </w:p>
        </w:tc>
        <w:tc>
          <w:tcPr>
            <w:tcW w:w="1458" w:type="dxa"/>
            <w:tcBorders>
              <w:top w:val="single" w:color="auto" w:sz="4" w:space="0"/>
              <w:left w:val="nil"/>
              <w:bottom w:val="single" w:color="auto" w:sz="4" w:space="0"/>
              <w:right w:val="single" w:color="auto" w:sz="4" w:space="0"/>
            </w:tcBorders>
            <w:vAlign w:val="center"/>
          </w:tcPr>
          <w:p w14:paraId="56C93BC6">
            <w:pPr>
              <w:jc w:val="center"/>
              <w:rPr>
                <w:rFonts w:ascii="宋体" w:hAnsi="宋体" w:cs="宋体"/>
                <w:color w:val="auto"/>
                <w:sz w:val="24"/>
                <w:highlight w:val="none"/>
              </w:rPr>
            </w:pPr>
          </w:p>
        </w:tc>
        <w:tc>
          <w:tcPr>
            <w:tcW w:w="852" w:type="dxa"/>
            <w:tcBorders>
              <w:top w:val="single" w:color="auto" w:sz="4" w:space="0"/>
              <w:left w:val="nil"/>
              <w:bottom w:val="single" w:color="auto" w:sz="4" w:space="0"/>
              <w:right w:val="single" w:color="auto" w:sz="4" w:space="0"/>
            </w:tcBorders>
            <w:vAlign w:val="center"/>
          </w:tcPr>
          <w:p w14:paraId="5DE704BB">
            <w:pPr>
              <w:jc w:val="center"/>
              <w:rPr>
                <w:rFonts w:ascii="宋体" w:hAnsi="宋体" w:cs="宋体"/>
                <w:color w:val="auto"/>
                <w:sz w:val="24"/>
                <w:highlight w:val="none"/>
              </w:rPr>
            </w:pPr>
          </w:p>
        </w:tc>
        <w:tc>
          <w:tcPr>
            <w:tcW w:w="945" w:type="dxa"/>
            <w:tcBorders>
              <w:top w:val="single" w:color="auto" w:sz="4" w:space="0"/>
              <w:left w:val="nil"/>
              <w:bottom w:val="single" w:color="auto" w:sz="4" w:space="0"/>
              <w:right w:val="single" w:color="auto" w:sz="4" w:space="0"/>
            </w:tcBorders>
            <w:vAlign w:val="center"/>
          </w:tcPr>
          <w:p w14:paraId="2CDC836E">
            <w:pPr>
              <w:jc w:val="center"/>
              <w:rPr>
                <w:rFonts w:ascii="宋体" w:hAnsi="宋体" w:cs="宋体"/>
                <w:color w:val="auto"/>
                <w:sz w:val="24"/>
                <w:highlight w:val="none"/>
              </w:rPr>
            </w:pPr>
          </w:p>
        </w:tc>
        <w:tc>
          <w:tcPr>
            <w:tcW w:w="1320" w:type="dxa"/>
            <w:tcBorders>
              <w:top w:val="single" w:color="auto" w:sz="4" w:space="0"/>
              <w:left w:val="nil"/>
              <w:bottom w:val="single" w:color="auto" w:sz="4" w:space="0"/>
              <w:right w:val="single" w:color="auto" w:sz="4" w:space="0"/>
            </w:tcBorders>
            <w:vAlign w:val="center"/>
          </w:tcPr>
          <w:p w14:paraId="602EE9BD">
            <w:pPr>
              <w:jc w:val="center"/>
              <w:rPr>
                <w:rFonts w:ascii="宋体" w:hAnsi="宋体" w:cs="宋体"/>
                <w:color w:val="auto"/>
                <w:sz w:val="24"/>
                <w:highlight w:val="none"/>
              </w:rPr>
            </w:pPr>
          </w:p>
        </w:tc>
        <w:tc>
          <w:tcPr>
            <w:tcW w:w="1342" w:type="dxa"/>
            <w:tcBorders>
              <w:top w:val="single" w:color="auto" w:sz="4" w:space="0"/>
              <w:left w:val="nil"/>
              <w:bottom w:val="single" w:color="auto" w:sz="4" w:space="0"/>
              <w:right w:val="single" w:color="auto" w:sz="4" w:space="0"/>
            </w:tcBorders>
            <w:vAlign w:val="center"/>
          </w:tcPr>
          <w:p w14:paraId="3DDF871D">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7759112B">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4C8B7E05">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4BCF9E87">
            <w:pPr>
              <w:jc w:val="center"/>
              <w:rPr>
                <w:rFonts w:ascii="宋体" w:hAnsi="宋体" w:cs="宋体"/>
                <w:color w:val="auto"/>
                <w:sz w:val="24"/>
                <w:highlight w:val="none"/>
              </w:rPr>
            </w:pPr>
          </w:p>
        </w:tc>
      </w:tr>
      <w:tr w14:paraId="23F6B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7C02C50D">
            <w:pPr>
              <w:jc w:val="center"/>
              <w:rPr>
                <w:rFonts w:ascii="宋体" w:hAnsi="宋体" w:cs="宋体"/>
                <w:color w:val="auto"/>
                <w:sz w:val="24"/>
                <w:highlight w:val="none"/>
              </w:rPr>
            </w:pPr>
            <w:r>
              <w:rPr>
                <w:rFonts w:hint="eastAsia" w:ascii="宋体" w:hAnsi="宋体" w:cs="宋体"/>
                <w:color w:val="auto"/>
                <w:sz w:val="24"/>
                <w:highlight w:val="none"/>
              </w:rPr>
              <w:t>7</w:t>
            </w:r>
          </w:p>
        </w:tc>
        <w:tc>
          <w:tcPr>
            <w:tcW w:w="1356" w:type="dxa"/>
            <w:tcBorders>
              <w:top w:val="single" w:color="auto" w:sz="4" w:space="0"/>
              <w:left w:val="nil"/>
              <w:bottom w:val="single" w:color="auto" w:sz="4" w:space="0"/>
              <w:right w:val="single" w:color="auto" w:sz="4" w:space="0"/>
            </w:tcBorders>
            <w:vAlign w:val="center"/>
          </w:tcPr>
          <w:p w14:paraId="5A3DEFAA">
            <w:pPr>
              <w:jc w:val="center"/>
              <w:rPr>
                <w:rFonts w:ascii="宋体" w:hAnsi="宋体" w:cs="宋体"/>
                <w:color w:val="auto"/>
                <w:sz w:val="24"/>
                <w:highlight w:val="none"/>
              </w:rPr>
            </w:pPr>
          </w:p>
        </w:tc>
        <w:tc>
          <w:tcPr>
            <w:tcW w:w="1458" w:type="dxa"/>
            <w:tcBorders>
              <w:top w:val="single" w:color="auto" w:sz="4" w:space="0"/>
              <w:left w:val="nil"/>
              <w:bottom w:val="single" w:color="auto" w:sz="4" w:space="0"/>
              <w:right w:val="single" w:color="auto" w:sz="4" w:space="0"/>
            </w:tcBorders>
            <w:vAlign w:val="center"/>
          </w:tcPr>
          <w:p w14:paraId="5CFF7FFF">
            <w:pPr>
              <w:jc w:val="center"/>
              <w:rPr>
                <w:rFonts w:ascii="宋体" w:hAnsi="宋体" w:cs="宋体"/>
                <w:color w:val="auto"/>
                <w:sz w:val="24"/>
                <w:highlight w:val="none"/>
              </w:rPr>
            </w:pPr>
          </w:p>
        </w:tc>
        <w:tc>
          <w:tcPr>
            <w:tcW w:w="852" w:type="dxa"/>
            <w:tcBorders>
              <w:top w:val="single" w:color="auto" w:sz="4" w:space="0"/>
              <w:left w:val="nil"/>
              <w:bottom w:val="single" w:color="auto" w:sz="4" w:space="0"/>
              <w:right w:val="single" w:color="auto" w:sz="4" w:space="0"/>
            </w:tcBorders>
            <w:vAlign w:val="center"/>
          </w:tcPr>
          <w:p w14:paraId="2612D71D">
            <w:pPr>
              <w:jc w:val="center"/>
              <w:rPr>
                <w:rFonts w:ascii="宋体" w:hAnsi="宋体" w:cs="宋体"/>
                <w:color w:val="auto"/>
                <w:sz w:val="24"/>
                <w:highlight w:val="none"/>
              </w:rPr>
            </w:pPr>
          </w:p>
        </w:tc>
        <w:tc>
          <w:tcPr>
            <w:tcW w:w="945" w:type="dxa"/>
            <w:tcBorders>
              <w:top w:val="single" w:color="auto" w:sz="4" w:space="0"/>
              <w:left w:val="nil"/>
              <w:bottom w:val="single" w:color="auto" w:sz="4" w:space="0"/>
              <w:right w:val="single" w:color="auto" w:sz="4" w:space="0"/>
            </w:tcBorders>
            <w:vAlign w:val="center"/>
          </w:tcPr>
          <w:p w14:paraId="18EC1CC5">
            <w:pPr>
              <w:jc w:val="center"/>
              <w:rPr>
                <w:rFonts w:ascii="宋体" w:hAnsi="宋体" w:cs="宋体"/>
                <w:color w:val="auto"/>
                <w:sz w:val="24"/>
                <w:highlight w:val="none"/>
              </w:rPr>
            </w:pPr>
          </w:p>
        </w:tc>
        <w:tc>
          <w:tcPr>
            <w:tcW w:w="1320" w:type="dxa"/>
            <w:tcBorders>
              <w:top w:val="single" w:color="auto" w:sz="4" w:space="0"/>
              <w:left w:val="nil"/>
              <w:bottom w:val="single" w:color="auto" w:sz="4" w:space="0"/>
              <w:right w:val="single" w:color="auto" w:sz="4" w:space="0"/>
            </w:tcBorders>
            <w:vAlign w:val="center"/>
          </w:tcPr>
          <w:p w14:paraId="1D8235F5">
            <w:pPr>
              <w:jc w:val="center"/>
              <w:rPr>
                <w:rFonts w:ascii="宋体" w:hAnsi="宋体" w:cs="宋体"/>
                <w:color w:val="auto"/>
                <w:sz w:val="24"/>
                <w:highlight w:val="none"/>
              </w:rPr>
            </w:pPr>
          </w:p>
        </w:tc>
        <w:tc>
          <w:tcPr>
            <w:tcW w:w="1342" w:type="dxa"/>
            <w:tcBorders>
              <w:top w:val="single" w:color="auto" w:sz="4" w:space="0"/>
              <w:left w:val="nil"/>
              <w:bottom w:val="single" w:color="auto" w:sz="4" w:space="0"/>
              <w:right w:val="single" w:color="auto" w:sz="4" w:space="0"/>
            </w:tcBorders>
            <w:vAlign w:val="center"/>
          </w:tcPr>
          <w:p w14:paraId="0FBF493A">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67DA5327">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39EBF490">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68F82612">
            <w:pPr>
              <w:jc w:val="center"/>
              <w:rPr>
                <w:rFonts w:ascii="宋体" w:hAnsi="宋体" w:cs="宋体"/>
                <w:color w:val="auto"/>
                <w:sz w:val="24"/>
                <w:highlight w:val="none"/>
              </w:rPr>
            </w:pPr>
          </w:p>
        </w:tc>
      </w:tr>
      <w:tr w14:paraId="07181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39E8112A">
            <w:pPr>
              <w:jc w:val="center"/>
              <w:rPr>
                <w:rFonts w:ascii="宋体" w:hAnsi="宋体" w:cs="宋体"/>
                <w:color w:val="auto"/>
                <w:sz w:val="24"/>
                <w:highlight w:val="none"/>
              </w:rPr>
            </w:pPr>
            <w:r>
              <w:rPr>
                <w:rFonts w:hint="eastAsia" w:ascii="宋体" w:hAnsi="宋体" w:cs="宋体"/>
                <w:color w:val="auto"/>
                <w:sz w:val="24"/>
                <w:highlight w:val="none"/>
              </w:rPr>
              <w:t>8</w:t>
            </w:r>
          </w:p>
        </w:tc>
        <w:tc>
          <w:tcPr>
            <w:tcW w:w="1356" w:type="dxa"/>
            <w:tcBorders>
              <w:top w:val="single" w:color="auto" w:sz="4" w:space="0"/>
              <w:left w:val="nil"/>
              <w:bottom w:val="single" w:color="auto" w:sz="4" w:space="0"/>
              <w:right w:val="single" w:color="auto" w:sz="4" w:space="0"/>
            </w:tcBorders>
            <w:vAlign w:val="center"/>
          </w:tcPr>
          <w:p w14:paraId="255B71FB">
            <w:pPr>
              <w:jc w:val="center"/>
              <w:rPr>
                <w:rFonts w:ascii="宋体" w:hAnsi="宋体" w:cs="宋体"/>
                <w:color w:val="auto"/>
                <w:sz w:val="24"/>
                <w:highlight w:val="none"/>
              </w:rPr>
            </w:pPr>
          </w:p>
        </w:tc>
        <w:tc>
          <w:tcPr>
            <w:tcW w:w="1458" w:type="dxa"/>
            <w:tcBorders>
              <w:top w:val="single" w:color="auto" w:sz="4" w:space="0"/>
              <w:left w:val="nil"/>
              <w:bottom w:val="single" w:color="auto" w:sz="4" w:space="0"/>
              <w:right w:val="single" w:color="auto" w:sz="4" w:space="0"/>
            </w:tcBorders>
            <w:vAlign w:val="center"/>
          </w:tcPr>
          <w:p w14:paraId="2FAE412C">
            <w:pPr>
              <w:jc w:val="center"/>
              <w:rPr>
                <w:rFonts w:ascii="宋体" w:hAnsi="宋体" w:cs="宋体"/>
                <w:color w:val="auto"/>
                <w:sz w:val="24"/>
                <w:highlight w:val="none"/>
              </w:rPr>
            </w:pPr>
          </w:p>
        </w:tc>
        <w:tc>
          <w:tcPr>
            <w:tcW w:w="852" w:type="dxa"/>
            <w:tcBorders>
              <w:top w:val="single" w:color="auto" w:sz="4" w:space="0"/>
              <w:left w:val="nil"/>
              <w:bottom w:val="single" w:color="auto" w:sz="4" w:space="0"/>
              <w:right w:val="single" w:color="auto" w:sz="4" w:space="0"/>
            </w:tcBorders>
            <w:vAlign w:val="center"/>
          </w:tcPr>
          <w:p w14:paraId="1635B540">
            <w:pPr>
              <w:jc w:val="center"/>
              <w:rPr>
                <w:rFonts w:ascii="宋体" w:hAnsi="宋体" w:cs="宋体"/>
                <w:color w:val="auto"/>
                <w:sz w:val="24"/>
                <w:highlight w:val="none"/>
              </w:rPr>
            </w:pPr>
          </w:p>
        </w:tc>
        <w:tc>
          <w:tcPr>
            <w:tcW w:w="945" w:type="dxa"/>
            <w:tcBorders>
              <w:top w:val="single" w:color="auto" w:sz="4" w:space="0"/>
              <w:left w:val="nil"/>
              <w:bottom w:val="single" w:color="auto" w:sz="4" w:space="0"/>
              <w:right w:val="single" w:color="auto" w:sz="4" w:space="0"/>
            </w:tcBorders>
            <w:vAlign w:val="center"/>
          </w:tcPr>
          <w:p w14:paraId="49BD0887">
            <w:pPr>
              <w:jc w:val="center"/>
              <w:rPr>
                <w:rFonts w:ascii="宋体" w:hAnsi="宋体" w:cs="宋体"/>
                <w:color w:val="auto"/>
                <w:sz w:val="24"/>
                <w:highlight w:val="none"/>
              </w:rPr>
            </w:pPr>
          </w:p>
        </w:tc>
        <w:tc>
          <w:tcPr>
            <w:tcW w:w="1320" w:type="dxa"/>
            <w:tcBorders>
              <w:top w:val="single" w:color="auto" w:sz="4" w:space="0"/>
              <w:left w:val="nil"/>
              <w:bottom w:val="single" w:color="auto" w:sz="4" w:space="0"/>
              <w:right w:val="single" w:color="auto" w:sz="4" w:space="0"/>
            </w:tcBorders>
            <w:vAlign w:val="center"/>
          </w:tcPr>
          <w:p w14:paraId="2BD145E5">
            <w:pPr>
              <w:jc w:val="center"/>
              <w:rPr>
                <w:rFonts w:ascii="宋体" w:hAnsi="宋体" w:cs="宋体"/>
                <w:color w:val="auto"/>
                <w:sz w:val="24"/>
                <w:highlight w:val="none"/>
              </w:rPr>
            </w:pPr>
          </w:p>
        </w:tc>
        <w:tc>
          <w:tcPr>
            <w:tcW w:w="1342" w:type="dxa"/>
            <w:tcBorders>
              <w:top w:val="single" w:color="auto" w:sz="4" w:space="0"/>
              <w:left w:val="nil"/>
              <w:bottom w:val="single" w:color="auto" w:sz="4" w:space="0"/>
              <w:right w:val="single" w:color="auto" w:sz="4" w:space="0"/>
            </w:tcBorders>
            <w:vAlign w:val="center"/>
          </w:tcPr>
          <w:p w14:paraId="77157E6C">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32CE8A9E">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453D5046">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4D8E62F9">
            <w:pPr>
              <w:jc w:val="center"/>
              <w:rPr>
                <w:rFonts w:ascii="宋体" w:hAnsi="宋体" w:cs="宋体"/>
                <w:color w:val="auto"/>
                <w:sz w:val="24"/>
                <w:highlight w:val="none"/>
              </w:rPr>
            </w:pPr>
          </w:p>
        </w:tc>
      </w:tr>
      <w:tr w14:paraId="4AADB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2EEAB203">
            <w:pPr>
              <w:jc w:val="center"/>
              <w:rPr>
                <w:color w:val="auto"/>
                <w:highlight w:val="none"/>
              </w:rPr>
            </w:pPr>
            <w:r>
              <w:rPr>
                <w:rFonts w:hint="eastAsia"/>
                <w:color w:val="auto"/>
                <w:highlight w:val="none"/>
              </w:rPr>
              <w:t>...</w:t>
            </w:r>
          </w:p>
          <w:p w14:paraId="29B9171B">
            <w:pPr>
              <w:jc w:val="center"/>
              <w:rPr>
                <w:color w:val="auto"/>
                <w:highlight w:val="none"/>
              </w:rPr>
            </w:pPr>
            <w:r>
              <w:rPr>
                <w:rFonts w:hint="eastAsia" w:ascii="宋体" w:hAnsi="宋体" w:eastAsia="宋体" w:cs="宋体"/>
                <w:color w:val="auto"/>
                <w:sz w:val="24"/>
                <w:szCs w:val="24"/>
                <w:highlight w:val="none"/>
              </w:rPr>
              <w:t>自行补充</w:t>
            </w:r>
          </w:p>
        </w:tc>
        <w:tc>
          <w:tcPr>
            <w:tcW w:w="1356" w:type="dxa"/>
            <w:tcBorders>
              <w:top w:val="single" w:color="auto" w:sz="4" w:space="0"/>
              <w:left w:val="nil"/>
              <w:bottom w:val="single" w:color="auto" w:sz="4" w:space="0"/>
              <w:right w:val="single" w:color="auto" w:sz="4" w:space="0"/>
            </w:tcBorders>
            <w:vAlign w:val="center"/>
          </w:tcPr>
          <w:p w14:paraId="4C22E31C">
            <w:pPr>
              <w:jc w:val="center"/>
              <w:rPr>
                <w:rFonts w:ascii="宋体" w:hAnsi="宋体" w:cs="宋体"/>
                <w:color w:val="auto"/>
                <w:sz w:val="24"/>
                <w:highlight w:val="none"/>
              </w:rPr>
            </w:pPr>
          </w:p>
        </w:tc>
        <w:tc>
          <w:tcPr>
            <w:tcW w:w="1458" w:type="dxa"/>
            <w:tcBorders>
              <w:top w:val="single" w:color="auto" w:sz="4" w:space="0"/>
              <w:left w:val="nil"/>
              <w:bottom w:val="single" w:color="auto" w:sz="4" w:space="0"/>
              <w:right w:val="single" w:color="auto" w:sz="4" w:space="0"/>
            </w:tcBorders>
            <w:vAlign w:val="center"/>
          </w:tcPr>
          <w:p w14:paraId="1E16476F">
            <w:pPr>
              <w:jc w:val="center"/>
              <w:rPr>
                <w:rFonts w:ascii="宋体" w:hAnsi="宋体" w:cs="宋体"/>
                <w:color w:val="auto"/>
                <w:sz w:val="24"/>
                <w:highlight w:val="none"/>
              </w:rPr>
            </w:pPr>
          </w:p>
        </w:tc>
        <w:tc>
          <w:tcPr>
            <w:tcW w:w="852" w:type="dxa"/>
            <w:tcBorders>
              <w:top w:val="single" w:color="auto" w:sz="4" w:space="0"/>
              <w:left w:val="nil"/>
              <w:bottom w:val="single" w:color="auto" w:sz="4" w:space="0"/>
              <w:right w:val="single" w:color="auto" w:sz="4" w:space="0"/>
            </w:tcBorders>
            <w:vAlign w:val="center"/>
          </w:tcPr>
          <w:p w14:paraId="5F3D8797">
            <w:pPr>
              <w:jc w:val="center"/>
              <w:rPr>
                <w:rFonts w:ascii="宋体" w:hAnsi="宋体" w:cs="宋体"/>
                <w:color w:val="auto"/>
                <w:sz w:val="24"/>
                <w:highlight w:val="none"/>
              </w:rPr>
            </w:pPr>
          </w:p>
        </w:tc>
        <w:tc>
          <w:tcPr>
            <w:tcW w:w="945" w:type="dxa"/>
            <w:tcBorders>
              <w:top w:val="single" w:color="auto" w:sz="4" w:space="0"/>
              <w:left w:val="nil"/>
              <w:bottom w:val="single" w:color="auto" w:sz="4" w:space="0"/>
              <w:right w:val="single" w:color="auto" w:sz="4" w:space="0"/>
            </w:tcBorders>
            <w:vAlign w:val="center"/>
          </w:tcPr>
          <w:p w14:paraId="2C2D6B45">
            <w:pPr>
              <w:jc w:val="center"/>
              <w:rPr>
                <w:rFonts w:ascii="宋体" w:hAnsi="宋体" w:cs="宋体"/>
                <w:color w:val="auto"/>
                <w:sz w:val="24"/>
                <w:highlight w:val="none"/>
              </w:rPr>
            </w:pPr>
          </w:p>
        </w:tc>
        <w:tc>
          <w:tcPr>
            <w:tcW w:w="1320" w:type="dxa"/>
            <w:tcBorders>
              <w:top w:val="single" w:color="auto" w:sz="4" w:space="0"/>
              <w:left w:val="nil"/>
              <w:bottom w:val="single" w:color="auto" w:sz="4" w:space="0"/>
              <w:right w:val="single" w:color="auto" w:sz="4" w:space="0"/>
            </w:tcBorders>
            <w:vAlign w:val="center"/>
          </w:tcPr>
          <w:p w14:paraId="0898F766">
            <w:pPr>
              <w:jc w:val="center"/>
              <w:rPr>
                <w:rFonts w:ascii="宋体" w:hAnsi="宋体" w:cs="宋体"/>
                <w:color w:val="auto"/>
                <w:sz w:val="24"/>
                <w:highlight w:val="none"/>
              </w:rPr>
            </w:pPr>
          </w:p>
        </w:tc>
        <w:tc>
          <w:tcPr>
            <w:tcW w:w="1342" w:type="dxa"/>
            <w:tcBorders>
              <w:top w:val="single" w:color="auto" w:sz="4" w:space="0"/>
              <w:left w:val="nil"/>
              <w:bottom w:val="single" w:color="auto" w:sz="4" w:space="0"/>
              <w:right w:val="single" w:color="auto" w:sz="4" w:space="0"/>
            </w:tcBorders>
            <w:vAlign w:val="center"/>
          </w:tcPr>
          <w:p w14:paraId="3B8FA341">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3A45B8F0">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70BFAC5F">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4B1200C9">
            <w:pPr>
              <w:jc w:val="center"/>
              <w:rPr>
                <w:rFonts w:ascii="宋体" w:hAnsi="宋体" w:cs="宋体"/>
                <w:color w:val="auto"/>
                <w:sz w:val="24"/>
                <w:highlight w:val="none"/>
              </w:rPr>
            </w:pPr>
          </w:p>
        </w:tc>
      </w:tr>
      <w:tr w14:paraId="02EAD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2101" w:type="dxa"/>
            <w:gridSpan w:val="2"/>
            <w:tcBorders>
              <w:top w:val="single" w:color="auto" w:sz="4" w:space="0"/>
              <w:left w:val="single" w:color="auto" w:sz="4" w:space="0"/>
              <w:bottom w:val="single" w:color="auto" w:sz="4" w:space="0"/>
              <w:right w:val="single" w:color="auto" w:sz="4" w:space="0"/>
            </w:tcBorders>
            <w:vAlign w:val="center"/>
          </w:tcPr>
          <w:p w14:paraId="6AB7943F">
            <w:pPr>
              <w:jc w:val="center"/>
              <w:rPr>
                <w:rFonts w:ascii="宋体" w:hAnsi="宋体" w:cs="宋体"/>
                <w:color w:val="auto"/>
                <w:sz w:val="24"/>
                <w:highlight w:val="none"/>
              </w:rPr>
            </w:pPr>
            <w:r>
              <w:rPr>
                <w:rFonts w:hint="eastAsia" w:ascii="宋体" w:hAnsi="宋体" w:cs="宋体"/>
                <w:color w:val="auto"/>
                <w:sz w:val="24"/>
                <w:highlight w:val="none"/>
              </w:rPr>
              <w:t>总价</w:t>
            </w:r>
          </w:p>
        </w:tc>
        <w:tc>
          <w:tcPr>
            <w:tcW w:w="6767" w:type="dxa"/>
            <w:gridSpan w:val="6"/>
            <w:tcBorders>
              <w:top w:val="single" w:color="auto" w:sz="4" w:space="0"/>
              <w:left w:val="nil"/>
              <w:bottom w:val="single" w:color="auto" w:sz="4" w:space="0"/>
              <w:right w:val="single" w:color="auto" w:sz="4" w:space="0"/>
            </w:tcBorders>
            <w:vAlign w:val="center"/>
          </w:tcPr>
          <w:p w14:paraId="33440BF8">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33CE33ED">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32E57AAF">
            <w:pPr>
              <w:jc w:val="center"/>
              <w:rPr>
                <w:rFonts w:ascii="宋体" w:hAnsi="宋体" w:cs="宋体"/>
                <w:color w:val="auto"/>
                <w:sz w:val="24"/>
                <w:highlight w:val="none"/>
              </w:rPr>
            </w:pPr>
          </w:p>
        </w:tc>
      </w:tr>
    </w:tbl>
    <w:p w14:paraId="27DC9938">
      <w:pPr>
        <w:spacing w:line="480" w:lineRule="exact"/>
        <w:outlineLvl w:val="2"/>
        <w:rPr>
          <w:rFonts w:ascii="宋体" w:hAnsi="宋体" w:cs="宋体"/>
          <w:b/>
          <w:bCs/>
          <w:color w:val="auto"/>
          <w:sz w:val="24"/>
          <w:highlight w:val="none"/>
        </w:rPr>
      </w:pPr>
      <w:r>
        <w:rPr>
          <w:rFonts w:hint="eastAsia" w:ascii="宋体" w:hAnsi="宋体" w:cs="宋体"/>
          <w:b/>
          <w:bCs/>
          <w:color w:val="auto"/>
          <w:sz w:val="24"/>
          <w:highlight w:val="none"/>
        </w:rPr>
        <w:t xml:space="preserve"> 注：1.供应商根据需要可在本表中自行增加更为详细的报价说明</w:t>
      </w:r>
    </w:p>
    <w:p w14:paraId="7FEC71C6">
      <w:pPr>
        <w:spacing w:line="480" w:lineRule="exact"/>
        <w:rPr>
          <w:rFonts w:ascii="宋体" w:hAnsi="宋体" w:cs="宋体"/>
          <w:b/>
          <w:bCs/>
          <w:color w:val="auto"/>
          <w:sz w:val="24"/>
          <w:highlight w:val="none"/>
        </w:rPr>
      </w:pPr>
      <w:r>
        <w:rPr>
          <w:rFonts w:hint="eastAsia" w:ascii="宋体" w:hAnsi="宋体" w:cs="宋体"/>
          <w:b/>
          <w:bCs/>
          <w:color w:val="auto"/>
          <w:sz w:val="24"/>
          <w:highlight w:val="none"/>
        </w:rPr>
        <w:t>包含设备价、备品备件价、包装费、装卸费、运输费、税金（含关税、增值税）、安装费、检测验收费、培训费及其他所有费用，均包含在投标报价中。</w:t>
      </w:r>
    </w:p>
    <w:p w14:paraId="11C26D25">
      <w:pPr>
        <w:spacing w:line="480" w:lineRule="exact"/>
        <w:rPr>
          <w:rFonts w:ascii="宋体" w:hAnsi="宋体" w:cs="宋体"/>
          <w:color w:val="auto"/>
          <w:sz w:val="24"/>
          <w:highlight w:val="none"/>
        </w:rPr>
      </w:pPr>
      <w:r>
        <w:rPr>
          <w:rFonts w:hint="eastAsia" w:ascii="宋体" w:hAnsi="宋体" w:cs="宋体"/>
          <w:color w:val="auto"/>
          <w:sz w:val="24"/>
          <w:highlight w:val="none"/>
        </w:rPr>
        <w:t>供应商名称（电子签章）：</w:t>
      </w:r>
      <w:bookmarkStart w:id="225" w:name="_Hlk522286805"/>
      <w:bookmarkEnd w:id="225"/>
    </w:p>
    <w:p w14:paraId="6A377907">
      <w:pPr>
        <w:spacing w:line="480" w:lineRule="exact"/>
        <w:rPr>
          <w:rFonts w:ascii="宋体" w:hAnsi="宋体" w:cs="宋体"/>
          <w:color w:val="auto"/>
          <w:sz w:val="24"/>
          <w:highlight w:val="none"/>
        </w:rPr>
      </w:pPr>
      <w:r>
        <w:rPr>
          <w:rFonts w:hint="eastAsia" w:ascii="宋体" w:hAnsi="宋体" w:cs="宋体"/>
          <w:color w:val="auto"/>
          <w:sz w:val="24"/>
          <w:highlight w:val="none"/>
        </w:rPr>
        <w:t>法定代表人（电子签章）：</w:t>
      </w:r>
    </w:p>
    <w:p w14:paraId="0D241A6D">
      <w:pPr>
        <w:spacing w:line="480" w:lineRule="exact"/>
        <w:rPr>
          <w:rFonts w:ascii="宋体" w:hAnsi="宋体" w:cs="宋体"/>
          <w:color w:val="auto"/>
          <w:sz w:val="24"/>
          <w:highlight w:val="none"/>
        </w:rPr>
      </w:pPr>
      <w:r>
        <w:rPr>
          <w:rFonts w:hint="eastAsia" w:ascii="宋体" w:hAnsi="宋体" w:cs="宋体"/>
          <w:color w:val="auto"/>
          <w:sz w:val="24"/>
          <w:highlight w:val="none"/>
        </w:rPr>
        <w:t>日期：年 月 日</w:t>
      </w:r>
    </w:p>
    <w:p w14:paraId="7F05FD09">
      <w:pPr>
        <w:pStyle w:val="4"/>
        <w:jc w:val="center"/>
        <w:rPr>
          <w:color w:val="auto"/>
          <w:highlight w:val="none"/>
        </w:rPr>
      </w:pPr>
      <w:bookmarkStart w:id="226" w:name="_Toc361989463"/>
      <w:bookmarkEnd w:id="226"/>
      <w:bookmarkStart w:id="227" w:name="_Toc244934213"/>
      <w:bookmarkEnd w:id="227"/>
      <w:bookmarkStart w:id="228" w:name="_Toc17010"/>
      <w:bookmarkStart w:id="229" w:name="_Toc10655"/>
      <w:bookmarkStart w:id="230" w:name="_Toc25298"/>
      <w:r>
        <w:rPr>
          <w:rFonts w:ascii="宋体" w:hAnsi="宋体" w:cs="宋体"/>
          <w:color w:val="auto"/>
          <w:szCs w:val="24"/>
          <w:highlight w:val="none"/>
        </w:rPr>
        <w:br w:type="page"/>
      </w:r>
      <w:r>
        <w:rPr>
          <w:rFonts w:hint="eastAsia"/>
          <w:color w:val="auto"/>
          <w:highlight w:val="none"/>
        </w:rPr>
        <w:t>六、技术规格偏离表</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1805"/>
        <w:gridCol w:w="2348"/>
        <w:gridCol w:w="1585"/>
        <w:gridCol w:w="1182"/>
        <w:gridCol w:w="900"/>
      </w:tblGrid>
      <w:tr w14:paraId="4C039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3308D517">
            <w:pPr>
              <w:spacing w:line="360" w:lineRule="auto"/>
              <w:jc w:val="center"/>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序号</w:t>
            </w:r>
          </w:p>
        </w:tc>
        <w:tc>
          <w:tcPr>
            <w:tcW w:w="1805" w:type="dxa"/>
            <w:tcBorders>
              <w:top w:val="single" w:color="auto" w:sz="4" w:space="0"/>
              <w:left w:val="nil"/>
              <w:bottom w:val="single" w:color="auto" w:sz="4" w:space="0"/>
              <w:right w:val="single" w:color="auto" w:sz="4" w:space="0"/>
            </w:tcBorders>
            <w:vAlign w:val="center"/>
          </w:tcPr>
          <w:p w14:paraId="122BFBB7">
            <w:pPr>
              <w:spacing w:line="360" w:lineRule="auto"/>
              <w:jc w:val="center"/>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货物名称</w:t>
            </w:r>
          </w:p>
        </w:tc>
        <w:tc>
          <w:tcPr>
            <w:tcW w:w="2348" w:type="dxa"/>
            <w:tcBorders>
              <w:top w:val="single" w:color="auto" w:sz="4" w:space="0"/>
              <w:left w:val="nil"/>
              <w:bottom w:val="single" w:color="auto" w:sz="4" w:space="0"/>
              <w:right w:val="single" w:color="auto" w:sz="4" w:space="0"/>
            </w:tcBorders>
            <w:vAlign w:val="center"/>
          </w:tcPr>
          <w:p w14:paraId="6F8C9E09">
            <w:pPr>
              <w:spacing w:line="360" w:lineRule="auto"/>
              <w:jc w:val="center"/>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竞争性磋商文件要求规格或参数</w:t>
            </w:r>
          </w:p>
        </w:tc>
        <w:tc>
          <w:tcPr>
            <w:tcW w:w="1585" w:type="dxa"/>
            <w:tcBorders>
              <w:top w:val="single" w:color="auto" w:sz="4" w:space="0"/>
              <w:left w:val="nil"/>
              <w:bottom w:val="single" w:color="auto" w:sz="4" w:space="0"/>
              <w:right w:val="single" w:color="auto" w:sz="4" w:space="0"/>
            </w:tcBorders>
            <w:vAlign w:val="center"/>
          </w:tcPr>
          <w:p w14:paraId="78E2699B">
            <w:pPr>
              <w:spacing w:line="360" w:lineRule="auto"/>
              <w:jc w:val="center"/>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响应货物规格或参数</w:t>
            </w:r>
          </w:p>
        </w:tc>
        <w:tc>
          <w:tcPr>
            <w:tcW w:w="1182" w:type="dxa"/>
            <w:tcBorders>
              <w:top w:val="single" w:color="auto" w:sz="4" w:space="0"/>
              <w:left w:val="nil"/>
              <w:bottom w:val="single" w:color="auto" w:sz="4" w:space="0"/>
              <w:right w:val="single" w:color="auto" w:sz="4" w:space="0"/>
            </w:tcBorders>
            <w:vAlign w:val="center"/>
          </w:tcPr>
          <w:p w14:paraId="48A1755D">
            <w:pPr>
              <w:spacing w:line="360" w:lineRule="auto"/>
              <w:jc w:val="center"/>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偏离</w:t>
            </w:r>
          </w:p>
          <w:p w14:paraId="2DFC454D">
            <w:pPr>
              <w:spacing w:line="360" w:lineRule="auto"/>
              <w:jc w:val="center"/>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(正/负)</w:t>
            </w:r>
          </w:p>
        </w:tc>
        <w:tc>
          <w:tcPr>
            <w:tcW w:w="900" w:type="dxa"/>
            <w:tcBorders>
              <w:top w:val="single" w:color="auto" w:sz="4" w:space="0"/>
              <w:left w:val="nil"/>
              <w:bottom w:val="single" w:color="auto" w:sz="4" w:space="0"/>
              <w:right w:val="single" w:color="auto" w:sz="4" w:space="0"/>
            </w:tcBorders>
            <w:vAlign w:val="center"/>
          </w:tcPr>
          <w:p w14:paraId="4E61FB3F">
            <w:pPr>
              <w:spacing w:line="360" w:lineRule="auto"/>
              <w:jc w:val="center"/>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说明</w:t>
            </w:r>
          </w:p>
        </w:tc>
      </w:tr>
      <w:tr w14:paraId="05249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0FE594B2">
            <w:pPr>
              <w:spacing w:line="360" w:lineRule="auto"/>
              <w:jc w:val="center"/>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1</w:t>
            </w:r>
          </w:p>
        </w:tc>
        <w:tc>
          <w:tcPr>
            <w:tcW w:w="1805" w:type="dxa"/>
            <w:tcBorders>
              <w:top w:val="single" w:color="auto" w:sz="4" w:space="0"/>
              <w:left w:val="nil"/>
              <w:bottom w:val="single" w:color="auto" w:sz="4" w:space="0"/>
              <w:right w:val="single" w:color="auto" w:sz="4" w:space="0"/>
            </w:tcBorders>
            <w:vAlign w:val="center"/>
          </w:tcPr>
          <w:p w14:paraId="0C3B7E92">
            <w:pPr>
              <w:spacing w:line="360" w:lineRule="auto"/>
              <w:jc w:val="center"/>
              <w:rPr>
                <w:rFonts w:ascii="宋体" w:hAnsi="宋体" w:eastAsia="宋体" w:cs="宋体"/>
                <w:color w:val="auto"/>
                <w:sz w:val="24"/>
                <w:szCs w:val="20"/>
                <w:highlight w:val="none"/>
              </w:rPr>
            </w:pPr>
          </w:p>
        </w:tc>
        <w:tc>
          <w:tcPr>
            <w:tcW w:w="2348" w:type="dxa"/>
            <w:tcBorders>
              <w:top w:val="single" w:color="auto" w:sz="4" w:space="0"/>
              <w:left w:val="nil"/>
              <w:bottom w:val="single" w:color="auto" w:sz="4" w:space="0"/>
              <w:right w:val="single" w:color="auto" w:sz="4" w:space="0"/>
            </w:tcBorders>
            <w:vAlign w:val="center"/>
          </w:tcPr>
          <w:p w14:paraId="152AC45C">
            <w:pPr>
              <w:spacing w:line="360" w:lineRule="auto"/>
              <w:jc w:val="center"/>
              <w:rPr>
                <w:rFonts w:ascii="宋体" w:hAnsi="宋体" w:eastAsia="宋体" w:cs="宋体"/>
                <w:color w:val="auto"/>
                <w:sz w:val="24"/>
                <w:szCs w:val="20"/>
                <w:highlight w:val="none"/>
              </w:rPr>
            </w:pPr>
          </w:p>
        </w:tc>
        <w:tc>
          <w:tcPr>
            <w:tcW w:w="1585" w:type="dxa"/>
            <w:tcBorders>
              <w:top w:val="single" w:color="auto" w:sz="4" w:space="0"/>
              <w:left w:val="nil"/>
              <w:bottom w:val="single" w:color="auto" w:sz="4" w:space="0"/>
              <w:right w:val="single" w:color="auto" w:sz="4" w:space="0"/>
            </w:tcBorders>
            <w:vAlign w:val="center"/>
          </w:tcPr>
          <w:p w14:paraId="42421A7B">
            <w:pPr>
              <w:spacing w:line="360" w:lineRule="auto"/>
              <w:jc w:val="center"/>
              <w:rPr>
                <w:rFonts w:ascii="宋体" w:hAnsi="宋体" w:eastAsia="宋体" w:cs="宋体"/>
                <w:color w:val="auto"/>
                <w:sz w:val="24"/>
                <w:szCs w:val="20"/>
                <w:highlight w:val="none"/>
              </w:rPr>
            </w:pPr>
          </w:p>
        </w:tc>
        <w:tc>
          <w:tcPr>
            <w:tcW w:w="1182" w:type="dxa"/>
            <w:tcBorders>
              <w:top w:val="single" w:color="auto" w:sz="4" w:space="0"/>
              <w:left w:val="nil"/>
              <w:bottom w:val="single" w:color="auto" w:sz="4" w:space="0"/>
              <w:right w:val="single" w:color="auto" w:sz="4" w:space="0"/>
            </w:tcBorders>
            <w:vAlign w:val="center"/>
          </w:tcPr>
          <w:p w14:paraId="2EBF7480">
            <w:pPr>
              <w:spacing w:line="360" w:lineRule="auto"/>
              <w:jc w:val="center"/>
              <w:rPr>
                <w:rFonts w:ascii="宋体" w:hAnsi="宋体" w:eastAsia="宋体" w:cs="宋体"/>
                <w:color w:val="auto"/>
                <w:sz w:val="24"/>
                <w:szCs w:val="20"/>
                <w:highlight w:val="none"/>
              </w:rPr>
            </w:pPr>
          </w:p>
        </w:tc>
        <w:tc>
          <w:tcPr>
            <w:tcW w:w="900" w:type="dxa"/>
            <w:tcBorders>
              <w:top w:val="single" w:color="auto" w:sz="4" w:space="0"/>
              <w:left w:val="nil"/>
              <w:bottom w:val="single" w:color="auto" w:sz="4" w:space="0"/>
              <w:right w:val="single" w:color="auto" w:sz="4" w:space="0"/>
            </w:tcBorders>
            <w:vAlign w:val="center"/>
          </w:tcPr>
          <w:p w14:paraId="6EE66264">
            <w:pPr>
              <w:spacing w:line="360" w:lineRule="auto"/>
              <w:jc w:val="center"/>
              <w:rPr>
                <w:rFonts w:ascii="宋体" w:hAnsi="宋体" w:eastAsia="宋体" w:cs="宋体"/>
                <w:color w:val="auto"/>
                <w:sz w:val="24"/>
                <w:szCs w:val="20"/>
                <w:highlight w:val="none"/>
              </w:rPr>
            </w:pPr>
          </w:p>
        </w:tc>
      </w:tr>
      <w:tr w14:paraId="698A8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55D973FC">
            <w:pPr>
              <w:spacing w:line="360" w:lineRule="auto"/>
              <w:jc w:val="center"/>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2</w:t>
            </w:r>
          </w:p>
        </w:tc>
        <w:tc>
          <w:tcPr>
            <w:tcW w:w="1805" w:type="dxa"/>
            <w:tcBorders>
              <w:top w:val="single" w:color="auto" w:sz="4" w:space="0"/>
              <w:left w:val="nil"/>
              <w:bottom w:val="single" w:color="auto" w:sz="4" w:space="0"/>
              <w:right w:val="single" w:color="auto" w:sz="4" w:space="0"/>
            </w:tcBorders>
            <w:vAlign w:val="center"/>
          </w:tcPr>
          <w:p w14:paraId="34D8620B">
            <w:pPr>
              <w:spacing w:line="360" w:lineRule="auto"/>
              <w:jc w:val="center"/>
              <w:rPr>
                <w:rFonts w:ascii="宋体" w:hAnsi="宋体" w:eastAsia="宋体" w:cs="宋体"/>
                <w:color w:val="auto"/>
                <w:sz w:val="24"/>
                <w:szCs w:val="20"/>
                <w:highlight w:val="none"/>
              </w:rPr>
            </w:pPr>
          </w:p>
        </w:tc>
        <w:tc>
          <w:tcPr>
            <w:tcW w:w="2348" w:type="dxa"/>
            <w:tcBorders>
              <w:top w:val="single" w:color="auto" w:sz="4" w:space="0"/>
              <w:left w:val="nil"/>
              <w:bottom w:val="single" w:color="auto" w:sz="4" w:space="0"/>
              <w:right w:val="single" w:color="auto" w:sz="4" w:space="0"/>
            </w:tcBorders>
            <w:vAlign w:val="center"/>
          </w:tcPr>
          <w:p w14:paraId="5E92E4A7">
            <w:pPr>
              <w:spacing w:line="360" w:lineRule="auto"/>
              <w:jc w:val="center"/>
              <w:rPr>
                <w:rFonts w:ascii="宋体" w:hAnsi="宋体" w:eastAsia="宋体" w:cs="宋体"/>
                <w:color w:val="auto"/>
                <w:sz w:val="24"/>
                <w:szCs w:val="20"/>
                <w:highlight w:val="none"/>
              </w:rPr>
            </w:pPr>
          </w:p>
        </w:tc>
        <w:tc>
          <w:tcPr>
            <w:tcW w:w="1585" w:type="dxa"/>
            <w:tcBorders>
              <w:top w:val="single" w:color="auto" w:sz="4" w:space="0"/>
              <w:left w:val="nil"/>
              <w:bottom w:val="single" w:color="auto" w:sz="4" w:space="0"/>
              <w:right w:val="single" w:color="auto" w:sz="4" w:space="0"/>
            </w:tcBorders>
            <w:vAlign w:val="center"/>
          </w:tcPr>
          <w:p w14:paraId="5AC8577E">
            <w:pPr>
              <w:spacing w:line="360" w:lineRule="auto"/>
              <w:jc w:val="center"/>
              <w:rPr>
                <w:rFonts w:ascii="宋体" w:hAnsi="宋体" w:eastAsia="宋体" w:cs="宋体"/>
                <w:color w:val="auto"/>
                <w:sz w:val="24"/>
                <w:szCs w:val="20"/>
                <w:highlight w:val="none"/>
              </w:rPr>
            </w:pPr>
          </w:p>
        </w:tc>
        <w:tc>
          <w:tcPr>
            <w:tcW w:w="1182" w:type="dxa"/>
            <w:tcBorders>
              <w:top w:val="single" w:color="auto" w:sz="4" w:space="0"/>
              <w:left w:val="nil"/>
              <w:bottom w:val="single" w:color="auto" w:sz="4" w:space="0"/>
              <w:right w:val="single" w:color="auto" w:sz="4" w:space="0"/>
            </w:tcBorders>
            <w:vAlign w:val="center"/>
          </w:tcPr>
          <w:p w14:paraId="32FF1034">
            <w:pPr>
              <w:spacing w:line="360" w:lineRule="auto"/>
              <w:jc w:val="center"/>
              <w:rPr>
                <w:rFonts w:ascii="宋体" w:hAnsi="宋体" w:eastAsia="宋体" w:cs="宋体"/>
                <w:color w:val="auto"/>
                <w:sz w:val="24"/>
                <w:szCs w:val="20"/>
                <w:highlight w:val="none"/>
              </w:rPr>
            </w:pPr>
          </w:p>
        </w:tc>
        <w:tc>
          <w:tcPr>
            <w:tcW w:w="900" w:type="dxa"/>
            <w:tcBorders>
              <w:top w:val="single" w:color="auto" w:sz="4" w:space="0"/>
              <w:left w:val="nil"/>
              <w:bottom w:val="single" w:color="auto" w:sz="4" w:space="0"/>
              <w:right w:val="single" w:color="auto" w:sz="4" w:space="0"/>
            </w:tcBorders>
            <w:vAlign w:val="center"/>
          </w:tcPr>
          <w:p w14:paraId="1244F334">
            <w:pPr>
              <w:spacing w:line="360" w:lineRule="auto"/>
              <w:jc w:val="center"/>
              <w:rPr>
                <w:rFonts w:ascii="宋体" w:hAnsi="宋体" w:eastAsia="宋体" w:cs="宋体"/>
                <w:color w:val="auto"/>
                <w:sz w:val="24"/>
                <w:szCs w:val="20"/>
                <w:highlight w:val="none"/>
              </w:rPr>
            </w:pPr>
          </w:p>
        </w:tc>
      </w:tr>
      <w:tr w14:paraId="6C85C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747A868F">
            <w:pPr>
              <w:spacing w:line="360" w:lineRule="auto"/>
              <w:jc w:val="center"/>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3</w:t>
            </w:r>
          </w:p>
        </w:tc>
        <w:tc>
          <w:tcPr>
            <w:tcW w:w="1805" w:type="dxa"/>
            <w:tcBorders>
              <w:top w:val="single" w:color="auto" w:sz="4" w:space="0"/>
              <w:left w:val="nil"/>
              <w:bottom w:val="single" w:color="auto" w:sz="4" w:space="0"/>
              <w:right w:val="single" w:color="auto" w:sz="4" w:space="0"/>
            </w:tcBorders>
            <w:vAlign w:val="center"/>
          </w:tcPr>
          <w:p w14:paraId="1F25332F">
            <w:pPr>
              <w:spacing w:line="360" w:lineRule="auto"/>
              <w:jc w:val="center"/>
              <w:rPr>
                <w:rFonts w:ascii="宋体" w:hAnsi="宋体" w:eastAsia="宋体" w:cs="宋体"/>
                <w:color w:val="auto"/>
                <w:sz w:val="24"/>
                <w:szCs w:val="20"/>
                <w:highlight w:val="none"/>
              </w:rPr>
            </w:pPr>
          </w:p>
        </w:tc>
        <w:tc>
          <w:tcPr>
            <w:tcW w:w="2348" w:type="dxa"/>
            <w:tcBorders>
              <w:top w:val="single" w:color="auto" w:sz="4" w:space="0"/>
              <w:left w:val="nil"/>
              <w:bottom w:val="single" w:color="auto" w:sz="4" w:space="0"/>
              <w:right w:val="single" w:color="auto" w:sz="4" w:space="0"/>
            </w:tcBorders>
            <w:vAlign w:val="center"/>
          </w:tcPr>
          <w:p w14:paraId="5D8F41DC">
            <w:pPr>
              <w:spacing w:line="360" w:lineRule="auto"/>
              <w:jc w:val="center"/>
              <w:rPr>
                <w:rFonts w:ascii="宋体" w:hAnsi="宋体" w:eastAsia="宋体" w:cs="宋体"/>
                <w:color w:val="auto"/>
                <w:sz w:val="24"/>
                <w:szCs w:val="20"/>
                <w:highlight w:val="none"/>
              </w:rPr>
            </w:pPr>
          </w:p>
        </w:tc>
        <w:tc>
          <w:tcPr>
            <w:tcW w:w="1585" w:type="dxa"/>
            <w:tcBorders>
              <w:top w:val="single" w:color="auto" w:sz="4" w:space="0"/>
              <w:left w:val="nil"/>
              <w:bottom w:val="single" w:color="auto" w:sz="4" w:space="0"/>
              <w:right w:val="single" w:color="auto" w:sz="4" w:space="0"/>
            </w:tcBorders>
            <w:vAlign w:val="center"/>
          </w:tcPr>
          <w:p w14:paraId="45228456">
            <w:pPr>
              <w:spacing w:line="360" w:lineRule="auto"/>
              <w:jc w:val="center"/>
              <w:rPr>
                <w:rFonts w:ascii="宋体" w:hAnsi="宋体" w:eastAsia="宋体" w:cs="宋体"/>
                <w:color w:val="auto"/>
                <w:sz w:val="24"/>
                <w:szCs w:val="20"/>
                <w:highlight w:val="none"/>
              </w:rPr>
            </w:pPr>
          </w:p>
        </w:tc>
        <w:tc>
          <w:tcPr>
            <w:tcW w:w="1182" w:type="dxa"/>
            <w:tcBorders>
              <w:top w:val="single" w:color="auto" w:sz="4" w:space="0"/>
              <w:left w:val="nil"/>
              <w:bottom w:val="single" w:color="auto" w:sz="4" w:space="0"/>
              <w:right w:val="single" w:color="auto" w:sz="4" w:space="0"/>
            </w:tcBorders>
            <w:vAlign w:val="center"/>
          </w:tcPr>
          <w:p w14:paraId="60033441">
            <w:pPr>
              <w:spacing w:line="360" w:lineRule="auto"/>
              <w:jc w:val="center"/>
              <w:rPr>
                <w:rFonts w:ascii="宋体" w:hAnsi="宋体" w:eastAsia="宋体" w:cs="宋体"/>
                <w:color w:val="auto"/>
                <w:sz w:val="24"/>
                <w:szCs w:val="20"/>
                <w:highlight w:val="none"/>
              </w:rPr>
            </w:pPr>
          </w:p>
        </w:tc>
        <w:tc>
          <w:tcPr>
            <w:tcW w:w="900" w:type="dxa"/>
            <w:tcBorders>
              <w:top w:val="single" w:color="auto" w:sz="4" w:space="0"/>
              <w:left w:val="nil"/>
              <w:bottom w:val="single" w:color="auto" w:sz="4" w:space="0"/>
              <w:right w:val="single" w:color="auto" w:sz="4" w:space="0"/>
            </w:tcBorders>
            <w:vAlign w:val="center"/>
          </w:tcPr>
          <w:p w14:paraId="2F85417C">
            <w:pPr>
              <w:spacing w:line="360" w:lineRule="auto"/>
              <w:jc w:val="center"/>
              <w:rPr>
                <w:rFonts w:ascii="宋体" w:hAnsi="宋体" w:eastAsia="宋体" w:cs="宋体"/>
                <w:color w:val="auto"/>
                <w:sz w:val="24"/>
                <w:szCs w:val="20"/>
                <w:highlight w:val="none"/>
              </w:rPr>
            </w:pPr>
          </w:p>
        </w:tc>
      </w:tr>
      <w:tr w14:paraId="65AD3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480353C9">
            <w:pPr>
              <w:spacing w:line="360" w:lineRule="auto"/>
              <w:jc w:val="center"/>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w:t>
            </w:r>
          </w:p>
        </w:tc>
        <w:tc>
          <w:tcPr>
            <w:tcW w:w="1805" w:type="dxa"/>
            <w:tcBorders>
              <w:top w:val="single" w:color="auto" w:sz="4" w:space="0"/>
              <w:left w:val="nil"/>
              <w:bottom w:val="single" w:color="auto" w:sz="4" w:space="0"/>
              <w:right w:val="single" w:color="auto" w:sz="4" w:space="0"/>
            </w:tcBorders>
            <w:vAlign w:val="center"/>
          </w:tcPr>
          <w:p w14:paraId="6AE49030">
            <w:pPr>
              <w:spacing w:line="360" w:lineRule="auto"/>
              <w:jc w:val="center"/>
              <w:rPr>
                <w:rFonts w:ascii="宋体" w:hAnsi="宋体" w:eastAsia="宋体" w:cs="宋体"/>
                <w:color w:val="auto"/>
                <w:sz w:val="24"/>
                <w:szCs w:val="20"/>
                <w:highlight w:val="none"/>
              </w:rPr>
            </w:pPr>
          </w:p>
        </w:tc>
        <w:tc>
          <w:tcPr>
            <w:tcW w:w="2348" w:type="dxa"/>
            <w:tcBorders>
              <w:top w:val="single" w:color="auto" w:sz="4" w:space="0"/>
              <w:left w:val="nil"/>
              <w:bottom w:val="single" w:color="auto" w:sz="4" w:space="0"/>
              <w:right w:val="single" w:color="auto" w:sz="4" w:space="0"/>
            </w:tcBorders>
            <w:vAlign w:val="center"/>
          </w:tcPr>
          <w:p w14:paraId="5B1F0BF6">
            <w:pPr>
              <w:spacing w:line="360" w:lineRule="auto"/>
              <w:jc w:val="center"/>
              <w:rPr>
                <w:rFonts w:ascii="宋体" w:hAnsi="宋体" w:eastAsia="宋体" w:cs="宋体"/>
                <w:color w:val="auto"/>
                <w:sz w:val="24"/>
                <w:szCs w:val="20"/>
                <w:highlight w:val="none"/>
              </w:rPr>
            </w:pPr>
          </w:p>
        </w:tc>
        <w:tc>
          <w:tcPr>
            <w:tcW w:w="1585" w:type="dxa"/>
            <w:tcBorders>
              <w:top w:val="single" w:color="auto" w:sz="4" w:space="0"/>
              <w:left w:val="nil"/>
              <w:bottom w:val="single" w:color="auto" w:sz="4" w:space="0"/>
              <w:right w:val="single" w:color="auto" w:sz="4" w:space="0"/>
            </w:tcBorders>
            <w:vAlign w:val="center"/>
          </w:tcPr>
          <w:p w14:paraId="03A21F06">
            <w:pPr>
              <w:spacing w:line="360" w:lineRule="auto"/>
              <w:jc w:val="center"/>
              <w:rPr>
                <w:rFonts w:ascii="宋体" w:hAnsi="宋体" w:eastAsia="宋体" w:cs="宋体"/>
                <w:color w:val="auto"/>
                <w:sz w:val="24"/>
                <w:szCs w:val="20"/>
                <w:highlight w:val="none"/>
              </w:rPr>
            </w:pPr>
          </w:p>
        </w:tc>
        <w:tc>
          <w:tcPr>
            <w:tcW w:w="1182" w:type="dxa"/>
            <w:tcBorders>
              <w:top w:val="single" w:color="auto" w:sz="4" w:space="0"/>
              <w:left w:val="nil"/>
              <w:bottom w:val="single" w:color="auto" w:sz="4" w:space="0"/>
              <w:right w:val="single" w:color="auto" w:sz="4" w:space="0"/>
            </w:tcBorders>
            <w:vAlign w:val="center"/>
          </w:tcPr>
          <w:p w14:paraId="52467001">
            <w:pPr>
              <w:spacing w:line="360" w:lineRule="auto"/>
              <w:jc w:val="center"/>
              <w:rPr>
                <w:rFonts w:ascii="宋体" w:hAnsi="宋体" w:eastAsia="宋体" w:cs="宋体"/>
                <w:color w:val="auto"/>
                <w:sz w:val="24"/>
                <w:szCs w:val="20"/>
                <w:highlight w:val="none"/>
              </w:rPr>
            </w:pPr>
          </w:p>
        </w:tc>
        <w:tc>
          <w:tcPr>
            <w:tcW w:w="900" w:type="dxa"/>
            <w:tcBorders>
              <w:top w:val="single" w:color="auto" w:sz="4" w:space="0"/>
              <w:left w:val="nil"/>
              <w:bottom w:val="single" w:color="auto" w:sz="4" w:space="0"/>
              <w:right w:val="single" w:color="auto" w:sz="4" w:space="0"/>
            </w:tcBorders>
            <w:vAlign w:val="center"/>
          </w:tcPr>
          <w:p w14:paraId="18E809FE">
            <w:pPr>
              <w:spacing w:line="360" w:lineRule="auto"/>
              <w:jc w:val="center"/>
              <w:rPr>
                <w:rFonts w:ascii="宋体" w:hAnsi="宋体" w:eastAsia="宋体" w:cs="宋体"/>
                <w:color w:val="auto"/>
                <w:sz w:val="24"/>
                <w:szCs w:val="20"/>
                <w:highlight w:val="none"/>
              </w:rPr>
            </w:pPr>
          </w:p>
        </w:tc>
      </w:tr>
      <w:tr w14:paraId="3115A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726F38F9">
            <w:pPr>
              <w:spacing w:line="360" w:lineRule="auto"/>
              <w:jc w:val="center"/>
              <w:rPr>
                <w:rFonts w:ascii="宋体" w:hAnsi="宋体" w:eastAsia="宋体" w:cs="宋体"/>
                <w:color w:val="auto"/>
                <w:sz w:val="24"/>
                <w:szCs w:val="20"/>
                <w:highlight w:val="none"/>
              </w:rPr>
            </w:pPr>
          </w:p>
        </w:tc>
        <w:tc>
          <w:tcPr>
            <w:tcW w:w="1805" w:type="dxa"/>
            <w:tcBorders>
              <w:top w:val="single" w:color="auto" w:sz="4" w:space="0"/>
              <w:left w:val="nil"/>
              <w:bottom w:val="single" w:color="auto" w:sz="4" w:space="0"/>
              <w:right w:val="single" w:color="auto" w:sz="4" w:space="0"/>
            </w:tcBorders>
            <w:vAlign w:val="center"/>
          </w:tcPr>
          <w:p w14:paraId="269004EF">
            <w:pPr>
              <w:spacing w:line="360" w:lineRule="auto"/>
              <w:jc w:val="center"/>
              <w:rPr>
                <w:rFonts w:ascii="宋体" w:hAnsi="宋体" w:eastAsia="宋体" w:cs="宋体"/>
                <w:color w:val="auto"/>
                <w:sz w:val="24"/>
                <w:szCs w:val="20"/>
                <w:highlight w:val="none"/>
              </w:rPr>
            </w:pPr>
          </w:p>
        </w:tc>
        <w:tc>
          <w:tcPr>
            <w:tcW w:w="2348" w:type="dxa"/>
            <w:tcBorders>
              <w:top w:val="single" w:color="auto" w:sz="4" w:space="0"/>
              <w:left w:val="nil"/>
              <w:bottom w:val="single" w:color="auto" w:sz="4" w:space="0"/>
              <w:right w:val="single" w:color="auto" w:sz="4" w:space="0"/>
            </w:tcBorders>
            <w:vAlign w:val="center"/>
          </w:tcPr>
          <w:p w14:paraId="27027AAC">
            <w:pPr>
              <w:spacing w:line="360" w:lineRule="auto"/>
              <w:jc w:val="center"/>
              <w:rPr>
                <w:rFonts w:ascii="宋体" w:hAnsi="宋体" w:eastAsia="宋体" w:cs="宋体"/>
                <w:color w:val="auto"/>
                <w:sz w:val="24"/>
                <w:szCs w:val="20"/>
                <w:highlight w:val="none"/>
              </w:rPr>
            </w:pPr>
          </w:p>
        </w:tc>
        <w:tc>
          <w:tcPr>
            <w:tcW w:w="1585" w:type="dxa"/>
            <w:tcBorders>
              <w:top w:val="single" w:color="auto" w:sz="4" w:space="0"/>
              <w:left w:val="nil"/>
              <w:bottom w:val="single" w:color="auto" w:sz="4" w:space="0"/>
              <w:right w:val="single" w:color="auto" w:sz="4" w:space="0"/>
            </w:tcBorders>
            <w:vAlign w:val="center"/>
          </w:tcPr>
          <w:p w14:paraId="465099A3">
            <w:pPr>
              <w:spacing w:line="360" w:lineRule="auto"/>
              <w:jc w:val="center"/>
              <w:rPr>
                <w:rFonts w:ascii="宋体" w:hAnsi="宋体" w:eastAsia="宋体" w:cs="宋体"/>
                <w:color w:val="auto"/>
                <w:sz w:val="24"/>
                <w:szCs w:val="20"/>
                <w:highlight w:val="none"/>
              </w:rPr>
            </w:pPr>
          </w:p>
        </w:tc>
        <w:tc>
          <w:tcPr>
            <w:tcW w:w="1182" w:type="dxa"/>
            <w:tcBorders>
              <w:top w:val="single" w:color="auto" w:sz="4" w:space="0"/>
              <w:left w:val="nil"/>
              <w:bottom w:val="single" w:color="auto" w:sz="4" w:space="0"/>
              <w:right w:val="single" w:color="auto" w:sz="4" w:space="0"/>
            </w:tcBorders>
            <w:vAlign w:val="center"/>
          </w:tcPr>
          <w:p w14:paraId="4A12B4F3">
            <w:pPr>
              <w:spacing w:line="360" w:lineRule="auto"/>
              <w:jc w:val="center"/>
              <w:rPr>
                <w:rFonts w:ascii="宋体" w:hAnsi="宋体" w:eastAsia="宋体" w:cs="宋体"/>
                <w:color w:val="auto"/>
                <w:sz w:val="24"/>
                <w:szCs w:val="20"/>
                <w:highlight w:val="none"/>
              </w:rPr>
            </w:pPr>
          </w:p>
        </w:tc>
        <w:tc>
          <w:tcPr>
            <w:tcW w:w="900" w:type="dxa"/>
            <w:tcBorders>
              <w:top w:val="single" w:color="auto" w:sz="4" w:space="0"/>
              <w:left w:val="nil"/>
              <w:bottom w:val="single" w:color="auto" w:sz="4" w:space="0"/>
              <w:right w:val="single" w:color="auto" w:sz="4" w:space="0"/>
            </w:tcBorders>
            <w:vAlign w:val="center"/>
          </w:tcPr>
          <w:p w14:paraId="517803B5">
            <w:pPr>
              <w:spacing w:line="360" w:lineRule="auto"/>
              <w:jc w:val="center"/>
              <w:rPr>
                <w:rFonts w:ascii="宋体" w:hAnsi="宋体" w:eastAsia="宋体" w:cs="宋体"/>
                <w:color w:val="auto"/>
                <w:sz w:val="24"/>
                <w:szCs w:val="20"/>
                <w:highlight w:val="none"/>
              </w:rPr>
            </w:pPr>
          </w:p>
        </w:tc>
      </w:tr>
      <w:tr w14:paraId="3C324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51CBF19E">
            <w:pPr>
              <w:spacing w:line="360" w:lineRule="auto"/>
              <w:jc w:val="center"/>
              <w:rPr>
                <w:rFonts w:ascii="宋体" w:hAnsi="宋体" w:eastAsia="宋体" w:cs="宋体"/>
                <w:color w:val="auto"/>
                <w:sz w:val="24"/>
                <w:szCs w:val="20"/>
                <w:highlight w:val="none"/>
              </w:rPr>
            </w:pPr>
          </w:p>
        </w:tc>
        <w:tc>
          <w:tcPr>
            <w:tcW w:w="1805" w:type="dxa"/>
            <w:tcBorders>
              <w:top w:val="single" w:color="auto" w:sz="4" w:space="0"/>
              <w:left w:val="nil"/>
              <w:bottom w:val="single" w:color="auto" w:sz="4" w:space="0"/>
              <w:right w:val="single" w:color="auto" w:sz="4" w:space="0"/>
            </w:tcBorders>
            <w:vAlign w:val="center"/>
          </w:tcPr>
          <w:p w14:paraId="063C5DE3">
            <w:pPr>
              <w:spacing w:line="360" w:lineRule="auto"/>
              <w:jc w:val="center"/>
              <w:rPr>
                <w:rFonts w:ascii="宋体" w:hAnsi="宋体" w:eastAsia="宋体" w:cs="宋体"/>
                <w:color w:val="auto"/>
                <w:sz w:val="24"/>
                <w:szCs w:val="20"/>
                <w:highlight w:val="none"/>
              </w:rPr>
            </w:pPr>
          </w:p>
        </w:tc>
        <w:tc>
          <w:tcPr>
            <w:tcW w:w="2348" w:type="dxa"/>
            <w:tcBorders>
              <w:top w:val="single" w:color="auto" w:sz="4" w:space="0"/>
              <w:left w:val="nil"/>
              <w:bottom w:val="single" w:color="auto" w:sz="4" w:space="0"/>
              <w:right w:val="single" w:color="auto" w:sz="4" w:space="0"/>
            </w:tcBorders>
            <w:vAlign w:val="center"/>
          </w:tcPr>
          <w:p w14:paraId="0B19FF9E">
            <w:pPr>
              <w:spacing w:line="360" w:lineRule="auto"/>
              <w:jc w:val="center"/>
              <w:rPr>
                <w:rFonts w:ascii="宋体" w:hAnsi="宋体" w:eastAsia="宋体" w:cs="宋体"/>
                <w:color w:val="auto"/>
                <w:sz w:val="24"/>
                <w:szCs w:val="20"/>
                <w:highlight w:val="none"/>
              </w:rPr>
            </w:pPr>
          </w:p>
        </w:tc>
        <w:tc>
          <w:tcPr>
            <w:tcW w:w="1585" w:type="dxa"/>
            <w:tcBorders>
              <w:top w:val="single" w:color="auto" w:sz="4" w:space="0"/>
              <w:left w:val="nil"/>
              <w:bottom w:val="single" w:color="auto" w:sz="4" w:space="0"/>
              <w:right w:val="single" w:color="auto" w:sz="4" w:space="0"/>
            </w:tcBorders>
            <w:vAlign w:val="center"/>
          </w:tcPr>
          <w:p w14:paraId="25D41329">
            <w:pPr>
              <w:spacing w:line="360" w:lineRule="auto"/>
              <w:jc w:val="center"/>
              <w:rPr>
                <w:rFonts w:ascii="宋体" w:hAnsi="宋体" w:eastAsia="宋体" w:cs="宋体"/>
                <w:color w:val="auto"/>
                <w:sz w:val="24"/>
                <w:szCs w:val="20"/>
                <w:highlight w:val="none"/>
              </w:rPr>
            </w:pPr>
          </w:p>
        </w:tc>
        <w:tc>
          <w:tcPr>
            <w:tcW w:w="1182" w:type="dxa"/>
            <w:tcBorders>
              <w:top w:val="single" w:color="auto" w:sz="4" w:space="0"/>
              <w:left w:val="nil"/>
              <w:bottom w:val="single" w:color="auto" w:sz="4" w:space="0"/>
              <w:right w:val="single" w:color="auto" w:sz="4" w:space="0"/>
            </w:tcBorders>
            <w:vAlign w:val="center"/>
          </w:tcPr>
          <w:p w14:paraId="5FC8D83B">
            <w:pPr>
              <w:spacing w:line="360" w:lineRule="auto"/>
              <w:jc w:val="center"/>
              <w:rPr>
                <w:rFonts w:ascii="宋体" w:hAnsi="宋体" w:eastAsia="宋体" w:cs="宋体"/>
                <w:color w:val="auto"/>
                <w:sz w:val="24"/>
                <w:szCs w:val="20"/>
                <w:highlight w:val="none"/>
              </w:rPr>
            </w:pPr>
          </w:p>
        </w:tc>
        <w:tc>
          <w:tcPr>
            <w:tcW w:w="900" w:type="dxa"/>
            <w:tcBorders>
              <w:top w:val="single" w:color="auto" w:sz="4" w:space="0"/>
              <w:left w:val="nil"/>
              <w:bottom w:val="single" w:color="auto" w:sz="4" w:space="0"/>
              <w:right w:val="single" w:color="auto" w:sz="4" w:space="0"/>
            </w:tcBorders>
            <w:vAlign w:val="center"/>
          </w:tcPr>
          <w:p w14:paraId="538F66F6">
            <w:pPr>
              <w:spacing w:line="360" w:lineRule="auto"/>
              <w:jc w:val="center"/>
              <w:rPr>
                <w:rFonts w:ascii="宋体" w:hAnsi="宋体" w:eastAsia="宋体" w:cs="宋体"/>
                <w:color w:val="auto"/>
                <w:sz w:val="24"/>
                <w:szCs w:val="20"/>
                <w:highlight w:val="none"/>
              </w:rPr>
            </w:pPr>
          </w:p>
        </w:tc>
      </w:tr>
      <w:tr w14:paraId="50624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7"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40A0201A">
            <w:pPr>
              <w:spacing w:line="360" w:lineRule="auto"/>
              <w:jc w:val="center"/>
              <w:rPr>
                <w:rFonts w:ascii="宋体" w:hAnsi="宋体" w:eastAsia="宋体" w:cs="宋体"/>
                <w:color w:val="auto"/>
                <w:sz w:val="24"/>
                <w:szCs w:val="20"/>
                <w:highlight w:val="none"/>
              </w:rPr>
            </w:pPr>
          </w:p>
        </w:tc>
        <w:tc>
          <w:tcPr>
            <w:tcW w:w="1805" w:type="dxa"/>
            <w:tcBorders>
              <w:top w:val="single" w:color="auto" w:sz="4" w:space="0"/>
              <w:left w:val="nil"/>
              <w:bottom w:val="single" w:color="auto" w:sz="4" w:space="0"/>
              <w:right w:val="single" w:color="auto" w:sz="4" w:space="0"/>
            </w:tcBorders>
            <w:vAlign w:val="center"/>
          </w:tcPr>
          <w:p w14:paraId="627D443D">
            <w:pPr>
              <w:spacing w:line="360" w:lineRule="auto"/>
              <w:jc w:val="center"/>
              <w:rPr>
                <w:rFonts w:ascii="宋体" w:hAnsi="宋体" w:eastAsia="宋体" w:cs="宋体"/>
                <w:color w:val="auto"/>
                <w:sz w:val="24"/>
                <w:szCs w:val="20"/>
                <w:highlight w:val="none"/>
              </w:rPr>
            </w:pPr>
          </w:p>
        </w:tc>
        <w:tc>
          <w:tcPr>
            <w:tcW w:w="2348" w:type="dxa"/>
            <w:tcBorders>
              <w:top w:val="single" w:color="auto" w:sz="4" w:space="0"/>
              <w:left w:val="nil"/>
              <w:bottom w:val="single" w:color="auto" w:sz="4" w:space="0"/>
              <w:right w:val="single" w:color="auto" w:sz="4" w:space="0"/>
            </w:tcBorders>
            <w:vAlign w:val="center"/>
          </w:tcPr>
          <w:p w14:paraId="6D49C7AF">
            <w:pPr>
              <w:spacing w:line="360" w:lineRule="auto"/>
              <w:jc w:val="center"/>
              <w:rPr>
                <w:rFonts w:ascii="宋体" w:hAnsi="宋体" w:eastAsia="宋体" w:cs="宋体"/>
                <w:color w:val="auto"/>
                <w:sz w:val="24"/>
                <w:szCs w:val="20"/>
                <w:highlight w:val="none"/>
              </w:rPr>
            </w:pPr>
          </w:p>
        </w:tc>
        <w:tc>
          <w:tcPr>
            <w:tcW w:w="1585" w:type="dxa"/>
            <w:tcBorders>
              <w:top w:val="single" w:color="auto" w:sz="4" w:space="0"/>
              <w:left w:val="nil"/>
              <w:bottom w:val="single" w:color="auto" w:sz="4" w:space="0"/>
              <w:right w:val="single" w:color="auto" w:sz="4" w:space="0"/>
            </w:tcBorders>
            <w:vAlign w:val="center"/>
          </w:tcPr>
          <w:p w14:paraId="62C174A0">
            <w:pPr>
              <w:spacing w:line="360" w:lineRule="auto"/>
              <w:jc w:val="center"/>
              <w:rPr>
                <w:rFonts w:ascii="宋体" w:hAnsi="宋体" w:eastAsia="宋体" w:cs="宋体"/>
                <w:color w:val="auto"/>
                <w:sz w:val="24"/>
                <w:szCs w:val="20"/>
                <w:highlight w:val="none"/>
              </w:rPr>
            </w:pPr>
          </w:p>
        </w:tc>
        <w:tc>
          <w:tcPr>
            <w:tcW w:w="1182" w:type="dxa"/>
            <w:tcBorders>
              <w:top w:val="single" w:color="auto" w:sz="4" w:space="0"/>
              <w:left w:val="nil"/>
              <w:bottom w:val="single" w:color="auto" w:sz="4" w:space="0"/>
              <w:right w:val="single" w:color="auto" w:sz="4" w:space="0"/>
            </w:tcBorders>
            <w:vAlign w:val="center"/>
          </w:tcPr>
          <w:p w14:paraId="13F00809">
            <w:pPr>
              <w:spacing w:line="360" w:lineRule="auto"/>
              <w:jc w:val="center"/>
              <w:rPr>
                <w:rFonts w:ascii="宋体" w:hAnsi="宋体" w:eastAsia="宋体" w:cs="宋体"/>
                <w:color w:val="auto"/>
                <w:sz w:val="24"/>
                <w:szCs w:val="20"/>
                <w:highlight w:val="none"/>
              </w:rPr>
            </w:pPr>
          </w:p>
        </w:tc>
        <w:tc>
          <w:tcPr>
            <w:tcW w:w="900" w:type="dxa"/>
            <w:tcBorders>
              <w:top w:val="single" w:color="auto" w:sz="4" w:space="0"/>
              <w:left w:val="nil"/>
              <w:bottom w:val="single" w:color="auto" w:sz="4" w:space="0"/>
              <w:right w:val="single" w:color="auto" w:sz="4" w:space="0"/>
            </w:tcBorders>
            <w:vAlign w:val="center"/>
          </w:tcPr>
          <w:p w14:paraId="5D71BD4B">
            <w:pPr>
              <w:spacing w:line="360" w:lineRule="auto"/>
              <w:jc w:val="center"/>
              <w:rPr>
                <w:rFonts w:ascii="宋体" w:hAnsi="宋体" w:eastAsia="宋体" w:cs="宋体"/>
                <w:color w:val="auto"/>
                <w:sz w:val="24"/>
                <w:szCs w:val="20"/>
                <w:highlight w:val="none"/>
              </w:rPr>
            </w:pPr>
          </w:p>
        </w:tc>
      </w:tr>
    </w:tbl>
    <w:p w14:paraId="537F2288">
      <w:pPr>
        <w:spacing w:line="360" w:lineRule="auto"/>
        <w:rPr>
          <w:rFonts w:ascii="宋体" w:hAnsi="宋体" w:eastAsia="宋体" w:cs="宋体"/>
          <w:b/>
          <w:bCs/>
          <w:color w:val="auto"/>
          <w:sz w:val="24"/>
          <w:szCs w:val="20"/>
          <w:highlight w:val="none"/>
        </w:rPr>
      </w:pPr>
      <w:r>
        <w:rPr>
          <w:rFonts w:hint="eastAsia" w:ascii="宋体" w:hAnsi="宋体" w:eastAsia="宋体" w:cs="宋体"/>
          <w:b/>
          <w:bCs/>
          <w:color w:val="auto"/>
          <w:sz w:val="24"/>
          <w:szCs w:val="20"/>
          <w:highlight w:val="none"/>
        </w:rPr>
        <w:t>注：响应人应对照竞争性磋商文件技术规格要求，反映所提供货物和服务对竞争性磋商文件的技术规格要求的全部正/负偏离（优于竞争性磋商文件要求的为正偏离、低于竞争性磋商文件要求得为负偏离）情况。未在本表中做出偏离说明的项目，视为与竞争性磋商文件要求一致；在本表中做出偏离说明的项目，响应人必须提供所投设备的具体参数值，并在技术标中提供详细资料。</w:t>
      </w:r>
    </w:p>
    <w:p w14:paraId="2CAB0D5E">
      <w:pPr>
        <w:spacing w:line="360" w:lineRule="auto"/>
        <w:ind w:firstLine="3360" w:firstLineChars="1400"/>
        <w:rPr>
          <w:rFonts w:ascii="宋体" w:hAnsi="宋体" w:eastAsia="宋体" w:cs="宋体"/>
          <w:color w:val="auto"/>
          <w:sz w:val="24"/>
          <w:szCs w:val="20"/>
          <w:highlight w:val="none"/>
        </w:rPr>
      </w:pPr>
    </w:p>
    <w:p w14:paraId="2C339284">
      <w:pPr>
        <w:spacing w:line="360" w:lineRule="auto"/>
        <w:ind w:firstLine="3360" w:firstLineChars="1400"/>
        <w:rPr>
          <w:rFonts w:ascii="宋体" w:hAnsi="宋体" w:eastAsia="宋体" w:cs="宋体"/>
          <w:color w:val="auto"/>
          <w:sz w:val="24"/>
          <w:szCs w:val="20"/>
          <w:highlight w:val="none"/>
          <w:u w:val="single"/>
        </w:rPr>
      </w:pPr>
      <w:r>
        <w:rPr>
          <w:rFonts w:hint="eastAsia" w:ascii="宋体" w:hAnsi="宋体" w:eastAsia="宋体" w:cs="宋体"/>
          <w:color w:val="auto"/>
          <w:sz w:val="24"/>
          <w:szCs w:val="20"/>
          <w:highlight w:val="none"/>
        </w:rPr>
        <w:t>供应商名称：</w:t>
      </w:r>
      <w:r>
        <w:rPr>
          <w:rFonts w:hint="eastAsia" w:ascii="宋体" w:hAnsi="宋体" w:eastAsia="宋体" w:cs="宋体"/>
          <w:color w:val="auto"/>
          <w:sz w:val="24"/>
          <w:szCs w:val="20"/>
          <w:highlight w:val="none"/>
          <w:u w:val="single"/>
        </w:rPr>
        <w:t xml:space="preserve">              </w:t>
      </w:r>
      <w:r>
        <w:rPr>
          <w:rFonts w:hint="eastAsia" w:ascii="宋体" w:hAnsi="宋体" w:eastAsia="宋体" w:cs="宋体"/>
          <w:color w:val="auto"/>
          <w:sz w:val="24"/>
          <w:szCs w:val="20"/>
          <w:highlight w:val="none"/>
        </w:rPr>
        <w:t>（盖单位章）</w:t>
      </w:r>
    </w:p>
    <w:p w14:paraId="7D73CE59">
      <w:pPr>
        <w:spacing w:line="360" w:lineRule="auto"/>
        <w:ind w:right="-340" w:rightChars="-162" w:firstLine="3360" w:firstLineChars="1400"/>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日    期：</w:t>
      </w:r>
      <w:r>
        <w:rPr>
          <w:rFonts w:hint="eastAsia" w:ascii="宋体" w:hAnsi="宋体" w:eastAsia="宋体" w:cs="宋体"/>
          <w:color w:val="auto"/>
          <w:sz w:val="24"/>
          <w:szCs w:val="20"/>
          <w:highlight w:val="none"/>
          <w:u w:val="single"/>
        </w:rPr>
        <w:t xml:space="preserve">     </w:t>
      </w:r>
      <w:r>
        <w:rPr>
          <w:rFonts w:hint="eastAsia" w:ascii="宋体" w:hAnsi="宋体" w:eastAsia="宋体" w:cs="宋体"/>
          <w:color w:val="auto"/>
          <w:sz w:val="24"/>
          <w:szCs w:val="20"/>
          <w:highlight w:val="none"/>
        </w:rPr>
        <w:t>年</w:t>
      </w:r>
      <w:r>
        <w:rPr>
          <w:rFonts w:hint="eastAsia" w:ascii="宋体" w:hAnsi="宋体" w:eastAsia="宋体" w:cs="宋体"/>
          <w:color w:val="auto"/>
          <w:sz w:val="24"/>
          <w:szCs w:val="20"/>
          <w:highlight w:val="none"/>
          <w:u w:val="single"/>
        </w:rPr>
        <w:t xml:space="preserve">      </w:t>
      </w:r>
      <w:r>
        <w:rPr>
          <w:rFonts w:hint="eastAsia" w:ascii="宋体" w:hAnsi="宋体" w:eastAsia="宋体" w:cs="宋体"/>
          <w:color w:val="auto"/>
          <w:sz w:val="24"/>
          <w:szCs w:val="20"/>
          <w:highlight w:val="none"/>
        </w:rPr>
        <w:t>月</w:t>
      </w:r>
      <w:r>
        <w:rPr>
          <w:rFonts w:hint="eastAsia" w:ascii="宋体" w:hAnsi="宋体" w:eastAsia="宋体" w:cs="宋体"/>
          <w:color w:val="auto"/>
          <w:sz w:val="24"/>
          <w:szCs w:val="20"/>
          <w:highlight w:val="none"/>
          <w:u w:val="single"/>
        </w:rPr>
        <w:t xml:space="preserve">      </w:t>
      </w:r>
      <w:r>
        <w:rPr>
          <w:rFonts w:hint="eastAsia" w:ascii="宋体" w:hAnsi="宋体" w:eastAsia="宋体" w:cs="宋体"/>
          <w:color w:val="auto"/>
          <w:sz w:val="24"/>
          <w:szCs w:val="20"/>
          <w:highlight w:val="none"/>
        </w:rPr>
        <w:t>日</w:t>
      </w:r>
    </w:p>
    <w:p w14:paraId="69A5B9C9">
      <w:pPr>
        <w:widowControl/>
        <w:jc w:val="left"/>
        <w:rPr>
          <w:rFonts w:ascii="宋体" w:hAnsi="宋体" w:cs="宋体"/>
          <w:color w:val="auto"/>
          <w:szCs w:val="24"/>
          <w:highlight w:val="none"/>
        </w:rPr>
      </w:pPr>
    </w:p>
    <w:p w14:paraId="06985A88">
      <w:pPr>
        <w:widowControl/>
        <w:jc w:val="left"/>
        <w:rPr>
          <w:color w:val="auto"/>
          <w:highlight w:val="none"/>
        </w:rPr>
      </w:pPr>
      <w:r>
        <w:rPr>
          <w:color w:val="auto"/>
          <w:highlight w:val="none"/>
        </w:rPr>
        <w:br w:type="page"/>
      </w:r>
    </w:p>
    <w:p w14:paraId="600D2C08">
      <w:pPr>
        <w:pStyle w:val="4"/>
        <w:jc w:val="center"/>
        <w:rPr>
          <w:color w:val="auto"/>
          <w:highlight w:val="none"/>
        </w:rPr>
      </w:pPr>
      <w:r>
        <w:rPr>
          <w:rFonts w:hint="eastAsia"/>
          <w:color w:val="auto"/>
          <w:highlight w:val="none"/>
        </w:rPr>
        <w:t>七、技术标部分</w:t>
      </w:r>
      <w:bookmarkEnd w:id="228"/>
      <w:bookmarkEnd w:id="229"/>
      <w:bookmarkEnd w:id="230"/>
    </w:p>
    <w:p w14:paraId="2A6C2C8B">
      <w:pPr>
        <w:spacing w:line="500" w:lineRule="exact"/>
        <w:jc w:val="center"/>
        <w:rPr>
          <w:rFonts w:ascii="宋体" w:hAnsi="宋体" w:cs="宋体"/>
          <w:color w:val="auto"/>
          <w:sz w:val="22"/>
          <w:highlight w:val="none"/>
        </w:rPr>
      </w:pPr>
      <w:r>
        <w:rPr>
          <w:rFonts w:hint="eastAsia" w:ascii="宋体" w:hAnsi="宋体" w:cs="宋体"/>
          <w:color w:val="auto"/>
          <w:sz w:val="22"/>
          <w:highlight w:val="none"/>
        </w:rPr>
        <w:t>（格式自拟）</w:t>
      </w:r>
    </w:p>
    <w:p w14:paraId="5C7DD01B">
      <w:pPr>
        <w:rPr>
          <w:color w:val="auto"/>
          <w:highlight w:val="none"/>
        </w:rPr>
      </w:pPr>
      <w:bookmarkStart w:id="231" w:name="_Toc12073"/>
      <w:bookmarkEnd w:id="231"/>
      <w:r>
        <w:rPr>
          <w:rFonts w:hint="eastAsia"/>
          <w:color w:val="auto"/>
          <w:highlight w:val="none"/>
        </w:rPr>
        <w:br w:type="page"/>
      </w:r>
      <w:bookmarkStart w:id="232" w:name="_Toc2770"/>
      <w:bookmarkEnd w:id="232"/>
      <w:bookmarkStart w:id="233" w:name="_Toc4724"/>
      <w:bookmarkStart w:id="234" w:name="_Toc20210"/>
    </w:p>
    <w:p w14:paraId="0F5C99B2">
      <w:pPr>
        <w:pStyle w:val="4"/>
        <w:jc w:val="center"/>
        <w:rPr>
          <w:color w:val="auto"/>
          <w:highlight w:val="none"/>
        </w:rPr>
      </w:pPr>
      <w:r>
        <w:rPr>
          <w:rFonts w:hint="eastAsia"/>
          <w:color w:val="auto"/>
          <w:highlight w:val="none"/>
        </w:rPr>
        <w:t>八、供应商资格证明</w:t>
      </w:r>
      <w:bookmarkEnd w:id="233"/>
      <w:bookmarkEnd w:id="234"/>
      <w:r>
        <w:rPr>
          <w:rFonts w:hint="eastAsia"/>
          <w:color w:val="auto"/>
          <w:highlight w:val="none"/>
        </w:rPr>
        <w:t>材料</w:t>
      </w:r>
    </w:p>
    <w:p w14:paraId="7CD02EB2">
      <w:pPr>
        <w:jc w:val="center"/>
        <w:rPr>
          <w:rFonts w:ascii="宋体" w:hAnsi="宋体" w:cs="宋体"/>
          <w:color w:val="auto"/>
          <w:sz w:val="24"/>
          <w:highlight w:val="none"/>
        </w:rPr>
      </w:pPr>
      <w:bookmarkStart w:id="235" w:name="_Toc361989464"/>
      <w:bookmarkEnd w:id="235"/>
      <w:r>
        <w:rPr>
          <w:rFonts w:hint="eastAsia" w:ascii="宋体" w:hAnsi="宋体" w:cs="宋体"/>
          <w:color w:val="auto"/>
          <w:sz w:val="24"/>
          <w:highlight w:val="none"/>
        </w:rPr>
        <w:br w:type="page"/>
      </w:r>
      <w:bookmarkStart w:id="236" w:name="_Toc528078075"/>
      <w:bookmarkEnd w:id="236"/>
      <w:bookmarkStart w:id="237" w:name="_Toc361989466"/>
      <w:bookmarkEnd w:id="237"/>
      <w:bookmarkStart w:id="238" w:name="_Toc361989467"/>
      <w:bookmarkEnd w:id="238"/>
      <w:bookmarkStart w:id="239" w:name="_Toc234213567"/>
      <w:bookmarkEnd w:id="239"/>
      <w:bookmarkStart w:id="240" w:name="_Toc244934216"/>
      <w:bookmarkEnd w:id="240"/>
      <w:bookmarkStart w:id="241" w:name="_Toc7868"/>
    </w:p>
    <w:p w14:paraId="600004EB">
      <w:pPr>
        <w:pStyle w:val="4"/>
        <w:jc w:val="center"/>
        <w:rPr>
          <w:color w:val="auto"/>
          <w:highlight w:val="none"/>
        </w:rPr>
      </w:pPr>
      <w:r>
        <w:rPr>
          <w:rFonts w:hint="eastAsia"/>
          <w:color w:val="auto"/>
          <w:highlight w:val="none"/>
        </w:rPr>
        <w:t>九、</w:t>
      </w:r>
      <w:bookmarkEnd w:id="241"/>
      <w:r>
        <w:rPr>
          <w:rFonts w:hint="eastAsia"/>
          <w:color w:val="auto"/>
          <w:highlight w:val="none"/>
        </w:rPr>
        <w:t>商务标部分</w:t>
      </w:r>
    </w:p>
    <w:p w14:paraId="1712D349">
      <w:pPr>
        <w:jc w:val="center"/>
        <w:outlineLvl w:val="2"/>
        <w:rPr>
          <w:rFonts w:ascii="宋体" w:hAnsi="宋体" w:cs="宋体"/>
          <w:b/>
          <w:bCs/>
          <w:color w:val="auto"/>
          <w:sz w:val="24"/>
          <w:highlight w:val="none"/>
        </w:rPr>
      </w:pPr>
      <w:r>
        <w:rPr>
          <w:rFonts w:hint="eastAsia" w:ascii="宋体" w:hAnsi="宋体" w:cs="宋体"/>
          <w:b/>
          <w:bCs/>
          <w:color w:val="auto"/>
          <w:sz w:val="24"/>
          <w:highlight w:val="none"/>
        </w:rPr>
        <w:t>（格式自拟）</w:t>
      </w:r>
    </w:p>
    <w:p w14:paraId="2324325D">
      <w:pPr>
        <w:jc w:val="center"/>
        <w:rPr>
          <w:rFonts w:ascii="宋体" w:hAnsi="宋体" w:cs="宋体"/>
          <w:b/>
          <w:bCs/>
          <w:color w:val="auto"/>
          <w:sz w:val="24"/>
          <w:highlight w:val="none"/>
        </w:rPr>
      </w:pPr>
      <w:r>
        <w:rPr>
          <w:rFonts w:hint="eastAsia" w:ascii="宋体" w:hAnsi="宋体" w:cs="宋体"/>
          <w:b/>
          <w:bCs/>
          <w:color w:val="auto"/>
          <w:sz w:val="24"/>
          <w:highlight w:val="none"/>
        </w:rPr>
        <w:br w:type="page"/>
      </w:r>
    </w:p>
    <w:p w14:paraId="23265453">
      <w:pPr>
        <w:ind w:firstLine="420"/>
        <w:jc w:val="center"/>
        <w:rPr>
          <w:rFonts w:ascii="宋体" w:hAnsi="宋体" w:cs="宋体"/>
          <w:b/>
          <w:bCs/>
          <w:color w:val="auto"/>
          <w:sz w:val="24"/>
          <w:highlight w:val="none"/>
        </w:rPr>
      </w:pPr>
    </w:p>
    <w:p w14:paraId="2E977CE3">
      <w:pPr>
        <w:pStyle w:val="4"/>
        <w:jc w:val="center"/>
        <w:rPr>
          <w:color w:val="auto"/>
          <w:highlight w:val="none"/>
        </w:rPr>
      </w:pPr>
      <w:bookmarkStart w:id="242" w:name="_Toc528078076"/>
      <w:bookmarkEnd w:id="242"/>
      <w:bookmarkStart w:id="243" w:name="_Toc361989468"/>
      <w:bookmarkEnd w:id="243"/>
      <w:bookmarkStart w:id="244" w:name="_Toc244934217"/>
      <w:bookmarkEnd w:id="244"/>
      <w:bookmarkStart w:id="245" w:name="_Toc23775"/>
      <w:r>
        <w:rPr>
          <w:rFonts w:hint="eastAsia"/>
          <w:color w:val="auto"/>
          <w:highlight w:val="none"/>
        </w:rPr>
        <w:t>十、其他资料</w:t>
      </w:r>
      <w:bookmarkEnd w:id="245"/>
    </w:p>
    <w:p w14:paraId="52C0C158">
      <w:pPr>
        <w:jc w:val="center"/>
        <w:rPr>
          <w:rFonts w:ascii="宋体" w:hAnsi="宋体" w:cs="宋体"/>
          <w:b/>
          <w:bCs/>
          <w:color w:val="auto"/>
          <w:sz w:val="24"/>
          <w:highlight w:val="none"/>
        </w:rPr>
      </w:pPr>
    </w:p>
    <w:p w14:paraId="1103A84B">
      <w:pPr>
        <w:jc w:val="center"/>
        <w:outlineLvl w:val="0"/>
        <w:rPr>
          <w:rFonts w:ascii="宋体" w:hAnsi="宋体" w:cs="宋体"/>
          <w:b/>
          <w:bCs/>
          <w:color w:val="auto"/>
          <w:sz w:val="24"/>
          <w:highlight w:val="none"/>
        </w:rPr>
      </w:pPr>
      <w:bookmarkStart w:id="246" w:name="_Toc30780"/>
      <w:bookmarkStart w:id="247" w:name="_Toc24855"/>
      <w:bookmarkStart w:id="248" w:name="_Toc9253"/>
      <w:bookmarkStart w:id="249" w:name="_Toc5157"/>
      <w:r>
        <w:rPr>
          <w:rFonts w:hint="eastAsia" w:ascii="宋体" w:hAnsi="宋体" w:cs="宋体"/>
          <w:b/>
          <w:bCs/>
          <w:color w:val="auto"/>
          <w:sz w:val="24"/>
          <w:highlight w:val="none"/>
        </w:rPr>
        <w:t>（供应商认为应该提交的资料）</w:t>
      </w:r>
      <w:bookmarkEnd w:id="246"/>
      <w:bookmarkEnd w:id="247"/>
      <w:bookmarkEnd w:id="248"/>
      <w:bookmarkEnd w:id="249"/>
    </w:p>
    <w:p w14:paraId="16684A33">
      <w:pPr>
        <w:jc w:val="center"/>
        <w:rPr>
          <w:rFonts w:ascii="宋体" w:hAnsi="宋体" w:cs="宋体"/>
          <w:b/>
          <w:bCs/>
          <w:color w:val="auto"/>
          <w:sz w:val="24"/>
          <w:highlight w:val="none"/>
        </w:rPr>
      </w:pPr>
    </w:p>
    <w:p w14:paraId="40C0E853">
      <w:pPr>
        <w:rPr>
          <w:rFonts w:ascii="宋体" w:hAnsi="宋体" w:cs="宋体"/>
          <w:b/>
          <w:bCs/>
          <w:color w:val="auto"/>
          <w:sz w:val="24"/>
          <w:highlight w:val="none"/>
        </w:rPr>
      </w:pPr>
      <w:r>
        <w:rPr>
          <w:rFonts w:hint="eastAsia" w:ascii="宋体" w:hAnsi="宋体" w:cs="宋体"/>
          <w:b/>
          <w:bCs/>
          <w:color w:val="auto"/>
          <w:sz w:val="24"/>
          <w:highlight w:val="none"/>
        </w:rPr>
        <w:t xml:space="preserve"> </w:t>
      </w:r>
    </w:p>
    <w:p w14:paraId="494E5C3B">
      <w:pPr>
        <w:rPr>
          <w:rFonts w:ascii="宋体" w:hAnsi="宋体" w:cs="宋体"/>
          <w:b/>
          <w:bCs/>
          <w:color w:val="auto"/>
          <w:sz w:val="24"/>
          <w:highlight w:val="none"/>
        </w:rPr>
      </w:pPr>
      <w:r>
        <w:rPr>
          <w:rFonts w:hint="eastAsia" w:ascii="宋体" w:hAnsi="宋体" w:cs="宋体"/>
          <w:b/>
          <w:bCs/>
          <w:color w:val="auto"/>
          <w:sz w:val="24"/>
          <w:highlight w:val="none"/>
        </w:rPr>
        <w:t xml:space="preserve"> </w:t>
      </w:r>
    </w:p>
    <w:p w14:paraId="0EE70077">
      <w:pPr>
        <w:rPr>
          <w:rFonts w:ascii="宋体" w:hAnsi="宋体" w:cs="宋体"/>
          <w:b/>
          <w:bCs/>
          <w:color w:val="auto"/>
          <w:sz w:val="24"/>
          <w:highlight w:val="none"/>
        </w:rPr>
      </w:pPr>
      <w:r>
        <w:rPr>
          <w:rFonts w:hint="eastAsia" w:ascii="宋体" w:hAnsi="宋体" w:cs="宋体"/>
          <w:b/>
          <w:bCs/>
          <w:color w:val="auto"/>
          <w:sz w:val="24"/>
          <w:highlight w:val="none"/>
        </w:rPr>
        <w:t xml:space="preserve"> </w:t>
      </w:r>
    </w:p>
    <w:p w14:paraId="7FC2301F">
      <w:pPr>
        <w:rPr>
          <w:rFonts w:ascii="宋体" w:hAnsi="宋体" w:cs="宋体"/>
          <w:b/>
          <w:bCs/>
          <w:color w:val="auto"/>
          <w:sz w:val="24"/>
          <w:highlight w:val="none"/>
        </w:rPr>
      </w:pPr>
      <w:r>
        <w:rPr>
          <w:rFonts w:hint="eastAsia" w:ascii="宋体" w:hAnsi="宋体" w:cs="宋体"/>
          <w:b/>
          <w:bCs/>
          <w:color w:val="auto"/>
          <w:sz w:val="24"/>
          <w:highlight w:val="none"/>
        </w:rPr>
        <w:t xml:space="preserve"> </w:t>
      </w:r>
    </w:p>
    <w:p w14:paraId="1D8F37AD">
      <w:pPr>
        <w:rPr>
          <w:rFonts w:ascii="宋体" w:hAnsi="宋体" w:cs="宋体"/>
          <w:b/>
          <w:bCs/>
          <w:color w:val="auto"/>
          <w:sz w:val="24"/>
          <w:highlight w:val="none"/>
        </w:rPr>
      </w:pPr>
      <w:r>
        <w:rPr>
          <w:rFonts w:hint="eastAsia" w:ascii="宋体" w:hAnsi="宋体" w:cs="宋体"/>
          <w:b/>
          <w:bCs/>
          <w:color w:val="auto"/>
          <w:sz w:val="24"/>
          <w:highlight w:val="none"/>
        </w:rPr>
        <w:t xml:space="preserve"> </w:t>
      </w:r>
    </w:p>
    <w:p w14:paraId="5B20BD15">
      <w:pPr>
        <w:rPr>
          <w:rFonts w:ascii="宋体" w:hAnsi="宋体" w:cs="宋体"/>
          <w:b/>
          <w:bCs/>
          <w:color w:val="auto"/>
          <w:sz w:val="24"/>
          <w:highlight w:val="none"/>
        </w:rPr>
      </w:pPr>
      <w:r>
        <w:rPr>
          <w:rFonts w:hint="eastAsia" w:ascii="宋体" w:hAnsi="宋体" w:cs="宋体"/>
          <w:b/>
          <w:bCs/>
          <w:color w:val="auto"/>
          <w:sz w:val="24"/>
          <w:highlight w:val="none"/>
        </w:rPr>
        <w:t xml:space="preserve"> </w:t>
      </w:r>
    </w:p>
    <w:p w14:paraId="79B74647">
      <w:pPr>
        <w:rPr>
          <w:rFonts w:ascii="宋体" w:hAnsi="宋体" w:cs="宋体"/>
          <w:b/>
          <w:bCs/>
          <w:color w:val="auto"/>
          <w:sz w:val="24"/>
          <w:highlight w:val="none"/>
        </w:rPr>
      </w:pPr>
      <w:r>
        <w:rPr>
          <w:rFonts w:hint="eastAsia" w:ascii="宋体" w:hAnsi="宋体" w:cs="宋体"/>
          <w:b/>
          <w:bCs/>
          <w:color w:val="auto"/>
          <w:sz w:val="24"/>
          <w:highlight w:val="none"/>
        </w:rPr>
        <w:t xml:space="preserve"> </w:t>
      </w:r>
    </w:p>
    <w:p w14:paraId="0069AD96">
      <w:pPr>
        <w:rPr>
          <w:rFonts w:ascii="宋体" w:hAnsi="宋体" w:cs="宋体"/>
          <w:b/>
          <w:bCs/>
          <w:color w:val="auto"/>
          <w:sz w:val="24"/>
          <w:highlight w:val="none"/>
        </w:rPr>
      </w:pPr>
      <w:r>
        <w:rPr>
          <w:rFonts w:hint="eastAsia" w:ascii="宋体" w:hAnsi="宋体" w:cs="宋体"/>
          <w:b/>
          <w:bCs/>
          <w:color w:val="auto"/>
          <w:sz w:val="24"/>
          <w:highlight w:val="none"/>
        </w:rPr>
        <w:t xml:space="preserve"> </w:t>
      </w:r>
    </w:p>
    <w:p w14:paraId="46CDF329">
      <w:pPr>
        <w:rPr>
          <w:rFonts w:ascii="宋体" w:hAnsi="宋体" w:cs="宋体"/>
          <w:b/>
          <w:bCs/>
          <w:color w:val="auto"/>
          <w:sz w:val="24"/>
          <w:highlight w:val="none"/>
        </w:rPr>
      </w:pPr>
      <w:r>
        <w:rPr>
          <w:rFonts w:hint="eastAsia" w:ascii="宋体" w:hAnsi="宋体" w:cs="宋体"/>
          <w:b/>
          <w:bCs/>
          <w:color w:val="auto"/>
          <w:sz w:val="24"/>
          <w:highlight w:val="none"/>
        </w:rPr>
        <w:t xml:space="preserve"> </w:t>
      </w:r>
    </w:p>
    <w:p w14:paraId="3ACCC4A9">
      <w:pPr>
        <w:rPr>
          <w:rFonts w:ascii="宋体" w:hAnsi="宋体" w:cs="宋体"/>
          <w:color w:val="auto"/>
          <w:sz w:val="24"/>
          <w:highlight w:val="none"/>
        </w:rPr>
      </w:pPr>
      <w:r>
        <w:rPr>
          <w:rFonts w:hint="eastAsia" w:ascii="宋体" w:hAnsi="宋体" w:cs="宋体"/>
          <w:color w:val="auto"/>
          <w:sz w:val="24"/>
          <w:highlight w:val="none"/>
        </w:rPr>
        <w:t xml:space="preserve"> </w:t>
      </w:r>
    </w:p>
    <w:p w14:paraId="59A265CF">
      <w:pPr>
        <w:rPr>
          <w:rFonts w:ascii="宋体" w:hAnsi="宋体" w:cs="宋体"/>
          <w:color w:val="auto"/>
          <w:sz w:val="24"/>
          <w:highlight w:val="none"/>
        </w:rPr>
      </w:pPr>
      <w:r>
        <w:rPr>
          <w:rFonts w:hint="eastAsia" w:ascii="宋体" w:hAnsi="宋体" w:cs="宋体"/>
          <w:color w:val="auto"/>
          <w:sz w:val="24"/>
          <w:highlight w:val="none"/>
        </w:rPr>
        <w:t xml:space="preserve"> </w:t>
      </w:r>
    </w:p>
    <w:p w14:paraId="03D95C14">
      <w:pPr>
        <w:rPr>
          <w:rFonts w:ascii="宋体" w:hAnsi="宋体" w:cs="宋体"/>
          <w:color w:val="auto"/>
          <w:sz w:val="24"/>
          <w:highlight w:val="none"/>
        </w:rPr>
      </w:pPr>
    </w:p>
    <w:p w14:paraId="7721D33D">
      <w:pPr>
        <w:rPr>
          <w:rFonts w:ascii="宋体" w:hAnsi="宋体" w:cs="宋体"/>
          <w:color w:val="auto"/>
          <w:sz w:val="24"/>
          <w:highlight w:val="none"/>
        </w:rPr>
      </w:pPr>
    </w:p>
    <w:p w14:paraId="29838A35">
      <w:pPr>
        <w:rPr>
          <w:rFonts w:ascii="宋体" w:hAnsi="宋体" w:cs="宋体"/>
          <w:color w:val="auto"/>
          <w:sz w:val="24"/>
          <w:highlight w:val="none"/>
        </w:rPr>
      </w:pPr>
    </w:p>
    <w:p w14:paraId="50403799">
      <w:pPr>
        <w:rPr>
          <w:rFonts w:ascii="宋体" w:hAnsi="宋体" w:eastAsia="宋体" w:cs="宋体"/>
          <w:color w:val="auto"/>
          <w:sz w:val="24"/>
          <w:szCs w:val="24"/>
          <w:highlight w:val="none"/>
        </w:rPr>
      </w:pPr>
    </w:p>
    <w:p w14:paraId="3E7B28B0">
      <w:pPr>
        <w:widowControl/>
        <w:jc w:val="left"/>
        <w:rPr>
          <w:color w:val="auto"/>
          <w:highlight w:val="none"/>
        </w:rPr>
      </w:pPr>
      <w:r>
        <w:rPr>
          <w:color w:val="auto"/>
          <w:highlight w:val="none"/>
        </w:rPr>
        <w:br w:type="page"/>
      </w:r>
    </w:p>
    <w:p w14:paraId="24B851F7">
      <w:pPr>
        <w:wordWrap w:val="0"/>
        <w:topLinePunct/>
        <w:outlineLvl w:val="0"/>
        <w:rPr>
          <w:rFonts w:ascii="宋体" w:hAnsi="宋体" w:eastAsia="宋体" w:cs="宋体"/>
          <w:color w:val="auto"/>
          <w:sz w:val="24"/>
          <w:szCs w:val="24"/>
          <w:highlight w:val="none"/>
        </w:rPr>
      </w:pPr>
      <w:bookmarkStart w:id="250" w:name="_Toc5971"/>
      <w:bookmarkStart w:id="251" w:name="_Toc30800"/>
      <w:bookmarkStart w:id="252" w:name="_Toc16496"/>
      <w:bookmarkStart w:id="253" w:name="_Toc17134"/>
      <w:r>
        <w:rPr>
          <w:rFonts w:hint="eastAsia" w:ascii="宋体" w:hAnsi="宋体" w:eastAsia="宋体" w:cs="宋体"/>
          <w:color w:val="auto"/>
          <w:sz w:val="24"/>
          <w:szCs w:val="24"/>
          <w:highlight w:val="none"/>
        </w:rPr>
        <w:t>附件1</w:t>
      </w:r>
      <w:bookmarkEnd w:id="250"/>
      <w:bookmarkEnd w:id="251"/>
      <w:bookmarkEnd w:id="252"/>
      <w:bookmarkEnd w:id="253"/>
    </w:p>
    <w:p w14:paraId="72FFC657">
      <w:pPr>
        <w:wordWrap w:val="0"/>
        <w:topLinePunct/>
        <w:adjustRightInd w:val="0"/>
        <w:spacing w:line="360" w:lineRule="auto"/>
        <w:ind w:left="63" w:leftChars="30" w:right="63" w:rightChars="30"/>
        <w:jc w:val="center"/>
        <w:textAlignment w:val="baseline"/>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中小企业声明函</w:t>
      </w:r>
    </w:p>
    <w:p w14:paraId="05655DDA">
      <w:pPr>
        <w:wordWrap w:val="0"/>
        <w:topLinePunct/>
        <w:adjustRightInd w:val="0"/>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本公司（联合体）郑重声明，根据《政府采购促进中小企业发展管理办法》（财库﹝2020﹞46 号）的规定，本公司（联合体）参加</w:t>
      </w:r>
      <w:r>
        <w:rPr>
          <w:rFonts w:hint="eastAsia" w:ascii="宋体" w:hAnsi="宋体" w:eastAsia="宋体" w:cs="宋体"/>
          <w:color w:val="auto"/>
          <w:sz w:val="24"/>
          <w:szCs w:val="24"/>
          <w:highlight w:val="none"/>
          <w:u w:val="single"/>
        </w:rPr>
        <w:t>（单位名称）</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（项目名称）</w:t>
      </w:r>
      <w:r>
        <w:rPr>
          <w:rFonts w:hint="eastAsia" w:ascii="宋体" w:hAnsi="宋体" w:eastAsia="宋体" w:cs="宋体"/>
          <w:color w:val="auto"/>
          <w:sz w:val="24"/>
          <w:szCs w:val="24"/>
          <w:highlight w:val="none"/>
        </w:rPr>
        <w:t>采购活动，提供的货物全部为符合政策要求的中小企业。相关企业（含联合体中的中小企业、签订分包意向协议的中小企业）的具体情况如下：</w:t>
      </w:r>
    </w:p>
    <w:p w14:paraId="014E74CD">
      <w:pPr>
        <w:wordWrap w:val="0"/>
        <w:topLinePunct/>
        <w:adjustRightInd w:val="0"/>
        <w:snapToGrid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；制造商为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万元</w:t>
      </w:r>
      <w:r>
        <w:rPr>
          <w:rFonts w:hint="eastAsia" w:ascii="宋体" w:hAnsi="宋体" w:eastAsia="宋体" w:cs="宋体"/>
          <w:color w:val="auto"/>
          <w:sz w:val="24"/>
          <w:szCs w:val="24"/>
          <w:highlight w:val="none"/>
          <w:vertAlign w:val="superscript"/>
        </w:rPr>
        <w:t>1</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3C9B79E4">
      <w:pPr>
        <w:wordWrap w:val="0"/>
        <w:topLinePunct/>
        <w:adjustRightInd w:val="0"/>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；制造商为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34166A6A">
      <w:pPr>
        <w:wordWrap w:val="0"/>
        <w:topLinePunct/>
        <w:adjustRightInd w:val="0"/>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764E9D4D">
      <w:pPr>
        <w:wordWrap w:val="0"/>
        <w:topLinePunct/>
        <w:adjustRightInd w:val="0"/>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以上企业，不属于大企业的分支机构，不存在控股股东为大企业的情形，也不存在与大企业的负责人为同一人的情形。</w:t>
      </w:r>
    </w:p>
    <w:p w14:paraId="5613946F">
      <w:pPr>
        <w:wordWrap w:val="0"/>
        <w:topLinePunct/>
        <w:adjustRightInd w:val="0"/>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本企业对上述声明内容的真实性负责。如有虚假，将依法承担相应责任。</w:t>
      </w:r>
    </w:p>
    <w:p w14:paraId="4F007727">
      <w:pPr>
        <w:wordWrap w:val="0"/>
        <w:topLinePunct/>
        <w:spacing w:after="120" w:line="360" w:lineRule="auto"/>
        <w:ind w:left="420" w:leftChars="200" w:firstLine="480" w:firstLineChars="200"/>
        <w:rPr>
          <w:rFonts w:ascii="宋体" w:hAnsi="宋体" w:eastAsia="宋体" w:cs="宋体"/>
          <w:color w:val="auto"/>
          <w:sz w:val="24"/>
          <w:szCs w:val="24"/>
          <w:highlight w:val="none"/>
        </w:rPr>
      </w:pPr>
    </w:p>
    <w:p w14:paraId="6C2D0E37">
      <w:pPr>
        <w:wordWrap w:val="0"/>
        <w:topLinePunct/>
        <w:adjustRightInd w:val="0"/>
        <w:snapToGrid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企业名称（盖章）：</w:t>
      </w:r>
    </w:p>
    <w:p w14:paraId="63829ED5">
      <w:pPr>
        <w:wordWrap w:val="0"/>
        <w:topLinePunct/>
        <w:adjustRightInd w:val="0"/>
        <w:snapToGrid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          期：</w:t>
      </w:r>
    </w:p>
    <w:p w14:paraId="712B6024">
      <w:pPr>
        <w:wordWrap w:val="0"/>
        <w:topLinePunct/>
        <w:spacing w:after="120" w:line="360" w:lineRule="auto"/>
        <w:ind w:left="420" w:leftChars="200" w:firstLine="480" w:firstLineChars="200"/>
        <w:rPr>
          <w:rFonts w:ascii="宋体" w:hAnsi="宋体" w:eastAsia="宋体" w:cs="宋体"/>
          <w:color w:val="auto"/>
          <w:sz w:val="24"/>
          <w:szCs w:val="24"/>
          <w:highlight w:val="none"/>
        </w:rPr>
      </w:pPr>
    </w:p>
    <w:p w14:paraId="65D824CD">
      <w:pPr>
        <w:wordWrap w:val="0"/>
        <w:topLinePunct/>
        <w:adjustRightInd w:val="0"/>
        <w:snapToGrid w:val="0"/>
        <w:spacing w:line="360" w:lineRule="auto"/>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说明：</w:t>
      </w:r>
    </w:p>
    <w:p w14:paraId="48DEE2C5">
      <w:pPr>
        <w:widowControl w:val="0"/>
        <w:spacing w:line="360" w:lineRule="auto"/>
        <w:ind w:firstLine="168" w:firstLineChars="67"/>
        <w:textAlignment w:val="auto"/>
        <w:rPr>
          <w:rFonts w:ascii="宋体" w:hAnsi="宋体" w:cs="仿宋"/>
          <w:color w:val="auto"/>
          <w:kern w:val="2"/>
          <w:sz w:val="24"/>
          <w:szCs w:val="24"/>
          <w:highlight w:val="none"/>
        </w:rPr>
      </w:pPr>
      <w:r>
        <w:rPr>
          <w:rFonts w:hint="eastAsia" w:ascii="宋体" w:hAnsi="宋体" w:eastAsia="宋体" w:cs="宋体"/>
          <w:color w:val="auto"/>
          <w:spacing w:val="6"/>
          <w:sz w:val="24"/>
          <w:szCs w:val="24"/>
          <w:highlight w:val="none"/>
        </w:rPr>
        <w:t>1、从业人员、营业收入、资产总额填报上一年度数据，无上一年度数据的新成立企业可不填报。</w:t>
      </w:r>
      <w:r>
        <w:rPr>
          <w:rFonts w:hint="eastAsia" w:ascii="宋体" w:hAnsi="宋体" w:cs="仿宋"/>
          <w:color w:val="auto"/>
          <w:kern w:val="2"/>
          <w:sz w:val="24"/>
          <w:szCs w:val="24"/>
          <w:highlight w:val="none"/>
        </w:rPr>
        <w:t>（属于中小微企业的填写，不属于的无需填写此项内容）</w:t>
      </w:r>
    </w:p>
    <w:p w14:paraId="03125B61">
      <w:pPr>
        <w:wordWrap w:val="0"/>
        <w:topLinePunct/>
        <w:adjustRightInd w:val="0"/>
        <w:snapToGrid w:val="0"/>
        <w:spacing w:line="360" w:lineRule="auto"/>
        <w:rPr>
          <w:rFonts w:ascii="宋体" w:hAnsi="宋体" w:eastAsia="宋体" w:cs="宋体"/>
          <w:color w:val="auto"/>
          <w:spacing w:val="6"/>
          <w:sz w:val="24"/>
          <w:szCs w:val="24"/>
          <w:highlight w:val="none"/>
        </w:rPr>
      </w:pPr>
    </w:p>
    <w:p w14:paraId="32E2C936">
      <w:pPr>
        <w:widowControl/>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br w:type="page"/>
      </w:r>
    </w:p>
    <w:p w14:paraId="21B9C1A6">
      <w:pPr>
        <w:wordWrap w:val="0"/>
        <w:topLinePunct/>
        <w:spacing w:after="120" w:line="360" w:lineRule="auto"/>
        <w:outlineLvl w:val="0"/>
        <w:rPr>
          <w:rFonts w:ascii="宋体" w:hAnsi="宋体" w:eastAsia="宋体" w:cs="宋体"/>
          <w:color w:val="auto"/>
          <w:sz w:val="24"/>
          <w:szCs w:val="24"/>
          <w:highlight w:val="none"/>
        </w:rPr>
      </w:pPr>
      <w:bookmarkStart w:id="254" w:name="_Toc11019"/>
      <w:bookmarkStart w:id="255" w:name="_Toc4122"/>
      <w:bookmarkStart w:id="256" w:name="_Toc28455"/>
      <w:bookmarkStart w:id="257" w:name="_Toc2102"/>
      <w:r>
        <w:rPr>
          <w:rFonts w:hint="eastAsia" w:ascii="宋体" w:hAnsi="宋体" w:eastAsia="宋体" w:cs="宋体"/>
          <w:color w:val="auto"/>
          <w:sz w:val="24"/>
          <w:szCs w:val="24"/>
          <w:highlight w:val="none"/>
        </w:rPr>
        <w:t>附件2</w:t>
      </w:r>
      <w:bookmarkEnd w:id="254"/>
      <w:bookmarkEnd w:id="255"/>
      <w:bookmarkEnd w:id="256"/>
      <w:bookmarkEnd w:id="257"/>
    </w:p>
    <w:p w14:paraId="34198D57">
      <w:pPr>
        <w:wordWrap w:val="0"/>
        <w:topLinePunct/>
        <w:adjustRightInd w:val="0"/>
        <w:snapToGrid w:val="0"/>
        <w:ind w:firstLine="480" w:firstLineChars="200"/>
        <w:rPr>
          <w:rFonts w:ascii="宋体" w:hAnsi="宋体" w:eastAsia="宋体" w:cs="宋体"/>
          <w:color w:val="auto"/>
          <w:sz w:val="24"/>
          <w:szCs w:val="24"/>
          <w:highlight w:val="none"/>
        </w:rPr>
      </w:pPr>
    </w:p>
    <w:p w14:paraId="1A8CC6FE">
      <w:pPr>
        <w:wordWrap w:val="0"/>
        <w:topLinePunct/>
        <w:adjustRightInd w:val="0"/>
        <w:snapToGrid w:val="0"/>
        <w:ind w:firstLine="360" w:firstLineChars="150"/>
        <w:rPr>
          <w:rFonts w:ascii="宋体" w:hAnsi="宋体" w:eastAsia="宋体" w:cs="宋体"/>
          <w:color w:val="auto"/>
          <w:sz w:val="24"/>
          <w:szCs w:val="24"/>
          <w:highlight w:val="none"/>
        </w:rPr>
      </w:pPr>
    </w:p>
    <w:p w14:paraId="1EF7AF6C">
      <w:pPr>
        <w:keepNext/>
        <w:keepLines/>
        <w:tabs>
          <w:tab w:val="left" w:pos="840"/>
        </w:tabs>
        <w:wordWrap w:val="0"/>
        <w:topLinePunct/>
        <w:spacing w:line="412" w:lineRule="auto"/>
        <w:jc w:val="center"/>
        <w:outlineLvl w:val="0"/>
        <w:rPr>
          <w:rFonts w:ascii="宋体" w:hAnsi="宋体" w:eastAsia="宋体" w:cs="宋体"/>
          <w:b/>
          <w:bCs/>
          <w:color w:val="auto"/>
          <w:sz w:val="24"/>
          <w:szCs w:val="24"/>
          <w:highlight w:val="none"/>
          <w:lang w:val="zh-CN"/>
        </w:rPr>
      </w:pPr>
      <w:bookmarkStart w:id="258" w:name="_Toc14760"/>
      <w:bookmarkStart w:id="259" w:name="_Toc20491"/>
      <w:bookmarkStart w:id="260" w:name="_Toc30785"/>
      <w:bookmarkStart w:id="261" w:name="_Toc13308"/>
      <w:r>
        <w:rPr>
          <w:rFonts w:hint="eastAsia" w:ascii="宋体" w:hAnsi="宋体" w:eastAsia="宋体" w:cs="宋体"/>
          <w:b/>
          <w:bCs/>
          <w:color w:val="auto"/>
          <w:sz w:val="24"/>
          <w:szCs w:val="24"/>
          <w:highlight w:val="none"/>
          <w:lang w:val="zh-CN"/>
        </w:rPr>
        <w:t>监狱企业证明文件</w:t>
      </w:r>
      <w:bookmarkEnd w:id="258"/>
      <w:bookmarkEnd w:id="259"/>
      <w:bookmarkEnd w:id="260"/>
      <w:bookmarkEnd w:id="261"/>
    </w:p>
    <w:p w14:paraId="5E8E3D9C">
      <w:pPr>
        <w:wordWrap w:val="0"/>
        <w:topLinePunct/>
        <w:jc w:val="center"/>
        <w:rPr>
          <w:rFonts w:ascii="宋体" w:hAnsi="宋体" w:eastAsia="宋体" w:cs="宋体"/>
          <w:b/>
          <w:bCs/>
          <w:color w:val="auto"/>
          <w:sz w:val="24"/>
          <w:szCs w:val="24"/>
          <w:highlight w:val="none"/>
        </w:rPr>
      </w:pPr>
    </w:p>
    <w:p w14:paraId="3E2E5FD7">
      <w:pPr>
        <w:wordWrap w:val="0"/>
        <w:topLinePunct/>
        <w:spacing w:line="500" w:lineRule="exact"/>
        <w:rPr>
          <w:rFonts w:ascii="宋体" w:hAnsi="宋体" w:eastAsia="宋体" w:cs="宋体"/>
          <w:color w:val="auto"/>
          <w:spacing w:val="6"/>
          <w:sz w:val="24"/>
          <w:szCs w:val="24"/>
          <w:highlight w:val="none"/>
        </w:rPr>
      </w:pPr>
    </w:p>
    <w:p w14:paraId="3F1DD075">
      <w:pPr>
        <w:wordWrap w:val="0"/>
        <w:topLinePunct/>
        <w:spacing w:line="500" w:lineRule="exact"/>
        <w:ind w:firstLine="42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（监狱企业参加政府采购活动时，应当提供由省级以上监狱管理局、戒毒管理局(含新疆生产建设兵团)出具的属于监狱企业的证明文件。</w:t>
      </w:r>
    </w:p>
    <w:p w14:paraId="7DDDA99B">
      <w:pPr>
        <w:wordWrap w:val="0"/>
        <w:topLinePunct/>
        <w:spacing w:line="500" w:lineRule="exact"/>
        <w:ind w:firstLine="504" w:firstLineChars="200"/>
        <w:rPr>
          <w:rFonts w:ascii="宋体" w:hAnsi="宋体" w:eastAsia="宋体" w:cs="宋体"/>
          <w:color w:val="auto"/>
          <w:spacing w:val="6"/>
          <w:sz w:val="24"/>
          <w:szCs w:val="24"/>
          <w:highlight w:val="none"/>
        </w:rPr>
      </w:pPr>
    </w:p>
    <w:p w14:paraId="2939D1B7">
      <w:pPr>
        <w:wordWrap w:val="0"/>
        <w:topLinePunct/>
        <w:spacing w:line="500" w:lineRule="exact"/>
        <w:ind w:firstLine="504" w:firstLineChars="200"/>
        <w:rPr>
          <w:rFonts w:ascii="宋体" w:hAnsi="宋体" w:eastAsia="宋体" w:cs="宋体"/>
          <w:color w:val="auto"/>
          <w:spacing w:val="6"/>
          <w:sz w:val="24"/>
          <w:szCs w:val="24"/>
          <w:highlight w:val="none"/>
        </w:rPr>
      </w:pPr>
    </w:p>
    <w:p w14:paraId="06907C0E">
      <w:pPr>
        <w:wordWrap w:val="0"/>
        <w:topLinePunct/>
        <w:spacing w:line="500" w:lineRule="exact"/>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注：在投标文件中附扫描件</w:t>
      </w:r>
    </w:p>
    <w:p w14:paraId="18A55A98">
      <w:pPr>
        <w:wordWrap w:val="0"/>
        <w:topLinePunct/>
        <w:spacing w:line="500" w:lineRule="exact"/>
        <w:rPr>
          <w:rFonts w:ascii="宋体" w:hAnsi="宋体" w:eastAsia="宋体" w:cs="宋体"/>
          <w:color w:val="auto"/>
          <w:sz w:val="24"/>
          <w:szCs w:val="24"/>
          <w:highlight w:val="none"/>
        </w:rPr>
      </w:pPr>
    </w:p>
    <w:p w14:paraId="21DA89F2">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3C5D70AA">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4DB605EE">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405A3485">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5A1C99BE">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3419318E">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7611C24A">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6977CD4B">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5CDDE152">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6F73A1D1">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137D3785">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0E9CE666">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69EE4116">
      <w:pPr>
        <w:pageBreakBefore/>
        <w:wordWrap w:val="0"/>
        <w:topLinePunct/>
        <w:ind w:firstLine="360" w:firstLineChars="150"/>
        <w:outlineLvl w:val="0"/>
        <w:rPr>
          <w:rFonts w:ascii="宋体" w:hAnsi="宋体" w:eastAsia="宋体" w:cs="宋体"/>
          <w:color w:val="auto"/>
          <w:sz w:val="24"/>
          <w:szCs w:val="24"/>
          <w:highlight w:val="none"/>
        </w:rPr>
      </w:pPr>
      <w:bookmarkStart w:id="262" w:name="_Toc8392"/>
      <w:bookmarkStart w:id="263" w:name="_Toc14655"/>
      <w:bookmarkStart w:id="264" w:name="_Toc6264"/>
      <w:bookmarkStart w:id="265" w:name="_Toc11345"/>
      <w:r>
        <w:rPr>
          <w:rFonts w:hint="eastAsia" w:ascii="宋体" w:hAnsi="宋体" w:eastAsia="宋体" w:cs="宋体"/>
          <w:color w:val="auto"/>
          <w:sz w:val="24"/>
          <w:szCs w:val="24"/>
          <w:highlight w:val="none"/>
        </w:rPr>
        <w:t>附件3</w:t>
      </w:r>
      <w:bookmarkEnd w:id="262"/>
      <w:bookmarkEnd w:id="263"/>
      <w:bookmarkEnd w:id="264"/>
      <w:bookmarkEnd w:id="265"/>
    </w:p>
    <w:p w14:paraId="2C047325">
      <w:pPr>
        <w:wordWrap w:val="0"/>
        <w:spacing w:after="120" w:line="480" w:lineRule="exact"/>
        <w:jc w:val="center"/>
        <w:outlineLvl w:val="0"/>
        <w:rPr>
          <w:rFonts w:ascii="宋体" w:hAnsi="宋体" w:eastAsia="宋体" w:cs="宋体"/>
          <w:b/>
          <w:bCs/>
          <w:color w:val="auto"/>
          <w:kern w:val="36"/>
          <w:sz w:val="24"/>
          <w:szCs w:val="24"/>
          <w:highlight w:val="none"/>
        </w:rPr>
      </w:pPr>
      <w:bookmarkStart w:id="266" w:name="_Toc27930"/>
      <w:bookmarkStart w:id="267" w:name="_Toc30651"/>
      <w:bookmarkStart w:id="268" w:name="_Toc23906"/>
      <w:bookmarkStart w:id="269" w:name="_Toc32130"/>
      <w:r>
        <w:rPr>
          <w:rFonts w:hint="eastAsia" w:ascii="宋体" w:hAnsi="宋体" w:eastAsia="宋体" w:cs="宋体"/>
          <w:b/>
          <w:bCs/>
          <w:color w:val="auto"/>
          <w:kern w:val="36"/>
          <w:sz w:val="24"/>
          <w:szCs w:val="24"/>
          <w:highlight w:val="none"/>
        </w:rPr>
        <w:t>残疾人福利性单位声明函（如有）</w:t>
      </w:r>
      <w:bookmarkEnd w:id="266"/>
      <w:bookmarkEnd w:id="267"/>
      <w:bookmarkEnd w:id="268"/>
      <w:bookmarkEnd w:id="269"/>
    </w:p>
    <w:p w14:paraId="0A4DC8B0">
      <w:pPr>
        <w:wordWrap w:val="0"/>
        <w:spacing w:after="120" w:line="480" w:lineRule="exact"/>
        <w:ind w:firstLine="480" w:firstLineChars="200"/>
        <w:rPr>
          <w:rFonts w:ascii="宋体" w:hAnsi="宋体" w:eastAsia="宋体" w:cs="宋体"/>
          <w:color w:val="auto"/>
          <w:kern w:val="36"/>
          <w:sz w:val="24"/>
          <w:szCs w:val="24"/>
          <w:highlight w:val="none"/>
        </w:rPr>
      </w:pPr>
    </w:p>
    <w:p w14:paraId="5F6BBB3F">
      <w:pPr>
        <w:wordWrap w:val="0"/>
        <w:spacing w:after="120" w:line="480" w:lineRule="exact"/>
        <w:ind w:firstLine="480" w:firstLineChars="200"/>
        <w:rPr>
          <w:rFonts w:ascii="宋体" w:hAnsi="宋体" w:eastAsia="宋体" w:cs="宋体"/>
          <w:color w:val="auto"/>
          <w:kern w:val="36"/>
          <w:sz w:val="24"/>
          <w:szCs w:val="24"/>
          <w:highlight w:val="none"/>
        </w:rPr>
      </w:pPr>
      <w:r>
        <w:rPr>
          <w:rFonts w:hint="eastAsia" w:ascii="宋体" w:hAnsi="宋体" w:eastAsia="宋体" w:cs="宋体"/>
          <w:color w:val="auto"/>
          <w:kern w:val="36"/>
          <w:sz w:val="24"/>
          <w:szCs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kern w:val="36"/>
          <w:sz w:val="24"/>
          <w:szCs w:val="24"/>
          <w:highlight w:val="none"/>
          <w:u w:val="single"/>
        </w:rPr>
        <w:t xml:space="preserve">       </w:t>
      </w:r>
      <w:r>
        <w:rPr>
          <w:rFonts w:hint="eastAsia" w:ascii="宋体" w:hAnsi="宋体" w:eastAsia="宋体" w:cs="宋体"/>
          <w:color w:val="auto"/>
          <w:kern w:val="36"/>
          <w:sz w:val="24"/>
          <w:szCs w:val="24"/>
          <w:highlight w:val="none"/>
        </w:rPr>
        <w:t xml:space="preserve">单位的 </w:t>
      </w:r>
      <w:r>
        <w:rPr>
          <w:rFonts w:hint="eastAsia" w:ascii="宋体" w:hAnsi="宋体" w:eastAsia="宋体" w:cs="宋体"/>
          <w:color w:val="auto"/>
          <w:kern w:val="36"/>
          <w:sz w:val="24"/>
          <w:szCs w:val="24"/>
          <w:highlight w:val="none"/>
          <w:u w:val="single"/>
        </w:rPr>
        <w:t xml:space="preserve">     </w:t>
      </w:r>
      <w:r>
        <w:rPr>
          <w:rFonts w:hint="eastAsia" w:ascii="宋体" w:hAnsi="宋体" w:eastAsia="宋体" w:cs="宋体"/>
          <w:color w:val="auto"/>
          <w:kern w:val="36"/>
          <w:sz w:val="24"/>
          <w:szCs w:val="24"/>
          <w:highlight w:val="none"/>
        </w:rPr>
        <w:t>项目采购活动提供本单位制造的货物（由本单位承担工程/提供服务），或者提供其他残疾人福利性单位制造的货物（不包括使用非残疾人福利性单位注册商标的货物）。</w:t>
      </w:r>
    </w:p>
    <w:p w14:paraId="0CCFA1E3">
      <w:pPr>
        <w:wordWrap w:val="0"/>
        <w:spacing w:after="120" w:line="480" w:lineRule="exact"/>
        <w:ind w:firstLine="480" w:firstLineChars="200"/>
        <w:rPr>
          <w:rFonts w:ascii="宋体" w:hAnsi="宋体" w:eastAsia="宋体" w:cs="宋体"/>
          <w:color w:val="auto"/>
          <w:kern w:val="36"/>
          <w:sz w:val="24"/>
          <w:szCs w:val="24"/>
          <w:highlight w:val="none"/>
        </w:rPr>
      </w:pPr>
      <w:r>
        <w:rPr>
          <w:rFonts w:hint="eastAsia" w:ascii="宋体" w:hAnsi="宋体" w:eastAsia="宋体" w:cs="宋体"/>
          <w:color w:val="auto"/>
          <w:kern w:val="36"/>
          <w:sz w:val="24"/>
          <w:szCs w:val="24"/>
          <w:highlight w:val="none"/>
        </w:rPr>
        <w:t>本单位对上述声明的真实性负责。如有虚假，将依法承担相应责任。</w:t>
      </w:r>
    </w:p>
    <w:p w14:paraId="65DADFB4">
      <w:pPr>
        <w:wordWrap w:val="0"/>
        <w:spacing w:line="480" w:lineRule="exact"/>
        <w:ind w:firstLine="480" w:firstLineChars="200"/>
        <w:jc w:val="right"/>
        <w:rPr>
          <w:rFonts w:ascii="宋体" w:hAnsi="宋体" w:eastAsia="宋体" w:cs="宋体"/>
          <w:color w:val="auto"/>
          <w:sz w:val="24"/>
          <w:szCs w:val="24"/>
          <w:highlight w:val="none"/>
        </w:rPr>
      </w:pPr>
    </w:p>
    <w:p w14:paraId="00E56677">
      <w:pPr>
        <w:wordWrap w:val="0"/>
        <w:topLinePunct/>
        <w:spacing w:line="360" w:lineRule="auto"/>
        <w:rPr>
          <w:rFonts w:ascii="宋体" w:hAnsi="宋体" w:eastAsia="宋体" w:cs="宋体"/>
          <w:color w:val="auto"/>
          <w:kern w:val="0"/>
          <w:sz w:val="24"/>
          <w:szCs w:val="24"/>
          <w:highlight w:val="none"/>
        </w:rPr>
      </w:pPr>
    </w:p>
    <w:p w14:paraId="1615C852">
      <w:pPr>
        <w:wordWrap w:val="0"/>
        <w:topLinePunct/>
        <w:spacing w:line="360" w:lineRule="auto"/>
        <w:ind w:firstLine="480" w:firstLineChars="200"/>
        <w:rPr>
          <w:rFonts w:ascii="宋体" w:hAnsi="宋体" w:eastAsia="宋体" w:cs="宋体"/>
          <w:color w:val="auto"/>
          <w:sz w:val="24"/>
          <w:szCs w:val="24"/>
          <w:highlight w:val="none"/>
        </w:rPr>
      </w:pPr>
    </w:p>
    <w:p w14:paraId="46D8CB52">
      <w:pPr>
        <w:wordWrap w:val="0"/>
        <w:topLinePunct/>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响应人（企业电子签章或盖章）：</w:t>
      </w:r>
    </w:p>
    <w:p w14:paraId="5A5E017D">
      <w:pPr>
        <w:wordWrap w:val="0"/>
        <w:topLinePunct/>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法定代表人（个人电子签章或盖章或签字）： </w:t>
      </w:r>
    </w:p>
    <w:p w14:paraId="32977766">
      <w:pPr>
        <w:wordWrap w:val="0"/>
        <w:topLinePunct/>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 期： </w:t>
      </w:r>
    </w:p>
    <w:p w14:paraId="71F69473">
      <w:pPr>
        <w:rPr>
          <w:rFonts w:ascii="Calibri" w:hAnsi="Calibri" w:eastAsia="宋体" w:cs="Times New Roman"/>
          <w:color w:val="auto"/>
          <w:sz w:val="22"/>
          <w:highlight w:val="none"/>
        </w:rPr>
      </w:pPr>
    </w:p>
    <w:p w14:paraId="21193DB3">
      <w:pPr>
        <w:wordWrap w:val="0"/>
        <w:jc w:val="center"/>
        <w:rPr>
          <w:rFonts w:ascii="宋体" w:hAnsi="宋体" w:eastAsia="宋体" w:cs="宋体"/>
          <w:b/>
          <w:bCs/>
          <w:color w:val="auto"/>
          <w:sz w:val="24"/>
          <w:szCs w:val="24"/>
          <w:highlight w:val="none"/>
        </w:rPr>
      </w:pPr>
    </w:p>
    <w:p w14:paraId="73E9E22D">
      <w:pPr>
        <w:wordWrap w:val="0"/>
        <w:jc w:val="center"/>
        <w:rPr>
          <w:rFonts w:ascii="宋体" w:hAnsi="宋体" w:eastAsia="宋体" w:cs="宋体"/>
          <w:b/>
          <w:bCs/>
          <w:color w:val="auto"/>
          <w:sz w:val="24"/>
          <w:szCs w:val="24"/>
          <w:highlight w:val="none"/>
        </w:rPr>
      </w:pPr>
    </w:p>
    <w:p w14:paraId="03F40E4F">
      <w:pPr>
        <w:wordWrap w:val="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14:paraId="37DD1C2E">
      <w:pPr>
        <w:wordWrap w:val="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14:paraId="40D44E83">
      <w:pPr>
        <w:wordWrap w:val="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14:paraId="7AB4C4A5">
      <w:pPr>
        <w:wordWrap w:val="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14:paraId="662C4E7C">
      <w:pPr>
        <w:topLinePunct/>
        <w:jc w:val="center"/>
        <w:rPr>
          <w:rFonts w:ascii="宋体" w:hAnsi="宋体" w:eastAsia="宋体" w:cs="宋体"/>
          <w:b/>
          <w:bCs/>
          <w:color w:val="auto"/>
          <w:sz w:val="24"/>
          <w:szCs w:val="24"/>
          <w:highlight w:val="none"/>
        </w:rPr>
      </w:pPr>
    </w:p>
    <w:p w14:paraId="04C6D069">
      <w:pPr>
        <w:topLinePunct/>
        <w:jc w:val="center"/>
        <w:rPr>
          <w:rFonts w:ascii="宋体" w:hAnsi="宋体" w:eastAsia="宋体" w:cs="宋体"/>
          <w:b/>
          <w:bCs/>
          <w:color w:val="auto"/>
          <w:sz w:val="24"/>
          <w:szCs w:val="24"/>
          <w:highlight w:val="none"/>
        </w:rPr>
      </w:pPr>
    </w:p>
    <w:p w14:paraId="21C3F378">
      <w:pPr>
        <w:rPr>
          <w:color w:val="auto"/>
          <w:highlight w:val="none"/>
        </w:rPr>
      </w:pPr>
    </w:p>
    <w:sectPr>
      <w:pgSz w:w="11906" w:h="16838"/>
      <w:pgMar w:top="1440" w:right="1083" w:bottom="1440" w:left="1083" w:header="851" w:footer="850" w:gutter="0"/>
      <w:pgNumType w:fmt="decimal"/>
      <w:cols w:space="0" w:num="1"/>
      <w:titlePg/>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楷体">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9C729C">
    <w:pPr>
      <w:rPr>
        <w:b/>
        <w:bCs/>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B52763">
    <w:pPr>
      <w:framePr w:wrap="around" w:vAnchor="text" w:hAnchor="margin" w:xAlign="right" w:y="1"/>
    </w:pPr>
    <w:r>
      <w:fldChar w:fldCharType="begin"/>
    </w:r>
    <w:r>
      <w:instrText xml:space="preserve">PAGE  </w:instrText>
    </w:r>
    <w:r>
      <w:fldChar w:fldCharType="end"/>
    </w:r>
  </w:p>
  <w:p w14:paraId="217B097C">
    <w:pPr>
      <w:ind w:right="360"/>
    </w:pPr>
  </w:p>
  <w:p w14:paraId="5DB69E80"/>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3B18FA">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6C8F5D">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9B8FE9">
                          <w:pPr>
                            <w:pStyle w:val="1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A9B8FE9">
                    <w:pPr>
                      <w:pStyle w:val="11"/>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8C9102">
    <w:pPr>
      <w:rPr>
        <w:b/>
        <w:bCs/>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F4A56E">
                          <w:pPr>
                            <w:pStyle w:val="1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4F4A56E">
                    <w:pPr>
                      <w:pStyle w:val="11"/>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7AA666">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C0F9BA">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7C0F9BA">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6FB19">
    <w:pPr>
      <w:pBdr>
        <w:bottom w:val="none" w:color="auto" w:sz="0" w:space="1"/>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7BA132">
    <w:pP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5F2044"/>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6C2309">
    <w:pPr>
      <w:pStyle w:val="1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BC116"/>
    <w:multiLevelType w:val="singleLevel"/>
    <w:tmpl w:val="BF6BC116"/>
    <w:lvl w:ilvl="0" w:tentative="0">
      <w:start w:val="16"/>
      <w:numFmt w:val="decimal"/>
      <w:suff w:val="space"/>
      <w:lvlText w:val="%1."/>
      <w:lvlJc w:val="left"/>
    </w:lvl>
  </w:abstractNum>
  <w:abstractNum w:abstractNumId="1">
    <w:nsid w:val="CFE7C3F8"/>
    <w:multiLevelType w:val="singleLevel"/>
    <w:tmpl w:val="CFE7C3F8"/>
    <w:lvl w:ilvl="0" w:tentative="0">
      <w:start w:val="1"/>
      <w:numFmt w:val="decimal"/>
      <w:suff w:val="nothing"/>
      <w:lvlText w:val="（%1）"/>
      <w:lvlJc w:val="left"/>
    </w:lvl>
  </w:abstractNum>
  <w:abstractNum w:abstractNumId="2">
    <w:nsid w:val="DDECD3BC"/>
    <w:multiLevelType w:val="singleLevel"/>
    <w:tmpl w:val="DDECD3BC"/>
    <w:lvl w:ilvl="0" w:tentative="0">
      <w:start w:val="6"/>
      <w:numFmt w:val="decimal"/>
      <w:suff w:val="space"/>
      <w:lvlText w:val="%1."/>
      <w:lvlJc w:val="left"/>
    </w:lvl>
  </w:abstractNum>
  <w:abstractNum w:abstractNumId="3">
    <w:nsid w:val="DE759F4B"/>
    <w:multiLevelType w:val="singleLevel"/>
    <w:tmpl w:val="DE759F4B"/>
    <w:lvl w:ilvl="0" w:tentative="0">
      <w:start w:val="2"/>
      <w:numFmt w:val="decimal"/>
      <w:suff w:val="space"/>
      <w:lvlText w:val="%1."/>
      <w:lvlJc w:val="left"/>
    </w:lvl>
  </w:abstractNum>
  <w:abstractNum w:abstractNumId="4">
    <w:nsid w:val="DEABE1DB"/>
    <w:multiLevelType w:val="singleLevel"/>
    <w:tmpl w:val="DEABE1DB"/>
    <w:lvl w:ilvl="0" w:tentative="0">
      <w:start w:val="23"/>
      <w:numFmt w:val="decimal"/>
      <w:suff w:val="space"/>
      <w:lvlText w:val="%1."/>
      <w:lvlJc w:val="left"/>
    </w:lvl>
  </w:abstractNum>
  <w:abstractNum w:abstractNumId="5">
    <w:nsid w:val="EDAF7F6F"/>
    <w:multiLevelType w:val="singleLevel"/>
    <w:tmpl w:val="EDAF7F6F"/>
    <w:lvl w:ilvl="0" w:tentative="0">
      <w:start w:val="5"/>
      <w:numFmt w:val="chineseCounting"/>
      <w:suff w:val="space"/>
      <w:lvlText w:val="第%1章"/>
      <w:lvlJc w:val="left"/>
      <w:rPr>
        <w:rFonts w:hint="eastAsia"/>
      </w:rPr>
    </w:lvl>
  </w:abstractNum>
  <w:abstractNum w:abstractNumId="6">
    <w:nsid w:val="FFEFC674"/>
    <w:multiLevelType w:val="singleLevel"/>
    <w:tmpl w:val="FFEFC674"/>
    <w:lvl w:ilvl="0" w:tentative="0">
      <w:start w:val="1"/>
      <w:numFmt w:val="decimal"/>
      <w:suff w:val="nothing"/>
      <w:lvlText w:val="（%1）"/>
      <w:lvlJc w:val="left"/>
    </w:lvl>
  </w:abstractNum>
  <w:abstractNum w:abstractNumId="7">
    <w:nsid w:val="7A0F6431"/>
    <w:multiLevelType w:val="singleLevel"/>
    <w:tmpl w:val="7A0F6431"/>
    <w:lvl w:ilvl="0" w:tentative="0">
      <w:start w:val="1"/>
      <w:numFmt w:val="decimal"/>
      <w:suff w:val="space"/>
      <w:lvlText w:val="%1."/>
      <w:lvlJc w:val="left"/>
    </w:lvl>
  </w:abstractNum>
  <w:num w:numId="1">
    <w:abstractNumId w:val="7"/>
  </w:num>
  <w:num w:numId="2">
    <w:abstractNumId w:val="1"/>
  </w:num>
  <w:num w:numId="3">
    <w:abstractNumId w:val="6"/>
  </w:num>
  <w:num w:numId="4">
    <w:abstractNumId w:val="3"/>
  </w:num>
  <w:num w:numId="5">
    <w:abstractNumId w:val="2"/>
  </w:num>
  <w:num w:numId="6">
    <w:abstractNumId w:val="0"/>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wNWNmZTllMTQ2YjMwYjEwNTBhYzVlNTJjODYzNjMifQ=="/>
  </w:docVars>
  <w:rsids>
    <w:rsidRoot w:val="00152654"/>
    <w:rsid w:val="00083471"/>
    <w:rsid w:val="000A6711"/>
    <w:rsid w:val="000C6D21"/>
    <w:rsid w:val="000E2BF8"/>
    <w:rsid w:val="001430A5"/>
    <w:rsid w:val="00143CDA"/>
    <w:rsid w:val="00152654"/>
    <w:rsid w:val="001A5D99"/>
    <w:rsid w:val="001B19C9"/>
    <w:rsid w:val="001E1818"/>
    <w:rsid w:val="001F37CD"/>
    <w:rsid w:val="001F5AC8"/>
    <w:rsid w:val="002311F3"/>
    <w:rsid w:val="002320CE"/>
    <w:rsid w:val="00237A0E"/>
    <w:rsid w:val="00246FA7"/>
    <w:rsid w:val="00270D10"/>
    <w:rsid w:val="00273EE8"/>
    <w:rsid w:val="002905CA"/>
    <w:rsid w:val="002958F8"/>
    <w:rsid w:val="002C608B"/>
    <w:rsid w:val="002F7D2C"/>
    <w:rsid w:val="00312B72"/>
    <w:rsid w:val="00320DDB"/>
    <w:rsid w:val="00334A6B"/>
    <w:rsid w:val="00350C82"/>
    <w:rsid w:val="003527D7"/>
    <w:rsid w:val="003576E5"/>
    <w:rsid w:val="0039248C"/>
    <w:rsid w:val="003924B7"/>
    <w:rsid w:val="003A78E7"/>
    <w:rsid w:val="003C33C2"/>
    <w:rsid w:val="003D51E3"/>
    <w:rsid w:val="003D5CA2"/>
    <w:rsid w:val="003F1570"/>
    <w:rsid w:val="00434D18"/>
    <w:rsid w:val="004A08ED"/>
    <w:rsid w:val="004A731C"/>
    <w:rsid w:val="004C591A"/>
    <w:rsid w:val="004C731E"/>
    <w:rsid w:val="004F03E3"/>
    <w:rsid w:val="004F41BA"/>
    <w:rsid w:val="00527EDE"/>
    <w:rsid w:val="0055594D"/>
    <w:rsid w:val="00561CA7"/>
    <w:rsid w:val="005714C6"/>
    <w:rsid w:val="005759F7"/>
    <w:rsid w:val="005D3523"/>
    <w:rsid w:val="0060256A"/>
    <w:rsid w:val="00627171"/>
    <w:rsid w:val="00641D5F"/>
    <w:rsid w:val="006B26B5"/>
    <w:rsid w:val="006B45C2"/>
    <w:rsid w:val="006B6C76"/>
    <w:rsid w:val="006E5EDA"/>
    <w:rsid w:val="007172C1"/>
    <w:rsid w:val="00722D56"/>
    <w:rsid w:val="007411E3"/>
    <w:rsid w:val="00746C7B"/>
    <w:rsid w:val="00762021"/>
    <w:rsid w:val="007700BA"/>
    <w:rsid w:val="00770A93"/>
    <w:rsid w:val="00777811"/>
    <w:rsid w:val="007867EB"/>
    <w:rsid w:val="007A5C31"/>
    <w:rsid w:val="007C63AC"/>
    <w:rsid w:val="007D054B"/>
    <w:rsid w:val="00861A5B"/>
    <w:rsid w:val="0088019D"/>
    <w:rsid w:val="00881E7F"/>
    <w:rsid w:val="008B2C55"/>
    <w:rsid w:val="008C73C6"/>
    <w:rsid w:val="008F1981"/>
    <w:rsid w:val="00912FF2"/>
    <w:rsid w:val="009158BF"/>
    <w:rsid w:val="00937F8F"/>
    <w:rsid w:val="00940846"/>
    <w:rsid w:val="00977C16"/>
    <w:rsid w:val="00987A02"/>
    <w:rsid w:val="009A0796"/>
    <w:rsid w:val="009C0A65"/>
    <w:rsid w:val="009D06CA"/>
    <w:rsid w:val="00A33AAF"/>
    <w:rsid w:val="00A343A4"/>
    <w:rsid w:val="00A54C48"/>
    <w:rsid w:val="00A54ED7"/>
    <w:rsid w:val="00AC14A1"/>
    <w:rsid w:val="00AF3709"/>
    <w:rsid w:val="00AF4871"/>
    <w:rsid w:val="00AF68FB"/>
    <w:rsid w:val="00AF7AAE"/>
    <w:rsid w:val="00B17443"/>
    <w:rsid w:val="00B36E03"/>
    <w:rsid w:val="00B75DE5"/>
    <w:rsid w:val="00B96E69"/>
    <w:rsid w:val="00BC0A6F"/>
    <w:rsid w:val="00BE464E"/>
    <w:rsid w:val="00C347BA"/>
    <w:rsid w:val="00C70D23"/>
    <w:rsid w:val="00C7264B"/>
    <w:rsid w:val="00C864F7"/>
    <w:rsid w:val="00C9128B"/>
    <w:rsid w:val="00C95B56"/>
    <w:rsid w:val="00CA1BB8"/>
    <w:rsid w:val="00CD493F"/>
    <w:rsid w:val="00CE085D"/>
    <w:rsid w:val="00CF735E"/>
    <w:rsid w:val="00D04286"/>
    <w:rsid w:val="00D15D6C"/>
    <w:rsid w:val="00D16CED"/>
    <w:rsid w:val="00D17E4B"/>
    <w:rsid w:val="00DA3138"/>
    <w:rsid w:val="00DB6584"/>
    <w:rsid w:val="00DC33B4"/>
    <w:rsid w:val="00DC7B19"/>
    <w:rsid w:val="00DF7831"/>
    <w:rsid w:val="00E260A9"/>
    <w:rsid w:val="00E261D0"/>
    <w:rsid w:val="00E368E1"/>
    <w:rsid w:val="00E67728"/>
    <w:rsid w:val="00E727FE"/>
    <w:rsid w:val="00E805B6"/>
    <w:rsid w:val="00E86C16"/>
    <w:rsid w:val="00EA6082"/>
    <w:rsid w:val="00EA72E0"/>
    <w:rsid w:val="00EC3FFE"/>
    <w:rsid w:val="00ED010A"/>
    <w:rsid w:val="00ED4A12"/>
    <w:rsid w:val="00EF645A"/>
    <w:rsid w:val="00F121E7"/>
    <w:rsid w:val="00F12EB3"/>
    <w:rsid w:val="00F4401E"/>
    <w:rsid w:val="00F53179"/>
    <w:rsid w:val="00F53A22"/>
    <w:rsid w:val="00F54035"/>
    <w:rsid w:val="00F60957"/>
    <w:rsid w:val="00FC0843"/>
    <w:rsid w:val="00FC664E"/>
    <w:rsid w:val="00FD7DD6"/>
    <w:rsid w:val="00FF6399"/>
    <w:rsid w:val="00FF6CF4"/>
    <w:rsid w:val="01E70230"/>
    <w:rsid w:val="01F26FD5"/>
    <w:rsid w:val="029A38EC"/>
    <w:rsid w:val="032C4E8C"/>
    <w:rsid w:val="03555A65"/>
    <w:rsid w:val="03AC1DBF"/>
    <w:rsid w:val="0530678A"/>
    <w:rsid w:val="05422ECB"/>
    <w:rsid w:val="059C537A"/>
    <w:rsid w:val="06223D87"/>
    <w:rsid w:val="0655382F"/>
    <w:rsid w:val="06710E08"/>
    <w:rsid w:val="072A0899"/>
    <w:rsid w:val="086E6C0F"/>
    <w:rsid w:val="0994295D"/>
    <w:rsid w:val="099B68C7"/>
    <w:rsid w:val="09B87B50"/>
    <w:rsid w:val="0B785854"/>
    <w:rsid w:val="0CA72900"/>
    <w:rsid w:val="0CF56D46"/>
    <w:rsid w:val="0E1212A0"/>
    <w:rsid w:val="0E707BF7"/>
    <w:rsid w:val="0E805BB5"/>
    <w:rsid w:val="0EA03BFE"/>
    <w:rsid w:val="0EE26D46"/>
    <w:rsid w:val="0FA25AF2"/>
    <w:rsid w:val="102962AF"/>
    <w:rsid w:val="10DF6CB1"/>
    <w:rsid w:val="10FE14EA"/>
    <w:rsid w:val="111927C8"/>
    <w:rsid w:val="1235718D"/>
    <w:rsid w:val="124E3051"/>
    <w:rsid w:val="12814D98"/>
    <w:rsid w:val="1340403C"/>
    <w:rsid w:val="134578A4"/>
    <w:rsid w:val="1358441B"/>
    <w:rsid w:val="138403CC"/>
    <w:rsid w:val="13A46379"/>
    <w:rsid w:val="13B17F44"/>
    <w:rsid w:val="13DF53A0"/>
    <w:rsid w:val="14691370"/>
    <w:rsid w:val="15785F0B"/>
    <w:rsid w:val="159D0154"/>
    <w:rsid w:val="15B842D3"/>
    <w:rsid w:val="15CE6D77"/>
    <w:rsid w:val="161A3893"/>
    <w:rsid w:val="16454DFC"/>
    <w:rsid w:val="16E6675F"/>
    <w:rsid w:val="17147100"/>
    <w:rsid w:val="174D6D27"/>
    <w:rsid w:val="17F60AEE"/>
    <w:rsid w:val="18463EA2"/>
    <w:rsid w:val="193C23FA"/>
    <w:rsid w:val="193C34F7"/>
    <w:rsid w:val="19FE255B"/>
    <w:rsid w:val="1A3A1C2F"/>
    <w:rsid w:val="1A9F789A"/>
    <w:rsid w:val="1AB62E35"/>
    <w:rsid w:val="1AEB6F83"/>
    <w:rsid w:val="1AFF6879"/>
    <w:rsid w:val="1B067919"/>
    <w:rsid w:val="1B2D5684"/>
    <w:rsid w:val="1B5A697D"/>
    <w:rsid w:val="1B6B39BC"/>
    <w:rsid w:val="1CA473E9"/>
    <w:rsid w:val="1E262080"/>
    <w:rsid w:val="1E6D3113"/>
    <w:rsid w:val="1EAA4A5F"/>
    <w:rsid w:val="1EE337DA"/>
    <w:rsid w:val="1F550E6F"/>
    <w:rsid w:val="210066E7"/>
    <w:rsid w:val="210C5E73"/>
    <w:rsid w:val="23BC3BC2"/>
    <w:rsid w:val="24A13189"/>
    <w:rsid w:val="25320B3D"/>
    <w:rsid w:val="25423C43"/>
    <w:rsid w:val="25615736"/>
    <w:rsid w:val="26484F20"/>
    <w:rsid w:val="276A7481"/>
    <w:rsid w:val="288863B5"/>
    <w:rsid w:val="29017971"/>
    <w:rsid w:val="29AF5108"/>
    <w:rsid w:val="29B856B6"/>
    <w:rsid w:val="2A6E7289"/>
    <w:rsid w:val="2B0B2D29"/>
    <w:rsid w:val="2B69251F"/>
    <w:rsid w:val="2BEB2BDD"/>
    <w:rsid w:val="2D543A3E"/>
    <w:rsid w:val="2DD6761F"/>
    <w:rsid w:val="2DEA60B2"/>
    <w:rsid w:val="2E132621"/>
    <w:rsid w:val="2E476DBF"/>
    <w:rsid w:val="2EE265FC"/>
    <w:rsid w:val="2EEB0EA8"/>
    <w:rsid w:val="2FFD5AB7"/>
    <w:rsid w:val="30247BD1"/>
    <w:rsid w:val="30323310"/>
    <w:rsid w:val="30FE1366"/>
    <w:rsid w:val="311E1C0C"/>
    <w:rsid w:val="315A0567"/>
    <w:rsid w:val="319C110F"/>
    <w:rsid w:val="32132BEF"/>
    <w:rsid w:val="324375FB"/>
    <w:rsid w:val="32841D1E"/>
    <w:rsid w:val="329364AC"/>
    <w:rsid w:val="337748EF"/>
    <w:rsid w:val="341A53CF"/>
    <w:rsid w:val="37492C0F"/>
    <w:rsid w:val="374E46CA"/>
    <w:rsid w:val="37754601"/>
    <w:rsid w:val="379A790F"/>
    <w:rsid w:val="37DB4E60"/>
    <w:rsid w:val="38291776"/>
    <w:rsid w:val="383C7A23"/>
    <w:rsid w:val="38F30730"/>
    <w:rsid w:val="392E030F"/>
    <w:rsid w:val="395E197D"/>
    <w:rsid w:val="399F745E"/>
    <w:rsid w:val="39A44A75"/>
    <w:rsid w:val="39D013C6"/>
    <w:rsid w:val="39D709A6"/>
    <w:rsid w:val="3A902A5A"/>
    <w:rsid w:val="3B1D688D"/>
    <w:rsid w:val="3BB61FCA"/>
    <w:rsid w:val="3CA8662A"/>
    <w:rsid w:val="3CD63197"/>
    <w:rsid w:val="3D8E5820"/>
    <w:rsid w:val="3DE90CA8"/>
    <w:rsid w:val="3DF31E6B"/>
    <w:rsid w:val="3E066647"/>
    <w:rsid w:val="3E5500EC"/>
    <w:rsid w:val="3EE51F65"/>
    <w:rsid w:val="3EFC4CA0"/>
    <w:rsid w:val="40255396"/>
    <w:rsid w:val="40371000"/>
    <w:rsid w:val="40A86BF9"/>
    <w:rsid w:val="40B97058"/>
    <w:rsid w:val="41151DB4"/>
    <w:rsid w:val="412B6973"/>
    <w:rsid w:val="426218BA"/>
    <w:rsid w:val="42E87780"/>
    <w:rsid w:val="441614F2"/>
    <w:rsid w:val="444B414F"/>
    <w:rsid w:val="46160AA8"/>
    <w:rsid w:val="46274A64"/>
    <w:rsid w:val="4695726A"/>
    <w:rsid w:val="46B04A59"/>
    <w:rsid w:val="475A49C5"/>
    <w:rsid w:val="47705F96"/>
    <w:rsid w:val="47737835"/>
    <w:rsid w:val="4852044E"/>
    <w:rsid w:val="48927F3F"/>
    <w:rsid w:val="49066BB2"/>
    <w:rsid w:val="499C12C5"/>
    <w:rsid w:val="4A646878"/>
    <w:rsid w:val="4B142792"/>
    <w:rsid w:val="4B5A4F93"/>
    <w:rsid w:val="4B7C13AE"/>
    <w:rsid w:val="4C267267"/>
    <w:rsid w:val="4CD90E06"/>
    <w:rsid w:val="4CEC4311"/>
    <w:rsid w:val="4D4C6EB0"/>
    <w:rsid w:val="4DB17D3F"/>
    <w:rsid w:val="4E197388"/>
    <w:rsid w:val="4F337AEB"/>
    <w:rsid w:val="4FB87BC6"/>
    <w:rsid w:val="50526B81"/>
    <w:rsid w:val="50B43398"/>
    <w:rsid w:val="51047D34"/>
    <w:rsid w:val="5266448B"/>
    <w:rsid w:val="5268268C"/>
    <w:rsid w:val="530D15CE"/>
    <w:rsid w:val="54C87E4F"/>
    <w:rsid w:val="54CD2C7A"/>
    <w:rsid w:val="555C7B5A"/>
    <w:rsid w:val="56BF65F2"/>
    <w:rsid w:val="56E55B57"/>
    <w:rsid w:val="57083360"/>
    <w:rsid w:val="575064D2"/>
    <w:rsid w:val="581D7A74"/>
    <w:rsid w:val="591075D9"/>
    <w:rsid w:val="59EE16C8"/>
    <w:rsid w:val="5A8B33BB"/>
    <w:rsid w:val="5A8E461A"/>
    <w:rsid w:val="5B550888"/>
    <w:rsid w:val="5BD82630"/>
    <w:rsid w:val="5D7A1F07"/>
    <w:rsid w:val="5E116979"/>
    <w:rsid w:val="5E420235"/>
    <w:rsid w:val="5E8E262A"/>
    <w:rsid w:val="5F335DCF"/>
    <w:rsid w:val="5F374E01"/>
    <w:rsid w:val="5F70731B"/>
    <w:rsid w:val="602776E2"/>
    <w:rsid w:val="609D1752"/>
    <w:rsid w:val="615C44D2"/>
    <w:rsid w:val="61A342D1"/>
    <w:rsid w:val="61AD3C17"/>
    <w:rsid w:val="622817F7"/>
    <w:rsid w:val="62650996"/>
    <w:rsid w:val="6280132C"/>
    <w:rsid w:val="629917AC"/>
    <w:rsid w:val="63012331"/>
    <w:rsid w:val="636F0D32"/>
    <w:rsid w:val="63D65B34"/>
    <w:rsid w:val="641A55C7"/>
    <w:rsid w:val="64C86FBA"/>
    <w:rsid w:val="64CC5572"/>
    <w:rsid w:val="65AF0328"/>
    <w:rsid w:val="66671B30"/>
    <w:rsid w:val="6727446C"/>
    <w:rsid w:val="67DB3C85"/>
    <w:rsid w:val="6822078F"/>
    <w:rsid w:val="68490412"/>
    <w:rsid w:val="688306D3"/>
    <w:rsid w:val="68B27D65"/>
    <w:rsid w:val="68D97EC3"/>
    <w:rsid w:val="69961435"/>
    <w:rsid w:val="6A7259FE"/>
    <w:rsid w:val="6AB9362D"/>
    <w:rsid w:val="6B7B1AB7"/>
    <w:rsid w:val="6CFC5A53"/>
    <w:rsid w:val="6D0D5EB2"/>
    <w:rsid w:val="6D2817E7"/>
    <w:rsid w:val="6D282CEC"/>
    <w:rsid w:val="6E8421A4"/>
    <w:rsid w:val="6FD35191"/>
    <w:rsid w:val="709B41F7"/>
    <w:rsid w:val="711A294B"/>
    <w:rsid w:val="712B62B9"/>
    <w:rsid w:val="715356CF"/>
    <w:rsid w:val="71A2280E"/>
    <w:rsid w:val="73BA0505"/>
    <w:rsid w:val="744C447E"/>
    <w:rsid w:val="74EF17B2"/>
    <w:rsid w:val="7559354D"/>
    <w:rsid w:val="75E60822"/>
    <w:rsid w:val="76C07AF1"/>
    <w:rsid w:val="770F5175"/>
    <w:rsid w:val="771A763D"/>
    <w:rsid w:val="77894387"/>
    <w:rsid w:val="77A47413"/>
    <w:rsid w:val="78085BF3"/>
    <w:rsid w:val="78F147CA"/>
    <w:rsid w:val="794D599B"/>
    <w:rsid w:val="798555D1"/>
    <w:rsid w:val="799F10C8"/>
    <w:rsid w:val="79D73ACF"/>
    <w:rsid w:val="7B4C4049"/>
    <w:rsid w:val="7B5F3D7C"/>
    <w:rsid w:val="7B837D9E"/>
    <w:rsid w:val="7B903FAB"/>
    <w:rsid w:val="7BD15BD0"/>
    <w:rsid w:val="7DE22A43"/>
    <w:rsid w:val="7EA20CF5"/>
    <w:rsid w:val="7EC02D84"/>
    <w:rsid w:val="7ECC24A0"/>
    <w:rsid w:val="7FF76C79"/>
    <w:rsid w:val="F7EBAD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0"/>
    <w:pPr>
      <w:spacing w:before="38"/>
      <w:ind w:left="892"/>
      <w:jc w:val="center"/>
      <w:outlineLvl w:val="0"/>
    </w:pPr>
    <w:rPr>
      <w:sz w:val="32"/>
      <w:szCs w:val="32"/>
    </w:rPr>
  </w:style>
  <w:style w:type="paragraph" w:styleId="3">
    <w:name w:val="heading 2"/>
    <w:basedOn w:val="1"/>
    <w:next w:val="1"/>
    <w:link w:val="43"/>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6"/>
    <w:autoRedefine/>
    <w:unhideWhenUsed/>
    <w:qFormat/>
    <w:uiPriority w:val="9"/>
    <w:pPr>
      <w:keepNext/>
      <w:keepLines/>
      <w:spacing w:line="360" w:lineRule="auto"/>
      <w:outlineLvl w:val="2"/>
    </w:pPr>
    <w:rPr>
      <w:rFonts w:asciiTheme="minorAscii" w:hAnsiTheme="minorAscii"/>
      <w:b/>
      <w:bCs/>
      <w:sz w:val="28"/>
      <w:szCs w:val="32"/>
    </w:rPr>
  </w:style>
  <w:style w:type="character" w:default="1" w:styleId="23">
    <w:name w:val="Default Paragraph Font"/>
    <w:autoRedefine/>
    <w:semiHidden/>
    <w:unhideWhenUsed/>
    <w:qFormat/>
    <w:uiPriority w:val="1"/>
  </w:style>
  <w:style w:type="table" w:default="1" w:styleId="21">
    <w:name w:val="Normal Table"/>
    <w:autoRedefine/>
    <w:semiHidden/>
    <w:unhideWhenUsed/>
    <w:qFormat/>
    <w:uiPriority w:val="99"/>
    <w:tblPr>
      <w:tblCellMar>
        <w:top w:w="0" w:type="dxa"/>
        <w:left w:w="108" w:type="dxa"/>
        <w:bottom w:w="0" w:type="dxa"/>
        <w:right w:w="108" w:type="dxa"/>
      </w:tblCellMar>
    </w:tblPr>
  </w:style>
  <w:style w:type="paragraph" w:styleId="5">
    <w:name w:val="annotation text"/>
    <w:basedOn w:val="1"/>
    <w:unhideWhenUsed/>
    <w:qFormat/>
    <w:uiPriority w:val="99"/>
    <w:rPr>
      <w:sz w:val="20"/>
    </w:rPr>
  </w:style>
  <w:style w:type="paragraph" w:styleId="6">
    <w:name w:val="Body Text"/>
    <w:basedOn w:val="1"/>
    <w:autoRedefine/>
    <w:qFormat/>
    <w:uiPriority w:val="0"/>
    <w:pPr>
      <w:adjustRightInd w:val="0"/>
      <w:jc w:val="left"/>
      <w:textAlignment w:val="baseline"/>
    </w:pPr>
    <w:rPr>
      <w:rFonts w:ascii="楷体_GB2312" w:eastAsia="楷体_GB2312"/>
      <w:kern w:val="0"/>
      <w:sz w:val="28"/>
      <w:szCs w:val="20"/>
    </w:rPr>
  </w:style>
  <w:style w:type="paragraph" w:styleId="7">
    <w:name w:val="Body Text Indent"/>
    <w:basedOn w:val="1"/>
    <w:autoRedefine/>
    <w:qFormat/>
    <w:uiPriority w:val="0"/>
    <w:pPr>
      <w:adjustRightInd w:val="0"/>
      <w:spacing w:after="120" w:line="360" w:lineRule="atLeast"/>
      <w:ind w:left="420"/>
      <w:jc w:val="left"/>
      <w:textAlignment w:val="baseline"/>
    </w:pPr>
    <w:rPr>
      <w:rFonts w:ascii="Times New Roman" w:hAnsi="Times New Roman" w:eastAsia="宋体" w:cs="Times New Roman"/>
      <w:kern w:val="0"/>
      <w:sz w:val="24"/>
      <w:szCs w:val="28"/>
    </w:rPr>
  </w:style>
  <w:style w:type="paragraph" w:styleId="8">
    <w:name w:val="Plain Text"/>
    <w:basedOn w:val="1"/>
    <w:autoRedefine/>
    <w:qFormat/>
    <w:uiPriority w:val="0"/>
    <w:rPr>
      <w:rFonts w:ascii="宋体" w:hAnsi="Courier New"/>
      <w:szCs w:val="20"/>
    </w:rPr>
  </w:style>
  <w:style w:type="paragraph" w:styleId="9">
    <w:name w:val="Body Text Indent 2"/>
    <w:basedOn w:val="1"/>
    <w:autoRedefine/>
    <w:qFormat/>
    <w:uiPriority w:val="0"/>
    <w:pPr>
      <w:spacing w:line="360" w:lineRule="auto"/>
      <w:ind w:left="1140"/>
    </w:pPr>
    <w:rPr>
      <w:rFonts w:ascii="宋体"/>
      <w:sz w:val="24"/>
      <w:szCs w:val="20"/>
    </w:rPr>
  </w:style>
  <w:style w:type="paragraph" w:styleId="10">
    <w:name w:val="Balloon Text"/>
    <w:basedOn w:val="1"/>
    <w:link w:val="41"/>
    <w:autoRedefine/>
    <w:semiHidden/>
    <w:unhideWhenUsed/>
    <w:qFormat/>
    <w:uiPriority w:val="99"/>
    <w:rPr>
      <w:sz w:val="18"/>
      <w:szCs w:val="18"/>
    </w:rPr>
  </w:style>
  <w:style w:type="paragraph" w:styleId="11">
    <w:name w:val="footer"/>
    <w:basedOn w:val="1"/>
    <w:link w:val="40"/>
    <w:autoRedefine/>
    <w:unhideWhenUsed/>
    <w:qFormat/>
    <w:uiPriority w:val="99"/>
    <w:pPr>
      <w:tabs>
        <w:tab w:val="center" w:pos="4153"/>
        <w:tab w:val="right" w:pos="8306"/>
      </w:tabs>
      <w:snapToGrid w:val="0"/>
      <w:jc w:val="left"/>
    </w:pPr>
    <w:rPr>
      <w:sz w:val="18"/>
      <w:szCs w:val="18"/>
    </w:rPr>
  </w:style>
  <w:style w:type="paragraph" w:styleId="12">
    <w:name w:val="envelope return"/>
    <w:basedOn w:val="1"/>
    <w:autoRedefine/>
    <w:qFormat/>
    <w:uiPriority w:val="99"/>
    <w:rPr>
      <w:rFonts w:ascii="Arial" w:hAnsi="Arial"/>
    </w:rPr>
  </w:style>
  <w:style w:type="paragraph" w:styleId="13">
    <w:name w:val="header"/>
    <w:basedOn w:val="1"/>
    <w:link w:val="3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autoRedefine/>
    <w:semiHidden/>
    <w:unhideWhenUsed/>
    <w:qFormat/>
    <w:uiPriority w:val="39"/>
  </w:style>
  <w:style w:type="paragraph" w:styleId="15">
    <w:name w:val="Subtitle"/>
    <w:basedOn w:val="1"/>
    <w:next w:val="1"/>
    <w:link w:val="46"/>
    <w:autoRedefine/>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16">
    <w:name w:val="Body Text 2"/>
    <w:basedOn w:val="1"/>
    <w:next w:val="8"/>
    <w:autoRedefine/>
    <w:qFormat/>
    <w:uiPriority w:val="0"/>
    <w:pPr>
      <w:spacing w:line="360" w:lineRule="auto"/>
    </w:pPr>
    <w:rPr>
      <w:sz w:val="24"/>
      <w:szCs w:val="20"/>
    </w:rPr>
  </w:style>
  <w:style w:type="paragraph" w:styleId="17">
    <w:name w:val="Message Header"/>
    <w:basedOn w:val="1"/>
    <w:autoRedefine/>
    <w:qFormat/>
    <w:uiPriority w:val="0"/>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Arial" w:hAnsi="Arial" w:cs="Arial"/>
      <w:sz w:val="24"/>
      <w:szCs w:val="24"/>
    </w:rPr>
  </w:style>
  <w:style w:type="paragraph" w:styleId="18">
    <w:name w:val="Normal (Web)"/>
    <w:basedOn w:val="1"/>
    <w:autoRedefine/>
    <w:unhideWhenUsed/>
    <w:qFormat/>
    <w:uiPriority w:val="99"/>
    <w:rPr>
      <w:rFonts w:ascii="Times New Roman" w:hAnsi="Times New Roman" w:cs="Times New Roman"/>
      <w:sz w:val="24"/>
      <w:szCs w:val="24"/>
    </w:rPr>
  </w:style>
  <w:style w:type="paragraph" w:styleId="19">
    <w:name w:val="Body Text First Indent"/>
    <w:basedOn w:val="6"/>
    <w:autoRedefine/>
    <w:qFormat/>
    <w:uiPriority w:val="99"/>
    <w:pPr>
      <w:spacing w:after="120"/>
      <w:ind w:firstLine="420" w:firstLineChars="100"/>
    </w:pPr>
    <w:rPr>
      <w:rFonts w:ascii="Times New Roman" w:hAnsi="Times New Roman" w:cs="Times New Roman"/>
      <w:sz w:val="21"/>
      <w:szCs w:val="21"/>
    </w:rPr>
  </w:style>
  <w:style w:type="paragraph" w:styleId="20">
    <w:name w:val="Body Text First Indent 2"/>
    <w:basedOn w:val="7"/>
    <w:next w:val="19"/>
    <w:autoRedefine/>
    <w:unhideWhenUsed/>
    <w:qFormat/>
    <w:uiPriority w:val="99"/>
    <w:pPr>
      <w:ind w:firstLine="420" w:firstLineChars="200"/>
    </w:pPr>
  </w:style>
  <w:style w:type="table" w:styleId="22">
    <w:name w:val="Table Grid"/>
    <w:basedOn w:val="21"/>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basedOn w:val="23"/>
    <w:autoRedefine/>
    <w:qFormat/>
    <w:uiPriority w:val="22"/>
    <w:rPr>
      <w:b/>
      <w:bCs/>
    </w:rPr>
  </w:style>
  <w:style w:type="character" w:styleId="25">
    <w:name w:val="FollowedHyperlink"/>
    <w:basedOn w:val="23"/>
    <w:autoRedefine/>
    <w:semiHidden/>
    <w:unhideWhenUsed/>
    <w:qFormat/>
    <w:uiPriority w:val="99"/>
    <w:rPr>
      <w:color w:val="800080"/>
      <w:u w:val="none"/>
    </w:rPr>
  </w:style>
  <w:style w:type="character" w:styleId="26">
    <w:name w:val="Emphasis"/>
    <w:basedOn w:val="23"/>
    <w:autoRedefine/>
    <w:qFormat/>
    <w:uiPriority w:val="20"/>
    <w:rPr>
      <w:b/>
      <w:bCs/>
    </w:rPr>
  </w:style>
  <w:style w:type="character" w:styleId="27">
    <w:name w:val="HTML Definition"/>
    <w:basedOn w:val="23"/>
    <w:autoRedefine/>
    <w:semiHidden/>
    <w:unhideWhenUsed/>
    <w:qFormat/>
    <w:uiPriority w:val="99"/>
  </w:style>
  <w:style w:type="character" w:styleId="28">
    <w:name w:val="HTML Typewriter"/>
    <w:basedOn w:val="23"/>
    <w:autoRedefine/>
    <w:semiHidden/>
    <w:unhideWhenUsed/>
    <w:qFormat/>
    <w:uiPriority w:val="99"/>
    <w:rPr>
      <w:rFonts w:hint="default" w:ascii="monospace" w:hAnsi="monospace" w:eastAsia="monospace" w:cs="monospace"/>
      <w:sz w:val="20"/>
    </w:rPr>
  </w:style>
  <w:style w:type="character" w:styleId="29">
    <w:name w:val="HTML Acronym"/>
    <w:basedOn w:val="23"/>
    <w:autoRedefine/>
    <w:semiHidden/>
    <w:unhideWhenUsed/>
    <w:qFormat/>
    <w:uiPriority w:val="99"/>
  </w:style>
  <w:style w:type="character" w:styleId="30">
    <w:name w:val="HTML Variable"/>
    <w:basedOn w:val="23"/>
    <w:autoRedefine/>
    <w:semiHidden/>
    <w:unhideWhenUsed/>
    <w:qFormat/>
    <w:uiPriority w:val="99"/>
  </w:style>
  <w:style w:type="character" w:styleId="31">
    <w:name w:val="Hyperlink"/>
    <w:basedOn w:val="23"/>
    <w:autoRedefine/>
    <w:unhideWhenUsed/>
    <w:qFormat/>
    <w:uiPriority w:val="99"/>
    <w:rPr>
      <w:color w:val="0000FF" w:themeColor="hyperlink"/>
      <w:u w:val="single"/>
      <w14:textFill>
        <w14:solidFill>
          <w14:schemeClr w14:val="hlink"/>
        </w14:solidFill>
      </w14:textFill>
    </w:rPr>
  </w:style>
  <w:style w:type="character" w:styleId="32">
    <w:name w:val="HTML Code"/>
    <w:basedOn w:val="23"/>
    <w:autoRedefine/>
    <w:semiHidden/>
    <w:unhideWhenUsed/>
    <w:qFormat/>
    <w:uiPriority w:val="99"/>
    <w:rPr>
      <w:rFonts w:hint="default" w:ascii="monospace" w:hAnsi="monospace" w:eastAsia="monospace" w:cs="monospace"/>
      <w:sz w:val="20"/>
    </w:rPr>
  </w:style>
  <w:style w:type="character" w:styleId="33">
    <w:name w:val="HTML Cite"/>
    <w:basedOn w:val="23"/>
    <w:autoRedefine/>
    <w:semiHidden/>
    <w:unhideWhenUsed/>
    <w:qFormat/>
    <w:uiPriority w:val="99"/>
  </w:style>
  <w:style w:type="character" w:styleId="34">
    <w:name w:val="HTML Keyboard"/>
    <w:basedOn w:val="23"/>
    <w:autoRedefine/>
    <w:semiHidden/>
    <w:unhideWhenUsed/>
    <w:qFormat/>
    <w:uiPriority w:val="99"/>
    <w:rPr>
      <w:rFonts w:hint="default" w:ascii="monospace" w:hAnsi="monospace" w:eastAsia="monospace" w:cs="monospace"/>
      <w:sz w:val="20"/>
    </w:rPr>
  </w:style>
  <w:style w:type="character" w:styleId="35">
    <w:name w:val="HTML Sample"/>
    <w:basedOn w:val="23"/>
    <w:autoRedefine/>
    <w:semiHidden/>
    <w:unhideWhenUsed/>
    <w:qFormat/>
    <w:uiPriority w:val="99"/>
    <w:rPr>
      <w:rFonts w:ascii="monospace" w:hAnsi="monospace" w:eastAsia="monospace" w:cs="monospace"/>
    </w:rPr>
  </w:style>
  <w:style w:type="character" w:customStyle="1" w:styleId="36">
    <w:name w:val="标题 3 Char"/>
    <w:basedOn w:val="23"/>
    <w:link w:val="4"/>
    <w:autoRedefine/>
    <w:qFormat/>
    <w:uiPriority w:val="9"/>
    <w:rPr>
      <w:rFonts w:asciiTheme="minorAscii" w:hAnsiTheme="minorAscii" w:eastAsiaTheme="minorEastAsia"/>
      <w:b/>
      <w:bCs/>
      <w:sz w:val="28"/>
      <w:szCs w:val="32"/>
    </w:rPr>
  </w:style>
  <w:style w:type="paragraph" w:styleId="37">
    <w:name w:val="No Spacing"/>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
    <w:name w:val="Default"/>
    <w:basedOn w:val="1"/>
    <w:autoRedefine/>
    <w:qFormat/>
    <w:uiPriority w:val="0"/>
    <w:pPr>
      <w:autoSpaceDE w:val="0"/>
      <w:autoSpaceDN w:val="0"/>
      <w:adjustRightInd w:val="0"/>
      <w:jc w:val="left"/>
    </w:pPr>
    <w:rPr>
      <w:rFonts w:ascii="Calibri" w:hAnsi="Calibri"/>
      <w:color w:val="000000"/>
      <w:kern w:val="0"/>
      <w:sz w:val="24"/>
      <w:szCs w:val="24"/>
    </w:rPr>
  </w:style>
  <w:style w:type="character" w:customStyle="1" w:styleId="39">
    <w:name w:val="页眉 Char"/>
    <w:basedOn w:val="23"/>
    <w:link w:val="13"/>
    <w:autoRedefine/>
    <w:qFormat/>
    <w:uiPriority w:val="99"/>
    <w:rPr>
      <w:sz w:val="18"/>
      <w:szCs w:val="18"/>
    </w:rPr>
  </w:style>
  <w:style w:type="character" w:customStyle="1" w:styleId="40">
    <w:name w:val="页脚 Char"/>
    <w:basedOn w:val="23"/>
    <w:link w:val="11"/>
    <w:autoRedefine/>
    <w:qFormat/>
    <w:uiPriority w:val="99"/>
    <w:rPr>
      <w:sz w:val="18"/>
      <w:szCs w:val="18"/>
    </w:rPr>
  </w:style>
  <w:style w:type="character" w:customStyle="1" w:styleId="41">
    <w:name w:val="批注框文本 Char"/>
    <w:basedOn w:val="23"/>
    <w:link w:val="10"/>
    <w:autoRedefine/>
    <w:semiHidden/>
    <w:qFormat/>
    <w:uiPriority w:val="99"/>
    <w:rPr>
      <w:sz w:val="18"/>
      <w:szCs w:val="18"/>
    </w:rPr>
  </w:style>
  <w:style w:type="paragraph" w:styleId="42">
    <w:name w:val="List Paragraph"/>
    <w:basedOn w:val="1"/>
    <w:autoRedefine/>
    <w:qFormat/>
    <w:uiPriority w:val="99"/>
    <w:pPr>
      <w:ind w:firstLine="420" w:firstLineChars="200"/>
    </w:pPr>
  </w:style>
  <w:style w:type="character" w:customStyle="1" w:styleId="43">
    <w:name w:val="标题 2 Char"/>
    <w:basedOn w:val="23"/>
    <w:link w:val="3"/>
    <w:autoRedefine/>
    <w:qFormat/>
    <w:uiPriority w:val="9"/>
    <w:rPr>
      <w:rFonts w:asciiTheme="majorHAnsi" w:hAnsiTheme="majorHAnsi" w:eastAsiaTheme="majorEastAsia" w:cstheme="majorBidi"/>
      <w:b/>
      <w:bCs/>
      <w:sz w:val="32"/>
      <w:szCs w:val="32"/>
    </w:rPr>
  </w:style>
  <w:style w:type="paragraph" w:customStyle="1" w:styleId="44">
    <w:name w:val="正文 New New New New"/>
    <w:autoRedefine/>
    <w:qFormat/>
    <w:uiPriority w:val="0"/>
    <w:pPr>
      <w:widowControl w:val="0"/>
      <w:jc w:val="both"/>
    </w:pPr>
    <w:rPr>
      <w:rFonts w:ascii="Times New Roman" w:hAnsi="Times New Roman" w:eastAsia="宋体" w:cs="Times New Roman"/>
      <w:szCs w:val="24"/>
      <w:lang w:val="en-US" w:eastAsia="zh-CN" w:bidi="ar-SA"/>
    </w:rPr>
  </w:style>
  <w:style w:type="paragraph" w:customStyle="1" w:styleId="45">
    <w:name w:val="列出段落1"/>
    <w:basedOn w:val="1"/>
    <w:autoRedefine/>
    <w:qFormat/>
    <w:uiPriority w:val="34"/>
    <w:pPr>
      <w:ind w:firstLine="420" w:firstLineChars="200"/>
    </w:pPr>
    <w:rPr>
      <w:szCs w:val="24"/>
    </w:rPr>
  </w:style>
  <w:style w:type="character" w:customStyle="1" w:styleId="46">
    <w:name w:val="副标题 Char"/>
    <w:basedOn w:val="23"/>
    <w:link w:val="15"/>
    <w:autoRedefine/>
    <w:qFormat/>
    <w:uiPriority w:val="11"/>
    <w:rPr>
      <w:rFonts w:eastAsia="宋体" w:asciiTheme="majorHAnsi" w:hAnsiTheme="majorHAnsi" w:cstheme="majorBidi"/>
      <w:b/>
      <w:bCs/>
      <w:kern w:val="28"/>
      <w:sz w:val="32"/>
      <w:szCs w:val="32"/>
    </w:rPr>
  </w:style>
  <w:style w:type="paragraph" w:customStyle="1" w:styleId="47">
    <w:name w:val="Table Paragraph"/>
    <w:basedOn w:val="1"/>
    <w:autoRedefine/>
    <w:qFormat/>
    <w:uiPriority w:val="1"/>
    <w:rPr>
      <w:rFonts w:hAnsi="宋体" w:cs="宋体"/>
    </w:rPr>
  </w:style>
  <w:style w:type="character" w:customStyle="1" w:styleId="48">
    <w:name w:val="font41"/>
    <w:basedOn w:val="23"/>
    <w:autoRedefine/>
    <w:qFormat/>
    <w:uiPriority w:val="0"/>
    <w:rPr>
      <w:rFonts w:hint="default" w:ascii="Times New Roman" w:hAnsi="Times New Roman" w:cs="Times New Roman"/>
      <w:color w:val="000000"/>
      <w:sz w:val="18"/>
      <w:szCs w:val="18"/>
      <w:u w:val="none"/>
    </w:rPr>
  </w:style>
  <w:style w:type="character" w:customStyle="1" w:styleId="49">
    <w:name w:val="first-child"/>
    <w:basedOn w:val="23"/>
    <w:autoRedefine/>
    <w:qFormat/>
    <w:uiPriority w:val="0"/>
  </w:style>
  <w:style w:type="character" w:customStyle="1" w:styleId="50">
    <w:name w:val="layui-layer-tabnow"/>
    <w:basedOn w:val="23"/>
    <w:autoRedefine/>
    <w:qFormat/>
    <w:uiPriority w:val="0"/>
    <w:rPr>
      <w:bdr w:val="single" w:color="CCCCCC" w:sz="6" w:space="0"/>
      <w:shd w:val="clear" w:color="auto" w:fill="FFFFFF"/>
    </w:rPr>
  </w:style>
  <w:style w:type="character" w:customStyle="1" w:styleId="51">
    <w:name w:val="hover"/>
    <w:basedOn w:val="23"/>
    <w:autoRedefine/>
    <w:qFormat/>
    <w:uiPriority w:val="0"/>
    <w:rPr>
      <w:color w:val="2590EB"/>
    </w:rPr>
  </w:style>
  <w:style w:type="character" w:customStyle="1" w:styleId="52">
    <w:name w:val="hover1"/>
    <w:basedOn w:val="23"/>
    <w:autoRedefine/>
    <w:qFormat/>
    <w:uiPriority w:val="0"/>
    <w:rPr>
      <w:color w:val="2590EB"/>
    </w:rPr>
  </w:style>
  <w:style w:type="character" w:customStyle="1" w:styleId="53">
    <w:name w:val="hover2"/>
    <w:basedOn w:val="23"/>
    <w:autoRedefine/>
    <w:qFormat/>
    <w:uiPriority w:val="0"/>
  </w:style>
  <w:style w:type="character" w:customStyle="1" w:styleId="54">
    <w:name w:val="mini-outputtext1"/>
    <w:basedOn w:val="23"/>
    <w:autoRedefine/>
    <w:qFormat/>
    <w:uiPriority w:val="0"/>
  </w:style>
  <w:style w:type="character" w:customStyle="1" w:styleId="55">
    <w:name w:val="hover3"/>
    <w:basedOn w:val="23"/>
    <w:autoRedefine/>
    <w:qFormat/>
    <w:uiPriority w:val="0"/>
  </w:style>
  <w:style w:type="paragraph" w:customStyle="1" w:styleId="56">
    <w:name w:val="WPSOffice手动目录 1"/>
    <w:autoRedefine/>
    <w:qFormat/>
    <w:uiPriority w:val="0"/>
    <w:pPr>
      <w:ind w:leftChars="0"/>
    </w:pPr>
    <w:rPr>
      <w:rFonts w:ascii="Times New Roman" w:hAnsi="Times New Roman" w:eastAsia="宋体" w:cs="Times New Roman"/>
      <w:sz w:val="20"/>
      <w:szCs w:val="20"/>
    </w:rPr>
  </w:style>
  <w:style w:type="paragraph" w:customStyle="1" w:styleId="57">
    <w:name w:val="无间隔1"/>
    <w:autoRedefine/>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58">
    <w:name w:val="font11"/>
    <w:basedOn w:val="23"/>
    <w:autoRedefine/>
    <w:qFormat/>
    <w:uiPriority w:val="0"/>
    <w:rPr>
      <w:rFonts w:hint="eastAsia" w:ascii="宋体" w:hAnsi="宋体" w:eastAsia="宋体" w:cs="宋体"/>
      <w:color w:val="000000"/>
      <w:sz w:val="20"/>
      <w:szCs w:val="20"/>
      <w:u w:val="none"/>
    </w:rPr>
  </w:style>
  <w:style w:type="paragraph" w:customStyle="1" w:styleId="59">
    <w:name w:val="Table Text"/>
    <w:basedOn w:val="1"/>
    <w:semiHidden/>
    <w:qFormat/>
    <w:uiPriority w:val="0"/>
    <w:rPr>
      <w:rFonts w:ascii="宋体" w:hAnsi="宋体" w:eastAsia="宋体" w:cs="宋体"/>
      <w:sz w:val="24"/>
      <w:szCs w:val="24"/>
      <w:lang w:eastAsia="en-US"/>
    </w:rPr>
  </w:style>
  <w:style w:type="paragraph" w:customStyle="1" w:styleId="60">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61</Pages>
  <Words>27869</Words>
  <Characters>29389</Characters>
  <Lines>165</Lines>
  <Paragraphs>46</Paragraphs>
  <TotalTime>9</TotalTime>
  <ScaleCrop>false</ScaleCrop>
  <LinksUpToDate>false</LinksUpToDate>
  <CharactersWithSpaces>33167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2023-11-28T07:17:00Z</dcterms:created>
  <dc:creator>MY</dc:creator>
  <cp:lastModifiedBy>XXXX</cp:lastModifiedBy>
  <dcterms:modified xsi:type="dcterms:W3CDTF">2025-09-26T06:55:42Z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2368BA96541A4D92A95A72F9461F6788_13</vt:lpwstr>
  </property>
  <property fmtid="{D5CDD505-2E9C-101B-9397-08002B2CF9AE}" pid="4" name="KSOTemplateDocerSaveRecord">
    <vt:lpwstr>eyJoZGlkIjoiYzM2MjViMjJhZmZiYWU4ZjM0NmIxMGJlYzRmYTAzNzgiLCJ1c2VySWQiOiIxNDg1NDYxMjczIn0=</vt:lpwstr>
  </property>
</Properties>
</file>