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931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评标委员会对所有投标人投标文件的总分排序</w:t>
      </w:r>
    </w:p>
    <w:p w14:paraId="5B1A846D">
      <w:r>
        <w:drawing>
          <wp:inline distT="0" distB="0" distL="0" distR="0">
            <wp:extent cx="5274310" cy="27406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77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DC"/>
    <w:rsid w:val="001C2AF9"/>
    <w:rsid w:val="00273E47"/>
    <w:rsid w:val="00591C96"/>
    <w:rsid w:val="00592784"/>
    <w:rsid w:val="009017CD"/>
    <w:rsid w:val="00BC0528"/>
    <w:rsid w:val="00D0418A"/>
    <w:rsid w:val="00D13796"/>
    <w:rsid w:val="00EC5C29"/>
    <w:rsid w:val="00F812DC"/>
    <w:rsid w:val="00FE3A06"/>
    <w:rsid w:val="555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2024-09-06T04:11:00Z</dcterms:created>
  <dc:creator>河南瑞之华工程管理有限公司:王秋燕</dc:creator>
  <cp:lastModifiedBy>汇龙工程咨询有限公司:陈星</cp:lastModifiedBy>
  <dcterms:modified xsi:type="dcterms:W3CDTF">2025-10-30T07:40:52Z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484FEB5BD260455E92F41F91CB1570A7_13</vt:lpwstr>
  </property>
</Properties>
</file>