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8D65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Cs/>
          <w:sz w:val="32"/>
          <w:szCs w:val="32"/>
        </w:rPr>
      </w:pPr>
    </w:p>
    <w:p w14:paraId="46695539">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jc w:val="center"/>
        <w:textAlignment w:val="auto"/>
        <w:rPr>
          <w:rFonts w:hint="eastAsia" w:ascii="宋体" w:hAnsi="宋体" w:eastAsia="宋体" w:cs="宋体"/>
          <w:b/>
          <w:bCs w:val="0"/>
          <w:sz w:val="48"/>
          <w:szCs w:val="48"/>
          <w:lang w:eastAsia="zh-CN"/>
        </w:rPr>
      </w:pPr>
      <w:r>
        <w:rPr>
          <w:rFonts w:hint="eastAsia" w:cs="宋体"/>
          <w:b/>
          <w:bCs w:val="0"/>
          <w:sz w:val="44"/>
          <w:szCs w:val="44"/>
          <w:lang w:val="en-US" w:eastAsia="zh-CN"/>
        </w:rPr>
        <w:t>嵩山实验室多模态智慧云网环境关键技术研究与验证（一期）-网络底座建设项目</w:t>
      </w:r>
    </w:p>
    <w:p w14:paraId="4C8A0F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Cs/>
          <w:sz w:val="32"/>
          <w:szCs w:val="32"/>
          <w:lang w:eastAsia="zh-CN"/>
        </w:rPr>
      </w:pPr>
    </w:p>
    <w:p w14:paraId="4A3A78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Cs/>
          <w:sz w:val="32"/>
          <w:szCs w:val="32"/>
          <w:lang w:eastAsia="zh-CN"/>
        </w:rPr>
      </w:pPr>
    </w:p>
    <w:p w14:paraId="2C9347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Cs/>
          <w:sz w:val="32"/>
          <w:szCs w:val="32"/>
          <w:lang w:eastAsia="zh-CN"/>
        </w:rPr>
      </w:pPr>
    </w:p>
    <w:p w14:paraId="0E8127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Cs/>
          <w:sz w:val="32"/>
          <w:szCs w:val="32"/>
          <w:lang w:eastAsia="zh-CN"/>
        </w:rPr>
      </w:pPr>
    </w:p>
    <w:p w14:paraId="144F963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sz w:val="84"/>
          <w:szCs w:val="84"/>
          <w:lang w:val="en-US" w:eastAsia="zh-CN"/>
        </w:rPr>
      </w:pPr>
      <w:r>
        <w:rPr>
          <w:rFonts w:hint="eastAsia" w:ascii="宋体" w:hAnsi="宋体" w:eastAsia="宋体" w:cs="宋体"/>
          <w:b/>
          <w:bCs w:val="0"/>
          <w:spacing w:val="113"/>
          <w:sz w:val="84"/>
          <w:szCs w:val="84"/>
          <w:lang w:val="en-US" w:eastAsia="zh-CN"/>
        </w:rPr>
        <w:t>招标</w:t>
      </w:r>
      <w:r>
        <w:rPr>
          <w:rFonts w:hint="eastAsia" w:ascii="宋体" w:hAnsi="宋体" w:eastAsia="宋体" w:cs="宋体"/>
          <w:b/>
          <w:bCs w:val="0"/>
          <w:spacing w:val="113"/>
          <w:sz w:val="84"/>
          <w:szCs w:val="84"/>
        </w:rPr>
        <w:t>文</w:t>
      </w:r>
      <w:r>
        <w:rPr>
          <w:rFonts w:hint="eastAsia" w:ascii="宋体" w:hAnsi="宋体" w:eastAsia="宋体" w:cs="宋体"/>
          <w:b/>
          <w:bCs w:val="0"/>
          <w:spacing w:val="113"/>
          <w:sz w:val="84"/>
          <w:szCs w:val="84"/>
          <w:lang w:val="en-US" w:eastAsia="zh-CN"/>
        </w:rPr>
        <w:t>件</w:t>
      </w:r>
    </w:p>
    <w:p w14:paraId="2AAFA1B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32"/>
          <w:szCs w:val="32"/>
        </w:rPr>
      </w:pPr>
      <w:r>
        <w:rPr>
          <w:rFonts w:hint="eastAsia" w:ascii="宋体" w:hAnsi="宋体" w:eastAsia="宋体" w:cs="宋体"/>
          <w:bCs/>
          <w:sz w:val="32"/>
          <w:szCs w:val="32"/>
        </w:rPr>
        <w:drawing>
          <wp:inline distT="0" distB="0" distL="114300" distR="114300">
            <wp:extent cx="1927225" cy="1035050"/>
            <wp:effectExtent l="0" t="0" r="15875" b="12700"/>
            <wp:docPr id="1" name="图片 1" descr="徽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徽标"/>
                    <pic:cNvPicPr>
                      <a:picLocks noChangeAspect="1"/>
                    </pic:cNvPicPr>
                  </pic:nvPicPr>
                  <pic:blipFill>
                    <a:blip r:embed="rId7">
                      <a:lum contrast="11999"/>
                    </a:blip>
                    <a:srcRect t="21506" b="9140"/>
                    <a:stretch>
                      <a:fillRect/>
                    </a:stretch>
                  </pic:blipFill>
                  <pic:spPr>
                    <a:xfrm>
                      <a:off x="0" y="0"/>
                      <a:ext cx="1927225" cy="1035050"/>
                    </a:xfrm>
                    <a:prstGeom prst="rect">
                      <a:avLst/>
                    </a:prstGeom>
                    <a:noFill/>
                    <a:ln>
                      <a:noFill/>
                    </a:ln>
                  </pic:spPr>
                </pic:pic>
              </a:graphicData>
            </a:graphic>
          </wp:inline>
        </w:drawing>
      </w:r>
    </w:p>
    <w:p w14:paraId="6FBB2D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Cs/>
          <w:sz w:val="32"/>
          <w:szCs w:val="32"/>
          <w:lang w:eastAsia="zh-CN"/>
        </w:rPr>
      </w:pPr>
    </w:p>
    <w:p w14:paraId="634467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Cs/>
          <w:sz w:val="32"/>
          <w:szCs w:val="32"/>
          <w:lang w:eastAsia="zh-CN"/>
        </w:rPr>
      </w:pPr>
    </w:p>
    <w:p w14:paraId="3422C4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Cs/>
          <w:sz w:val="32"/>
          <w:szCs w:val="32"/>
          <w:lang w:eastAsia="zh-CN"/>
        </w:rPr>
      </w:pPr>
    </w:p>
    <w:p w14:paraId="4FCED6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Cs/>
          <w:sz w:val="32"/>
          <w:szCs w:val="32"/>
          <w:lang w:eastAsia="zh-CN"/>
        </w:rPr>
      </w:pPr>
    </w:p>
    <w:p w14:paraId="6240FA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Cs/>
          <w:sz w:val="32"/>
          <w:szCs w:val="32"/>
          <w:lang w:eastAsia="zh-CN"/>
        </w:rPr>
      </w:pPr>
    </w:p>
    <w:p w14:paraId="23A789BE">
      <w:pPr>
        <w:keepNext w:val="0"/>
        <w:keepLines w:val="0"/>
        <w:pageBreakBefore w:val="0"/>
        <w:widowControl w:val="0"/>
        <w:kinsoku/>
        <w:wordWrap/>
        <w:overflowPunct/>
        <w:topLinePunct w:val="0"/>
        <w:autoSpaceDE/>
        <w:autoSpaceDN/>
        <w:bidi w:val="0"/>
        <w:adjustRightInd/>
        <w:snapToGrid/>
        <w:spacing w:line="700" w:lineRule="exact"/>
        <w:ind w:left="0" w:leftChars="0" w:firstLine="637" w:firstLineChars="177"/>
        <w:jc w:val="both"/>
        <w:textAlignment w:val="auto"/>
        <w:rPr>
          <w:rFonts w:hint="eastAsia" w:ascii="宋体" w:hAnsi="宋体" w:eastAsia="宋体" w:cs="宋体"/>
          <w:b/>
          <w:bCs w:val="0"/>
          <w:sz w:val="36"/>
          <w:szCs w:val="36"/>
          <w:lang w:val="en-US" w:eastAsia="zh-CN"/>
        </w:rPr>
      </w:pPr>
      <w:r>
        <w:rPr>
          <w:rFonts w:hint="eastAsia" w:ascii="宋体" w:hAnsi="宋体" w:eastAsia="宋体" w:cs="宋体"/>
          <w:b/>
          <w:bCs w:val="0"/>
          <w:sz w:val="36"/>
          <w:szCs w:val="36"/>
          <w:lang w:val="en-US" w:eastAsia="zh-CN"/>
        </w:rPr>
        <w:t>采 购 人</w:t>
      </w:r>
      <w:r>
        <w:rPr>
          <w:rFonts w:hint="eastAsia" w:ascii="宋体" w:hAnsi="宋体" w:eastAsia="宋体" w:cs="宋体"/>
          <w:b/>
          <w:bCs w:val="0"/>
          <w:sz w:val="36"/>
          <w:szCs w:val="36"/>
        </w:rPr>
        <w:t>：</w:t>
      </w:r>
      <w:r>
        <w:rPr>
          <w:rFonts w:hint="eastAsia" w:ascii="宋体" w:hAnsi="宋体" w:eastAsia="宋体" w:cs="宋体"/>
          <w:b/>
          <w:bCs w:val="0"/>
          <w:sz w:val="36"/>
          <w:szCs w:val="36"/>
          <w:lang w:val="en-US" w:eastAsia="zh-CN"/>
        </w:rPr>
        <w:t>嵩山实验室</w:t>
      </w:r>
    </w:p>
    <w:p w14:paraId="7A1F173F">
      <w:pPr>
        <w:keepNext w:val="0"/>
        <w:keepLines w:val="0"/>
        <w:pageBreakBefore w:val="0"/>
        <w:widowControl w:val="0"/>
        <w:kinsoku/>
        <w:wordWrap/>
        <w:overflowPunct/>
        <w:topLinePunct w:val="0"/>
        <w:autoSpaceDE/>
        <w:autoSpaceDN/>
        <w:bidi w:val="0"/>
        <w:adjustRightInd/>
        <w:snapToGrid/>
        <w:spacing w:line="700" w:lineRule="exact"/>
        <w:ind w:left="0" w:leftChars="0" w:firstLine="637" w:firstLineChars="177"/>
        <w:jc w:val="both"/>
        <w:textAlignment w:val="auto"/>
        <w:rPr>
          <w:rFonts w:hint="eastAsia" w:ascii="宋体" w:hAnsi="宋体" w:eastAsia="宋体" w:cs="宋体"/>
          <w:b/>
          <w:bCs w:val="0"/>
          <w:sz w:val="36"/>
          <w:szCs w:val="36"/>
        </w:rPr>
      </w:pPr>
      <w:r>
        <w:rPr>
          <w:rFonts w:hint="eastAsia" w:ascii="宋体" w:hAnsi="宋体" w:eastAsia="宋体" w:cs="宋体"/>
          <w:b/>
          <w:bCs w:val="0"/>
          <w:sz w:val="36"/>
          <w:szCs w:val="36"/>
        </w:rPr>
        <w:t>代理机构：河南省伟信招标管理咨询有限公司</w:t>
      </w:r>
    </w:p>
    <w:p w14:paraId="523AB23C">
      <w:pPr>
        <w:keepNext w:val="0"/>
        <w:keepLines w:val="0"/>
        <w:pageBreakBefore w:val="0"/>
        <w:widowControl w:val="0"/>
        <w:kinsoku/>
        <w:wordWrap/>
        <w:overflowPunct/>
        <w:topLinePunct w:val="0"/>
        <w:autoSpaceDE/>
        <w:autoSpaceDN/>
        <w:bidi w:val="0"/>
        <w:adjustRightInd/>
        <w:snapToGrid/>
        <w:spacing w:line="700" w:lineRule="exact"/>
        <w:ind w:left="0" w:leftChars="0" w:firstLine="637" w:firstLineChars="177"/>
        <w:jc w:val="both"/>
        <w:textAlignment w:val="auto"/>
        <w:rPr>
          <w:rFonts w:hint="eastAsia" w:ascii="宋体" w:hAnsi="宋体" w:eastAsia="宋体" w:cs="宋体"/>
          <w:b/>
          <w:bCs w:val="0"/>
          <w:sz w:val="36"/>
          <w:szCs w:val="36"/>
        </w:rPr>
      </w:pPr>
      <w:r>
        <w:rPr>
          <w:rFonts w:hint="eastAsia" w:ascii="宋体" w:hAnsi="宋体" w:eastAsia="宋体" w:cs="宋体"/>
          <w:b/>
          <w:bCs w:val="0"/>
          <w:sz w:val="36"/>
          <w:szCs w:val="36"/>
        </w:rPr>
        <w:t>时    间：二</w:t>
      </w:r>
      <w:r>
        <w:rPr>
          <w:rFonts w:hint="eastAsia" w:ascii="宋体" w:hAnsi="宋体" w:eastAsia="宋体" w:cs="宋体"/>
          <w:b/>
          <w:bCs w:val="0"/>
          <w:sz w:val="36"/>
          <w:szCs w:val="36"/>
          <w:lang w:val="en-US" w:eastAsia="zh-CN"/>
        </w:rPr>
        <w:t>〇二</w:t>
      </w:r>
      <w:r>
        <w:rPr>
          <w:rFonts w:hint="eastAsia" w:cs="宋体"/>
          <w:b/>
          <w:bCs w:val="0"/>
          <w:sz w:val="36"/>
          <w:szCs w:val="36"/>
          <w:lang w:val="en-US" w:eastAsia="zh-CN"/>
        </w:rPr>
        <w:t>五</w:t>
      </w:r>
      <w:r>
        <w:rPr>
          <w:rFonts w:hint="eastAsia" w:ascii="宋体" w:hAnsi="宋体" w:eastAsia="宋体" w:cs="宋体"/>
          <w:b/>
          <w:bCs w:val="0"/>
          <w:sz w:val="36"/>
          <w:szCs w:val="36"/>
        </w:rPr>
        <w:t>年</w:t>
      </w:r>
      <w:r>
        <w:rPr>
          <w:rFonts w:hint="eastAsia" w:cs="宋体"/>
          <w:b/>
          <w:bCs w:val="0"/>
          <w:sz w:val="36"/>
          <w:szCs w:val="36"/>
          <w:lang w:val="en-US" w:eastAsia="zh-CN"/>
        </w:rPr>
        <w:t>二</w:t>
      </w:r>
      <w:r>
        <w:rPr>
          <w:rFonts w:hint="eastAsia" w:ascii="宋体" w:hAnsi="宋体" w:eastAsia="宋体" w:cs="宋体"/>
          <w:b/>
          <w:bCs w:val="0"/>
          <w:sz w:val="36"/>
          <w:szCs w:val="36"/>
        </w:rPr>
        <w:t>月</w:t>
      </w:r>
    </w:p>
    <w:p w14:paraId="3837128D">
      <w:pPr>
        <w:rPr>
          <w:rFonts w:hint="eastAsia" w:ascii="宋体" w:hAnsi="宋体" w:eastAsia="宋体" w:cs="宋体"/>
          <w:sz w:val="21"/>
          <w:szCs w:val="21"/>
          <w:lang w:eastAsia="zh-CN"/>
        </w:rPr>
      </w:pPr>
      <w:r>
        <w:rPr>
          <w:rFonts w:hint="eastAsia" w:ascii="宋体" w:hAnsi="宋体" w:eastAsia="宋体" w:cs="宋体"/>
          <w:sz w:val="21"/>
          <w:szCs w:val="21"/>
          <w:lang w:eastAsia="zh-CN"/>
        </w:rPr>
        <w:br w:type="page"/>
      </w:r>
    </w:p>
    <w:p w14:paraId="10B4772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sz w:val="36"/>
          <w:szCs w:val="36"/>
          <w:lang w:eastAsia="zh-CN"/>
        </w:rPr>
      </w:pPr>
      <w:r>
        <w:rPr>
          <w:rFonts w:hint="eastAsia" w:ascii="宋体" w:hAnsi="宋体" w:eastAsia="宋体" w:cs="宋体"/>
          <w:b/>
          <w:bCs w:val="0"/>
          <w:sz w:val="36"/>
          <w:szCs w:val="36"/>
          <w:lang w:eastAsia="zh-CN"/>
        </w:rPr>
        <w:t>目</w:t>
      </w:r>
      <w:r>
        <w:rPr>
          <w:rFonts w:hint="eastAsia" w:cs="宋体"/>
          <w:b/>
          <w:bCs w:val="0"/>
          <w:sz w:val="36"/>
          <w:szCs w:val="36"/>
          <w:lang w:val="en-US" w:eastAsia="zh-CN"/>
        </w:rPr>
        <w:t xml:space="preserve">  </w:t>
      </w:r>
      <w:r>
        <w:rPr>
          <w:rFonts w:hint="eastAsia" w:ascii="宋体" w:hAnsi="宋体" w:eastAsia="宋体" w:cs="宋体"/>
          <w:b/>
          <w:bCs w:val="0"/>
          <w:sz w:val="36"/>
          <w:szCs w:val="36"/>
          <w:lang w:eastAsia="zh-CN"/>
        </w:rPr>
        <w:t>录</w:t>
      </w:r>
    </w:p>
    <w:p w14:paraId="5E913282">
      <w:pPr>
        <w:pStyle w:val="16"/>
        <w:keepNext w:val="0"/>
        <w:keepLines w:val="0"/>
        <w:pageBreakBefore w:val="0"/>
        <w:widowControl w:val="0"/>
        <w:tabs>
          <w:tab w:val="right" w:leader="dot" w:pos="8732"/>
        </w:tabs>
        <w:kinsoku/>
        <w:wordWrap/>
        <w:overflowPunct/>
        <w:topLinePunct w:val="0"/>
        <w:autoSpaceDE/>
        <w:autoSpaceDN/>
        <w:bidi w:val="0"/>
        <w:adjustRightInd/>
        <w:snapToGrid/>
        <w:spacing w:before="0" w:beforeLines="0" w:after="0" w:afterLines="0"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TOC \o "1-3" \h \u </w:instrText>
      </w:r>
      <w:r>
        <w:rPr>
          <w:rFonts w:hint="eastAsia" w:ascii="宋体" w:hAnsi="宋体" w:eastAsia="宋体" w:cs="宋体"/>
          <w:b w:val="0"/>
          <w:bCs w:val="0"/>
          <w:sz w:val="21"/>
          <w:szCs w:val="21"/>
          <w:lang w:eastAsia="zh-CN"/>
        </w:rPr>
        <w:fldChar w:fldCharType="separate"/>
      </w: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_Toc26657 </w:instrText>
      </w:r>
      <w:r>
        <w:rPr>
          <w:rFonts w:hint="eastAsia" w:ascii="宋体" w:hAnsi="宋体" w:eastAsia="宋体" w:cs="宋体"/>
          <w:b w:val="0"/>
          <w:bCs w:val="0"/>
          <w:sz w:val="21"/>
          <w:szCs w:val="21"/>
          <w:lang w:eastAsia="zh-CN"/>
        </w:rPr>
        <w:fldChar w:fldCharType="separate"/>
      </w:r>
      <w:r>
        <w:rPr>
          <w:rFonts w:hint="eastAsia" w:ascii="宋体" w:hAnsi="宋体" w:eastAsia="宋体" w:cs="宋体"/>
          <w:b w:val="0"/>
          <w:bCs w:val="0"/>
          <w:sz w:val="21"/>
          <w:szCs w:val="21"/>
          <w:lang w:eastAsia="zh-CN"/>
        </w:rPr>
        <w:t>第一章</w:t>
      </w:r>
      <w:r>
        <w:rPr>
          <w:rFonts w:hint="eastAsia" w:ascii="宋体" w:hAnsi="宋体" w:eastAsia="宋体" w:cs="宋体"/>
          <w:b w:val="0"/>
          <w:bCs w:val="0"/>
          <w:sz w:val="21"/>
          <w:szCs w:val="21"/>
          <w:lang w:val="en-US" w:eastAsia="zh-CN"/>
        </w:rPr>
        <w:t xml:space="preserve">  招标公告</w:t>
      </w:r>
      <w:r>
        <w:rPr>
          <w:b w:val="0"/>
          <w:bCs w:val="0"/>
          <w:sz w:val="21"/>
          <w:szCs w:val="21"/>
        </w:rPr>
        <w:tab/>
      </w:r>
      <w:r>
        <w:rPr>
          <w:b w:val="0"/>
          <w:bCs w:val="0"/>
          <w:sz w:val="21"/>
          <w:szCs w:val="21"/>
        </w:rPr>
        <w:fldChar w:fldCharType="begin"/>
      </w:r>
      <w:r>
        <w:rPr>
          <w:b w:val="0"/>
          <w:bCs w:val="0"/>
          <w:sz w:val="21"/>
          <w:szCs w:val="21"/>
        </w:rPr>
        <w:instrText xml:space="preserve"> PAGEREF _Toc26657 \h </w:instrText>
      </w:r>
      <w:r>
        <w:rPr>
          <w:b w:val="0"/>
          <w:bCs w:val="0"/>
          <w:sz w:val="21"/>
          <w:szCs w:val="21"/>
        </w:rPr>
        <w:fldChar w:fldCharType="separate"/>
      </w:r>
      <w:r>
        <w:rPr>
          <w:b w:val="0"/>
          <w:bCs w:val="0"/>
          <w:sz w:val="21"/>
          <w:szCs w:val="21"/>
        </w:rPr>
        <w:t>4</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01B62A10">
      <w:pPr>
        <w:pStyle w:val="16"/>
        <w:keepNext w:val="0"/>
        <w:keepLines w:val="0"/>
        <w:pageBreakBefore w:val="0"/>
        <w:widowControl w:val="0"/>
        <w:tabs>
          <w:tab w:val="right" w:leader="dot" w:pos="8732"/>
        </w:tabs>
        <w:kinsoku/>
        <w:wordWrap/>
        <w:overflowPunct/>
        <w:topLinePunct w:val="0"/>
        <w:autoSpaceDE/>
        <w:autoSpaceDN/>
        <w:bidi w:val="0"/>
        <w:adjustRightInd/>
        <w:snapToGrid/>
        <w:spacing w:before="0" w:beforeLines="0" w:after="0" w:afterLines="0"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_Toc3912 </w:instrText>
      </w:r>
      <w:r>
        <w:rPr>
          <w:rFonts w:hint="eastAsia" w:ascii="宋体" w:hAnsi="宋体" w:eastAsia="宋体" w:cs="宋体"/>
          <w:b w:val="0"/>
          <w:bCs w:val="0"/>
          <w:sz w:val="21"/>
          <w:szCs w:val="21"/>
          <w:lang w:eastAsia="zh-CN"/>
        </w:rPr>
        <w:fldChar w:fldCharType="separate"/>
      </w:r>
      <w:r>
        <w:rPr>
          <w:rFonts w:hint="eastAsia" w:ascii="宋体" w:hAnsi="宋体" w:eastAsia="宋体" w:cs="宋体"/>
          <w:b w:val="0"/>
          <w:bCs w:val="0"/>
          <w:sz w:val="21"/>
          <w:szCs w:val="21"/>
          <w:lang w:val="en-US" w:eastAsia="zh-CN"/>
        </w:rPr>
        <w:t>第二章  供应商须知前附表</w:t>
      </w:r>
      <w:r>
        <w:rPr>
          <w:b w:val="0"/>
          <w:bCs w:val="0"/>
          <w:sz w:val="21"/>
          <w:szCs w:val="21"/>
        </w:rPr>
        <w:tab/>
      </w:r>
      <w:r>
        <w:rPr>
          <w:b w:val="0"/>
          <w:bCs w:val="0"/>
          <w:sz w:val="21"/>
          <w:szCs w:val="21"/>
        </w:rPr>
        <w:fldChar w:fldCharType="begin"/>
      </w:r>
      <w:r>
        <w:rPr>
          <w:b w:val="0"/>
          <w:bCs w:val="0"/>
          <w:sz w:val="21"/>
          <w:szCs w:val="21"/>
        </w:rPr>
        <w:instrText xml:space="preserve"> PAGEREF _Toc3912 \h </w:instrText>
      </w:r>
      <w:r>
        <w:rPr>
          <w:b w:val="0"/>
          <w:bCs w:val="0"/>
          <w:sz w:val="21"/>
          <w:szCs w:val="21"/>
        </w:rPr>
        <w:fldChar w:fldCharType="separate"/>
      </w:r>
      <w:r>
        <w:rPr>
          <w:b w:val="0"/>
          <w:bCs w:val="0"/>
          <w:sz w:val="21"/>
          <w:szCs w:val="21"/>
        </w:rPr>
        <w:t>8</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2D61D438">
      <w:pPr>
        <w:pStyle w:val="16"/>
        <w:keepNext w:val="0"/>
        <w:keepLines w:val="0"/>
        <w:pageBreakBefore w:val="0"/>
        <w:widowControl w:val="0"/>
        <w:tabs>
          <w:tab w:val="right" w:leader="dot" w:pos="8732"/>
        </w:tabs>
        <w:kinsoku/>
        <w:wordWrap/>
        <w:overflowPunct/>
        <w:topLinePunct w:val="0"/>
        <w:autoSpaceDE/>
        <w:autoSpaceDN/>
        <w:bidi w:val="0"/>
        <w:adjustRightInd/>
        <w:snapToGrid/>
        <w:spacing w:before="0" w:beforeLines="0" w:after="0" w:afterLines="0"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_Toc29552 </w:instrText>
      </w:r>
      <w:r>
        <w:rPr>
          <w:rFonts w:hint="eastAsia" w:ascii="宋体" w:hAnsi="宋体" w:eastAsia="宋体" w:cs="宋体"/>
          <w:b w:val="0"/>
          <w:bCs w:val="0"/>
          <w:sz w:val="21"/>
          <w:szCs w:val="21"/>
          <w:lang w:eastAsia="zh-CN"/>
        </w:rPr>
        <w:fldChar w:fldCharType="separate"/>
      </w:r>
      <w:r>
        <w:rPr>
          <w:rFonts w:hint="eastAsia" w:ascii="宋体" w:hAnsi="宋体" w:eastAsia="宋体" w:cs="宋体"/>
          <w:b w:val="0"/>
          <w:bCs w:val="0"/>
          <w:sz w:val="21"/>
          <w:szCs w:val="21"/>
          <w:lang w:val="en-US" w:eastAsia="zh-CN"/>
        </w:rPr>
        <w:t>第三章  供应商须知</w:t>
      </w:r>
      <w:r>
        <w:rPr>
          <w:b w:val="0"/>
          <w:bCs w:val="0"/>
          <w:sz w:val="21"/>
          <w:szCs w:val="21"/>
        </w:rPr>
        <w:tab/>
      </w:r>
      <w:r>
        <w:rPr>
          <w:b w:val="0"/>
          <w:bCs w:val="0"/>
          <w:sz w:val="21"/>
          <w:szCs w:val="21"/>
        </w:rPr>
        <w:fldChar w:fldCharType="begin"/>
      </w:r>
      <w:r>
        <w:rPr>
          <w:b w:val="0"/>
          <w:bCs w:val="0"/>
          <w:sz w:val="21"/>
          <w:szCs w:val="21"/>
        </w:rPr>
        <w:instrText xml:space="preserve"> PAGEREF _Toc29552 \h </w:instrText>
      </w:r>
      <w:r>
        <w:rPr>
          <w:b w:val="0"/>
          <w:bCs w:val="0"/>
          <w:sz w:val="21"/>
          <w:szCs w:val="21"/>
        </w:rPr>
        <w:fldChar w:fldCharType="separate"/>
      </w:r>
      <w:r>
        <w:rPr>
          <w:b w:val="0"/>
          <w:bCs w:val="0"/>
          <w:sz w:val="21"/>
          <w:szCs w:val="21"/>
        </w:rPr>
        <w:t>12</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7C60EDB3">
      <w:pPr>
        <w:pStyle w:val="19"/>
        <w:keepNext w:val="0"/>
        <w:keepLines w:val="0"/>
        <w:pageBreakBefore w:val="0"/>
        <w:widowControl w:val="0"/>
        <w:tabs>
          <w:tab w:val="right" w:leader="dot" w:pos="8732"/>
        </w:tabs>
        <w:kinsoku/>
        <w:wordWrap/>
        <w:overflowPunct/>
        <w:topLinePunct w:val="0"/>
        <w:autoSpaceDE/>
        <w:autoSpaceDN/>
        <w:bidi w:val="0"/>
        <w:adjustRightInd/>
        <w:snapToGrid/>
        <w:spacing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_Toc16202 </w:instrText>
      </w:r>
      <w:r>
        <w:rPr>
          <w:rFonts w:hint="eastAsia" w:ascii="宋体" w:hAnsi="宋体" w:eastAsia="宋体" w:cs="宋体"/>
          <w:b w:val="0"/>
          <w:bCs w:val="0"/>
          <w:sz w:val="21"/>
          <w:szCs w:val="21"/>
          <w:lang w:eastAsia="zh-CN"/>
        </w:rPr>
        <w:fldChar w:fldCharType="separate"/>
      </w:r>
      <w:r>
        <w:rPr>
          <w:rFonts w:hint="eastAsia" w:ascii="宋体" w:hAnsi="宋体" w:eastAsia="宋体" w:cs="宋体"/>
          <w:b w:val="0"/>
          <w:bCs w:val="0"/>
          <w:sz w:val="21"/>
          <w:szCs w:val="21"/>
          <w:lang w:eastAsia="zh-CN"/>
        </w:rPr>
        <w:t>（一）</w:t>
      </w:r>
      <w:r>
        <w:rPr>
          <w:rFonts w:hint="eastAsia" w:ascii="宋体" w:hAnsi="宋体" w:eastAsia="宋体" w:cs="宋体"/>
          <w:b w:val="0"/>
          <w:bCs w:val="0"/>
          <w:sz w:val="21"/>
          <w:szCs w:val="21"/>
        </w:rPr>
        <w:t>总则</w:t>
      </w:r>
      <w:r>
        <w:rPr>
          <w:b w:val="0"/>
          <w:bCs w:val="0"/>
          <w:sz w:val="21"/>
          <w:szCs w:val="21"/>
        </w:rPr>
        <w:tab/>
      </w:r>
      <w:r>
        <w:rPr>
          <w:b w:val="0"/>
          <w:bCs w:val="0"/>
          <w:sz w:val="21"/>
          <w:szCs w:val="21"/>
        </w:rPr>
        <w:fldChar w:fldCharType="begin"/>
      </w:r>
      <w:r>
        <w:rPr>
          <w:b w:val="0"/>
          <w:bCs w:val="0"/>
          <w:sz w:val="21"/>
          <w:szCs w:val="21"/>
        </w:rPr>
        <w:instrText xml:space="preserve"> PAGEREF _Toc16202 \h </w:instrText>
      </w:r>
      <w:r>
        <w:rPr>
          <w:b w:val="0"/>
          <w:bCs w:val="0"/>
          <w:sz w:val="21"/>
          <w:szCs w:val="21"/>
        </w:rPr>
        <w:fldChar w:fldCharType="separate"/>
      </w:r>
      <w:r>
        <w:rPr>
          <w:b w:val="0"/>
          <w:bCs w:val="0"/>
          <w:sz w:val="21"/>
          <w:szCs w:val="21"/>
        </w:rPr>
        <w:t>12</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7AB3BC64">
      <w:pPr>
        <w:pStyle w:val="19"/>
        <w:keepNext w:val="0"/>
        <w:keepLines w:val="0"/>
        <w:pageBreakBefore w:val="0"/>
        <w:widowControl w:val="0"/>
        <w:tabs>
          <w:tab w:val="right" w:leader="dot" w:pos="8732"/>
        </w:tabs>
        <w:kinsoku/>
        <w:wordWrap/>
        <w:overflowPunct/>
        <w:topLinePunct w:val="0"/>
        <w:autoSpaceDE/>
        <w:autoSpaceDN/>
        <w:bidi w:val="0"/>
        <w:adjustRightInd/>
        <w:snapToGrid/>
        <w:spacing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_Toc9016 </w:instrText>
      </w:r>
      <w:r>
        <w:rPr>
          <w:rFonts w:hint="eastAsia" w:ascii="宋体" w:hAnsi="宋体" w:eastAsia="宋体" w:cs="宋体"/>
          <w:b w:val="0"/>
          <w:bCs w:val="0"/>
          <w:sz w:val="21"/>
          <w:szCs w:val="21"/>
          <w:lang w:eastAsia="zh-CN"/>
        </w:rPr>
        <w:fldChar w:fldCharType="separate"/>
      </w:r>
      <w:r>
        <w:rPr>
          <w:rFonts w:hint="eastAsia" w:ascii="宋体" w:hAnsi="宋体" w:eastAsia="宋体" w:cs="宋体"/>
          <w:b w:val="0"/>
          <w:bCs w:val="0"/>
          <w:sz w:val="21"/>
          <w:szCs w:val="21"/>
          <w:lang w:eastAsia="zh-CN"/>
        </w:rPr>
        <w:t>（二）</w:t>
      </w:r>
      <w:r>
        <w:rPr>
          <w:rFonts w:hint="eastAsia" w:ascii="宋体" w:hAnsi="宋体" w:eastAsia="宋体" w:cs="宋体"/>
          <w:b w:val="0"/>
          <w:bCs w:val="0"/>
          <w:sz w:val="21"/>
          <w:szCs w:val="21"/>
        </w:rPr>
        <w:t>招标文件</w:t>
      </w:r>
      <w:r>
        <w:rPr>
          <w:b w:val="0"/>
          <w:bCs w:val="0"/>
          <w:sz w:val="21"/>
          <w:szCs w:val="21"/>
        </w:rPr>
        <w:tab/>
      </w:r>
      <w:r>
        <w:rPr>
          <w:b w:val="0"/>
          <w:bCs w:val="0"/>
          <w:sz w:val="21"/>
          <w:szCs w:val="21"/>
        </w:rPr>
        <w:fldChar w:fldCharType="begin"/>
      </w:r>
      <w:r>
        <w:rPr>
          <w:b w:val="0"/>
          <w:bCs w:val="0"/>
          <w:sz w:val="21"/>
          <w:szCs w:val="21"/>
        </w:rPr>
        <w:instrText xml:space="preserve"> PAGEREF _Toc9016 \h </w:instrText>
      </w:r>
      <w:r>
        <w:rPr>
          <w:b w:val="0"/>
          <w:bCs w:val="0"/>
          <w:sz w:val="21"/>
          <w:szCs w:val="21"/>
        </w:rPr>
        <w:fldChar w:fldCharType="separate"/>
      </w:r>
      <w:r>
        <w:rPr>
          <w:b w:val="0"/>
          <w:bCs w:val="0"/>
          <w:sz w:val="21"/>
          <w:szCs w:val="21"/>
        </w:rPr>
        <w:t>13</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548D77EA">
      <w:pPr>
        <w:pStyle w:val="19"/>
        <w:keepNext w:val="0"/>
        <w:keepLines w:val="0"/>
        <w:pageBreakBefore w:val="0"/>
        <w:widowControl w:val="0"/>
        <w:tabs>
          <w:tab w:val="right" w:leader="dot" w:pos="8732"/>
        </w:tabs>
        <w:kinsoku/>
        <w:wordWrap/>
        <w:overflowPunct/>
        <w:topLinePunct w:val="0"/>
        <w:autoSpaceDE/>
        <w:autoSpaceDN/>
        <w:bidi w:val="0"/>
        <w:adjustRightInd/>
        <w:snapToGrid/>
        <w:spacing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_Toc20394 </w:instrText>
      </w:r>
      <w:r>
        <w:rPr>
          <w:rFonts w:hint="eastAsia" w:ascii="宋体" w:hAnsi="宋体" w:eastAsia="宋体" w:cs="宋体"/>
          <w:b w:val="0"/>
          <w:bCs w:val="0"/>
          <w:sz w:val="21"/>
          <w:szCs w:val="21"/>
          <w:lang w:eastAsia="zh-CN"/>
        </w:rPr>
        <w:fldChar w:fldCharType="separate"/>
      </w:r>
      <w:r>
        <w:rPr>
          <w:rFonts w:hint="eastAsia" w:ascii="宋体" w:hAnsi="宋体" w:eastAsia="宋体" w:cs="宋体"/>
          <w:b w:val="0"/>
          <w:bCs w:val="0"/>
          <w:sz w:val="21"/>
          <w:szCs w:val="21"/>
          <w:lang w:eastAsia="zh-CN"/>
        </w:rPr>
        <w:t>（三）</w:t>
      </w:r>
      <w:r>
        <w:rPr>
          <w:rFonts w:hint="eastAsia" w:ascii="宋体" w:hAnsi="宋体" w:eastAsia="宋体" w:cs="宋体"/>
          <w:b w:val="0"/>
          <w:bCs w:val="0"/>
          <w:sz w:val="21"/>
          <w:szCs w:val="21"/>
        </w:rPr>
        <w:t>投标文件的编制</w:t>
      </w:r>
      <w:r>
        <w:rPr>
          <w:b w:val="0"/>
          <w:bCs w:val="0"/>
          <w:sz w:val="21"/>
          <w:szCs w:val="21"/>
        </w:rPr>
        <w:tab/>
      </w:r>
      <w:r>
        <w:rPr>
          <w:b w:val="0"/>
          <w:bCs w:val="0"/>
          <w:sz w:val="21"/>
          <w:szCs w:val="21"/>
        </w:rPr>
        <w:fldChar w:fldCharType="begin"/>
      </w:r>
      <w:r>
        <w:rPr>
          <w:b w:val="0"/>
          <w:bCs w:val="0"/>
          <w:sz w:val="21"/>
          <w:szCs w:val="21"/>
        </w:rPr>
        <w:instrText xml:space="preserve"> PAGEREF _Toc20394 \h </w:instrText>
      </w:r>
      <w:r>
        <w:rPr>
          <w:b w:val="0"/>
          <w:bCs w:val="0"/>
          <w:sz w:val="21"/>
          <w:szCs w:val="21"/>
        </w:rPr>
        <w:fldChar w:fldCharType="separate"/>
      </w:r>
      <w:r>
        <w:rPr>
          <w:b w:val="0"/>
          <w:bCs w:val="0"/>
          <w:sz w:val="21"/>
          <w:szCs w:val="21"/>
        </w:rPr>
        <w:t>14</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5A310022">
      <w:pPr>
        <w:pStyle w:val="19"/>
        <w:keepNext w:val="0"/>
        <w:keepLines w:val="0"/>
        <w:pageBreakBefore w:val="0"/>
        <w:widowControl w:val="0"/>
        <w:tabs>
          <w:tab w:val="right" w:leader="dot" w:pos="8732"/>
        </w:tabs>
        <w:kinsoku/>
        <w:wordWrap/>
        <w:overflowPunct/>
        <w:topLinePunct w:val="0"/>
        <w:autoSpaceDE/>
        <w:autoSpaceDN/>
        <w:bidi w:val="0"/>
        <w:adjustRightInd/>
        <w:snapToGrid/>
        <w:spacing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_Toc30095 </w:instrText>
      </w:r>
      <w:r>
        <w:rPr>
          <w:rFonts w:hint="eastAsia" w:ascii="宋体" w:hAnsi="宋体" w:eastAsia="宋体" w:cs="宋体"/>
          <w:b w:val="0"/>
          <w:bCs w:val="0"/>
          <w:sz w:val="21"/>
          <w:szCs w:val="21"/>
          <w:lang w:eastAsia="zh-CN"/>
        </w:rPr>
        <w:fldChar w:fldCharType="separate"/>
      </w:r>
      <w:r>
        <w:rPr>
          <w:rFonts w:hint="eastAsia" w:ascii="宋体" w:hAnsi="宋体" w:eastAsia="宋体" w:cs="宋体"/>
          <w:b w:val="0"/>
          <w:bCs w:val="0"/>
          <w:sz w:val="21"/>
          <w:szCs w:val="21"/>
          <w:lang w:eastAsia="zh-CN"/>
        </w:rPr>
        <w:t>（四）</w:t>
      </w:r>
      <w:r>
        <w:rPr>
          <w:rFonts w:hint="eastAsia" w:ascii="宋体" w:hAnsi="宋体" w:eastAsia="宋体" w:cs="宋体"/>
          <w:b w:val="0"/>
          <w:bCs w:val="0"/>
          <w:sz w:val="21"/>
          <w:szCs w:val="21"/>
        </w:rPr>
        <w:t>投标文件的递交</w:t>
      </w:r>
      <w:r>
        <w:rPr>
          <w:b w:val="0"/>
          <w:bCs w:val="0"/>
          <w:sz w:val="21"/>
          <w:szCs w:val="21"/>
        </w:rPr>
        <w:tab/>
      </w:r>
      <w:r>
        <w:rPr>
          <w:b w:val="0"/>
          <w:bCs w:val="0"/>
          <w:sz w:val="21"/>
          <w:szCs w:val="21"/>
        </w:rPr>
        <w:fldChar w:fldCharType="begin"/>
      </w:r>
      <w:r>
        <w:rPr>
          <w:b w:val="0"/>
          <w:bCs w:val="0"/>
          <w:sz w:val="21"/>
          <w:szCs w:val="21"/>
        </w:rPr>
        <w:instrText xml:space="preserve"> PAGEREF _Toc30095 \h </w:instrText>
      </w:r>
      <w:r>
        <w:rPr>
          <w:b w:val="0"/>
          <w:bCs w:val="0"/>
          <w:sz w:val="21"/>
          <w:szCs w:val="21"/>
        </w:rPr>
        <w:fldChar w:fldCharType="separate"/>
      </w:r>
      <w:r>
        <w:rPr>
          <w:b w:val="0"/>
          <w:bCs w:val="0"/>
          <w:sz w:val="21"/>
          <w:szCs w:val="21"/>
        </w:rPr>
        <w:t>17</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6FA978A5">
      <w:pPr>
        <w:pStyle w:val="19"/>
        <w:keepNext w:val="0"/>
        <w:keepLines w:val="0"/>
        <w:pageBreakBefore w:val="0"/>
        <w:widowControl w:val="0"/>
        <w:tabs>
          <w:tab w:val="right" w:leader="dot" w:pos="8732"/>
        </w:tabs>
        <w:kinsoku/>
        <w:wordWrap/>
        <w:overflowPunct/>
        <w:topLinePunct w:val="0"/>
        <w:autoSpaceDE/>
        <w:autoSpaceDN/>
        <w:bidi w:val="0"/>
        <w:adjustRightInd/>
        <w:snapToGrid/>
        <w:spacing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_Toc9823 </w:instrText>
      </w:r>
      <w:r>
        <w:rPr>
          <w:rFonts w:hint="eastAsia" w:ascii="宋体" w:hAnsi="宋体" w:eastAsia="宋体" w:cs="宋体"/>
          <w:b w:val="0"/>
          <w:bCs w:val="0"/>
          <w:sz w:val="21"/>
          <w:szCs w:val="21"/>
          <w:lang w:eastAsia="zh-CN"/>
        </w:rPr>
        <w:fldChar w:fldCharType="separate"/>
      </w:r>
      <w:r>
        <w:rPr>
          <w:rFonts w:hint="eastAsia" w:ascii="宋体" w:hAnsi="宋体" w:eastAsia="宋体" w:cs="宋体"/>
          <w:b w:val="0"/>
          <w:bCs w:val="0"/>
          <w:sz w:val="21"/>
          <w:szCs w:val="21"/>
          <w:lang w:eastAsia="zh-CN"/>
        </w:rPr>
        <w:t>（五）</w:t>
      </w:r>
      <w:r>
        <w:rPr>
          <w:rFonts w:hint="eastAsia" w:ascii="宋体" w:hAnsi="宋体" w:eastAsia="宋体" w:cs="宋体"/>
          <w:b w:val="0"/>
          <w:bCs w:val="0"/>
          <w:sz w:val="21"/>
          <w:szCs w:val="21"/>
        </w:rPr>
        <w:t>开标及评标</w:t>
      </w:r>
      <w:r>
        <w:rPr>
          <w:b w:val="0"/>
          <w:bCs w:val="0"/>
          <w:sz w:val="21"/>
          <w:szCs w:val="21"/>
        </w:rPr>
        <w:tab/>
      </w:r>
      <w:r>
        <w:rPr>
          <w:b w:val="0"/>
          <w:bCs w:val="0"/>
          <w:sz w:val="21"/>
          <w:szCs w:val="21"/>
        </w:rPr>
        <w:fldChar w:fldCharType="begin"/>
      </w:r>
      <w:r>
        <w:rPr>
          <w:b w:val="0"/>
          <w:bCs w:val="0"/>
          <w:sz w:val="21"/>
          <w:szCs w:val="21"/>
        </w:rPr>
        <w:instrText xml:space="preserve"> PAGEREF _Toc9823 \h </w:instrText>
      </w:r>
      <w:r>
        <w:rPr>
          <w:b w:val="0"/>
          <w:bCs w:val="0"/>
          <w:sz w:val="21"/>
          <w:szCs w:val="21"/>
        </w:rPr>
        <w:fldChar w:fldCharType="separate"/>
      </w:r>
      <w:r>
        <w:rPr>
          <w:b w:val="0"/>
          <w:bCs w:val="0"/>
          <w:sz w:val="21"/>
          <w:szCs w:val="21"/>
        </w:rPr>
        <w:t>17</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5871C227">
      <w:pPr>
        <w:pStyle w:val="19"/>
        <w:keepNext w:val="0"/>
        <w:keepLines w:val="0"/>
        <w:pageBreakBefore w:val="0"/>
        <w:widowControl w:val="0"/>
        <w:tabs>
          <w:tab w:val="right" w:leader="dot" w:pos="8732"/>
        </w:tabs>
        <w:kinsoku/>
        <w:wordWrap/>
        <w:overflowPunct/>
        <w:topLinePunct w:val="0"/>
        <w:autoSpaceDE/>
        <w:autoSpaceDN/>
        <w:bidi w:val="0"/>
        <w:adjustRightInd/>
        <w:snapToGrid/>
        <w:spacing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_Toc32742 </w:instrText>
      </w:r>
      <w:r>
        <w:rPr>
          <w:rFonts w:hint="eastAsia" w:ascii="宋体" w:hAnsi="宋体" w:eastAsia="宋体" w:cs="宋体"/>
          <w:b w:val="0"/>
          <w:bCs w:val="0"/>
          <w:sz w:val="21"/>
          <w:szCs w:val="21"/>
          <w:lang w:eastAsia="zh-CN"/>
        </w:rPr>
        <w:fldChar w:fldCharType="separate"/>
      </w:r>
      <w:r>
        <w:rPr>
          <w:rFonts w:hint="eastAsia" w:ascii="宋体" w:hAnsi="宋体" w:eastAsia="宋体" w:cs="宋体"/>
          <w:b w:val="0"/>
          <w:bCs w:val="0"/>
          <w:sz w:val="21"/>
          <w:szCs w:val="21"/>
          <w:lang w:eastAsia="zh-CN"/>
        </w:rPr>
        <w:t>（六）</w:t>
      </w:r>
      <w:r>
        <w:rPr>
          <w:rFonts w:hint="eastAsia" w:ascii="宋体" w:hAnsi="宋体" w:eastAsia="宋体" w:cs="宋体"/>
          <w:b w:val="0"/>
          <w:bCs w:val="0"/>
          <w:sz w:val="21"/>
          <w:szCs w:val="21"/>
        </w:rPr>
        <w:t>确定中标</w:t>
      </w:r>
      <w:r>
        <w:rPr>
          <w:b w:val="0"/>
          <w:bCs w:val="0"/>
          <w:sz w:val="21"/>
          <w:szCs w:val="21"/>
        </w:rPr>
        <w:tab/>
      </w:r>
      <w:r>
        <w:rPr>
          <w:b w:val="0"/>
          <w:bCs w:val="0"/>
          <w:sz w:val="21"/>
          <w:szCs w:val="21"/>
        </w:rPr>
        <w:fldChar w:fldCharType="begin"/>
      </w:r>
      <w:r>
        <w:rPr>
          <w:b w:val="0"/>
          <w:bCs w:val="0"/>
          <w:sz w:val="21"/>
          <w:szCs w:val="21"/>
        </w:rPr>
        <w:instrText xml:space="preserve"> PAGEREF _Toc32742 \h </w:instrText>
      </w:r>
      <w:r>
        <w:rPr>
          <w:b w:val="0"/>
          <w:bCs w:val="0"/>
          <w:sz w:val="21"/>
          <w:szCs w:val="21"/>
        </w:rPr>
        <w:fldChar w:fldCharType="separate"/>
      </w:r>
      <w:r>
        <w:rPr>
          <w:b w:val="0"/>
          <w:bCs w:val="0"/>
          <w:sz w:val="21"/>
          <w:szCs w:val="21"/>
        </w:rPr>
        <w:t>21</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2BEAC43D">
      <w:pPr>
        <w:pStyle w:val="19"/>
        <w:keepNext w:val="0"/>
        <w:keepLines w:val="0"/>
        <w:pageBreakBefore w:val="0"/>
        <w:widowControl w:val="0"/>
        <w:tabs>
          <w:tab w:val="right" w:leader="dot" w:pos="8732"/>
        </w:tabs>
        <w:kinsoku/>
        <w:wordWrap/>
        <w:overflowPunct/>
        <w:topLinePunct w:val="0"/>
        <w:autoSpaceDE/>
        <w:autoSpaceDN/>
        <w:bidi w:val="0"/>
        <w:adjustRightInd/>
        <w:snapToGrid/>
        <w:spacing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_Toc29982 </w:instrText>
      </w:r>
      <w:r>
        <w:rPr>
          <w:rFonts w:hint="eastAsia" w:ascii="宋体" w:hAnsi="宋体" w:eastAsia="宋体" w:cs="宋体"/>
          <w:b w:val="0"/>
          <w:bCs w:val="0"/>
          <w:sz w:val="21"/>
          <w:szCs w:val="21"/>
          <w:lang w:eastAsia="zh-CN"/>
        </w:rPr>
        <w:fldChar w:fldCharType="separate"/>
      </w:r>
      <w:r>
        <w:rPr>
          <w:rFonts w:hint="eastAsia" w:ascii="宋体" w:hAnsi="宋体" w:eastAsia="宋体" w:cs="宋体"/>
          <w:b w:val="0"/>
          <w:bCs w:val="0"/>
          <w:sz w:val="21"/>
          <w:szCs w:val="21"/>
          <w:lang w:eastAsia="zh-CN"/>
        </w:rPr>
        <w:t>（七）合同及履约验收</w:t>
      </w:r>
      <w:r>
        <w:rPr>
          <w:b w:val="0"/>
          <w:bCs w:val="0"/>
          <w:sz w:val="21"/>
          <w:szCs w:val="21"/>
        </w:rPr>
        <w:tab/>
      </w:r>
      <w:r>
        <w:rPr>
          <w:b w:val="0"/>
          <w:bCs w:val="0"/>
          <w:sz w:val="21"/>
          <w:szCs w:val="21"/>
        </w:rPr>
        <w:fldChar w:fldCharType="begin"/>
      </w:r>
      <w:r>
        <w:rPr>
          <w:b w:val="0"/>
          <w:bCs w:val="0"/>
          <w:sz w:val="21"/>
          <w:szCs w:val="21"/>
        </w:rPr>
        <w:instrText xml:space="preserve"> PAGEREF _Toc29982 \h </w:instrText>
      </w:r>
      <w:r>
        <w:rPr>
          <w:b w:val="0"/>
          <w:bCs w:val="0"/>
          <w:sz w:val="21"/>
          <w:szCs w:val="21"/>
        </w:rPr>
        <w:fldChar w:fldCharType="separate"/>
      </w:r>
      <w:r>
        <w:rPr>
          <w:b w:val="0"/>
          <w:bCs w:val="0"/>
          <w:sz w:val="21"/>
          <w:szCs w:val="21"/>
        </w:rPr>
        <w:t>22</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78B9CA58">
      <w:pPr>
        <w:pStyle w:val="19"/>
        <w:keepNext w:val="0"/>
        <w:keepLines w:val="0"/>
        <w:pageBreakBefore w:val="0"/>
        <w:widowControl w:val="0"/>
        <w:tabs>
          <w:tab w:val="right" w:leader="dot" w:pos="8732"/>
        </w:tabs>
        <w:kinsoku/>
        <w:wordWrap/>
        <w:overflowPunct/>
        <w:topLinePunct w:val="0"/>
        <w:autoSpaceDE/>
        <w:autoSpaceDN/>
        <w:bidi w:val="0"/>
        <w:adjustRightInd/>
        <w:snapToGrid/>
        <w:spacing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_Toc32506 </w:instrText>
      </w:r>
      <w:r>
        <w:rPr>
          <w:rFonts w:hint="eastAsia" w:ascii="宋体" w:hAnsi="宋体" w:eastAsia="宋体" w:cs="宋体"/>
          <w:b w:val="0"/>
          <w:bCs w:val="0"/>
          <w:sz w:val="21"/>
          <w:szCs w:val="21"/>
          <w:lang w:eastAsia="zh-CN"/>
        </w:rPr>
        <w:fldChar w:fldCharType="separate"/>
      </w:r>
      <w:r>
        <w:rPr>
          <w:rFonts w:hint="eastAsia" w:ascii="宋体" w:hAnsi="宋体" w:eastAsia="宋体" w:cs="宋体"/>
          <w:b w:val="0"/>
          <w:bCs w:val="0"/>
          <w:sz w:val="21"/>
          <w:szCs w:val="21"/>
          <w:lang w:eastAsia="zh-CN"/>
        </w:rPr>
        <w:t>（八）质疑和投诉</w:t>
      </w:r>
      <w:r>
        <w:rPr>
          <w:b w:val="0"/>
          <w:bCs w:val="0"/>
          <w:sz w:val="21"/>
          <w:szCs w:val="21"/>
        </w:rPr>
        <w:tab/>
      </w:r>
      <w:r>
        <w:rPr>
          <w:b w:val="0"/>
          <w:bCs w:val="0"/>
          <w:sz w:val="21"/>
          <w:szCs w:val="21"/>
        </w:rPr>
        <w:fldChar w:fldCharType="begin"/>
      </w:r>
      <w:r>
        <w:rPr>
          <w:b w:val="0"/>
          <w:bCs w:val="0"/>
          <w:sz w:val="21"/>
          <w:szCs w:val="21"/>
        </w:rPr>
        <w:instrText xml:space="preserve"> PAGEREF _Toc32506 \h </w:instrText>
      </w:r>
      <w:r>
        <w:rPr>
          <w:b w:val="0"/>
          <w:bCs w:val="0"/>
          <w:sz w:val="21"/>
          <w:szCs w:val="21"/>
        </w:rPr>
        <w:fldChar w:fldCharType="separate"/>
      </w:r>
      <w:r>
        <w:rPr>
          <w:b w:val="0"/>
          <w:bCs w:val="0"/>
          <w:sz w:val="21"/>
          <w:szCs w:val="21"/>
        </w:rPr>
        <w:t>23</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5402B37D">
      <w:pPr>
        <w:pStyle w:val="16"/>
        <w:keepNext w:val="0"/>
        <w:keepLines w:val="0"/>
        <w:pageBreakBefore w:val="0"/>
        <w:widowControl w:val="0"/>
        <w:tabs>
          <w:tab w:val="right" w:leader="dot" w:pos="8732"/>
        </w:tabs>
        <w:kinsoku/>
        <w:wordWrap/>
        <w:overflowPunct/>
        <w:topLinePunct w:val="0"/>
        <w:autoSpaceDE/>
        <w:autoSpaceDN/>
        <w:bidi w:val="0"/>
        <w:adjustRightInd/>
        <w:snapToGrid/>
        <w:spacing w:before="0" w:beforeLines="0" w:after="0" w:afterLines="0"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_Toc6156 </w:instrText>
      </w:r>
      <w:r>
        <w:rPr>
          <w:rFonts w:hint="eastAsia" w:ascii="宋体" w:hAnsi="宋体" w:eastAsia="宋体" w:cs="宋体"/>
          <w:b w:val="0"/>
          <w:bCs w:val="0"/>
          <w:sz w:val="21"/>
          <w:szCs w:val="21"/>
          <w:lang w:eastAsia="zh-CN"/>
        </w:rPr>
        <w:fldChar w:fldCharType="separate"/>
      </w:r>
      <w:r>
        <w:rPr>
          <w:rFonts w:hint="eastAsia" w:ascii="宋体" w:hAnsi="宋体" w:eastAsia="宋体" w:cs="宋体"/>
          <w:b w:val="0"/>
          <w:bCs w:val="0"/>
          <w:sz w:val="21"/>
          <w:szCs w:val="21"/>
          <w:lang w:val="en-US" w:eastAsia="zh-CN"/>
        </w:rPr>
        <w:t>第四章  项目说明和采购需求</w:t>
      </w:r>
      <w:r>
        <w:rPr>
          <w:b w:val="0"/>
          <w:bCs w:val="0"/>
          <w:sz w:val="21"/>
          <w:szCs w:val="21"/>
        </w:rPr>
        <w:tab/>
      </w:r>
      <w:r>
        <w:rPr>
          <w:b w:val="0"/>
          <w:bCs w:val="0"/>
          <w:sz w:val="21"/>
          <w:szCs w:val="21"/>
        </w:rPr>
        <w:fldChar w:fldCharType="begin"/>
      </w:r>
      <w:r>
        <w:rPr>
          <w:b w:val="0"/>
          <w:bCs w:val="0"/>
          <w:sz w:val="21"/>
          <w:szCs w:val="21"/>
        </w:rPr>
        <w:instrText xml:space="preserve"> PAGEREF _Toc6156 \h </w:instrText>
      </w:r>
      <w:r>
        <w:rPr>
          <w:b w:val="0"/>
          <w:bCs w:val="0"/>
          <w:sz w:val="21"/>
          <w:szCs w:val="21"/>
        </w:rPr>
        <w:fldChar w:fldCharType="separate"/>
      </w:r>
      <w:r>
        <w:rPr>
          <w:b w:val="0"/>
          <w:bCs w:val="0"/>
          <w:sz w:val="21"/>
          <w:szCs w:val="21"/>
        </w:rPr>
        <w:t>25</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7C1DA49E">
      <w:pPr>
        <w:pStyle w:val="16"/>
        <w:keepNext w:val="0"/>
        <w:keepLines w:val="0"/>
        <w:pageBreakBefore w:val="0"/>
        <w:widowControl w:val="0"/>
        <w:tabs>
          <w:tab w:val="right" w:leader="dot" w:pos="8732"/>
        </w:tabs>
        <w:kinsoku/>
        <w:wordWrap/>
        <w:overflowPunct/>
        <w:topLinePunct w:val="0"/>
        <w:autoSpaceDE/>
        <w:autoSpaceDN/>
        <w:bidi w:val="0"/>
        <w:adjustRightInd/>
        <w:snapToGrid/>
        <w:spacing w:before="0" w:beforeLines="0" w:after="0" w:afterLines="0"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_Toc3922 </w:instrText>
      </w:r>
      <w:r>
        <w:rPr>
          <w:rFonts w:hint="eastAsia" w:ascii="宋体" w:hAnsi="宋体" w:eastAsia="宋体" w:cs="宋体"/>
          <w:b w:val="0"/>
          <w:bCs w:val="0"/>
          <w:sz w:val="21"/>
          <w:szCs w:val="21"/>
          <w:lang w:eastAsia="zh-CN"/>
        </w:rPr>
        <w:fldChar w:fldCharType="separate"/>
      </w:r>
      <w:r>
        <w:rPr>
          <w:rFonts w:hint="eastAsia" w:ascii="宋体" w:hAnsi="宋体" w:eastAsia="宋体" w:cs="宋体"/>
          <w:b w:val="0"/>
          <w:bCs w:val="0"/>
          <w:sz w:val="21"/>
          <w:szCs w:val="21"/>
          <w:lang w:val="en-US" w:eastAsia="zh-CN"/>
        </w:rPr>
        <w:t>第五章  评标方法和标准</w:t>
      </w:r>
      <w:r>
        <w:rPr>
          <w:b w:val="0"/>
          <w:bCs w:val="0"/>
          <w:sz w:val="21"/>
          <w:szCs w:val="21"/>
        </w:rPr>
        <w:tab/>
      </w:r>
      <w:r>
        <w:rPr>
          <w:b w:val="0"/>
          <w:bCs w:val="0"/>
          <w:sz w:val="21"/>
          <w:szCs w:val="21"/>
        </w:rPr>
        <w:fldChar w:fldCharType="begin"/>
      </w:r>
      <w:r>
        <w:rPr>
          <w:b w:val="0"/>
          <w:bCs w:val="0"/>
          <w:sz w:val="21"/>
          <w:szCs w:val="21"/>
        </w:rPr>
        <w:instrText xml:space="preserve"> PAGEREF _Toc3922 \h </w:instrText>
      </w:r>
      <w:r>
        <w:rPr>
          <w:b w:val="0"/>
          <w:bCs w:val="0"/>
          <w:sz w:val="21"/>
          <w:szCs w:val="21"/>
        </w:rPr>
        <w:fldChar w:fldCharType="separate"/>
      </w:r>
      <w:r>
        <w:rPr>
          <w:b w:val="0"/>
          <w:bCs w:val="0"/>
          <w:sz w:val="21"/>
          <w:szCs w:val="21"/>
        </w:rPr>
        <w:t>50</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30DEBF4C">
      <w:pPr>
        <w:pStyle w:val="16"/>
        <w:keepNext w:val="0"/>
        <w:keepLines w:val="0"/>
        <w:pageBreakBefore w:val="0"/>
        <w:widowControl w:val="0"/>
        <w:tabs>
          <w:tab w:val="right" w:leader="dot" w:pos="8732"/>
        </w:tabs>
        <w:kinsoku/>
        <w:wordWrap/>
        <w:overflowPunct/>
        <w:topLinePunct w:val="0"/>
        <w:autoSpaceDE/>
        <w:autoSpaceDN/>
        <w:bidi w:val="0"/>
        <w:adjustRightInd/>
        <w:snapToGrid/>
        <w:spacing w:before="0" w:beforeLines="0" w:after="0" w:afterLines="0"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_Toc28349 </w:instrText>
      </w:r>
      <w:r>
        <w:rPr>
          <w:rFonts w:hint="eastAsia" w:ascii="宋体" w:hAnsi="宋体" w:eastAsia="宋体" w:cs="宋体"/>
          <w:b w:val="0"/>
          <w:bCs w:val="0"/>
          <w:sz w:val="21"/>
          <w:szCs w:val="21"/>
          <w:lang w:eastAsia="zh-CN"/>
        </w:rPr>
        <w:fldChar w:fldCharType="separate"/>
      </w:r>
      <w:r>
        <w:rPr>
          <w:rFonts w:hint="eastAsia" w:ascii="宋体" w:hAnsi="宋体" w:eastAsia="宋体" w:cs="宋体"/>
          <w:b w:val="0"/>
          <w:bCs w:val="0"/>
          <w:sz w:val="21"/>
          <w:szCs w:val="21"/>
          <w:lang w:val="en-US" w:eastAsia="zh-CN"/>
        </w:rPr>
        <w:t>第六章  政府采购合同</w:t>
      </w:r>
      <w:r>
        <w:rPr>
          <w:b w:val="0"/>
          <w:bCs w:val="0"/>
          <w:sz w:val="21"/>
          <w:szCs w:val="21"/>
        </w:rPr>
        <w:tab/>
      </w:r>
      <w:r>
        <w:rPr>
          <w:b w:val="0"/>
          <w:bCs w:val="0"/>
          <w:sz w:val="21"/>
          <w:szCs w:val="21"/>
        </w:rPr>
        <w:fldChar w:fldCharType="begin"/>
      </w:r>
      <w:r>
        <w:rPr>
          <w:b w:val="0"/>
          <w:bCs w:val="0"/>
          <w:sz w:val="21"/>
          <w:szCs w:val="21"/>
        </w:rPr>
        <w:instrText xml:space="preserve"> PAGEREF _Toc28349 \h </w:instrText>
      </w:r>
      <w:r>
        <w:rPr>
          <w:b w:val="0"/>
          <w:bCs w:val="0"/>
          <w:sz w:val="21"/>
          <w:szCs w:val="21"/>
        </w:rPr>
        <w:fldChar w:fldCharType="separate"/>
      </w:r>
      <w:r>
        <w:rPr>
          <w:b w:val="0"/>
          <w:bCs w:val="0"/>
          <w:sz w:val="21"/>
          <w:szCs w:val="21"/>
        </w:rPr>
        <w:t>57</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1461E19E">
      <w:pPr>
        <w:pStyle w:val="16"/>
        <w:keepNext w:val="0"/>
        <w:keepLines w:val="0"/>
        <w:pageBreakBefore w:val="0"/>
        <w:widowControl w:val="0"/>
        <w:tabs>
          <w:tab w:val="right" w:leader="dot" w:pos="8732"/>
        </w:tabs>
        <w:kinsoku/>
        <w:wordWrap/>
        <w:overflowPunct/>
        <w:topLinePunct w:val="0"/>
        <w:autoSpaceDE/>
        <w:autoSpaceDN/>
        <w:bidi w:val="0"/>
        <w:adjustRightInd/>
        <w:snapToGrid/>
        <w:spacing w:before="0" w:beforeLines="0" w:after="0" w:afterLines="0"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_Toc6836 </w:instrText>
      </w:r>
      <w:r>
        <w:rPr>
          <w:rFonts w:hint="eastAsia" w:ascii="宋体" w:hAnsi="宋体" w:eastAsia="宋体" w:cs="宋体"/>
          <w:b w:val="0"/>
          <w:bCs w:val="0"/>
          <w:sz w:val="21"/>
          <w:szCs w:val="21"/>
          <w:lang w:eastAsia="zh-CN"/>
        </w:rPr>
        <w:fldChar w:fldCharType="separate"/>
      </w:r>
      <w:r>
        <w:rPr>
          <w:rFonts w:hint="eastAsia" w:ascii="宋体" w:hAnsi="宋体" w:eastAsia="宋体" w:cs="宋体"/>
          <w:b w:val="0"/>
          <w:bCs w:val="0"/>
          <w:sz w:val="21"/>
          <w:szCs w:val="21"/>
          <w:lang w:val="en-US" w:eastAsia="zh-CN"/>
        </w:rPr>
        <w:t>第七章  投标文件格式</w:t>
      </w:r>
      <w:r>
        <w:rPr>
          <w:b w:val="0"/>
          <w:bCs w:val="0"/>
          <w:sz w:val="21"/>
          <w:szCs w:val="21"/>
        </w:rPr>
        <w:tab/>
      </w:r>
      <w:r>
        <w:rPr>
          <w:b w:val="0"/>
          <w:bCs w:val="0"/>
          <w:sz w:val="21"/>
          <w:szCs w:val="21"/>
        </w:rPr>
        <w:fldChar w:fldCharType="begin"/>
      </w:r>
      <w:r>
        <w:rPr>
          <w:b w:val="0"/>
          <w:bCs w:val="0"/>
          <w:sz w:val="21"/>
          <w:szCs w:val="21"/>
        </w:rPr>
        <w:instrText xml:space="preserve"> PAGEREF _Toc6836 \h </w:instrText>
      </w:r>
      <w:r>
        <w:rPr>
          <w:b w:val="0"/>
          <w:bCs w:val="0"/>
          <w:sz w:val="21"/>
          <w:szCs w:val="21"/>
        </w:rPr>
        <w:fldChar w:fldCharType="separate"/>
      </w:r>
      <w:r>
        <w:rPr>
          <w:b w:val="0"/>
          <w:bCs w:val="0"/>
          <w:sz w:val="21"/>
          <w:szCs w:val="21"/>
        </w:rPr>
        <w:t>67</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0E1A7A89">
      <w:pPr>
        <w:pStyle w:val="19"/>
        <w:keepNext w:val="0"/>
        <w:keepLines w:val="0"/>
        <w:pageBreakBefore w:val="0"/>
        <w:widowControl w:val="0"/>
        <w:tabs>
          <w:tab w:val="right" w:leader="dot" w:pos="8732"/>
        </w:tabs>
        <w:kinsoku/>
        <w:wordWrap/>
        <w:overflowPunct/>
        <w:topLinePunct w:val="0"/>
        <w:autoSpaceDE/>
        <w:autoSpaceDN/>
        <w:bidi w:val="0"/>
        <w:adjustRightInd/>
        <w:snapToGrid/>
        <w:spacing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_Toc10843 </w:instrText>
      </w:r>
      <w:r>
        <w:rPr>
          <w:rFonts w:hint="eastAsia" w:ascii="宋体" w:hAnsi="宋体" w:eastAsia="宋体" w:cs="宋体"/>
          <w:b w:val="0"/>
          <w:bCs w:val="0"/>
          <w:sz w:val="21"/>
          <w:szCs w:val="21"/>
          <w:lang w:eastAsia="zh-CN"/>
        </w:rPr>
        <w:fldChar w:fldCharType="separate"/>
      </w:r>
      <w:r>
        <w:rPr>
          <w:rFonts w:hint="eastAsia" w:ascii="宋体" w:hAnsi="宋体" w:eastAsia="宋体" w:cs="宋体"/>
          <w:b w:val="0"/>
          <w:bCs w:val="0"/>
          <w:sz w:val="21"/>
          <w:szCs w:val="21"/>
          <w:lang w:val="en-US" w:eastAsia="zh-CN"/>
        </w:rPr>
        <w:t>一、投标函</w:t>
      </w:r>
      <w:r>
        <w:rPr>
          <w:b w:val="0"/>
          <w:bCs w:val="0"/>
          <w:sz w:val="21"/>
          <w:szCs w:val="21"/>
        </w:rPr>
        <w:tab/>
      </w:r>
      <w:r>
        <w:rPr>
          <w:b w:val="0"/>
          <w:bCs w:val="0"/>
          <w:sz w:val="21"/>
          <w:szCs w:val="21"/>
        </w:rPr>
        <w:fldChar w:fldCharType="begin"/>
      </w:r>
      <w:r>
        <w:rPr>
          <w:b w:val="0"/>
          <w:bCs w:val="0"/>
          <w:sz w:val="21"/>
          <w:szCs w:val="21"/>
        </w:rPr>
        <w:instrText xml:space="preserve"> PAGEREF _Toc10843 \h </w:instrText>
      </w:r>
      <w:r>
        <w:rPr>
          <w:b w:val="0"/>
          <w:bCs w:val="0"/>
          <w:sz w:val="21"/>
          <w:szCs w:val="21"/>
        </w:rPr>
        <w:fldChar w:fldCharType="separate"/>
      </w:r>
      <w:r>
        <w:rPr>
          <w:b w:val="0"/>
          <w:bCs w:val="0"/>
          <w:sz w:val="21"/>
          <w:szCs w:val="21"/>
        </w:rPr>
        <w:t>69</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7AABE8AD">
      <w:pPr>
        <w:pStyle w:val="19"/>
        <w:keepNext w:val="0"/>
        <w:keepLines w:val="0"/>
        <w:pageBreakBefore w:val="0"/>
        <w:widowControl w:val="0"/>
        <w:tabs>
          <w:tab w:val="right" w:leader="dot" w:pos="8732"/>
        </w:tabs>
        <w:kinsoku/>
        <w:wordWrap/>
        <w:overflowPunct/>
        <w:topLinePunct w:val="0"/>
        <w:autoSpaceDE/>
        <w:autoSpaceDN/>
        <w:bidi w:val="0"/>
        <w:adjustRightInd/>
        <w:snapToGrid/>
        <w:spacing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_Toc10803 </w:instrText>
      </w:r>
      <w:r>
        <w:rPr>
          <w:rFonts w:hint="eastAsia" w:ascii="宋体" w:hAnsi="宋体" w:eastAsia="宋体" w:cs="宋体"/>
          <w:b w:val="0"/>
          <w:bCs w:val="0"/>
          <w:sz w:val="21"/>
          <w:szCs w:val="21"/>
          <w:lang w:eastAsia="zh-CN"/>
        </w:rPr>
        <w:fldChar w:fldCharType="separate"/>
      </w:r>
      <w:r>
        <w:rPr>
          <w:rFonts w:hint="eastAsia"/>
          <w:b w:val="0"/>
          <w:bCs w:val="0"/>
          <w:sz w:val="21"/>
          <w:szCs w:val="21"/>
          <w:lang w:val="en-US" w:eastAsia="zh-CN"/>
        </w:rPr>
        <w:t>二．开标一览表</w:t>
      </w:r>
      <w:r>
        <w:rPr>
          <w:b w:val="0"/>
          <w:bCs w:val="0"/>
          <w:sz w:val="21"/>
          <w:szCs w:val="21"/>
        </w:rPr>
        <w:tab/>
      </w:r>
      <w:r>
        <w:rPr>
          <w:b w:val="0"/>
          <w:bCs w:val="0"/>
          <w:sz w:val="21"/>
          <w:szCs w:val="21"/>
        </w:rPr>
        <w:fldChar w:fldCharType="begin"/>
      </w:r>
      <w:r>
        <w:rPr>
          <w:b w:val="0"/>
          <w:bCs w:val="0"/>
          <w:sz w:val="21"/>
          <w:szCs w:val="21"/>
        </w:rPr>
        <w:instrText xml:space="preserve"> PAGEREF _Toc10803 \h </w:instrText>
      </w:r>
      <w:r>
        <w:rPr>
          <w:b w:val="0"/>
          <w:bCs w:val="0"/>
          <w:sz w:val="21"/>
          <w:szCs w:val="21"/>
        </w:rPr>
        <w:fldChar w:fldCharType="separate"/>
      </w:r>
      <w:r>
        <w:rPr>
          <w:b w:val="0"/>
          <w:bCs w:val="0"/>
          <w:sz w:val="21"/>
          <w:szCs w:val="21"/>
        </w:rPr>
        <w:t>70</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56C2EEA3">
      <w:pPr>
        <w:pStyle w:val="19"/>
        <w:keepNext w:val="0"/>
        <w:keepLines w:val="0"/>
        <w:pageBreakBefore w:val="0"/>
        <w:widowControl w:val="0"/>
        <w:tabs>
          <w:tab w:val="right" w:leader="dot" w:pos="8732"/>
        </w:tabs>
        <w:kinsoku/>
        <w:wordWrap/>
        <w:overflowPunct/>
        <w:topLinePunct w:val="0"/>
        <w:autoSpaceDE/>
        <w:autoSpaceDN/>
        <w:bidi w:val="0"/>
        <w:adjustRightInd/>
        <w:snapToGrid/>
        <w:spacing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_Toc8692 </w:instrText>
      </w:r>
      <w:r>
        <w:rPr>
          <w:rFonts w:hint="eastAsia" w:ascii="宋体" w:hAnsi="宋体" w:eastAsia="宋体" w:cs="宋体"/>
          <w:b w:val="0"/>
          <w:bCs w:val="0"/>
          <w:sz w:val="21"/>
          <w:szCs w:val="21"/>
          <w:lang w:eastAsia="zh-CN"/>
        </w:rPr>
        <w:fldChar w:fldCharType="separate"/>
      </w:r>
      <w:r>
        <w:rPr>
          <w:rFonts w:hint="eastAsia"/>
          <w:b w:val="0"/>
          <w:bCs w:val="0"/>
          <w:sz w:val="21"/>
          <w:szCs w:val="21"/>
          <w:lang w:eastAsia="zh-CN"/>
        </w:rPr>
        <w:t>三、</w:t>
      </w:r>
      <w:r>
        <w:rPr>
          <w:rFonts w:hint="eastAsia"/>
          <w:b w:val="0"/>
          <w:bCs w:val="0"/>
          <w:sz w:val="21"/>
          <w:szCs w:val="21"/>
        </w:rPr>
        <w:t>投标价格明细表</w:t>
      </w:r>
      <w:r>
        <w:rPr>
          <w:b w:val="0"/>
          <w:bCs w:val="0"/>
          <w:sz w:val="21"/>
          <w:szCs w:val="21"/>
        </w:rPr>
        <w:tab/>
      </w:r>
      <w:r>
        <w:rPr>
          <w:b w:val="0"/>
          <w:bCs w:val="0"/>
          <w:sz w:val="21"/>
          <w:szCs w:val="21"/>
        </w:rPr>
        <w:fldChar w:fldCharType="begin"/>
      </w:r>
      <w:r>
        <w:rPr>
          <w:b w:val="0"/>
          <w:bCs w:val="0"/>
          <w:sz w:val="21"/>
          <w:szCs w:val="21"/>
        </w:rPr>
        <w:instrText xml:space="preserve"> PAGEREF _Toc8692 \h </w:instrText>
      </w:r>
      <w:r>
        <w:rPr>
          <w:b w:val="0"/>
          <w:bCs w:val="0"/>
          <w:sz w:val="21"/>
          <w:szCs w:val="21"/>
        </w:rPr>
        <w:fldChar w:fldCharType="separate"/>
      </w:r>
      <w:r>
        <w:rPr>
          <w:b w:val="0"/>
          <w:bCs w:val="0"/>
          <w:sz w:val="21"/>
          <w:szCs w:val="21"/>
        </w:rPr>
        <w:t>71</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0E15D281">
      <w:pPr>
        <w:pStyle w:val="19"/>
        <w:keepNext w:val="0"/>
        <w:keepLines w:val="0"/>
        <w:pageBreakBefore w:val="0"/>
        <w:widowControl w:val="0"/>
        <w:tabs>
          <w:tab w:val="right" w:leader="dot" w:pos="8732"/>
        </w:tabs>
        <w:kinsoku/>
        <w:wordWrap/>
        <w:overflowPunct/>
        <w:topLinePunct w:val="0"/>
        <w:autoSpaceDE/>
        <w:autoSpaceDN/>
        <w:bidi w:val="0"/>
        <w:adjustRightInd/>
        <w:snapToGrid/>
        <w:spacing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_Toc2504 </w:instrText>
      </w:r>
      <w:r>
        <w:rPr>
          <w:rFonts w:hint="eastAsia" w:ascii="宋体" w:hAnsi="宋体" w:eastAsia="宋体" w:cs="宋体"/>
          <w:b w:val="0"/>
          <w:bCs w:val="0"/>
          <w:sz w:val="21"/>
          <w:szCs w:val="21"/>
          <w:lang w:eastAsia="zh-CN"/>
        </w:rPr>
        <w:fldChar w:fldCharType="separate"/>
      </w:r>
      <w:r>
        <w:rPr>
          <w:rFonts w:hint="eastAsia"/>
          <w:b w:val="0"/>
          <w:bCs w:val="0"/>
          <w:sz w:val="21"/>
          <w:szCs w:val="21"/>
          <w:lang w:val="en-US" w:eastAsia="zh-CN"/>
        </w:rPr>
        <w:t>四、法定代表人身份证明</w:t>
      </w:r>
      <w:r>
        <w:rPr>
          <w:b w:val="0"/>
          <w:bCs w:val="0"/>
          <w:sz w:val="21"/>
          <w:szCs w:val="21"/>
        </w:rPr>
        <w:tab/>
      </w:r>
      <w:r>
        <w:rPr>
          <w:b w:val="0"/>
          <w:bCs w:val="0"/>
          <w:sz w:val="21"/>
          <w:szCs w:val="21"/>
        </w:rPr>
        <w:fldChar w:fldCharType="begin"/>
      </w:r>
      <w:r>
        <w:rPr>
          <w:b w:val="0"/>
          <w:bCs w:val="0"/>
          <w:sz w:val="21"/>
          <w:szCs w:val="21"/>
        </w:rPr>
        <w:instrText xml:space="preserve"> PAGEREF _Toc2504 \h </w:instrText>
      </w:r>
      <w:r>
        <w:rPr>
          <w:b w:val="0"/>
          <w:bCs w:val="0"/>
          <w:sz w:val="21"/>
          <w:szCs w:val="21"/>
        </w:rPr>
        <w:fldChar w:fldCharType="separate"/>
      </w:r>
      <w:r>
        <w:rPr>
          <w:b w:val="0"/>
          <w:bCs w:val="0"/>
          <w:sz w:val="21"/>
          <w:szCs w:val="21"/>
        </w:rPr>
        <w:t>76</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24D14666">
      <w:pPr>
        <w:pStyle w:val="19"/>
        <w:keepNext w:val="0"/>
        <w:keepLines w:val="0"/>
        <w:pageBreakBefore w:val="0"/>
        <w:widowControl w:val="0"/>
        <w:tabs>
          <w:tab w:val="right" w:leader="dot" w:pos="8732"/>
        </w:tabs>
        <w:kinsoku/>
        <w:wordWrap/>
        <w:overflowPunct/>
        <w:topLinePunct w:val="0"/>
        <w:autoSpaceDE/>
        <w:autoSpaceDN/>
        <w:bidi w:val="0"/>
        <w:adjustRightInd/>
        <w:snapToGrid/>
        <w:spacing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_Toc1592 </w:instrText>
      </w:r>
      <w:r>
        <w:rPr>
          <w:rFonts w:hint="eastAsia" w:ascii="宋体" w:hAnsi="宋体" w:eastAsia="宋体" w:cs="宋体"/>
          <w:b w:val="0"/>
          <w:bCs w:val="0"/>
          <w:sz w:val="21"/>
          <w:szCs w:val="21"/>
          <w:lang w:eastAsia="zh-CN"/>
        </w:rPr>
        <w:fldChar w:fldCharType="separate"/>
      </w:r>
      <w:r>
        <w:rPr>
          <w:rFonts w:hint="eastAsia"/>
          <w:b w:val="0"/>
          <w:bCs w:val="0"/>
          <w:sz w:val="21"/>
          <w:szCs w:val="21"/>
          <w:lang w:val="en-US" w:eastAsia="zh-CN"/>
        </w:rPr>
        <w:t>五、法定代表人授权委托书</w:t>
      </w:r>
      <w:r>
        <w:rPr>
          <w:b w:val="0"/>
          <w:bCs w:val="0"/>
          <w:sz w:val="21"/>
          <w:szCs w:val="21"/>
        </w:rPr>
        <w:tab/>
      </w:r>
      <w:r>
        <w:rPr>
          <w:b w:val="0"/>
          <w:bCs w:val="0"/>
          <w:sz w:val="21"/>
          <w:szCs w:val="21"/>
        </w:rPr>
        <w:fldChar w:fldCharType="begin"/>
      </w:r>
      <w:r>
        <w:rPr>
          <w:b w:val="0"/>
          <w:bCs w:val="0"/>
          <w:sz w:val="21"/>
          <w:szCs w:val="21"/>
        </w:rPr>
        <w:instrText xml:space="preserve"> PAGEREF _Toc1592 \h </w:instrText>
      </w:r>
      <w:r>
        <w:rPr>
          <w:b w:val="0"/>
          <w:bCs w:val="0"/>
          <w:sz w:val="21"/>
          <w:szCs w:val="21"/>
        </w:rPr>
        <w:fldChar w:fldCharType="separate"/>
      </w:r>
      <w:r>
        <w:rPr>
          <w:b w:val="0"/>
          <w:bCs w:val="0"/>
          <w:sz w:val="21"/>
          <w:szCs w:val="21"/>
        </w:rPr>
        <w:t>77</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041755B0">
      <w:pPr>
        <w:pStyle w:val="19"/>
        <w:keepNext w:val="0"/>
        <w:keepLines w:val="0"/>
        <w:pageBreakBefore w:val="0"/>
        <w:widowControl w:val="0"/>
        <w:tabs>
          <w:tab w:val="right" w:leader="dot" w:pos="8732"/>
        </w:tabs>
        <w:kinsoku/>
        <w:wordWrap/>
        <w:overflowPunct/>
        <w:topLinePunct w:val="0"/>
        <w:autoSpaceDE/>
        <w:autoSpaceDN/>
        <w:bidi w:val="0"/>
        <w:adjustRightInd/>
        <w:snapToGrid/>
        <w:spacing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_Toc20882 </w:instrText>
      </w:r>
      <w:r>
        <w:rPr>
          <w:rFonts w:hint="eastAsia" w:ascii="宋体" w:hAnsi="宋体" w:eastAsia="宋体" w:cs="宋体"/>
          <w:b w:val="0"/>
          <w:bCs w:val="0"/>
          <w:sz w:val="21"/>
          <w:szCs w:val="21"/>
          <w:lang w:eastAsia="zh-CN"/>
        </w:rPr>
        <w:fldChar w:fldCharType="separate"/>
      </w:r>
      <w:r>
        <w:rPr>
          <w:rFonts w:hint="eastAsia" w:cs="宋体"/>
          <w:b w:val="0"/>
          <w:bCs w:val="0"/>
          <w:sz w:val="21"/>
          <w:szCs w:val="21"/>
          <w:lang w:val="en-US" w:eastAsia="zh-CN"/>
        </w:rPr>
        <w:t>六</w:t>
      </w:r>
      <w:r>
        <w:rPr>
          <w:rFonts w:hint="eastAsia" w:ascii="宋体" w:hAnsi="宋体" w:eastAsia="宋体" w:cs="宋体"/>
          <w:b w:val="0"/>
          <w:bCs w:val="0"/>
          <w:sz w:val="21"/>
          <w:szCs w:val="21"/>
        </w:rPr>
        <w:t>、</w:t>
      </w:r>
      <w:r>
        <w:rPr>
          <w:rFonts w:hint="eastAsia" w:cs="宋体"/>
          <w:b w:val="0"/>
          <w:bCs w:val="0"/>
          <w:sz w:val="21"/>
          <w:szCs w:val="21"/>
          <w:lang w:val="en-US" w:eastAsia="zh-CN"/>
        </w:rPr>
        <w:t>投标人</w:t>
      </w:r>
      <w:r>
        <w:rPr>
          <w:rFonts w:hint="eastAsia" w:ascii="宋体" w:hAnsi="宋体" w:eastAsia="宋体" w:cs="宋体"/>
          <w:b w:val="0"/>
          <w:bCs w:val="0"/>
          <w:sz w:val="21"/>
          <w:szCs w:val="21"/>
        </w:rPr>
        <w:t>承诺函</w:t>
      </w:r>
      <w:r>
        <w:rPr>
          <w:b w:val="0"/>
          <w:bCs w:val="0"/>
          <w:sz w:val="21"/>
          <w:szCs w:val="21"/>
        </w:rPr>
        <w:tab/>
      </w:r>
      <w:r>
        <w:rPr>
          <w:b w:val="0"/>
          <w:bCs w:val="0"/>
          <w:sz w:val="21"/>
          <w:szCs w:val="21"/>
        </w:rPr>
        <w:fldChar w:fldCharType="begin"/>
      </w:r>
      <w:r>
        <w:rPr>
          <w:b w:val="0"/>
          <w:bCs w:val="0"/>
          <w:sz w:val="21"/>
          <w:szCs w:val="21"/>
        </w:rPr>
        <w:instrText xml:space="preserve"> PAGEREF _Toc20882 \h </w:instrText>
      </w:r>
      <w:r>
        <w:rPr>
          <w:b w:val="0"/>
          <w:bCs w:val="0"/>
          <w:sz w:val="21"/>
          <w:szCs w:val="21"/>
        </w:rPr>
        <w:fldChar w:fldCharType="separate"/>
      </w:r>
      <w:r>
        <w:rPr>
          <w:b w:val="0"/>
          <w:bCs w:val="0"/>
          <w:sz w:val="21"/>
          <w:szCs w:val="21"/>
        </w:rPr>
        <w:t>78</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7F6E701E">
      <w:pPr>
        <w:pStyle w:val="12"/>
        <w:keepNext w:val="0"/>
        <w:keepLines w:val="0"/>
        <w:pageBreakBefore w:val="0"/>
        <w:widowControl w:val="0"/>
        <w:tabs>
          <w:tab w:val="right" w:leader="dot" w:pos="8732"/>
        </w:tabs>
        <w:kinsoku/>
        <w:wordWrap/>
        <w:overflowPunct/>
        <w:topLinePunct w:val="0"/>
        <w:autoSpaceDE/>
        <w:autoSpaceDN/>
        <w:bidi w:val="0"/>
        <w:adjustRightInd/>
        <w:snapToGrid/>
        <w:spacing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_Toc22580 </w:instrText>
      </w:r>
      <w:r>
        <w:rPr>
          <w:rFonts w:hint="eastAsia" w:ascii="宋体" w:hAnsi="宋体" w:eastAsia="宋体" w:cs="宋体"/>
          <w:b w:val="0"/>
          <w:bCs w:val="0"/>
          <w:sz w:val="21"/>
          <w:szCs w:val="21"/>
          <w:lang w:eastAsia="zh-CN"/>
        </w:rPr>
        <w:fldChar w:fldCharType="separate"/>
      </w:r>
      <w:r>
        <w:rPr>
          <w:rFonts w:hint="eastAsia" w:cs="宋体"/>
          <w:b w:val="0"/>
          <w:bCs w:val="0"/>
          <w:sz w:val="21"/>
          <w:szCs w:val="21"/>
          <w:lang w:eastAsia="zh-CN"/>
        </w:rPr>
        <w:t>（</w:t>
      </w:r>
      <w:r>
        <w:rPr>
          <w:rFonts w:hint="eastAsia" w:cs="宋体"/>
          <w:b w:val="0"/>
          <w:bCs w:val="0"/>
          <w:sz w:val="21"/>
          <w:szCs w:val="21"/>
          <w:lang w:val="en-US" w:eastAsia="zh-CN"/>
        </w:rPr>
        <w:t>一</w:t>
      </w:r>
      <w:r>
        <w:rPr>
          <w:rFonts w:hint="eastAsia" w:cs="宋体"/>
          <w:b w:val="0"/>
          <w:bCs w:val="0"/>
          <w:sz w:val="21"/>
          <w:szCs w:val="21"/>
          <w:lang w:eastAsia="zh-CN"/>
        </w:rPr>
        <w:t>）</w:t>
      </w:r>
      <w:r>
        <w:rPr>
          <w:rFonts w:hint="eastAsia" w:ascii="宋体" w:hAnsi="宋体" w:eastAsia="宋体" w:cs="宋体"/>
          <w:b w:val="0"/>
          <w:bCs w:val="0"/>
          <w:sz w:val="21"/>
          <w:szCs w:val="21"/>
        </w:rPr>
        <w:t>投标承诺函</w:t>
      </w:r>
      <w:r>
        <w:rPr>
          <w:b w:val="0"/>
          <w:bCs w:val="0"/>
          <w:sz w:val="21"/>
          <w:szCs w:val="21"/>
        </w:rPr>
        <w:tab/>
      </w:r>
      <w:r>
        <w:rPr>
          <w:b w:val="0"/>
          <w:bCs w:val="0"/>
          <w:sz w:val="21"/>
          <w:szCs w:val="21"/>
        </w:rPr>
        <w:fldChar w:fldCharType="begin"/>
      </w:r>
      <w:r>
        <w:rPr>
          <w:b w:val="0"/>
          <w:bCs w:val="0"/>
          <w:sz w:val="21"/>
          <w:szCs w:val="21"/>
        </w:rPr>
        <w:instrText xml:space="preserve"> PAGEREF _Toc22580 \h </w:instrText>
      </w:r>
      <w:r>
        <w:rPr>
          <w:b w:val="0"/>
          <w:bCs w:val="0"/>
          <w:sz w:val="21"/>
          <w:szCs w:val="21"/>
        </w:rPr>
        <w:fldChar w:fldCharType="separate"/>
      </w:r>
      <w:r>
        <w:rPr>
          <w:b w:val="0"/>
          <w:bCs w:val="0"/>
          <w:sz w:val="21"/>
          <w:szCs w:val="21"/>
        </w:rPr>
        <w:t>78</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3379F7CA">
      <w:pPr>
        <w:pStyle w:val="12"/>
        <w:keepNext w:val="0"/>
        <w:keepLines w:val="0"/>
        <w:pageBreakBefore w:val="0"/>
        <w:widowControl w:val="0"/>
        <w:tabs>
          <w:tab w:val="right" w:leader="dot" w:pos="8732"/>
        </w:tabs>
        <w:kinsoku/>
        <w:wordWrap/>
        <w:overflowPunct/>
        <w:topLinePunct w:val="0"/>
        <w:autoSpaceDE/>
        <w:autoSpaceDN/>
        <w:bidi w:val="0"/>
        <w:adjustRightInd/>
        <w:snapToGrid/>
        <w:spacing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_Toc18991 </w:instrText>
      </w:r>
      <w:r>
        <w:rPr>
          <w:rFonts w:hint="eastAsia" w:ascii="宋体" w:hAnsi="宋体" w:eastAsia="宋体" w:cs="宋体"/>
          <w:b w:val="0"/>
          <w:bCs w:val="0"/>
          <w:sz w:val="21"/>
          <w:szCs w:val="21"/>
          <w:lang w:eastAsia="zh-CN"/>
        </w:rPr>
        <w:fldChar w:fldCharType="separate"/>
      </w:r>
      <w:r>
        <w:rPr>
          <w:rFonts w:hint="eastAsia"/>
          <w:b w:val="0"/>
          <w:bCs w:val="0"/>
          <w:sz w:val="21"/>
          <w:szCs w:val="21"/>
          <w:lang w:eastAsia="zh-CN"/>
        </w:rPr>
        <w:t>（</w:t>
      </w:r>
      <w:r>
        <w:rPr>
          <w:rFonts w:hint="eastAsia"/>
          <w:b w:val="0"/>
          <w:bCs w:val="0"/>
          <w:sz w:val="21"/>
          <w:szCs w:val="21"/>
          <w:lang w:val="en-US" w:eastAsia="zh-CN"/>
        </w:rPr>
        <w:t>二</w:t>
      </w:r>
      <w:r>
        <w:rPr>
          <w:rFonts w:hint="eastAsia"/>
          <w:b w:val="0"/>
          <w:bCs w:val="0"/>
          <w:sz w:val="21"/>
          <w:szCs w:val="21"/>
          <w:lang w:eastAsia="zh-CN"/>
        </w:rPr>
        <w:t>）</w:t>
      </w:r>
      <w:r>
        <w:rPr>
          <w:rFonts w:hint="eastAsia"/>
          <w:b w:val="0"/>
          <w:bCs w:val="0"/>
          <w:sz w:val="21"/>
          <w:szCs w:val="21"/>
        </w:rPr>
        <w:t>招标代理服务费承诺函</w:t>
      </w:r>
      <w:r>
        <w:rPr>
          <w:b w:val="0"/>
          <w:bCs w:val="0"/>
          <w:sz w:val="21"/>
          <w:szCs w:val="21"/>
        </w:rPr>
        <w:tab/>
      </w:r>
      <w:r>
        <w:rPr>
          <w:b w:val="0"/>
          <w:bCs w:val="0"/>
          <w:sz w:val="21"/>
          <w:szCs w:val="21"/>
        </w:rPr>
        <w:fldChar w:fldCharType="begin"/>
      </w:r>
      <w:r>
        <w:rPr>
          <w:b w:val="0"/>
          <w:bCs w:val="0"/>
          <w:sz w:val="21"/>
          <w:szCs w:val="21"/>
        </w:rPr>
        <w:instrText xml:space="preserve"> PAGEREF _Toc18991 \h </w:instrText>
      </w:r>
      <w:r>
        <w:rPr>
          <w:b w:val="0"/>
          <w:bCs w:val="0"/>
          <w:sz w:val="21"/>
          <w:szCs w:val="21"/>
        </w:rPr>
        <w:fldChar w:fldCharType="separate"/>
      </w:r>
      <w:r>
        <w:rPr>
          <w:b w:val="0"/>
          <w:bCs w:val="0"/>
          <w:sz w:val="21"/>
          <w:szCs w:val="21"/>
        </w:rPr>
        <w:t>79</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25D0B2EE">
      <w:pPr>
        <w:pStyle w:val="19"/>
        <w:keepNext w:val="0"/>
        <w:keepLines w:val="0"/>
        <w:pageBreakBefore w:val="0"/>
        <w:widowControl w:val="0"/>
        <w:tabs>
          <w:tab w:val="right" w:leader="dot" w:pos="8732"/>
        </w:tabs>
        <w:kinsoku/>
        <w:wordWrap/>
        <w:overflowPunct/>
        <w:topLinePunct w:val="0"/>
        <w:autoSpaceDE/>
        <w:autoSpaceDN/>
        <w:bidi w:val="0"/>
        <w:adjustRightInd/>
        <w:snapToGrid/>
        <w:spacing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_Toc25288 </w:instrText>
      </w:r>
      <w:r>
        <w:rPr>
          <w:rFonts w:hint="eastAsia" w:ascii="宋体" w:hAnsi="宋体" w:eastAsia="宋体" w:cs="宋体"/>
          <w:b w:val="0"/>
          <w:bCs w:val="0"/>
          <w:sz w:val="21"/>
          <w:szCs w:val="21"/>
          <w:lang w:eastAsia="zh-CN"/>
        </w:rPr>
        <w:fldChar w:fldCharType="separate"/>
      </w:r>
      <w:r>
        <w:rPr>
          <w:rFonts w:hint="eastAsia"/>
          <w:b w:val="0"/>
          <w:bCs w:val="0"/>
          <w:sz w:val="21"/>
          <w:szCs w:val="21"/>
          <w:lang w:val="en-US" w:eastAsia="zh-CN"/>
        </w:rPr>
        <w:t>七</w:t>
      </w:r>
      <w:r>
        <w:rPr>
          <w:rFonts w:hint="eastAsia"/>
          <w:b w:val="0"/>
          <w:bCs w:val="0"/>
          <w:sz w:val="21"/>
          <w:szCs w:val="21"/>
          <w:lang w:eastAsia="zh-CN"/>
        </w:rPr>
        <w:t>、</w:t>
      </w:r>
      <w:r>
        <w:rPr>
          <w:rFonts w:hint="eastAsia"/>
          <w:b w:val="0"/>
          <w:bCs w:val="0"/>
          <w:sz w:val="21"/>
          <w:szCs w:val="21"/>
        </w:rPr>
        <w:t>采购需求响应表</w:t>
      </w:r>
      <w:r>
        <w:rPr>
          <w:b w:val="0"/>
          <w:bCs w:val="0"/>
          <w:sz w:val="21"/>
          <w:szCs w:val="21"/>
        </w:rPr>
        <w:tab/>
      </w:r>
      <w:r>
        <w:rPr>
          <w:b w:val="0"/>
          <w:bCs w:val="0"/>
          <w:sz w:val="21"/>
          <w:szCs w:val="21"/>
        </w:rPr>
        <w:fldChar w:fldCharType="begin"/>
      </w:r>
      <w:r>
        <w:rPr>
          <w:b w:val="0"/>
          <w:bCs w:val="0"/>
          <w:sz w:val="21"/>
          <w:szCs w:val="21"/>
        </w:rPr>
        <w:instrText xml:space="preserve"> PAGEREF _Toc25288 \h </w:instrText>
      </w:r>
      <w:r>
        <w:rPr>
          <w:b w:val="0"/>
          <w:bCs w:val="0"/>
          <w:sz w:val="21"/>
          <w:szCs w:val="21"/>
        </w:rPr>
        <w:fldChar w:fldCharType="separate"/>
      </w:r>
      <w:r>
        <w:rPr>
          <w:b w:val="0"/>
          <w:bCs w:val="0"/>
          <w:sz w:val="21"/>
          <w:szCs w:val="21"/>
        </w:rPr>
        <w:t>80</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17FE2345">
      <w:pPr>
        <w:pStyle w:val="19"/>
        <w:keepNext w:val="0"/>
        <w:keepLines w:val="0"/>
        <w:pageBreakBefore w:val="0"/>
        <w:widowControl w:val="0"/>
        <w:tabs>
          <w:tab w:val="right" w:leader="dot" w:pos="8732"/>
        </w:tabs>
        <w:kinsoku/>
        <w:wordWrap/>
        <w:overflowPunct/>
        <w:topLinePunct w:val="0"/>
        <w:autoSpaceDE/>
        <w:autoSpaceDN/>
        <w:bidi w:val="0"/>
        <w:adjustRightInd/>
        <w:snapToGrid/>
        <w:spacing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_Toc3280 </w:instrText>
      </w:r>
      <w:r>
        <w:rPr>
          <w:rFonts w:hint="eastAsia" w:ascii="宋体" w:hAnsi="宋体" w:eastAsia="宋体" w:cs="宋体"/>
          <w:b w:val="0"/>
          <w:bCs w:val="0"/>
          <w:sz w:val="21"/>
          <w:szCs w:val="21"/>
          <w:lang w:eastAsia="zh-CN"/>
        </w:rPr>
        <w:fldChar w:fldCharType="separate"/>
      </w:r>
      <w:r>
        <w:rPr>
          <w:rFonts w:hint="eastAsia"/>
          <w:b w:val="0"/>
          <w:bCs w:val="0"/>
          <w:sz w:val="21"/>
          <w:szCs w:val="21"/>
          <w:lang w:val="en-US" w:eastAsia="zh-CN"/>
        </w:rPr>
        <w:t>八</w:t>
      </w:r>
      <w:r>
        <w:rPr>
          <w:rFonts w:hint="eastAsia"/>
          <w:b w:val="0"/>
          <w:bCs w:val="0"/>
          <w:sz w:val="21"/>
          <w:szCs w:val="21"/>
          <w:lang w:eastAsia="zh-CN"/>
        </w:rPr>
        <w:t>、</w:t>
      </w:r>
      <w:r>
        <w:rPr>
          <w:rFonts w:hint="eastAsia"/>
          <w:b w:val="0"/>
          <w:bCs w:val="0"/>
          <w:sz w:val="21"/>
          <w:szCs w:val="21"/>
        </w:rPr>
        <w:t>采购方案和相应的承诺</w:t>
      </w:r>
      <w:r>
        <w:rPr>
          <w:b w:val="0"/>
          <w:bCs w:val="0"/>
          <w:sz w:val="21"/>
          <w:szCs w:val="21"/>
        </w:rPr>
        <w:tab/>
      </w:r>
      <w:r>
        <w:rPr>
          <w:b w:val="0"/>
          <w:bCs w:val="0"/>
          <w:sz w:val="21"/>
          <w:szCs w:val="21"/>
        </w:rPr>
        <w:fldChar w:fldCharType="begin"/>
      </w:r>
      <w:r>
        <w:rPr>
          <w:b w:val="0"/>
          <w:bCs w:val="0"/>
          <w:sz w:val="21"/>
          <w:szCs w:val="21"/>
        </w:rPr>
        <w:instrText xml:space="preserve"> PAGEREF _Toc3280 \h </w:instrText>
      </w:r>
      <w:r>
        <w:rPr>
          <w:b w:val="0"/>
          <w:bCs w:val="0"/>
          <w:sz w:val="21"/>
          <w:szCs w:val="21"/>
        </w:rPr>
        <w:fldChar w:fldCharType="separate"/>
      </w:r>
      <w:r>
        <w:rPr>
          <w:b w:val="0"/>
          <w:bCs w:val="0"/>
          <w:sz w:val="21"/>
          <w:szCs w:val="21"/>
        </w:rPr>
        <w:t>81</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5776643D">
      <w:pPr>
        <w:pStyle w:val="19"/>
        <w:keepNext w:val="0"/>
        <w:keepLines w:val="0"/>
        <w:pageBreakBefore w:val="0"/>
        <w:widowControl w:val="0"/>
        <w:tabs>
          <w:tab w:val="right" w:leader="dot" w:pos="8732"/>
        </w:tabs>
        <w:kinsoku/>
        <w:wordWrap/>
        <w:overflowPunct/>
        <w:topLinePunct w:val="0"/>
        <w:autoSpaceDE/>
        <w:autoSpaceDN/>
        <w:bidi w:val="0"/>
        <w:adjustRightInd/>
        <w:snapToGrid/>
        <w:spacing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_Toc13547 </w:instrText>
      </w:r>
      <w:r>
        <w:rPr>
          <w:rFonts w:hint="eastAsia" w:ascii="宋体" w:hAnsi="宋体" w:eastAsia="宋体" w:cs="宋体"/>
          <w:b w:val="0"/>
          <w:bCs w:val="0"/>
          <w:sz w:val="21"/>
          <w:szCs w:val="21"/>
          <w:lang w:eastAsia="zh-CN"/>
        </w:rPr>
        <w:fldChar w:fldCharType="separate"/>
      </w:r>
      <w:r>
        <w:rPr>
          <w:rFonts w:hint="eastAsia"/>
          <w:b w:val="0"/>
          <w:bCs w:val="0"/>
          <w:sz w:val="21"/>
          <w:szCs w:val="21"/>
          <w:lang w:val="en-US" w:eastAsia="zh-CN"/>
        </w:rPr>
        <w:t>九、同类业绩</w:t>
      </w:r>
      <w:r>
        <w:rPr>
          <w:b w:val="0"/>
          <w:bCs w:val="0"/>
          <w:sz w:val="21"/>
          <w:szCs w:val="21"/>
        </w:rPr>
        <w:tab/>
      </w:r>
      <w:r>
        <w:rPr>
          <w:b w:val="0"/>
          <w:bCs w:val="0"/>
          <w:sz w:val="21"/>
          <w:szCs w:val="21"/>
        </w:rPr>
        <w:fldChar w:fldCharType="begin"/>
      </w:r>
      <w:r>
        <w:rPr>
          <w:b w:val="0"/>
          <w:bCs w:val="0"/>
          <w:sz w:val="21"/>
          <w:szCs w:val="21"/>
        </w:rPr>
        <w:instrText xml:space="preserve"> PAGEREF _Toc13547 \h </w:instrText>
      </w:r>
      <w:r>
        <w:rPr>
          <w:b w:val="0"/>
          <w:bCs w:val="0"/>
          <w:sz w:val="21"/>
          <w:szCs w:val="21"/>
        </w:rPr>
        <w:fldChar w:fldCharType="separate"/>
      </w:r>
      <w:r>
        <w:rPr>
          <w:b w:val="0"/>
          <w:bCs w:val="0"/>
          <w:sz w:val="21"/>
          <w:szCs w:val="21"/>
        </w:rPr>
        <w:t>82</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5CFAA1F7">
      <w:pPr>
        <w:pStyle w:val="19"/>
        <w:keepNext w:val="0"/>
        <w:keepLines w:val="0"/>
        <w:pageBreakBefore w:val="0"/>
        <w:widowControl w:val="0"/>
        <w:tabs>
          <w:tab w:val="right" w:leader="dot" w:pos="8732"/>
        </w:tabs>
        <w:kinsoku/>
        <w:wordWrap/>
        <w:overflowPunct/>
        <w:topLinePunct w:val="0"/>
        <w:autoSpaceDE/>
        <w:autoSpaceDN/>
        <w:bidi w:val="0"/>
        <w:adjustRightInd/>
        <w:snapToGrid/>
        <w:spacing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_Toc1267 </w:instrText>
      </w:r>
      <w:r>
        <w:rPr>
          <w:rFonts w:hint="eastAsia" w:ascii="宋体" w:hAnsi="宋体" w:eastAsia="宋体" w:cs="宋体"/>
          <w:b w:val="0"/>
          <w:bCs w:val="0"/>
          <w:sz w:val="21"/>
          <w:szCs w:val="21"/>
          <w:lang w:eastAsia="zh-CN"/>
        </w:rPr>
        <w:fldChar w:fldCharType="separate"/>
      </w:r>
      <w:r>
        <w:rPr>
          <w:rFonts w:hint="eastAsia"/>
          <w:b w:val="0"/>
          <w:bCs w:val="0"/>
          <w:sz w:val="21"/>
          <w:szCs w:val="21"/>
          <w:lang w:val="en-US" w:eastAsia="zh-CN"/>
        </w:rPr>
        <w:t>十</w:t>
      </w:r>
      <w:r>
        <w:rPr>
          <w:rFonts w:hint="eastAsia"/>
          <w:b w:val="0"/>
          <w:bCs w:val="0"/>
          <w:sz w:val="21"/>
          <w:szCs w:val="21"/>
          <w:lang w:eastAsia="zh-CN"/>
        </w:rPr>
        <w:t>、</w:t>
      </w:r>
      <w:r>
        <w:rPr>
          <w:rFonts w:hint="eastAsia"/>
          <w:b w:val="0"/>
          <w:bCs w:val="0"/>
          <w:sz w:val="21"/>
          <w:szCs w:val="21"/>
        </w:rPr>
        <w:t>资格证明文件</w:t>
      </w:r>
      <w:r>
        <w:rPr>
          <w:b w:val="0"/>
          <w:bCs w:val="0"/>
          <w:sz w:val="21"/>
          <w:szCs w:val="21"/>
        </w:rPr>
        <w:tab/>
      </w:r>
      <w:r>
        <w:rPr>
          <w:b w:val="0"/>
          <w:bCs w:val="0"/>
          <w:sz w:val="21"/>
          <w:szCs w:val="21"/>
        </w:rPr>
        <w:fldChar w:fldCharType="begin"/>
      </w:r>
      <w:r>
        <w:rPr>
          <w:b w:val="0"/>
          <w:bCs w:val="0"/>
          <w:sz w:val="21"/>
          <w:szCs w:val="21"/>
        </w:rPr>
        <w:instrText xml:space="preserve"> PAGEREF _Toc1267 \h </w:instrText>
      </w:r>
      <w:r>
        <w:rPr>
          <w:b w:val="0"/>
          <w:bCs w:val="0"/>
          <w:sz w:val="21"/>
          <w:szCs w:val="21"/>
        </w:rPr>
        <w:fldChar w:fldCharType="separate"/>
      </w:r>
      <w:r>
        <w:rPr>
          <w:b w:val="0"/>
          <w:bCs w:val="0"/>
          <w:sz w:val="21"/>
          <w:szCs w:val="21"/>
        </w:rPr>
        <w:t>83</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5B179C19">
      <w:pPr>
        <w:pStyle w:val="12"/>
        <w:keepNext w:val="0"/>
        <w:keepLines w:val="0"/>
        <w:pageBreakBefore w:val="0"/>
        <w:widowControl w:val="0"/>
        <w:tabs>
          <w:tab w:val="right" w:leader="dot" w:pos="8732"/>
        </w:tabs>
        <w:kinsoku/>
        <w:wordWrap/>
        <w:overflowPunct/>
        <w:topLinePunct w:val="0"/>
        <w:autoSpaceDE/>
        <w:autoSpaceDN/>
        <w:bidi w:val="0"/>
        <w:adjustRightInd/>
        <w:snapToGrid/>
        <w:spacing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_Toc19197 </w:instrText>
      </w:r>
      <w:r>
        <w:rPr>
          <w:rFonts w:hint="eastAsia" w:ascii="宋体" w:hAnsi="宋体" w:eastAsia="宋体" w:cs="宋体"/>
          <w:b w:val="0"/>
          <w:bCs w:val="0"/>
          <w:sz w:val="21"/>
          <w:szCs w:val="21"/>
          <w:lang w:eastAsia="zh-CN"/>
        </w:rPr>
        <w:fldChar w:fldCharType="separate"/>
      </w:r>
      <w:r>
        <w:rPr>
          <w:rFonts w:hint="eastAsia"/>
          <w:b w:val="0"/>
          <w:bCs w:val="0"/>
          <w:sz w:val="21"/>
          <w:szCs w:val="21"/>
          <w:lang w:eastAsia="zh-CN"/>
        </w:rPr>
        <w:t>（一）具有独立承担民事责任的能力</w:t>
      </w:r>
      <w:r>
        <w:rPr>
          <w:b w:val="0"/>
          <w:bCs w:val="0"/>
          <w:sz w:val="21"/>
          <w:szCs w:val="21"/>
        </w:rPr>
        <w:tab/>
      </w:r>
      <w:r>
        <w:rPr>
          <w:b w:val="0"/>
          <w:bCs w:val="0"/>
          <w:sz w:val="21"/>
          <w:szCs w:val="21"/>
        </w:rPr>
        <w:fldChar w:fldCharType="begin"/>
      </w:r>
      <w:r>
        <w:rPr>
          <w:b w:val="0"/>
          <w:bCs w:val="0"/>
          <w:sz w:val="21"/>
          <w:szCs w:val="21"/>
        </w:rPr>
        <w:instrText xml:space="preserve"> PAGEREF _Toc19197 \h </w:instrText>
      </w:r>
      <w:r>
        <w:rPr>
          <w:b w:val="0"/>
          <w:bCs w:val="0"/>
          <w:sz w:val="21"/>
          <w:szCs w:val="21"/>
        </w:rPr>
        <w:fldChar w:fldCharType="separate"/>
      </w:r>
      <w:r>
        <w:rPr>
          <w:b w:val="0"/>
          <w:bCs w:val="0"/>
          <w:sz w:val="21"/>
          <w:szCs w:val="21"/>
        </w:rPr>
        <w:t>83</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14F77511">
      <w:pPr>
        <w:pStyle w:val="12"/>
        <w:keepNext w:val="0"/>
        <w:keepLines w:val="0"/>
        <w:pageBreakBefore w:val="0"/>
        <w:widowControl w:val="0"/>
        <w:tabs>
          <w:tab w:val="right" w:leader="dot" w:pos="8732"/>
        </w:tabs>
        <w:kinsoku/>
        <w:wordWrap/>
        <w:overflowPunct/>
        <w:topLinePunct w:val="0"/>
        <w:autoSpaceDE/>
        <w:autoSpaceDN/>
        <w:bidi w:val="0"/>
        <w:adjustRightInd/>
        <w:snapToGrid/>
        <w:spacing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_Toc26858 </w:instrText>
      </w:r>
      <w:r>
        <w:rPr>
          <w:rFonts w:hint="eastAsia" w:ascii="宋体" w:hAnsi="宋体" w:eastAsia="宋体" w:cs="宋体"/>
          <w:b w:val="0"/>
          <w:bCs w:val="0"/>
          <w:sz w:val="21"/>
          <w:szCs w:val="21"/>
          <w:lang w:eastAsia="zh-CN"/>
        </w:rPr>
        <w:fldChar w:fldCharType="separate"/>
      </w:r>
      <w:r>
        <w:rPr>
          <w:rFonts w:hint="eastAsia"/>
          <w:b w:val="0"/>
          <w:bCs w:val="0"/>
          <w:sz w:val="21"/>
          <w:szCs w:val="21"/>
          <w:lang w:eastAsia="zh-CN"/>
        </w:rPr>
        <w:t>（</w:t>
      </w:r>
      <w:r>
        <w:rPr>
          <w:rFonts w:hint="eastAsia"/>
          <w:b w:val="0"/>
          <w:bCs w:val="0"/>
          <w:sz w:val="21"/>
          <w:szCs w:val="21"/>
          <w:lang w:val="en-US" w:eastAsia="zh-CN"/>
        </w:rPr>
        <w:t>二</w:t>
      </w:r>
      <w:r>
        <w:rPr>
          <w:rFonts w:hint="eastAsia"/>
          <w:b w:val="0"/>
          <w:bCs w:val="0"/>
          <w:sz w:val="21"/>
          <w:szCs w:val="21"/>
          <w:lang w:eastAsia="zh-CN"/>
        </w:rPr>
        <w:t>）具有良好的商业信誉和健全的财务会计制度</w:t>
      </w:r>
      <w:r>
        <w:rPr>
          <w:b w:val="0"/>
          <w:bCs w:val="0"/>
          <w:sz w:val="21"/>
          <w:szCs w:val="21"/>
        </w:rPr>
        <w:tab/>
      </w:r>
      <w:r>
        <w:rPr>
          <w:b w:val="0"/>
          <w:bCs w:val="0"/>
          <w:sz w:val="21"/>
          <w:szCs w:val="21"/>
        </w:rPr>
        <w:fldChar w:fldCharType="begin"/>
      </w:r>
      <w:r>
        <w:rPr>
          <w:b w:val="0"/>
          <w:bCs w:val="0"/>
          <w:sz w:val="21"/>
          <w:szCs w:val="21"/>
        </w:rPr>
        <w:instrText xml:space="preserve"> PAGEREF _Toc26858 \h </w:instrText>
      </w:r>
      <w:r>
        <w:rPr>
          <w:b w:val="0"/>
          <w:bCs w:val="0"/>
          <w:sz w:val="21"/>
          <w:szCs w:val="21"/>
        </w:rPr>
        <w:fldChar w:fldCharType="separate"/>
      </w:r>
      <w:r>
        <w:rPr>
          <w:b w:val="0"/>
          <w:bCs w:val="0"/>
          <w:sz w:val="21"/>
          <w:szCs w:val="21"/>
        </w:rPr>
        <w:t>84</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28FBCDAA">
      <w:pPr>
        <w:pStyle w:val="12"/>
        <w:keepNext w:val="0"/>
        <w:keepLines w:val="0"/>
        <w:pageBreakBefore w:val="0"/>
        <w:widowControl w:val="0"/>
        <w:tabs>
          <w:tab w:val="right" w:leader="dot" w:pos="8732"/>
        </w:tabs>
        <w:kinsoku/>
        <w:wordWrap/>
        <w:overflowPunct/>
        <w:topLinePunct w:val="0"/>
        <w:autoSpaceDE/>
        <w:autoSpaceDN/>
        <w:bidi w:val="0"/>
        <w:adjustRightInd/>
        <w:snapToGrid/>
        <w:spacing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_Toc18356 </w:instrText>
      </w:r>
      <w:r>
        <w:rPr>
          <w:rFonts w:hint="eastAsia" w:ascii="宋体" w:hAnsi="宋体" w:eastAsia="宋体" w:cs="宋体"/>
          <w:b w:val="0"/>
          <w:bCs w:val="0"/>
          <w:sz w:val="21"/>
          <w:szCs w:val="21"/>
          <w:lang w:eastAsia="zh-CN"/>
        </w:rPr>
        <w:fldChar w:fldCharType="separate"/>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三</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具有履行合同所必需的设备和专业技术能力</w:t>
      </w:r>
      <w:r>
        <w:rPr>
          <w:b w:val="0"/>
          <w:bCs w:val="0"/>
          <w:sz w:val="21"/>
          <w:szCs w:val="21"/>
        </w:rPr>
        <w:tab/>
      </w:r>
      <w:r>
        <w:rPr>
          <w:b w:val="0"/>
          <w:bCs w:val="0"/>
          <w:sz w:val="21"/>
          <w:szCs w:val="21"/>
        </w:rPr>
        <w:fldChar w:fldCharType="begin"/>
      </w:r>
      <w:r>
        <w:rPr>
          <w:b w:val="0"/>
          <w:bCs w:val="0"/>
          <w:sz w:val="21"/>
          <w:szCs w:val="21"/>
        </w:rPr>
        <w:instrText xml:space="preserve"> PAGEREF _Toc18356 \h </w:instrText>
      </w:r>
      <w:r>
        <w:rPr>
          <w:b w:val="0"/>
          <w:bCs w:val="0"/>
          <w:sz w:val="21"/>
          <w:szCs w:val="21"/>
        </w:rPr>
        <w:fldChar w:fldCharType="separate"/>
      </w:r>
      <w:r>
        <w:rPr>
          <w:b w:val="0"/>
          <w:bCs w:val="0"/>
          <w:sz w:val="21"/>
          <w:szCs w:val="21"/>
        </w:rPr>
        <w:t>85</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598B2BD7">
      <w:pPr>
        <w:pStyle w:val="12"/>
        <w:keepNext w:val="0"/>
        <w:keepLines w:val="0"/>
        <w:pageBreakBefore w:val="0"/>
        <w:widowControl w:val="0"/>
        <w:tabs>
          <w:tab w:val="right" w:leader="dot" w:pos="8732"/>
        </w:tabs>
        <w:kinsoku/>
        <w:wordWrap/>
        <w:overflowPunct/>
        <w:topLinePunct w:val="0"/>
        <w:autoSpaceDE/>
        <w:autoSpaceDN/>
        <w:bidi w:val="0"/>
        <w:adjustRightInd/>
        <w:snapToGrid/>
        <w:spacing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_Toc10133 </w:instrText>
      </w:r>
      <w:r>
        <w:rPr>
          <w:rFonts w:hint="eastAsia" w:ascii="宋体" w:hAnsi="宋体" w:eastAsia="宋体" w:cs="宋体"/>
          <w:b w:val="0"/>
          <w:bCs w:val="0"/>
          <w:sz w:val="21"/>
          <w:szCs w:val="21"/>
          <w:lang w:eastAsia="zh-CN"/>
        </w:rPr>
        <w:fldChar w:fldCharType="separate"/>
      </w:r>
      <w:r>
        <w:rPr>
          <w:rFonts w:hint="eastAsia"/>
          <w:b w:val="0"/>
          <w:bCs w:val="0"/>
          <w:sz w:val="21"/>
          <w:szCs w:val="21"/>
          <w:lang w:eastAsia="zh-CN"/>
        </w:rPr>
        <w:t>（四）依法缴纳税收和社会保障资金的良好记录</w:t>
      </w:r>
      <w:r>
        <w:rPr>
          <w:b w:val="0"/>
          <w:bCs w:val="0"/>
          <w:sz w:val="21"/>
          <w:szCs w:val="21"/>
        </w:rPr>
        <w:tab/>
      </w:r>
      <w:r>
        <w:rPr>
          <w:b w:val="0"/>
          <w:bCs w:val="0"/>
          <w:sz w:val="21"/>
          <w:szCs w:val="21"/>
        </w:rPr>
        <w:fldChar w:fldCharType="begin"/>
      </w:r>
      <w:r>
        <w:rPr>
          <w:b w:val="0"/>
          <w:bCs w:val="0"/>
          <w:sz w:val="21"/>
          <w:szCs w:val="21"/>
        </w:rPr>
        <w:instrText xml:space="preserve"> PAGEREF _Toc10133 \h </w:instrText>
      </w:r>
      <w:r>
        <w:rPr>
          <w:b w:val="0"/>
          <w:bCs w:val="0"/>
          <w:sz w:val="21"/>
          <w:szCs w:val="21"/>
        </w:rPr>
        <w:fldChar w:fldCharType="separate"/>
      </w:r>
      <w:r>
        <w:rPr>
          <w:b w:val="0"/>
          <w:bCs w:val="0"/>
          <w:sz w:val="21"/>
          <w:szCs w:val="21"/>
        </w:rPr>
        <w:t>86</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6745BE38">
      <w:pPr>
        <w:pStyle w:val="12"/>
        <w:keepNext w:val="0"/>
        <w:keepLines w:val="0"/>
        <w:pageBreakBefore w:val="0"/>
        <w:widowControl w:val="0"/>
        <w:tabs>
          <w:tab w:val="right" w:leader="dot" w:pos="8732"/>
        </w:tabs>
        <w:kinsoku/>
        <w:wordWrap/>
        <w:overflowPunct/>
        <w:topLinePunct w:val="0"/>
        <w:autoSpaceDE/>
        <w:autoSpaceDN/>
        <w:bidi w:val="0"/>
        <w:adjustRightInd/>
        <w:snapToGrid/>
        <w:spacing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_Toc24936 </w:instrText>
      </w:r>
      <w:r>
        <w:rPr>
          <w:rFonts w:hint="eastAsia" w:ascii="宋体" w:hAnsi="宋体" w:eastAsia="宋体" w:cs="宋体"/>
          <w:b w:val="0"/>
          <w:bCs w:val="0"/>
          <w:sz w:val="21"/>
          <w:szCs w:val="21"/>
          <w:lang w:eastAsia="zh-CN"/>
        </w:rPr>
        <w:fldChar w:fldCharType="separate"/>
      </w:r>
      <w:r>
        <w:rPr>
          <w:rFonts w:hint="eastAsia"/>
          <w:b w:val="0"/>
          <w:bCs w:val="0"/>
          <w:sz w:val="21"/>
          <w:szCs w:val="21"/>
          <w:lang w:eastAsia="zh-CN"/>
        </w:rPr>
        <w:t>（五）参加政府采购活动前三年内，在经营活动中没有重大违法记录</w:t>
      </w:r>
      <w:r>
        <w:rPr>
          <w:b w:val="0"/>
          <w:bCs w:val="0"/>
          <w:sz w:val="21"/>
          <w:szCs w:val="21"/>
        </w:rPr>
        <w:tab/>
      </w:r>
      <w:r>
        <w:rPr>
          <w:b w:val="0"/>
          <w:bCs w:val="0"/>
          <w:sz w:val="21"/>
          <w:szCs w:val="21"/>
        </w:rPr>
        <w:fldChar w:fldCharType="begin"/>
      </w:r>
      <w:r>
        <w:rPr>
          <w:b w:val="0"/>
          <w:bCs w:val="0"/>
          <w:sz w:val="21"/>
          <w:szCs w:val="21"/>
        </w:rPr>
        <w:instrText xml:space="preserve"> PAGEREF _Toc24936 \h </w:instrText>
      </w:r>
      <w:r>
        <w:rPr>
          <w:b w:val="0"/>
          <w:bCs w:val="0"/>
          <w:sz w:val="21"/>
          <w:szCs w:val="21"/>
        </w:rPr>
        <w:fldChar w:fldCharType="separate"/>
      </w:r>
      <w:r>
        <w:rPr>
          <w:b w:val="0"/>
          <w:bCs w:val="0"/>
          <w:sz w:val="21"/>
          <w:szCs w:val="21"/>
        </w:rPr>
        <w:t>87</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1E378440">
      <w:pPr>
        <w:pStyle w:val="12"/>
        <w:keepNext w:val="0"/>
        <w:keepLines w:val="0"/>
        <w:pageBreakBefore w:val="0"/>
        <w:widowControl w:val="0"/>
        <w:tabs>
          <w:tab w:val="right" w:leader="dot" w:pos="8732"/>
        </w:tabs>
        <w:kinsoku/>
        <w:wordWrap/>
        <w:overflowPunct/>
        <w:topLinePunct w:val="0"/>
        <w:autoSpaceDE/>
        <w:autoSpaceDN/>
        <w:bidi w:val="0"/>
        <w:adjustRightInd/>
        <w:snapToGrid/>
        <w:spacing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_Toc31996 </w:instrText>
      </w:r>
      <w:r>
        <w:rPr>
          <w:rFonts w:hint="eastAsia" w:ascii="宋体" w:hAnsi="宋体" w:eastAsia="宋体" w:cs="宋体"/>
          <w:b w:val="0"/>
          <w:bCs w:val="0"/>
          <w:sz w:val="21"/>
          <w:szCs w:val="21"/>
          <w:lang w:eastAsia="zh-CN"/>
        </w:rPr>
        <w:fldChar w:fldCharType="separate"/>
      </w:r>
      <w:r>
        <w:rPr>
          <w:rFonts w:hint="eastAsia"/>
          <w:b w:val="0"/>
          <w:bCs w:val="0"/>
          <w:sz w:val="21"/>
          <w:szCs w:val="21"/>
          <w:lang w:val="en-US" w:eastAsia="zh-CN"/>
        </w:rPr>
        <w:t>（六）信用信息记录</w:t>
      </w:r>
      <w:r>
        <w:rPr>
          <w:b w:val="0"/>
          <w:bCs w:val="0"/>
          <w:sz w:val="21"/>
          <w:szCs w:val="21"/>
        </w:rPr>
        <w:tab/>
      </w:r>
      <w:r>
        <w:rPr>
          <w:b w:val="0"/>
          <w:bCs w:val="0"/>
          <w:sz w:val="21"/>
          <w:szCs w:val="21"/>
        </w:rPr>
        <w:fldChar w:fldCharType="begin"/>
      </w:r>
      <w:r>
        <w:rPr>
          <w:b w:val="0"/>
          <w:bCs w:val="0"/>
          <w:sz w:val="21"/>
          <w:szCs w:val="21"/>
        </w:rPr>
        <w:instrText xml:space="preserve"> PAGEREF _Toc31996 \h </w:instrText>
      </w:r>
      <w:r>
        <w:rPr>
          <w:b w:val="0"/>
          <w:bCs w:val="0"/>
          <w:sz w:val="21"/>
          <w:szCs w:val="21"/>
        </w:rPr>
        <w:fldChar w:fldCharType="separate"/>
      </w:r>
      <w:r>
        <w:rPr>
          <w:b w:val="0"/>
          <w:bCs w:val="0"/>
          <w:sz w:val="21"/>
          <w:szCs w:val="21"/>
        </w:rPr>
        <w:t>88</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42C494AA">
      <w:pPr>
        <w:pStyle w:val="12"/>
        <w:keepNext w:val="0"/>
        <w:keepLines w:val="0"/>
        <w:pageBreakBefore w:val="0"/>
        <w:widowControl w:val="0"/>
        <w:tabs>
          <w:tab w:val="right" w:leader="dot" w:pos="8732"/>
        </w:tabs>
        <w:kinsoku/>
        <w:wordWrap/>
        <w:overflowPunct/>
        <w:topLinePunct w:val="0"/>
        <w:autoSpaceDE/>
        <w:autoSpaceDN/>
        <w:bidi w:val="0"/>
        <w:adjustRightInd/>
        <w:snapToGrid/>
        <w:spacing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_Toc3786 </w:instrText>
      </w:r>
      <w:r>
        <w:rPr>
          <w:rFonts w:hint="eastAsia" w:ascii="宋体" w:hAnsi="宋体" w:eastAsia="宋体" w:cs="宋体"/>
          <w:b w:val="0"/>
          <w:bCs w:val="0"/>
          <w:sz w:val="21"/>
          <w:szCs w:val="21"/>
          <w:lang w:eastAsia="zh-CN"/>
        </w:rPr>
        <w:fldChar w:fldCharType="separate"/>
      </w:r>
      <w:r>
        <w:rPr>
          <w:rFonts w:hint="eastAsia" w:ascii="宋体" w:hAnsi="宋体" w:eastAsia="宋体" w:cs="宋体"/>
          <w:b w:val="0"/>
          <w:bCs w:val="0"/>
          <w:sz w:val="21"/>
          <w:szCs w:val="21"/>
          <w:lang w:val="en" w:eastAsia="zh-CN"/>
        </w:rPr>
        <w:t>（</w:t>
      </w:r>
      <w:r>
        <w:rPr>
          <w:rFonts w:hint="eastAsia" w:ascii="宋体" w:hAnsi="宋体" w:eastAsia="宋体" w:cs="宋体"/>
          <w:b w:val="0"/>
          <w:bCs w:val="0"/>
          <w:sz w:val="21"/>
          <w:szCs w:val="21"/>
          <w:lang w:val="en-US" w:eastAsia="zh-CN"/>
        </w:rPr>
        <w:t>七</w:t>
      </w:r>
      <w:r>
        <w:rPr>
          <w:rFonts w:hint="eastAsia" w:ascii="宋体" w:hAnsi="宋体" w:eastAsia="宋体" w:cs="宋体"/>
          <w:b w:val="0"/>
          <w:bCs w:val="0"/>
          <w:sz w:val="21"/>
          <w:szCs w:val="21"/>
          <w:lang w:val="en" w:eastAsia="zh-CN"/>
        </w:rPr>
        <w:t>）</w:t>
      </w:r>
      <w:r>
        <w:rPr>
          <w:rFonts w:hint="eastAsia" w:ascii="宋体" w:hAnsi="宋体" w:eastAsia="宋体" w:cs="宋体"/>
          <w:b w:val="0"/>
          <w:bCs w:val="0"/>
          <w:sz w:val="21"/>
          <w:szCs w:val="21"/>
        </w:rPr>
        <w:t>投标人关联单位的说明</w:t>
      </w:r>
      <w:r>
        <w:rPr>
          <w:b w:val="0"/>
          <w:bCs w:val="0"/>
          <w:sz w:val="21"/>
          <w:szCs w:val="21"/>
        </w:rPr>
        <w:tab/>
      </w:r>
      <w:r>
        <w:rPr>
          <w:b w:val="0"/>
          <w:bCs w:val="0"/>
          <w:sz w:val="21"/>
          <w:szCs w:val="21"/>
        </w:rPr>
        <w:fldChar w:fldCharType="begin"/>
      </w:r>
      <w:r>
        <w:rPr>
          <w:b w:val="0"/>
          <w:bCs w:val="0"/>
          <w:sz w:val="21"/>
          <w:szCs w:val="21"/>
        </w:rPr>
        <w:instrText xml:space="preserve"> PAGEREF _Toc3786 \h </w:instrText>
      </w:r>
      <w:r>
        <w:rPr>
          <w:b w:val="0"/>
          <w:bCs w:val="0"/>
          <w:sz w:val="21"/>
          <w:szCs w:val="21"/>
        </w:rPr>
        <w:fldChar w:fldCharType="separate"/>
      </w:r>
      <w:r>
        <w:rPr>
          <w:b w:val="0"/>
          <w:bCs w:val="0"/>
          <w:sz w:val="21"/>
          <w:szCs w:val="21"/>
        </w:rPr>
        <w:t>89</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7BEE8B08">
      <w:pPr>
        <w:pStyle w:val="19"/>
        <w:keepNext w:val="0"/>
        <w:keepLines w:val="0"/>
        <w:pageBreakBefore w:val="0"/>
        <w:widowControl w:val="0"/>
        <w:tabs>
          <w:tab w:val="right" w:leader="dot" w:pos="8732"/>
        </w:tabs>
        <w:kinsoku/>
        <w:wordWrap/>
        <w:overflowPunct/>
        <w:topLinePunct w:val="0"/>
        <w:autoSpaceDE/>
        <w:autoSpaceDN/>
        <w:bidi w:val="0"/>
        <w:adjustRightInd/>
        <w:snapToGrid/>
        <w:spacing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_Toc11437 </w:instrText>
      </w:r>
      <w:r>
        <w:rPr>
          <w:rFonts w:hint="eastAsia" w:ascii="宋体" w:hAnsi="宋体" w:eastAsia="宋体" w:cs="宋体"/>
          <w:b w:val="0"/>
          <w:bCs w:val="0"/>
          <w:sz w:val="21"/>
          <w:szCs w:val="21"/>
          <w:lang w:eastAsia="zh-CN"/>
        </w:rPr>
        <w:fldChar w:fldCharType="separate"/>
      </w:r>
      <w:r>
        <w:rPr>
          <w:rFonts w:hint="eastAsia"/>
          <w:b w:val="0"/>
          <w:bCs w:val="0"/>
          <w:sz w:val="21"/>
          <w:szCs w:val="21"/>
          <w:lang w:val="en-US" w:eastAsia="zh-CN"/>
        </w:rPr>
        <w:t>十一、中小企业声明函</w:t>
      </w:r>
      <w:r>
        <w:rPr>
          <w:b w:val="0"/>
          <w:bCs w:val="0"/>
          <w:sz w:val="21"/>
          <w:szCs w:val="21"/>
        </w:rPr>
        <w:tab/>
      </w:r>
      <w:r>
        <w:rPr>
          <w:b w:val="0"/>
          <w:bCs w:val="0"/>
          <w:sz w:val="21"/>
          <w:szCs w:val="21"/>
        </w:rPr>
        <w:fldChar w:fldCharType="begin"/>
      </w:r>
      <w:r>
        <w:rPr>
          <w:b w:val="0"/>
          <w:bCs w:val="0"/>
          <w:sz w:val="21"/>
          <w:szCs w:val="21"/>
        </w:rPr>
        <w:instrText xml:space="preserve"> PAGEREF _Toc11437 \h </w:instrText>
      </w:r>
      <w:r>
        <w:rPr>
          <w:b w:val="0"/>
          <w:bCs w:val="0"/>
          <w:sz w:val="21"/>
          <w:szCs w:val="21"/>
        </w:rPr>
        <w:fldChar w:fldCharType="separate"/>
      </w:r>
      <w:r>
        <w:rPr>
          <w:b w:val="0"/>
          <w:bCs w:val="0"/>
          <w:sz w:val="21"/>
          <w:szCs w:val="21"/>
        </w:rPr>
        <w:t>90</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411CBA5E">
      <w:pPr>
        <w:pStyle w:val="12"/>
        <w:keepNext w:val="0"/>
        <w:keepLines w:val="0"/>
        <w:pageBreakBefore w:val="0"/>
        <w:widowControl w:val="0"/>
        <w:tabs>
          <w:tab w:val="right" w:leader="dot" w:pos="8732"/>
        </w:tabs>
        <w:kinsoku/>
        <w:wordWrap/>
        <w:overflowPunct/>
        <w:topLinePunct w:val="0"/>
        <w:autoSpaceDE/>
        <w:autoSpaceDN/>
        <w:bidi w:val="0"/>
        <w:adjustRightInd/>
        <w:snapToGrid/>
        <w:spacing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_Toc5710 </w:instrText>
      </w:r>
      <w:r>
        <w:rPr>
          <w:rFonts w:hint="eastAsia" w:ascii="宋体" w:hAnsi="宋体" w:eastAsia="宋体" w:cs="宋体"/>
          <w:b w:val="0"/>
          <w:bCs w:val="0"/>
          <w:sz w:val="21"/>
          <w:szCs w:val="21"/>
          <w:lang w:eastAsia="zh-CN"/>
        </w:rPr>
        <w:fldChar w:fldCharType="separate"/>
      </w:r>
      <w:r>
        <w:rPr>
          <w:rFonts w:hint="eastAsia"/>
          <w:b w:val="0"/>
          <w:bCs w:val="0"/>
          <w:sz w:val="21"/>
          <w:szCs w:val="21"/>
          <w:lang w:eastAsia="zh-CN"/>
        </w:rPr>
        <w:t>（</w:t>
      </w:r>
      <w:r>
        <w:rPr>
          <w:rFonts w:hint="eastAsia"/>
          <w:b w:val="0"/>
          <w:bCs w:val="0"/>
          <w:sz w:val="21"/>
          <w:szCs w:val="21"/>
          <w:lang w:val="en-US" w:eastAsia="zh-CN"/>
        </w:rPr>
        <w:t>一</w:t>
      </w:r>
      <w:r>
        <w:rPr>
          <w:rFonts w:hint="eastAsia"/>
          <w:b w:val="0"/>
          <w:bCs w:val="0"/>
          <w:sz w:val="21"/>
          <w:szCs w:val="21"/>
          <w:lang w:eastAsia="zh-CN"/>
        </w:rPr>
        <w:t>）</w:t>
      </w:r>
      <w:r>
        <w:rPr>
          <w:rFonts w:hint="eastAsia"/>
          <w:b w:val="0"/>
          <w:bCs w:val="0"/>
          <w:sz w:val="21"/>
          <w:szCs w:val="21"/>
        </w:rPr>
        <w:t>中小企业声明函</w:t>
      </w:r>
      <w:r>
        <w:rPr>
          <w:b w:val="0"/>
          <w:bCs w:val="0"/>
          <w:sz w:val="21"/>
          <w:szCs w:val="21"/>
        </w:rPr>
        <w:tab/>
      </w:r>
      <w:r>
        <w:rPr>
          <w:b w:val="0"/>
          <w:bCs w:val="0"/>
          <w:sz w:val="21"/>
          <w:szCs w:val="21"/>
        </w:rPr>
        <w:fldChar w:fldCharType="begin"/>
      </w:r>
      <w:r>
        <w:rPr>
          <w:b w:val="0"/>
          <w:bCs w:val="0"/>
          <w:sz w:val="21"/>
          <w:szCs w:val="21"/>
        </w:rPr>
        <w:instrText xml:space="preserve"> PAGEREF _Toc5710 \h </w:instrText>
      </w:r>
      <w:r>
        <w:rPr>
          <w:b w:val="0"/>
          <w:bCs w:val="0"/>
          <w:sz w:val="21"/>
          <w:szCs w:val="21"/>
        </w:rPr>
        <w:fldChar w:fldCharType="separate"/>
      </w:r>
      <w:r>
        <w:rPr>
          <w:b w:val="0"/>
          <w:bCs w:val="0"/>
          <w:sz w:val="21"/>
          <w:szCs w:val="21"/>
        </w:rPr>
        <w:t>90</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20A43DA8">
      <w:pPr>
        <w:pStyle w:val="12"/>
        <w:keepNext w:val="0"/>
        <w:keepLines w:val="0"/>
        <w:pageBreakBefore w:val="0"/>
        <w:widowControl w:val="0"/>
        <w:tabs>
          <w:tab w:val="right" w:leader="dot" w:pos="8732"/>
        </w:tabs>
        <w:kinsoku/>
        <w:wordWrap/>
        <w:overflowPunct/>
        <w:topLinePunct w:val="0"/>
        <w:autoSpaceDE/>
        <w:autoSpaceDN/>
        <w:bidi w:val="0"/>
        <w:adjustRightInd/>
        <w:snapToGrid/>
        <w:spacing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_Toc6148 </w:instrText>
      </w:r>
      <w:r>
        <w:rPr>
          <w:rFonts w:hint="eastAsia" w:ascii="宋体" w:hAnsi="宋体" w:eastAsia="宋体" w:cs="宋体"/>
          <w:b w:val="0"/>
          <w:bCs w:val="0"/>
          <w:sz w:val="21"/>
          <w:szCs w:val="21"/>
          <w:lang w:eastAsia="zh-CN"/>
        </w:rPr>
        <w:fldChar w:fldCharType="separate"/>
      </w:r>
      <w:r>
        <w:rPr>
          <w:rFonts w:hint="eastAsia"/>
          <w:b w:val="0"/>
          <w:bCs w:val="0"/>
          <w:sz w:val="21"/>
          <w:szCs w:val="21"/>
          <w:lang w:eastAsia="zh-CN"/>
        </w:rPr>
        <w:t>（</w:t>
      </w:r>
      <w:r>
        <w:rPr>
          <w:rFonts w:hint="eastAsia"/>
          <w:b w:val="0"/>
          <w:bCs w:val="0"/>
          <w:sz w:val="21"/>
          <w:szCs w:val="21"/>
          <w:lang w:val="en-US" w:eastAsia="zh-CN"/>
        </w:rPr>
        <w:t>二</w:t>
      </w:r>
      <w:r>
        <w:rPr>
          <w:rFonts w:hint="eastAsia"/>
          <w:b w:val="0"/>
          <w:bCs w:val="0"/>
          <w:sz w:val="21"/>
          <w:szCs w:val="21"/>
          <w:lang w:eastAsia="zh-CN"/>
        </w:rPr>
        <w:t>）</w:t>
      </w:r>
      <w:r>
        <w:rPr>
          <w:rFonts w:hint="eastAsia"/>
          <w:b w:val="0"/>
          <w:bCs w:val="0"/>
          <w:sz w:val="21"/>
          <w:szCs w:val="21"/>
        </w:rPr>
        <w:t>残疾人福利性单位声明函</w:t>
      </w:r>
      <w:r>
        <w:rPr>
          <w:b w:val="0"/>
          <w:bCs w:val="0"/>
          <w:sz w:val="21"/>
          <w:szCs w:val="21"/>
        </w:rPr>
        <w:tab/>
      </w:r>
      <w:r>
        <w:rPr>
          <w:b w:val="0"/>
          <w:bCs w:val="0"/>
          <w:sz w:val="21"/>
          <w:szCs w:val="21"/>
        </w:rPr>
        <w:fldChar w:fldCharType="begin"/>
      </w:r>
      <w:r>
        <w:rPr>
          <w:b w:val="0"/>
          <w:bCs w:val="0"/>
          <w:sz w:val="21"/>
          <w:szCs w:val="21"/>
        </w:rPr>
        <w:instrText xml:space="preserve"> PAGEREF _Toc6148 \h </w:instrText>
      </w:r>
      <w:r>
        <w:rPr>
          <w:b w:val="0"/>
          <w:bCs w:val="0"/>
          <w:sz w:val="21"/>
          <w:szCs w:val="21"/>
        </w:rPr>
        <w:fldChar w:fldCharType="separate"/>
      </w:r>
      <w:r>
        <w:rPr>
          <w:b w:val="0"/>
          <w:bCs w:val="0"/>
          <w:sz w:val="21"/>
          <w:szCs w:val="21"/>
        </w:rPr>
        <w:t>91</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3C694006">
      <w:pPr>
        <w:pStyle w:val="12"/>
        <w:keepNext w:val="0"/>
        <w:keepLines w:val="0"/>
        <w:pageBreakBefore w:val="0"/>
        <w:widowControl w:val="0"/>
        <w:tabs>
          <w:tab w:val="right" w:leader="dot" w:pos="8732"/>
        </w:tabs>
        <w:kinsoku/>
        <w:wordWrap/>
        <w:overflowPunct/>
        <w:topLinePunct w:val="0"/>
        <w:autoSpaceDE/>
        <w:autoSpaceDN/>
        <w:bidi w:val="0"/>
        <w:adjustRightInd/>
        <w:snapToGrid/>
        <w:spacing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_Toc32195 </w:instrText>
      </w:r>
      <w:r>
        <w:rPr>
          <w:rFonts w:hint="eastAsia" w:ascii="宋体" w:hAnsi="宋体" w:eastAsia="宋体" w:cs="宋体"/>
          <w:b w:val="0"/>
          <w:bCs w:val="0"/>
          <w:sz w:val="21"/>
          <w:szCs w:val="21"/>
          <w:lang w:eastAsia="zh-CN"/>
        </w:rPr>
        <w:fldChar w:fldCharType="separate"/>
      </w:r>
      <w:r>
        <w:rPr>
          <w:rFonts w:hint="eastAsia" w:cs="宋体"/>
          <w:b w:val="0"/>
          <w:bCs w:val="0"/>
          <w:kern w:val="0"/>
          <w:sz w:val="21"/>
          <w:szCs w:val="21"/>
          <w:lang w:val="en-US" w:eastAsia="zh-CN"/>
        </w:rPr>
        <w:t>（三）</w:t>
      </w:r>
      <w:r>
        <w:rPr>
          <w:rFonts w:hint="eastAsia" w:ascii="宋体" w:hAnsi="宋体" w:eastAsia="宋体" w:cs="宋体"/>
          <w:b w:val="0"/>
          <w:bCs w:val="0"/>
          <w:kern w:val="0"/>
          <w:sz w:val="21"/>
          <w:szCs w:val="21"/>
          <w:lang w:val="en-US" w:eastAsia="zh-CN"/>
        </w:rPr>
        <w:t>监狱企业证明文件</w:t>
      </w:r>
      <w:r>
        <w:rPr>
          <w:b w:val="0"/>
          <w:bCs w:val="0"/>
          <w:sz w:val="21"/>
          <w:szCs w:val="21"/>
        </w:rPr>
        <w:tab/>
      </w:r>
      <w:r>
        <w:rPr>
          <w:b w:val="0"/>
          <w:bCs w:val="0"/>
          <w:sz w:val="21"/>
          <w:szCs w:val="21"/>
        </w:rPr>
        <w:fldChar w:fldCharType="begin"/>
      </w:r>
      <w:r>
        <w:rPr>
          <w:b w:val="0"/>
          <w:bCs w:val="0"/>
          <w:sz w:val="21"/>
          <w:szCs w:val="21"/>
        </w:rPr>
        <w:instrText xml:space="preserve"> PAGEREF _Toc32195 \h </w:instrText>
      </w:r>
      <w:r>
        <w:rPr>
          <w:b w:val="0"/>
          <w:bCs w:val="0"/>
          <w:sz w:val="21"/>
          <w:szCs w:val="21"/>
        </w:rPr>
        <w:fldChar w:fldCharType="separate"/>
      </w:r>
      <w:r>
        <w:rPr>
          <w:b w:val="0"/>
          <w:bCs w:val="0"/>
          <w:sz w:val="21"/>
          <w:szCs w:val="21"/>
        </w:rPr>
        <w:t>92</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28B92DE2">
      <w:pPr>
        <w:pStyle w:val="12"/>
        <w:keepNext w:val="0"/>
        <w:keepLines w:val="0"/>
        <w:pageBreakBefore w:val="0"/>
        <w:widowControl w:val="0"/>
        <w:tabs>
          <w:tab w:val="right" w:leader="dot" w:pos="8732"/>
        </w:tabs>
        <w:kinsoku/>
        <w:wordWrap/>
        <w:overflowPunct/>
        <w:topLinePunct w:val="0"/>
        <w:autoSpaceDE/>
        <w:autoSpaceDN/>
        <w:bidi w:val="0"/>
        <w:adjustRightInd/>
        <w:snapToGrid/>
        <w:spacing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_Toc22480 </w:instrText>
      </w:r>
      <w:r>
        <w:rPr>
          <w:rFonts w:hint="eastAsia" w:ascii="宋体" w:hAnsi="宋体" w:eastAsia="宋体" w:cs="宋体"/>
          <w:b w:val="0"/>
          <w:bCs w:val="0"/>
          <w:sz w:val="21"/>
          <w:szCs w:val="21"/>
          <w:lang w:eastAsia="zh-CN"/>
        </w:rPr>
        <w:fldChar w:fldCharType="separate"/>
      </w:r>
      <w:r>
        <w:rPr>
          <w:rFonts w:hint="eastAsia"/>
          <w:b w:val="0"/>
          <w:bCs w:val="0"/>
          <w:sz w:val="21"/>
          <w:szCs w:val="21"/>
          <w:lang w:val="en-US" w:eastAsia="zh-CN"/>
        </w:rPr>
        <w:t>（四）</w:t>
      </w:r>
      <w:r>
        <w:rPr>
          <w:rFonts w:hint="eastAsia"/>
          <w:b w:val="0"/>
          <w:bCs w:val="0"/>
          <w:sz w:val="21"/>
          <w:szCs w:val="21"/>
        </w:rPr>
        <w:t>政府强制采购的节能产品证明资料</w:t>
      </w:r>
      <w:r>
        <w:rPr>
          <w:b w:val="0"/>
          <w:bCs w:val="0"/>
          <w:sz w:val="21"/>
          <w:szCs w:val="21"/>
        </w:rPr>
        <w:tab/>
      </w:r>
      <w:r>
        <w:rPr>
          <w:b w:val="0"/>
          <w:bCs w:val="0"/>
          <w:sz w:val="21"/>
          <w:szCs w:val="21"/>
        </w:rPr>
        <w:fldChar w:fldCharType="begin"/>
      </w:r>
      <w:r>
        <w:rPr>
          <w:b w:val="0"/>
          <w:bCs w:val="0"/>
          <w:sz w:val="21"/>
          <w:szCs w:val="21"/>
        </w:rPr>
        <w:instrText xml:space="preserve"> PAGEREF _Toc22480 \h </w:instrText>
      </w:r>
      <w:r>
        <w:rPr>
          <w:b w:val="0"/>
          <w:bCs w:val="0"/>
          <w:sz w:val="21"/>
          <w:szCs w:val="21"/>
        </w:rPr>
        <w:fldChar w:fldCharType="separate"/>
      </w:r>
      <w:r>
        <w:rPr>
          <w:b w:val="0"/>
          <w:bCs w:val="0"/>
          <w:sz w:val="21"/>
          <w:szCs w:val="21"/>
        </w:rPr>
        <w:t>93</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3B0CCA05">
      <w:pPr>
        <w:pStyle w:val="19"/>
        <w:keepNext w:val="0"/>
        <w:keepLines w:val="0"/>
        <w:pageBreakBefore w:val="0"/>
        <w:widowControl w:val="0"/>
        <w:tabs>
          <w:tab w:val="right" w:leader="dot" w:pos="8732"/>
        </w:tabs>
        <w:kinsoku/>
        <w:wordWrap/>
        <w:overflowPunct/>
        <w:topLinePunct w:val="0"/>
        <w:autoSpaceDE/>
        <w:autoSpaceDN/>
        <w:bidi w:val="0"/>
        <w:adjustRightInd/>
        <w:snapToGrid/>
        <w:spacing w:line="420" w:lineRule="auto"/>
        <w:textAlignment w:val="auto"/>
        <w:rPr>
          <w:b w:val="0"/>
          <w:bCs w:val="0"/>
          <w:sz w:val="21"/>
          <w:szCs w:val="21"/>
        </w:rPr>
      </w:pPr>
      <w:r>
        <w:rPr>
          <w:rFonts w:hint="eastAsia" w:ascii="宋体" w:hAnsi="宋体" w:eastAsia="宋体" w:cs="宋体"/>
          <w:b w:val="0"/>
          <w:bCs w:val="0"/>
          <w:sz w:val="21"/>
          <w:szCs w:val="21"/>
          <w:lang w:eastAsia="zh-CN"/>
        </w:rPr>
        <w:fldChar w:fldCharType="begin"/>
      </w:r>
      <w:r>
        <w:rPr>
          <w:rFonts w:hint="eastAsia" w:ascii="宋体" w:hAnsi="宋体" w:eastAsia="宋体" w:cs="宋体"/>
          <w:b w:val="0"/>
          <w:bCs w:val="0"/>
          <w:sz w:val="21"/>
          <w:szCs w:val="21"/>
          <w:lang w:eastAsia="zh-CN"/>
        </w:rPr>
        <w:instrText xml:space="preserve"> HYPERLINK \l _Toc1021 </w:instrText>
      </w:r>
      <w:r>
        <w:rPr>
          <w:rFonts w:hint="eastAsia" w:ascii="宋体" w:hAnsi="宋体" w:eastAsia="宋体" w:cs="宋体"/>
          <w:b w:val="0"/>
          <w:bCs w:val="0"/>
          <w:sz w:val="21"/>
          <w:szCs w:val="21"/>
          <w:lang w:eastAsia="zh-CN"/>
        </w:rPr>
        <w:fldChar w:fldCharType="separate"/>
      </w:r>
      <w:r>
        <w:rPr>
          <w:rFonts w:hint="eastAsia"/>
          <w:b w:val="0"/>
          <w:bCs w:val="0"/>
          <w:sz w:val="21"/>
          <w:szCs w:val="21"/>
          <w:lang w:val="en-US" w:eastAsia="zh-CN"/>
        </w:rPr>
        <w:t>十二、供应商认为需要提供的其他资料</w:t>
      </w:r>
      <w:r>
        <w:rPr>
          <w:b w:val="0"/>
          <w:bCs w:val="0"/>
          <w:sz w:val="21"/>
          <w:szCs w:val="21"/>
        </w:rPr>
        <w:tab/>
      </w:r>
      <w:r>
        <w:rPr>
          <w:b w:val="0"/>
          <w:bCs w:val="0"/>
          <w:sz w:val="21"/>
          <w:szCs w:val="21"/>
        </w:rPr>
        <w:fldChar w:fldCharType="begin"/>
      </w:r>
      <w:r>
        <w:rPr>
          <w:b w:val="0"/>
          <w:bCs w:val="0"/>
          <w:sz w:val="21"/>
          <w:szCs w:val="21"/>
        </w:rPr>
        <w:instrText xml:space="preserve"> PAGEREF _Toc1021 \h </w:instrText>
      </w:r>
      <w:r>
        <w:rPr>
          <w:b w:val="0"/>
          <w:bCs w:val="0"/>
          <w:sz w:val="21"/>
          <w:szCs w:val="21"/>
        </w:rPr>
        <w:fldChar w:fldCharType="separate"/>
      </w:r>
      <w:r>
        <w:rPr>
          <w:b w:val="0"/>
          <w:bCs w:val="0"/>
          <w:sz w:val="21"/>
          <w:szCs w:val="21"/>
        </w:rPr>
        <w:t>102</w:t>
      </w:r>
      <w:r>
        <w:rPr>
          <w:b w:val="0"/>
          <w:bCs w:val="0"/>
          <w:sz w:val="21"/>
          <w:szCs w:val="21"/>
        </w:rPr>
        <w:fldChar w:fldCharType="end"/>
      </w:r>
      <w:r>
        <w:rPr>
          <w:rFonts w:hint="eastAsia" w:ascii="宋体" w:hAnsi="宋体" w:eastAsia="宋体" w:cs="宋体"/>
          <w:b w:val="0"/>
          <w:bCs w:val="0"/>
          <w:sz w:val="21"/>
          <w:szCs w:val="21"/>
          <w:lang w:eastAsia="zh-CN"/>
        </w:rPr>
        <w:fldChar w:fldCharType="end"/>
      </w:r>
    </w:p>
    <w:p w14:paraId="5947560B">
      <w:pPr>
        <w:keepNext w:val="0"/>
        <w:keepLines w:val="0"/>
        <w:pageBreakBefore w:val="0"/>
        <w:widowControl w:val="0"/>
        <w:kinsoku/>
        <w:wordWrap/>
        <w:overflowPunct/>
        <w:topLinePunct w:val="0"/>
        <w:autoSpaceDE/>
        <w:autoSpaceDN/>
        <w:bidi w:val="0"/>
        <w:adjustRightInd/>
        <w:snapToGrid/>
        <w:spacing w:line="420" w:lineRule="auto"/>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lang w:eastAsia="zh-CN"/>
        </w:rPr>
        <w:fldChar w:fldCharType="end"/>
      </w:r>
    </w:p>
    <w:p w14:paraId="503E121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val="en-US" w:eastAsia="zh-CN"/>
        </w:rPr>
      </w:pPr>
    </w:p>
    <w:p w14:paraId="499F4683">
      <w:pPr>
        <w:pageBreakBefore w:val="0"/>
        <w:widowControl w:val="0"/>
        <w:kinsoku/>
        <w:wordWrap/>
        <w:overflowPunct/>
        <w:topLinePunct w:val="0"/>
        <w:bidi w:val="0"/>
        <w:spacing w:line="56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br w:type="page"/>
      </w:r>
    </w:p>
    <w:p w14:paraId="755EB2D5">
      <w:pPr>
        <w:pStyle w:val="4"/>
        <w:bidi w:val="0"/>
        <w:rPr>
          <w:rFonts w:hint="eastAsia" w:ascii="宋体" w:hAnsi="宋体" w:eastAsia="宋体" w:cs="宋体"/>
          <w:lang w:val="en-US" w:eastAsia="zh-CN"/>
        </w:rPr>
      </w:pPr>
      <w:bookmarkStart w:id="0" w:name="_Toc26657"/>
      <w:r>
        <w:rPr>
          <w:rFonts w:hint="eastAsia" w:ascii="宋体" w:hAnsi="宋体" w:eastAsia="宋体" w:cs="宋体"/>
          <w:lang w:eastAsia="zh-CN"/>
        </w:rPr>
        <w:t>第一章</w:t>
      </w:r>
      <w:r>
        <w:rPr>
          <w:rFonts w:hint="eastAsia" w:ascii="宋体" w:hAnsi="宋体" w:eastAsia="宋体" w:cs="宋体"/>
          <w:lang w:val="en-US" w:eastAsia="zh-CN"/>
        </w:rPr>
        <w:t xml:space="preserve">  招标公告</w:t>
      </w:r>
      <w:bookmarkEnd w:id="0"/>
    </w:p>
    <w:p w14:paraId="6DC93D0E">
      <w:pPr>
        <w:keepNext w:val="0"/>
        <w:keepLines w:val="0"/>
        <w:pageBreakBefore w:val="0"/>
        <w:widowControl w:val="0"/>
        <w:kinsoku/>
        <w:wordWrap/>
        <w:overflowPunct/>
        <w:topLinePunct w:val="0"/>
        <w:autoSpaceDE/>
        <w:autoSpaceDN/>
        <w:bidi w:val="0"/>
        <w:adjustRightInd/>
        <w:snapToGrid/>
        <w:spacing w:line="396" w:lineRule="auto"/>
        <w:jc w:val="center"/>
        <w:textAlignment w:val="auto"/>
        <w:rPr>
          <w:rFonts w:hint="eastAsia" w:ascii="宋体" w:hAnsi="宋体" w:eastAsia="宋体" w:cs="宋体"/>
          <w:b/>
          <w:bCs w:val="0"/>
          <w:sz w:val="32"/>
          <w:szCs w:val="32"/>
          <w:lang w:val="en-US" w:eastAsia="zh-CN"/>
        </w:rPr>
      </w:pPr>
      <w:r>
        <w:rPr>
          <w:rFonts w:hint="eastAsia" w:cs="宋体"/>
          <w:b/>
          <w:bCs w:val="0"/>
          <w:sz w:val="32"/>
          <w:szCs w:val="32"/>
          <w:lang w:val="en-US" w:eastAsia="zh-CN"/>
        </w:rPr>
        <w:t>嵩山实验室多模态智慧云网环境关键技术研究与验证（一期）-网络底座建设项目</w:t>
      </w:r>
      <w:r>
        <w:rPr>
          <w:rFonts w:hint="eastAsia" w:ascii="宋体" w:hAnsi="宋体" w:eastAsia="宋体" w:cs="宋体"/>
          <w:b/>
          <w:bCs w:val="0"/>
          <w:sz w:val="32"/>
          <w:szCs w:val="32"/>
          <w:lang w:val="en-US" w:eastAsia="zh-CN"/>
        </w:rPr>
        <w:t>-公开招标公告</w:t>
      </w:r>
    </w:p>
    <w:p w14:paraId="1B3137AF">
      <w:pPr>
        <w:keepNext w:val="0"/>
        <w:keepLines w:val="0"/>
        <w:pageBreakBefore w:val="0"/>
        <w:widowControl w:val="0"/>
        <w:kinsoku/>
        <w:wordWrap/>
        <w:overflowPunct/>
        <w:topLinePunct w:val="0"/>
        <w:autoSpaceDE/>
        <w:autoSpaceDN/>
        <w:bidi w:val="0"/>
        <w:adjustRightInd w:val="0"/>
        <w:snapToGrid/>
        <w:spacing w:line="396" w:lineRule="auto"/>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项目概况</w:t>
      </w:r>
    </w:p>
    <w:p w14:paraId="7FFEA034">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auto"/>
          <w:sz w:val="21"/>
          <w:szCs w:val="21"/>
        </w:rPr>
      </w:pPr>
      <w:r>
        <w:rPr>
          <w:rStyle w:val="26"/>
          <w:rFonts w:hint="eastAsia" w:cs="宋体"/>
          <w:b w:val="0"/>
          <w:bCs/>
          <w:color w:val="000000"/>
          <w:sz w:val="21"/>
          <w:szCs w:val="21"/>
          <w:lang w:eastAsia="zh-CN"/>
        </w:rPr>
        <w:t>嵩山实验室多模态智慧云网环境关键技术研究与验证（一期）-网络底座建设项目</w:t>
      </w:r>
      <w:r>
        <w:rPr>
          <w:rStyle w:val="26"/>
          <w:rFonts w:hint="eastAsia" w:ascii="宋体" w:hAnsi="宋体" w:eastAsia="宋体" w:cs="宋体"/>
          <w:b w:val="0"/>
          <w:bCs/>
          <w:color w:val="000000"/>
          <w:sz w:val="21"/>
          <w:szCs w:val="21"/>
        </w:rPr>
        <w:t>招标项目的潜在投标人</w:t>
      </w:r>
      <w:r>
        <w:rPr>
          <w:rStyle w:val="26"/>
          <w:rFonts w:hint="eastAsia" w:ascii="宋体" w:hAnsi="宋体" w:eastAsia="宋体" w:cs="宋体"/>
          <w:b w:val="0"/>
          <w:bCs/>
          <w:color w:val="auto"/>
          <w:sz w:val="21"/>
          <w:szCs w:val="21"/>
        </w:rPr>
        <w:t>应在河南省公共资源交易中心（</w:t>
      </w:r>
      <w:r>
        <w:rPr>
          <w:rStyle w:val="26"/>
          <w:rFonts w:hint="eastAsia" w:cs="宋体"/>
          <w:b w:val="0"/>
          <w:bCs/>
          <w:color w:val="auto"/>
          <w:sz w:val="21"/>
          <w:szCs w:val="21"/>
          <w:lang w:eastAsia="zh-CN"/>
        </w:rPr>
        <w:t>hnsggzyjy.henan.gov.cn</w:t>
      </w:r>
      <w:r>
        <w:rPr>
          <w:rStyle w:val="26"/>
          <w:rFonts w:hint="eastAsia" w:ascii="宋体" w:hAnsi="宋体" w:eastAsia="宋体" w:cs="宋体"/>
          <w:b w:val="0"/>
          <w:bCs/>
          <w:color w:val="auto"/>
          <w:sz w:val="21"/>
          <w:szCs w:val="21"/>
        </w:rPr>
        <w:t>）网站获取招标文件，并于202</w:t>
      </w:r>
      <w:r>
        <w:rPr>
          <w:rStyle w:val="26"/>
          <w:rFonts w:hint="eastAsia" w:cs="宋体"/>
          <w:b w:val="0"/>
          <w:bCs/>
          <w:color w:val="auto"/>
          <w:sz w:val="21"/>
          <w:szCs w:val="21"/>
          <w:lang w:val="en-US" w:eastAsia="zh-CN"/>
        </w:rPr>
        <w:t>5</w:t>
      </w:r>
      <w:r>
        <w:rPr>
          <w:rStyle w:val="26"/>
          <w:rFonts w:hint="eastAsia" w:ascii="宋体" w:hAnsi="宋体" w:eastAsia="宋体" w:cs="宋体"/>
          <w:b w:val="0"/>
          <w:bCs/>
          <w:color w:val="auto"/>
          <w:sz w:val="21"/>
          <w:szCs w:val="21"/>
        </w:rPr>
        <w:t>年</w:t>
      </w:r>
      <w:r>
        <w:rPr>
          <w:rStyle w:val="26"/>
          <w:rFonts w:hint="eastAsia" w:cs="宋体"/>
          <w:b w:val="0"/>
          <w:bCs/>
          <w:color w:val="auto"/>
          <w:sz w:val="21"/>
          <w:szCs w:val="21"/>
          <w:lang w:val="en-US" w:eastAsia="zh-CN"/>
        </w:rPr>
        <w:t>3</w:t>
      </w:r>
      <w:r>
        <w:rPr>
          <w:rStyle w:val="26"/>
          <w:rFonts w:hint="eastAsia" w:ascii="宋体" w:hAnsi="宋体" w:eastAsia="宋体" w:cs="宋体"/>
          <w:b w:val="0"/>
          <w:bCs/>
          <w:color w:val="auto"/>
          <w:sz w:val="21"/>
          <w:szCs w:val="21"/>
        </w:rPr>
        <w:t>月</w:t>
      </w:r>
      <w:r>
        <w:rPr>
          <w:rStyle w:val="26"/>
          <w:rFonts w:hint="eastAsia" w:cs="宋体"/>
          <w:b w:val="0"/>
          <w:bCs/>
          <w:color w:val="auto"/>
          <w:sz w:val="21"/>
          <w:szCs w:val="21"/>
          <w:lang w:val="en-US" w:eastAsia="zh-CN"/>
        </w:rPr>
        <w:t>13</w:t>
      </w:r>
      <w:r>
        <w:rPr>
          <w:rStyle w:val="26"/>
          <w:rFonts w:hint="eastAsia" w:ascii="宋体" w:hAnsi="宋体" w:eastAsia="宋体" w:cs="宋体"/>
          <w:b w:val="0"/>
          <w:bCs/>
          <w:color w:val="auto"/>
          <w:sz w:val="21"/>
          <w:szCs w:val="21"/>
        </w:rPr>
        <w:t>日09时00分（北京时间）前递交投标文件。</w:t>
      </w:r>
    </w:p>
    <w:p w14:paraId="37939C78">
      <w:pPr>
        <w:keepNext w:val="0"/>
        <w:keepLines w:val="0"/>
        <w:pageBreakBefore w:val="0"/>
        <w:widowControl w:val="0"/>
        <w:kinsoku/>
        <w:wordWrap/>
        <w:overflowPunct/>
        <w:topLinePunct w:val="0"/>
        <w:autoSpaceDE/>
        <w:autoSpaceDN/>
        <w:bidi w:val="0"/>
        <w:adjustRightInd w:val="0"/>
        <w:snapToGrid/>
        <w:spacing w:line="396" w:lineRule="auto"/>
        <w:jc w:val="left"/>
        <w:textAlignment w:val="auto"/>
        <w:rPr>
          <w:rStyle w:val="26"/>
          <w:rFonts w:hint="eastAsia" w:ascii="宋体" w:hAnsi="宋体" w:eastAsia="宋体" w:cs="宋体"/>
          <w:b w:val="0"/>
          <w:bCs/>
          <w:color w:val="auto"/>
          <w:sz w:val="21"/>
          <w:szCs w:val="21"/>
        </w:rPr>
      </w:pPr>
      <w:r>
        <w:rPr>
          <w:rStyle w:val="26"/>
          <w:rFonts w:hint="eastAsia" w:ascii="宋体" w:hAnsi="宋体" w:eastAsia="宋体" w:cs="宋体"/>
          <w:b w:val="0"/>
          <w:bCs/>
          <w:color w:val="auto"/>
          <w:sz w:val="21"/>
          <w:szCs w:val="21"/>
        </w:rPr>
        <w:t>一、项目基本情况</w:t>
      </w:r>
    </w:p>
    <w:p w14:paraId="66AE3F81">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auto"/>
          <w:sz w:val="21"/>
          <w:szCs w:val="21"/>
          <w:lang w:val="en-US" w:eastAsia="zh-CN"/>
        </w:rPr>
      </w:pPr>
      <w:r>
        <w:rPr>
          <w:rStyle w:val="26"/>
          <w:rFonts w:hint="eastAsia" w:ascii="宋体" w:hAnsi="宋体" w:eastAsia="宋体" w:cs="宋体"/>
          <w:b w:val="0"/>
          <w:bCs/>
          <w:color w:val="auto"/>
          <w:sz w:val="21"/>
          <w:szCs w:val="21"/>
        </w:rPr>
        <w:t>1、项目编号：</w:t>
      </w:r>
      <w:r>
        <w:rPr>
          <w:rStyle w:val="26"/>
          <w:rFonts w:hint="eastAsia" w:cs="宋体"/>
          <w:b w:val="0"/>
          <w:bCs/>
          <w:color w:val="auto"/>
          <w:sz w:val="21"/>
          <w:szCs w:val="21"/>
          <w:lang w:eastAsia="zh-CN"/>
        </w:rPr>
        <w:t>豫财招标采购-2025-91</w:t>
      </w:r>
    </w:p>
    <w:p w14:paraId="6A7EB77D">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pacing w:val="0"/>
          <w:sz w:val="21"/>
          <w:szCs w:val="21"/>
          <w:lang w:eastAsia="zh-CN"/>
        </w:rPr>
      </w:pPr>
      <w:r>
        <w:rPr>
          <w:rStyle w:val="26"/>
          <w:rFonts w:hint="eastAsia" w:ascii="宋体" w:hAnsi="宋体" w:eastAsia="宋体" w:cs="宋体"/>
          <w:b w:val="0"/>
          <w:bCs/>
          <w:color w:val="000000"/>
          <w:spacing w:val="0"/>
          <w:sz w:val="21"/>
          <w:szCs w:val="21"/>
        </w:rPr>
        <w:t>2、项目名称：</w:t>
      </w:r>
      <w:r>
        <w:rPr>
          <w:rStyle w:val="26"/>
          <w:rFonts w:hint="eastAsia" w:cs="宋体"/>
          <w:b w:val="0"/>
          <w:bCs/>
          <w:color w:val="000000"/>
          <w:spacing w:val="-6"/>
          <w:sz w:val="21"/>
          <w:szCs w:val="21"/>
          <w:lang w:eastAsia="zh-CN"/>
        </w:rPr>
        <w:t>嵩山实验室多模态智慧云网环境关键技术研究与验证（一期）-网络底座建设项目</w:t>
      </w:r>
    </w:p>
    <w:p w14:paraId="0E8D273D">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3、采购方式：公开招标</w:t>
      </w:r>
    </w:p>
    <w:p w14:paraId="053EBC47">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auto"/>
          <w:sz w:val="21"/>
          <w:szCs w:val="21"/>
        </w:rPr>
      </w:pPr>
      <w:r>
        <w:rPr>
          <w:rStyle w:val="26"/>
          <w:rFonts w:hint="eastAsia" w:ascii="宋体" w:hAnsi="宋体" w:eastAsia="宋体" w:cs="宋体"/>
          <w:b w:val="0"/>
          <w:bCs/>
          <w:color w:val="auto"/>
          <w:sz w:val="21"/>
          <w:szCs w:val="21"/>
        </w:rPr>
        <w:t>4、预算金额：65491</w:t>
      </w:r>
      <w:r>
        <w:rPr>
          <w:rStyle w:val="26"/>
          <w:rFonts w:hint="eastAsia" w:cs="宋体"/>
          <w:b w:val="0"/>
          <w:bCs/>
          <w:color w:val="auto"/>
          <w:sz w:val="21"/>
          <w:szCs w:val="21"/>
          <w:lang w:val="en-US" w:eastAsia="zh-CN"/>
        </w:rPr>
        <w:t>00</w:t>
      </w:r>
      <w:r>
        <w:rPr>
          <w:rStyle w:val="26"/>
          <w:rFonts w:hint="eastAsia" w:ascii="宋体" w:hAnsi="宋体" w:eastAsia="宋体" w:cs="宋体"/>
          <w:b w:val="0"/>
          <w:bCs/>
          <w:color w:val="auto"/>
          <w:sz w:val="21"/>
          <w:szCs w:val="21"/>
          <w:lang w:val="en-US" w:eastAsia="zh-CN"/>
        </w:rPr>
        <w:t>.00</w:t>
      </w:r>
      <w:r>
        <w:rPr>
          <w:rStyle w:val="26"/>
          <w:rFonts w:hint="eastAsia" w:ascii="宋体" w:hAnsi="宋体" w:eastAsia="宋体" w:cs="宋体"/>
          <w:b w:val="0"/>
          <w:bCs/>
          <w:color w:val="auto"/>
          <w:sz w:val="21"/>
          <w:szCs w:val="21"/>
        </w:rPr>
        <w:t>元</w:t>
      </w:r>
      <w:r>
        <w:rPr>
          <w:rStyle w:val="26"/>
          <w:rFonts w:hint="eastAsia" w:ascii="宋体" w:hAnsi="宋体" w:eastAsia="宋体" w:cs="宋体"/>
          <w:b w:val="0"/>
          <w:bCs/>
          <w:color w:val="auto"/>
          <w:sz w:val="21"/>
          <w:szCs w:val="21"/>
          <w:lang w:eastAsia="zh-CN"/>
        </w:rPr>
        <w:t>，</w:t>
      </w:r>
      <w:r>
        <w:rPr>
          <w:rStyle w:val="26"/>
          <w:rFonts w:hint="eastAsia" w:ascii="宋体" w:hAnsi="宋体" w:eastAsia="宋体" w:cs="宋体"/>
          <w:b w:val="0"/>
          <w:bCs/>
          <w:color w:val="auto"/>
          <w:sz w:val="21"/>
          <w:szCs w:val="21"/>
        </w:rPr>
        <w:t>最高限价：65491</w:t>
      </w:r>
      <w:r>
        <w:rPr>
          <w:rStyle w:val="26"/>
          <w:rFonts w:hint="eastAsia" w:cs="宋体"/>
          <w:b w:val="0"/>
          <w:bCs/>
          <w:color w:val="auto"/>
          <w:sz w:val="21"/>
          <w:szCs w:val="21"/>
          <w:lang w:val="en-US" w:eastAsia="zh-CN"/>
        </w:rPr>
        <w:t>00</w:t>
      </w:r>
      <w:r>
        <w:rPr>
          <w:rStyle w:val="26"/>
          <w:rFonts w:hint="eastAsia" w:ascii="宋体" w:hAnsi="宋体" w:eastAsia="宋体" w:cs="宋体"/>
          <w:b w:val="0"/>
          <w:bCs/>
          <w:color w:val="auto"/>
          <w:sz w:val="21"/>
          <w:szCs w:val="21"/>
          <w:lang w:val="en-US" w:eastAsia="zh-CN"/>
        </w:rPr>
        <w:t>.00</w:t>
      </w:r>
      <w:r>
        <w:rPr>
          <w:rStyle w:val="26"/>
          <w:rFonts w:hint="eastAsia" w:ascii="宋体" w:hAnsi="宋体" w:eastAsia="宋体" w:cs="宋体"/>
          <w:b w:val="0"/>
          <w:bCs/>
          <w:color w:val="auto"/>
          <w:sz w:val="21"/>
          <w:szCs w:val="21"/>
        </w:rPr>
        <w:t>元</w:t>
      </w:r>
    </w:p>
    <w:tbl>
      <w:tblPr>
        <w:tblStyle w:val="2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781"/>
        <w:gridCol w:w="2833"/>
        <w:gridCol w:w="1755"/>
        <w:gridCol w:w="1999"/>
      </w:tblGrid>
      <w:tr w14:paraId="31101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03" w:type="dxa"/>
            <w:vAlign w:val="center"/>
          </w:tcPr>
          <w:p w14:paraId="4F4D7FDA">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Style w:val="26"/>
                <w:rFonts w:hint="eastAsia" w:ascii="宋体" w:hAnsi="宋体" w:eastAsia="宋体" w:cs="宋体"/>
                <w:b w:val="0"/>
                <w:bCs/>
                <w:color w:val="auto"/>
                <w:sz w:val="21"/>
                <w:szCs w:val="21"/>
                <w:vertAlign w:val="baseline"/>
              </w:rPr>
            </w:pPr>
            <w:r>
              <w:rPr>
                <w:rStyle w:val="26"/>
                <w:rFonts w:hint="eastAsia" w:ascii="宋体" w:hAnsi="宋体" w:eastAsia="宋体" w:cs="宋体"/>
                <w:b w:val="0"/>
                <w:bCs/>
                <w:color w:val="auto"/>
                <w:sz w:val="21"/>
                <w:szCs w:val="21"/>
              </w:rPr>
              <w:t>序号</w:t>
            </w:r>
          </w:p>
        </w:tc>
        <w:tc>
          <w:tcPr>
            <w:tcW w:w="1781" w:type="dxa"/>
            <w:vAlign w:val="center"/>
          </w:tcPr>
          <w:p w14:paraId="23A48889">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Style w:val="26"/>
                <w:rFonts w:hint="eastAsia" w:ascii="宋体" w:hAnsi="宋体" w:eastAsia="宋体" w:cs="宋体"/>
                <w:b w:val="0"/>
                <w:bCs/>
                <w:color w:val="auto"/>
                <w:sz w:val="21"/>
                <w:szCs w:val="21"/>
                <w:vertAlign w:val="baseline"/>
              </w:rPr>
            </w:pPr>
            <w:r>
              <w:rPr>
                <w:rStyle w:val="26"/>
                <w:rFonts w:hint="eastAsia" w:ascii="宋体" w:hAnsi="宋体" w:eastAsia="宋体" w:cs="宋体"/>
                <w:b w:val="0"/>
                <w:bCs/>
                <w:color w:val="auto"/>
                <w:sz w:val="21"/>
                <w:szCs w:val="21"/>
              </w:rPr>
              <w:t>包号</w:t>
            </w:r>
          </w:p>
        </w:tc>
        <w:tc>
          <w:tcPr>
            <w:tcW w:w="2833" w:type="dxa"/>
            <w:vAlign w:val="center"/>
          </w:tcPr>
          <w:p w14:paraId="4A3665DB">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Style w:val="26"/>
                <w:rFonts w:hint="eastAsia" w:ascii="宋体" w:hAnsi="宋体" w:eastAsia="宋体" w:cs="宋体"/>
                <w:b w:val="0"/>
                <w:bCs/>
                <w:color w:val="auto"/>
                <w:sz w:val="21"/>
                <w:szCs w:val="21"/>
                <w:vertAlign w:val="baseline"/>
              </w:rPr>
            </w:pPr>
            <w:r>
              <w:rPr>
                <w:rStyle w:val="26"/>
                <w:rFonts w:hint="eastAsia" w:ascii="宋体" w:hAnsi="宋体" w:eastAsia="宋体" w:cs="宋体"/>
                <w:b w:val="0"/>
                <w:bCs/>
                <w:color w:val="auto"/>
                <w:sz w:val="21"/>
                <w:szCs w:val="21"/>
              </w:rPr>
              <w:t>包名称</w:t>
            </w:r>
          </w:p>
        </w:tc>
        <w:tc>
          <w:tcPr>
            <w:tcW w:w="1755" w:type="dxa"/>
            <w:vAlign w:val="center"/>
          </w:tcPr>
          <w:p w14:paraId="39A24686">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Style w:val="26"/>
                <w:rFonts w:hint="eastAsia" w:ascii="宋体" w:hAnsi="宋体" w:eastAsia="宋体" w:cs="宋体"/>
                <w:b w:val="0"/>
                <w:bCs/>
                <w:color w:val="auto"/>
                <w:sz w:val="21"/>
                <w:szCs w:val="21"/>
                <w:vertAlign w:val="baseline"/>
              </w:rPr>
            </w:pPr>
            <w:r>
              <w:rPr>
                <w:rStyle w:val="26"/>
                <w:rFonts w:hint="eastAsia" w:ascii="宋体" w:hAnsi="宋体" w:eastAsia="宋体" w:cs="宋体"/>
                <w:b w:val="0"/>
                <w:bCs/>
                <w:color w:val="auto"/>
                <w:sz w:val="21"/>
                <w:szCs w:val="21"/>
              </w:rPr>
              <w:t>包预算（元）</w:t>
            </w:r>
          </w:p>
        </w:tc>
        <w:tc>
          <w:tcPr>
            <w:tcW w:w="1999" w:type="dxa"/>
            <w:vAlign w:val="center"/>
          </w:tcPr>
          <w:p w14:paraId="5FAC878A">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Style w:val="26"/>
                <w:rFonts w:hint="eastAsia" w:ascii="宋体" w:hAnsi="宋体" w:eastAsia="宋体" w:cs="宋体"/>
                <w:b w:val="0"/>
                <w:bCs/>
                <w:color w:val="auto"/>
                <w:sz w:val="21"/>
                <w:szCs w:val="21"/>
                <w:vertAlign w:val="baseline"/>
              </w:rPr>
            </w:pPr>
            <w:r>
              <w:rPr>
                <w:rStyle w:val="26"/>
                <w:rFonts w:hint="eastAsia" w:ascii="宋体" w:hAnsi="宋体" w:eastAsia="宋体" w:cs="宋体"/>
                <w:b w:val="0"/>
                <w:bCs/>
                <w:color w:val="auto"/>
                <w:sz w:val="21"/>
                <w:szCs w:val="21"/>
              </w:rPr>
              <w:t>包最高限价（元）</w:t>
            </w:r>
          </w:p>
        </w:tc>
      </w:tr>
      <w:tr w14:paraId="4F14E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03" w:type="dxa"/>
            <w:vAlign w:val="center"/>
          </w:tcPr>
          <w:p w14:paraId="72B2CB1C">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Style w:val="26"/>
                <w:rFonts w:hint="eastAsia" w:ascii="宋体" w:hAnsi="宋体" w:eastAsia="宋体" w:cs="宋体"/>
                <w:b w:val="0"/>
                <w:bCs/>
                <w:color w:val="auto"/>
                <w:sz w:val="21"/>
                <w:szCs w:val="21"/>
                <w:vertAlign w:val="baseline"/>
                <w:lang w:val="en-US" w:eastAsia="zh-CN"/>
              </w:rPr>
            </w:pPr>
            <w:r>
              <w:rPr>
                <w:rStyle w:val="26"/>
                <w:rFonts w:hint="eastAsia" w:ascii="宋体" w:hAnsi="宋体" w:eastAsia="宋体" w:cs="宋体"/>
                <w:b w:val="0"/>
                <w:bCs/>
                <w:color w:val="auto"/>
                <w:sz w:val="21"/>
                <w:szCs w:val="21"/>
                <w:vertAlign w:val="baseline"/>
                <w:lang w:val="en-US" w:eastAsia="zh-CN"/>
              </w:rPr>
              <w:t>1</w:t>
            </w:r>
          </w:p>
        </w:tc>
        <w:tc>
          <w:tcPr>
            <w:tcW w:w="1781" w:type="dxa"/>
            <w:vAlign w:val="center"/>
          </w:tcPr>
          <w:p w14:paraId="001C87E8">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Style w:val="26"/>
                <w:rFonts w:hint="default" w:ascii="宋体" w:hAnsi="宋体" w:eastAsia="宋体" w:cs="宋体"/>
                <w:b w:val="0"/>
                <w:bCs/>
                <w:color w:val="auto"/>
                <w:sz w:val="21"/>
                <w:szCs w:val="21"/>
                <w:vertAlign w:val="baseline"/>
                <w:lang w:val="en-US" w:eastAsia="zh-CN"/>
              </w:rPr>
            </w:pPr>
            <w:r>
              <w:rPr>
                <w:rStyle w:val="26"/>
                <w:rFonts w:hint="eastAsia" w:ascii="宋体" w:hAnsi="宋体" w:eastAsia="宋体" w:cs="宋体"/>
                <w:b w:val="0"/>
                <w:bCs/>
                <w:color w:val="auto"/>
                <w:sz w:val="21"/>
                <w:szCs w:val="21"/>
                <w:vertAlign w:val="baseline"/>
              </w:rPr>
              <w:t>豫政采(2)20250146</w:t>
            </w:r>
            <w:r>
              <w:rPr>
                <w:rStyle w:val="26"/>
                <w:rFonts w:hint="eastAsia" w:cs="宋体"/>
                <w:b w:val="0"/>
                <w:bCs/>
                <w:color w:val="auto"/>
                <w:sz w:val="21"/>
                <w:szCs w:val="21"/>
                <w:vertAlign w:val="baseline"/>
                <w:lang w:val="en-US" w:eastAsia="zh-CN"/>
              </w:rPr>
              <w:t>-1</w:t>
            </w:r>
          </w:p>
        </w:tc>
        <w:tc>
          <w:tcPr>
            <w:tcW w:w="2833" w:type="dxa"/>
            <w:vAlign w:val="center"/>
          </w:tcPr>
          <w:p w14:paraId="75B9EAC5">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Style w:val="26"/>
                <w:rFonts w:hint="eastAsia" w:ascii="宋体" w:hAnsi="宋体" w:eastAsia="宋体" w:cs="宋体"/>
                <w:b w:val="0"/>
                <w:bCs/>
                <w:color w:val="auto"/>
                <w:sz w:val="21"/>
                <w:szCs w:val="21"/>
                <w:vertAlign w:val="baseline"/>
              </w:rPr>
            </w:pPr>
            <w:r>
              <w:rPr>
                <w:rStyle w:val="26"/>
                <w:rFonts w:hint="eastAsia" w:ascii="宋体" w:hAnsi="宋体" w:eastAsia="宋体" w:cs="宋体"/>
                <w:b w:val="0"/>
                <w:bCs/>
                <w:color w:val="auto"/>
                <w:sz w:val="21"/>
                <w:szCs w:val="21"/>
                <w:vertAlign w:val="baseline"/>
              </w:rPr>
              <w:t>嵩山实验室多模态智慧云网环境关键技术研究与验证（一期）-网络底座建设项目</w:t>
            </w:r>
          </w:p>
        </w:tc>
        <w:tc>
          <w:tcPr>
            <w:tcW w:w="1755" w:type="dxa"/>
            <w:vAlign w:val="center"/>
          </w:tcPr>
          <w:p w14:paraId="48F5D703">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Style w:val="26"/>
                <w:rFonts w:hint="eastAsia" w:ascii="宋体" w:hAnsi="宋体" w:eastAsia="宋体" w:cs="宋体"/>
                <w:b w:val="0"/>
                <w:bCs/>
                <w:color w:val="auto"/>
                <w:sz w:val="21"/>
                <w:szCs w:val="21"/>
                <w:vertAlign w:val="baseline"/>
              </w:rPr>
            </w:pPr>
            <w:r>
              <w:rPr>
                <w:rStyle w:val="26"/>
                <w:rFonts w:hint="eastAsia" w:ascii="宋体" w:hAnsi="宋体" w:eastAsia="宋体" w:cs="宋体"/>
                <w:b w:val="0"/>
                <w:bCs/>
                <w:color w:val="auto"/>
                <w:sz w:val="21"/>
                <w:szCs w:val="21"/>
              </w:rPr>
              <w:t>65491</w:t>
            </w:r>
            <w:r>
              <w:rPr>
                <w:rStyle w:val="26"/>
                <w:rFonts w:hint="eastAsia" w:cs="宋体"/>
                <w:b w:val="0"/>
                <w:bCs/>
                <w:color w:val="auto"/>
                <w:sz w:val="21"/>
                <w:szCs w:val="21"/>
                <w:lang w:val="en-US" w:eastAsia="zh-CN"/>
              </w:rPr>
              <w:t>00</w:t>
            </w:r>
            <w:r>
              <w:rPr>
                <w:rStyle w:val="26"/>
                <w:rFonts w:hint="eastAsia" w:ascii="宋体" w:hAnsi="宋体" w:eastAsia="宋体" w:cs="宋体"/>
                <w:b w:val="0"/>
                <w:bCs/>
                <w:color w:val="auto"/>
                <w:sz w:val="21"/>
                <w:szCs w:val="21"/>
                <w:lang w:val="en-US" w:eastAsia="zh-CN"/>
              </w:rPr>
              <w:t>.00</w:t>
            </w:r>
          </w:p>
        </w:tc>
        <w:tc>
          <w:tcPr>
            <w:tcW w:w="1999" w:type="dxa"/>
            <w:vAlign w:val="center"/>
          </w:tcPr>
          <w:p w14:paraId="4BFB2903">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Style w:val="26"/>
                <w:rFonts w:hint="eastAsia" w:ascii="宋体" w:hAnsi="宋体" w:eastAsia="宋体" w:cs="宋体"/>
                <w:b w:val="0"/>
                <w:bCs/>
                <w:color w:val="auto"/>
                <w:sz w:val="21"/>
                <w:szCs w:val="21"/>
                <w:vertAlign w:val="baseline"/>
              </w:rPr>
            </w:pPr>
            <w:r>
              <w:rPr>
                <w:rStyle w:val="26"/>
                <w:rFonts w:hint="eastAsia" w:ascii="宋体" w:hAnsi="宋体" w:eastAsia="宋体" w:cs="宋体"/>
                <w:b w:val="0"/>
                <w:bCs/>
                <w:color w:val="auto"/>
                <w:sz w:val="21"/>
                <w:szCs w:val="21"/>
              </w:rPr>
              <w:t>65491</w:t>
            </w:r>
            <w:r>
              <w:rPr>
                <w:rStyle w:val="26"/>
                <w:rFonts w:hint="eastAsia" w:cs="宋体"/>
                <w:b w:val="0"/>
                <w:bCs/>
                <w:color w:val="auto"/>
                <w:sz w:val="21"/>
                <w:szCs w:val="21"/>
                <w:lang w:val="en-US" w:eastAsia="zh-CN"/>
              </w:rPr>
              <w:t>00</w:t>
            </w:r>
            <w:r>
              <w:rPr>
                <w:rStyle w:val="26"/>
                <w:rFonts w:hint="eastAsia" w:ascii="宋体" w:hAnsi="宋体" w:eastAsia="宋体" w:cs="宋体"/>
                <w:b w:val="0"/>
                <w:bCs/>
                <w:color w:val="auto"/>
                <w:sz w:val="21"/>
                <w:szCs w:val="21"/>
                <w:lang w:val="en-US" w:eastAsia="zh-CN"/>
              </w:rPr>
              <w:t>.00</w:t>
            </w:r>
          </w:p>
        </w:tc>
      </w:tr>
    </w:tbl>
    <w:p w14:paraId="2CAADD8E">
      <w:pPr>
        <w:keepNext w:val="0"/>
        <w:keepLines w:val="0"/>
        <w:pageBreakBefore w:val="0"/>
        <w:widowControl w:val="0"/>
        <w:kinsoku/>
        <w:wordWrap/>
        <w:overflowPunct/>
        <w:topLinePunct w:val="0"/>
        <w:autoSpaceDE/>
        <w:autoSpaceDN/>
        <w:bidi w:val="0"/>
        <w:adjustRightInd w:val="0"/>
        <w:snapToGrid/>
        <w:spacing w:before="157" w:beforeLines="50" w:line="396" w:lineRule="auto"/>
        <w:ind w:firstLine="420" w:firstLineChars="200"/>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5、采购需求（包括但不限于标的的名称、数量、简要技术需求或服务要求等）</w:t>
      </w:r>
    </w:p>
    <w:p w14:paraId="773F6C22">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5.</w:t>
      </w:r>
      <w:r>
        <w:rPr>
          <w:rStyle w:val="26"/>
          <w:rFonts w:hint="eastAsia" w:ascii="宋体" w:hAnsi="宋体" w:eastAsia="宋体" w:cs="宋体"/>
          <w:b w:val="0"/>
          <w:bCs/>
          <w:color w:val="000000"/>
          <w:sz w:val="21"/>
          <w:szCs w:val="21"/>
          <w:lang w:val="en-US" w:eastAsia="zh-CN"/>
        </w:rPr>
        <w:t>1</w:t>
      </w:r>
      <w:r>
        <w:rPr>
          <w:rStyle w:val="26"/>
          <w:rFonts w:hint="eastAsia" w:ascii="宋体" w:hAnsi="宋体" w:eastAsia="宋体" w:cs="宋体"/>
          <w:b w:val="0"/>
          <w:bCs/>
          <w:color w:val="000000"/>
          <w:sz w:val="21"/>
          <w:szCs w:val="21"/>
        </w:rPr>
        <w:t>采购内容：多模态智慧云网环境关键技术研究与验证（一期）项目的多模态网络环境子项建设所需的设备和相关集成服务（包括</w:t>
      </w:r>
      <w:r>
        <w:rPr>
          <w:rStyle w:val="26"/>
          <w:rFonts w:hint="eastAsia" w:cs="宋体"/>
          <w:b w:val="0"/>
          <w:bCs/>
          <w:color w:val="000000"/>
          <w:sz w:val="21"/>
          <w:szCs w:val="21"/>
          <w:lang w:val="en-US" w:eastAsia="zh-CN"/>
        </w:rPr>
        <w:t>本次采购设备及其他</w:t>
      </w:r>
      <w:r>
        <w:rPr>
          <w:rStyle w:val="26"/>
          <w:rFonts w:hint="eastAsia" w:ascii="宋体" w:hAnsi="宋体" w:eastAsia="宋体" w:cs="宋体"/>
          <w:b w:val="0"/>
          <w:bCs/>
          <w:color w:val="000000"/>
          <w:sz w:val="21"/>
          <w:szCs w:val="21"/>
        </w:rPr>
        <w:t>14台园区网络多模态设备、6台平行网络多模态设备及利旧的28台盒式交换机、1台汇聚框式交换机、78个无线AP等网络设备）。该子项旨在构建北龙湖办公区的多模态网络环境底座，包括嵩山实验室北龙湖园区楼宇综合布线系统和园区室内无线网。建成后，该网络环境将支持终端、云、物联网的接入，并能够承载办公、科研、园区信息化生产等多种业务</w:t>
      </w:r>
      <w:r>
        <w:rPr>
          <w:rStyle w:val="26"/>
          <w:rFonts w:hint="eastAsia" w:ascii="宋体" w:hAnsi="宋体" w:eastAsia="宋体" w:cs="宋体"/>
          <w:b w:val="0"/>
          <w:bCs/>
          <w:color w:val="000000"/>
          <w:sz w:val="21"/>
          <w:szCs w:val="21"/>
          <w:lang w:eastAsia="zh-CN"/>
        </w:rPr>
        <w:t>。包含以上所有货物供货、安装调试、售后保修及相关伴随服务等，</w:t>
      </w:r>
      <w:r>
        <w:rPr>
          <w:rStyle w:val="26"/>
          <w:rFonts w:hint="eastAsia" w:ascii="宋体" w:hAnsi="宋体" w:eastAsia="宋体" w:cs="宋体"/>
          <w:b w:val="0"/>
          <w:bCs/>
          <w:color w:val="000000"/>
          <w:sz w:val="21"/>
          <w:szCs w:val="21"/>
          <w:lang w:val="en-US" w:eastAsia="zh-CN"/>
        </w:rPr>
        <w:t>具体要求</w:t>
      </w:r>
      <w:r>
        <w:rPr>
          <w:rStyle w:val="26"/>
          <w:rFonts w:hint="eastAsia" w:ascii="宋体" w:hAnsi="宋体" w:eastAsia="宋体" w:cs="宋体"/>
          <w:b w:val="0"/>
          <w:bCs/>
          <w:color w:val="000000"/>
          <w:sz w:val="21"/>
          <w:szCs w:val="21"/>
        </w:rPr>
        <w:t>详见</w:t>
      </w:r>
      <w:r>
        <w:rPr>
          <w:rStyle w:val="26"/>
          <w:rFonts w:hint="eastAsia" w:ascii="宋体" w:hAnsi="宋体" w:eastAsia="宋体" w:cs="宋体"/>
          <w:b w:val="0"/>
          <w:bCs/>
          <w:color w:val="000000"/>
          <w:sz w:val="21"/>
          <w:szCs w:val="21"/>
          <w:lang w:val="en-US" w:eastAsia="zh-CN"/>
        </w:rPr>
        <w:t>招标文件</w:t>
      </w:r>
      <w:r>
        <w:rPr>
          <w:rStyle w:val="26"/>
          <w:rFonts w:hint="eastAsia" w:ascii="宋体" w:hAnsi="宋体" w:eastAsia="宋体" w:cs="宋体"/>
          <w:b w:val="0"/>
          <w:bCs/>
          <w:color w:val="000000"/>
          <w:sz w:val="21"/>
          <w:szCs w:val="21"/>
        </w:rPr>
        <w:t>。</w:t>
      </w:r>
    </w:p>
    <w:p w14:paraId="0BEFF229">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5.</w:t>
      </w:r>
      <w:r>
        <w:rPr>
          <w:rStyle w:val="26"/>
          <w:rFonts w:hint="eastAsia" w:ascii="宋体" w:hAnsi="宋体" w:eastAsia="宋体" w:cs="宋体"/>
          <w:b w:val="0"/>
          <w:bCs/>
          <w:color w:val="000000"/>
          <w:sz w:val="21"/>
          <w:szCs w:val="21"/>
          <w:lang w:val="en-US" w:eastAsia="zh-CN"/>
        </w:rPr>
        <w:t>2</w:t>
      </w:r>
      <w:r>
        <w:rPr>
          <w:rStyle w:val="26"/>
          <w:rFonts w:hint="eastAsia" w:ascii="宋体" w:hAnsi="宋体" w:eastAsia="宋体" w:cs="宋体"/>
          <w:b w:val="0"/>
          <w:bCs/>
          <w:color w:val="000000"/>
          <w:sz w:val="21"/>
          <w:szCs w:val="21"/>
        </w:rPr>
        <w:t>资金来源：财政资金，已落实。</w:t>
      </w:r>
    </w:p>
    <w:p w14:paraId="58CAEB09">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highlight w:val="none"/>
        </w:rPr>
      </w:pPr>
      <w:r>
        <w:rPr>
          <w:rStyle w:val="26"/>
          <w:rFonts w:hint="eastAsia" w:ascii="宋体" w:hAnsi="宋体" w:eastAsia="宋体" w:cs="宋体"/>
          <w:b w:val="0"/>
          <w:bCs/>
          <w:color w:val="000000"/>
          <w:sz w:val="21"/>
          <w:szCs w:val="21"/>
          <w:highlight w:val="none"/>
        </w:rPr>
        <w:t>5.</w:t>
      </w:r>
      <w:r>
        <w:rPr>
          <w:rStyle w:val="26"/>
          <w:rFonts w:hint="eastAsia" w:ascii="宋体" w:hAnsi="宋体" w:eastAsia="宋体" w:cs="宋体"/>
          <w:b w:val="0"/>
          <w:bCs/>
          <w:color w:val="000000"/>
          <w:sz w:val="21"/>
          <w:szCs w:val="21"/>
          <w:highlight w:val="none"/>
          <w:lang w:val="en-US" w:eastAsia="zh-CN"/>
        </w:rPr>
        <w:t>3交付（完工）时间</w:t>
      </w:r>
      <w:r>
        <w:rPr>
          <w:rStyle w:val="26"/>
          <w:rFonts w:hint="eastAsia" w:ascii="宋体" w:hAnsi="宋体" w:eastAsia="宋体" w:cs="宋体"/>
          <w:b w:val="0"/>
          <w:bCs/>
          <w:color w:val="000000"/>
          <w:sz w:val="21"/>
          <w:szCs w:val="21"/>
          <w:highlight w:val="none"/>
        </w:rPr>
        <w:t>：</w:t>
      </w:r>
    </w:p>
    <w:p w14:paraId="65FBCA13">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highlight w:val="none"/>
        </w:rPr>
      </w:pPr>
      <w:r>
        <w:rPr>
          <w:rStyle w:val="26"/>
          <w:rFonts w:hint="eastAsia" w:cs="宋体"/>
          <w:b w:val="0"/>
          <w:bCs/>
          <w:color w:val="000000"/>
          <w:sz w:val="21"/>
          <w:szCs w:val="21"/>
          <w:highlight w:val="none"/>
          <w:lang w:val="en-US" w:eastAsia="zh-CN"/>
        </w:rPr>
        <w:t>（1）</w:t>
      </w:r>
      <w:r>
        <w:rPr>
          <w:rStyle w:val="26"/>
          <w:rFonts w:hint="eastAsia" w:ascii="宋体" w:hAnsi="宋体" w:eastAsia="宋体" w:cs="宋体"/>
          <w:b w:val="0"/>
          <w:bCs/>
          <w:color w:val="000000"/>
          <w:sz w:val="21"/>
          <w:szCs w:val="21"/>
          <w:highlight w:val="none"/>
        </w:rPr>
        <w:t>合同签订之日起，20日历天完成5#楼隐蔽工程（皮线光缆、插座工程</w:t>
      </w:r>
      <w:r>
        <w:rPr>
          <w:rStyle w:val="26"/>
          <w:rFonts w:hint="eastAsia" w:cs="宋体"/>
          <w:b w:val="0"/>
          <w:bCs/>
          <w:color w:val="000000"/>
          <w:sz w:val="21"/>
          <w:szCs w:val="21"/>
          <w:highlight w:val="none"/>
          <w:lang w:val="en-US" w:eastAsia="zh-CN"/>
        </w:rPr>
        <w:t>等</w:t>
      </w:r>
      <w:r>
        <w:rPr>
          <w:rStyle w:val="26"/>
          <w:rFonts w:hint="eastAsia" w:ascii="宋体" w:hAnsi="宋体" w:eastAsia="宋体" w:cs="宋体"/>
          <w:b w:val="0"/>
          <w:bCs/>
          <w:color w:val="000000"/>
          <w:sz w:val="21"/>
          <w:szCs w:val="21"/>
          <w:highlight w:val="none"/>
        </w:rPr>
        <w:t>）的建设，要求能够提供正常办公所具备的基础网络条件；</w:t>
      </w:r>
    </w:p>
    <w:p w14:paraId="75135852">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highlight w:val="none"/>
        </w:rPr>
      </w:pPr>
      <w:r>
        <w:rPr>
          <w:rStyle w:val="26"/>
          <w:rFonts w:hint="eastAsia" w:cs="宋体"/>
          <w:b w:val="0"/>
          <w:bCs/>
          <w:color w:val="000000"/>
          <w:sz w:val="21"/>
          <w:szCs w:val="21"/>
          <w:highlight w:val="none"/>
          <w:lang w:val="en-US" w:eastAsia="zh-CN"/>
        </w:rPr>
        <w:t>（2）</w:t>
      </w:r>
      <w:r>
        <w:rPr>
          <w:rStyle w:val="26"/>
          <w:rFonts w:hint="eastAsia" w:ascii="宋体" w:hAnsi="宋体" w:eastAsia="宋体" w:cs="宋体"/>
          <w:b w:val="0"/>
          <w:bCs/>
          <w:color w:val="000000"/>
          <w:sz w:val="21"/>
          <w:szCs w:val="21"/>
          <w:highlight w:val="none"/>
        </w:rPr>
        <w:t>合同签订之日起，45日历天完成5#楼、2#楼1层的建设；</w:t>
      </w:r>
    </w:p>
    <w:p w14:paraId="3AA8DD77">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highlight w:val="none"/>
        </w:rPr>
      </w:pPr>
      <w:r>
        <w:rPr>
          <w:rStyle w:val="26"/>
          <w:rFonts w:hint="eastAsia" w:cs="宋体"/>
          <w:b w:val="0"/>
          <w:bCs/>
          <w:color w:val="000000"/>
          <w:sz w:val="21"/>
          <w:szCs w:val="21"/>
          <w:highlight w:val="none"/>
          <w:lang w:val="en-US" w:eastAsia="zh-CN"/>
        </w:rPr>
        <w:t>（3）</w:t>
      </w:r>
      <w:r>
        <w:rPr>
          <w:rStyle w:val="26"/>
          <w:rFonts w:hint="eastAsia" w:ascii="宋体" w:hAnsi="宋体" w:eastAsia="宋体" w:cs="宋体"/>
          <w:b w:val="0"/>
          <w:bCs/>
          <w:color w:val="000000"/>
          <w:sz w:val="21"/>
          <w:szCs w:val="21"/>
          <w:highlight w:val="none"/>
        </w:rPr>
        <w:t>3#楼（南塔）、2#楼、1#楼具备进场条件后30日历天完成建设；</w:t>
      </w:r>
    </w:p>
    <w:p w14:paraId="4193AD6B">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highlight w:val="none"/>
        </w:rPr>
      </w:pPr>
      <w:r>
        <w:rPr>
          <w:rStyle w:val="26"/>
          <w:rFonts w:hint="eastAsia" w:cs="宋体"/>
          <w:b w:val="0"/>
          <w:bCs/>
          <w:color w:val="000000"/>
          <w:sz w:val="21"/>
          <w:szCs w:val="21"/>
          <w:highlight w:val="none"/>
          <w:lang w:val="en-US" w:eastAsia="zh-CN"/>
        </w:rPr>
        <w:t>（4）</w:t>
      </w:r>
      <w:r>
        <w:rPr>
          <w:rStyle w:val="26"/>
          <w:rFonts w:hint="eastAsia" w:ascii="宋体" w:hAnsi="宋体" w:eastAsia="宋体" w:cs="宋体"/>
          <w:b w:val="0"/>
          <w:bCs/>
          <w:color w:val="000000"/>
          <w:sz w:val="21"/>
          <w:szCs w:val="21"/>
          <w:highlight w:val="none"/>
        </w:rPr>
        <w:t>平行网络设备具备条件后10日历天完成集成，并按采购人要求交付完毕；</w:t>
      </w:r>
    </w:p>
    <w:p w14:paraId="70A24E36">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highlight w:val="none"/>
        </w:rPr>
      </w:pPr>
      <w:r>
        <w:rPr>
          <w:rStyle w:val="26"/>
          <w:rFonts w:hint="eastAsia" w:cs="宋体"/>
          <w:b w:val="0"/>
          <w:bCs/>
          <w:color w:val="000000"/>
          <w:sz w:val="21"/>
          <w:szCs w:val="21"/>
          <w:highlight w:val="none"/>
          <w:lang w:val="en-US" w:eastAsia="zh-CN"/>
        </w:rPr>
        <w:t>（5）</w:t>
      </w:r>
      <w:r>
        <w:rPr>
          <w:rStyle w:val="26"/>
          <w:rFonts w:hint="eastAsia" w:ascii="宋体" w:hAnsi="宋体" w:eastAsia="宋体" w:cs="宋体"/>
          <w:b w:val="0"/>
          <w:bCs/>
          <w:color w:val="000000"/>
          <w:spacing w:val="-2"/>
          <w:sz w:val="21"/>
          <w:szCs w:val="21"/>
          <w:highlight w:val="none"/>
        </w:rPr>
        <w:t>利旧工程具备拆卸搬迁条件后10日历天内完成搬迁和安装，并按采购人要求交付完毕</w:t>
      </w:r>
      <w:r>
        <w:rPr>
          <w:rStyle w:val="26"/>
          <w:rFonts w:hint="eastAsia" w:ascii="宋体" w:hAnsi="宋体" w:eastAsia="宋体" w:cs="宋体"/>
          <w:b w:val="0"/>
          <w:bCs/>
          <w:color w:val="000000"/>
          <w:sz w:val="21"/>
          <w:szCs w:val="21"/>
          <w:highlight w:val="none"/>
        </w:rPr>
        <w:t>。</w:t>
      </w:r>
    </w:p>
    <w:p w14:paraId="75EE56B4">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default" w:ascii="宋体" w:hAnsi="宋体" w:eastAsia="宋体" w:cs="宋体"/>
          <w:b w:val="0"/>
          <w:bCs/>
          <w:color w:val="000000"/>
          <w:sz w:val="21"/>
          <w:szCs w:val="21"/>
          <w:highlight w:val="none"/>
          <w:lang w:val="en-US" w:eastAsia="zh-CN"/>
        </w:rPr>
      </w:pPr>
      <w:r>
        <w:rPr>
          <w:rStyle w:val="26"/>
          <w:rFonts w:hint="eastAsia" w:cs="宋体"/>
          <w:b w:val="0"/>
          <w:bCs/>
          <w:color w:val="000000"/>
          <w:sz w:val="21"/>
          <w:szCs w:val="21"/>
          <w:highlight w:val="none"/>
          <w:lang w:val="en-US" w:eastAsia="zh-CN"/>
        </w:rPr>
        <w:t>5.4质量要求：符合国家、行业相关质量标准及采购人要求。</w:t>
      </w:r>
    </w:p>
    <w:p w14:paraId="49CB6AE1">
      <w:pPr>
        <w:keepNext w:val="0"/>
        <w:keepLines w:val="0"/>
        <w:pageBreakBefore w:val="0"/>
        <w:widowControl w:val="0"/>
        <w:kinsoku/>
        <w:wordWrap/>
        <w:overflowPunct/>
        <w:topLinePunct w:val="0"/>
        <w:autoSpaceDE/>
        <w:autoSpaceDN/>
        <w:bidi w:val="0"/>
        <w:adjustRightInd w:val="0"/>
        <w:snapToGrid/>
        <w:spacing w:line="396" w:lineRule="auto"/>
        <w:ind w:firstLine="420" w:firstLineChars="200"/>
        <w:textAlignment w:val="auto"/>
        <w:rPr>
          <w:rFonts w:hint="eastAsia"/>
          <w:sz w:val="21"/>
          <w:szCs w:val="21"/>
        </w:rPr>
      </w:pPr>
      <w:r>
        <w:rPr>
          <w:rFonts w:hint="eastAsia"/>
          <w:sz w:val="21"/>
          <w:szCs w:val="21"/>
        </w:rPr>
        <w:t>5.</w:t>
      </w:r>
      <w:r>
        <w:rPr>
          <w:rFonts w:hint="eastAsia"/>
          <w:sz w:val="21"/>
          <w:szCs w:val="21"/>
          <w:lang w:val="en-US" w:eastAsia="zh-CN"/>
        </w:rPr>
        <w:t>5交付</w:t>
      </w:r>
      <w:r>
        <w:rPr>
          <w:rFonts w:hint="eastAsia"/>
          <w:sz w:val="21"/>
          <w:szCs w:val="21"/>
        </w:rPr>
        <w:t>地点：嵩山实验室。</w:t>
      </w:r>
    </w:p>
    <w:p w14:paraId="5D8A6365">
      <w:pPr>
        <w:keepNext w:val="0"/>
        <w:keepLines w:val="0"/>
        <w:pageBreakBefore w:val="0"/>
        <w:widowControl w:val="0"/>
        <w:kinsoku/>
        <w:wordWrap/>
        <w:overflowPunct/>
        <w:topLinePunct w:val="0"/>
        <w:autoSpaceDE/>
        <w:autoSpaceDN/>
        <w:bidi w:val="0"/>
        <w:adjustRightInd w:val="0"/>
        <w:snapToGrid/>
        <w:spacing w:line="396" w:lineRule="auto"/>
        <w:ind w:firstLine="420" w:firstLineChars="200"/>
        <w:textAlignment w:val="auto"/>
        <w:rPr>
          <w:rFonts w:hint="default" w:eastAsia="宋体"/>
          <w:sz w:val="21"/>
          <w:szCs w:val="21"/>
          <w:lang w:val="en-US" w:eastAsia="zh-CN"/>
        </w:rPr>
      </w:pPr>
      <w:r>
        <w:rPr>
          <w:rFonts w:hint="eastAsia"/>
          <w:sz w:val="21"/>
          <w:szCs w:val="21"/>
          <w:lang w:val="en-US" w:eastAsia="zh-CN"/>
        </w:rPr>
        <w:t>5.6项目质保期：项目质保期3年（多模态网络底座主设备原厂质保期为6年）。</w:t>
      </w:r>
    </w:p>
    <w:p w14:paraId="3CB98D99">
      <w:pPr>
        <w:keepNext w:val="0"/>
        <w:keepLines w:val="0"/>
        <w:pageBreakBefore w:val="0"/>
        <w:widowControl w:val="0"/>
        <w:kinsoku/>
        <w:wordWrap/>
        <w:overflowPunct/>
        <w:topLinePunct w:val="0"/>
        <w:autoSpaceDE/>
        <w:autoSpaceDN/>
        <w:bidi w:val="0"/>
        <w:adjustRightInd w:val="0"/>
        <w:snapToGrid/>
        <w:spacing w:line="396" w:lineRule="auto"/>
        <w:ind w:firstLine="420" w:firstLineChars="200"/>
        <w:textAlignment w:val="auto"/>
        <w:rPr>
          <w:rFonts w:hint="eastAsia"/>
          <w:sz w:val="21"/>
          <w:szCs w:val="21"/>
        </w:rPr>
      </w:pPr>
      <w:r>
        <w:rPr>
          <w:rFonts w:hint="eastAsia"/>
          <w:sz w:val="21"/>
          <w:szCs w:val="21"/>
        </w:rPr>
        <w:t>5.</w:t>
      </w:r>
      <w:r>
        <w:rPr>
          <w:rFonts w:hint="eastAsia"/>
          <w:sz w:val="21"/>
          <w:szCs w:val="21"/>
          <w:lang w:val="en-US" w:eastAsia="zh-CN"/>
        </w:rPr>
        <w:t>7</w:t>
      </w:r>
      <w:r>
        <w:rPr>
          <w:rFonts w:hint="eastAsia"/>
          <w:sz w:val="21"/>
          <w:szCs w:val="21"/>
        </w:rPr>
        <w:t>标包划分：共划分一个标包。</w:t>
      </w:r>
    </w:p>
    <w:p w14:paraId="6BCBD29A">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highlight w:val="none"/>
          <w:lang w:eastAsia="zh-CN"/>
        </w:rPr>
      </w:pPr>
      <w:r>
        <w:rPr>
          <w:rStyle w:val="26"/>
          <w:rFonts w:hint="eastAsia" w:ascii="宋体" w:hAnsi="宋体" w:eastAsia="宋体" w:cs="宋体"/>
          <w:b w:val="0"/>
          <w:bCs/>
          <w:color w:val="000000"/>
          <w:sz w:val="21"/>
          <w:szCs w:val="21"/>
          <w:highlight w:val="none"/>
        </w:rPr>
        <w:t>6、合同履行期限：自合同生效至质保期结束</w:t>
      </w:r>
      <w:r>
        <w:rPr>
          <w:rStyle w:val="26"/>
          <w:rFonts w:hint="eastAsia" w:ascii="宋体" w:hAnsi="宋体" w:eastAsia="宋体" w:cs="宋体"/>
          <w:b w:val="0"/>
          <w:bCs/>
          <w:color w:val="000000"/>
          <w:sz w:val="21"/>
          <w:szCs w:val="21"/>
          <w:highlight w:val="none"/>
          <w:lang w:eastAsia="zh-CN"/>
        </w:rPr>
        <w:t>。</w:t>
      </w:r>
    </w:p>
    <w:p w14:paraId="23D3580A">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7、本项目是否接受联合体投标：否</w:t>
      </w:r>
    </w:p>
    <w:p w14:paraId="6CF90CDA">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lang w:eastAsia="zh-CN"/>
        </w:rPr>
      </w:pPr>
      <w:r>
        <w:rPr>
          <w:rStyle w:val="26"/>
          <w:rFonts w:hint="eastAsia" w:ascii="宋体" w:hAnsi="宋体" w:eastAsia="宋体" w:cs="宋体"/>
          <w:b w:val="0"/>
          <w:bCs/>
          <w:color w:val="000000"/>
          <w:sz w:val="21"/>
          <w:szCs w:val="21"/>
        </w:rPr>
        <w:t>8、是否接受进口产品：</w:t>
      </w:r>
      <w:r>
        <w:rPr>
          <w:rStyle w:val="26"/>
          <w:rFonts w:hint="eastAsia" w:cs="宋体"/>
          <w:b w:val="0"/>
          <w:bCs/>
          <w:color w:val="000000"/>
          <w:sz w:val="21"/>
          <w:szCs w:val="21"/>
          <w:lang w:val="en-US" w:eastAsia="zh-CN"/>
        </w:rPr>
        <w:t>否</w:t>
      </w:r>
    </w:p>
    <w:p w14:paraId="0372689C">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9、是否专门面向中小企业：否</w:t>
      </w:r>
    </w:p>
    <w:p w14:paraId="2F30276F">
      <w:pPr>
        <w:keepNext w:val="0"/>
        <w:keepLines w:val="0"/>
        <w:pageBreakBefore w:val="0"/>
        <w:widowControl w:val="0"/>
        <w:kinsoku/>
        <w:wordWrap/>
        <w:overflowPunct/>
        <w:topLinePunct w:val="0"/>
        <w:autoSpaceDE/>
        <w:autoSpaceDN/>
        <w:bidi w:val="0"/>
        <w:adjustRightInd w:val="0"/>
        <w:snapToGrid/>
        <w:spacing w:line="396" w:lineRule="auto"/>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二、申请人资格要求：</w:t>
      </w:r>
    </w:p>
    <w:p w14:paraId="7A0AD5EB">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1、满足《中华人民共和国政府采购法》第二十二条规定；</w:t>
      </w:r>
    </w:p>
    <w:p w14:paraId="6C983925">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2、落实政府采购政策满足的资格要求：无</w:t>
      </w:r>
    </w:p>
    <w:p w14:paraId="6B8D509B">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3、本项目的特定资格要求</w:t>
      </w:r>
    </w:p>
    <w:p w14:paraId="68081BF4">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3.1根据《关于在政府采购活动中查询及使用信用记录有关问题的通知》(财库[2016]125号)的规定，采购人或采购代理机构将通过“信用中国”网站（www.creditchina.gov.cn）、中国政府采购网（www.ccgp.gov.cn）等渠道查询供应商信用记录，被列入失信被执行人、重大税收违法失信主体、政府采购严重违法失信行为记录名单的供应商将被拒绝参与本项目政府采购活动（查询时间：递交投标截止时间止至资格审查工作结束前）。在规定的查询时间之后，网站信息发生的任何变更均不再作为评审依据。供应商自行提供的与网站信息不一致的其他证明材料亦不作为资格审查的依据。信用信息查询记录和证据将同采购文件等资料一同归档保存。</w:t>
      </w:r>
    </w:p>
    <w:p w14:paraId="4DA94D2F">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3.2单位负责人为同一人或者存在直接控股、管理关系的不同供应商，不得参加同一合同项下的政府采购活动。</w:t>
      </w:r>
    </w:p>
    <w:p w14:paraId="4A6D8CE9">
      <w:pPr>
        <w:keepNext w:val="0"/>
        <w:keepLines w:val="0"/>
        <w:pageBreakBefore w:val="0"/>
        <w:widowControl w:val="0"/>
        <w:kinsoku/>
        <w:wordWrap/>
        <w:overflowPunct/>
        <w:topLinePunct w:val="0"/>
        <w:autoSpaceDE/>
        <w:autoSpaceDN/>
        <w:bidi w:val="0"/>
        <w:adjustRightInd w:val="0"/>
        <w:snapToGrid/>
        <w:spacing w:line="396" w:lineRule="auto"/>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三、获取招标文件</w:t>
      </w:r>
    </w:p>
    <w:p w14:paraId="729539A7">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auto"/>
          <w:sz w:val="21"/>
          <w:szCs w:val="21"/>
        </w:rPr>
      </w:pPr>
      <w:r>
        <w:rPr>
          <w:rStyle w:val="26"/>
          <w:rFonts w:hint="eastAsia" w:ascii="宋体" w:hAnsi="宋体" w:eastAsia="宋体" w:cs="宋体"/>
          <w:b w:val="0"/>
          <w:bCs/>
          <w:color w:val="auto"/>
          <w:sz w:val="21"/>
          <w:szCs w:val="21"/>
        </w:rPr>
        <w:t>1.时间：202</w:t>
      </w:r>
      <w:r>
        <w:rPr>
          <w:rStyle w:val="26"/>
          <w:rFonts w:hint="eastAsia" w:cs="宋体"/>
          <w:b w:val="0"/>
          <w:bCs/>
          <w:color w:val="auto"/>
          <w:sz w:val="21"/>
          <w:szCs w:val="21"/>
          <w:lang w:val="en-US" w:eastAsia="zh-CN"/>
        </w:rPr>
        <w:t>5</w:t>
      </w:r>
      <w:r>
        <w:rPr>
          <w:rStyle w:val="26"/>
          <w:rFonts w:hint="eastAsia" w:ascii="宋体" w:hAnsi="宋体" w:eastAsia="宋体" w:cs="宋体"/>
          <w:b w:val="0"/>
          <w:bCs/>
          <w:color w:val="auto"/>
          <w:sz w:val="21"/>
          <w:szCs w:val="21"/>
        </w:rPr>
        <w:t>年</w:t>
      </w:r>
      <w:r>
        <w:rPr>
          <w:rStyle w:val="26"/>
          <w:rFonts w:hint="eastAsia" w:cs="宋体"/>
          <w:b w:val="0"/>
          <w:bCs/>
          <w:color w:val="auto"/>
          <w:sz w:val="21"/>
          <w:szCs w:val="21"/>
          <w:lang w:val="en-US" w:eastAsia="zh-CN"/>
        </w:rPr>
        <w:t>2</w:t>
      </w:r>
      <w:r>
        <w:rPr>
          <w:rStyle w:val="26"/>
          <w:rFonts w:hint="eastAsia" w:ascii="宋体" w:hAnsi="宋体" w:eastAsia="宋体" w:cs="宋体"/>
          <w:b w:val="0"/>
          <w:bCs/>
          <w:color w:val="auto"/>
          <w:sz w:val="21"/>
          <w:szCs w:val="21"/>
        </w:rPr>
        <w:t>月</w:t>
      </w:r>
      <w:r>
        <w:rPr>
          <w:rStyle w:val="26"/>
          <w:rFonts w:hint="eastAsia" w:cs="宋体"/>
          <w:b w:val="0"/>
          <w:bCs/>
          <w:color w:val="auto"/>
          <w:sz w:val="21"/>
          <w:szCs w:val="21"/>
          <w:lang w:val="en-US" w:eastAsia="zh-CN"/>
        </w:rPr>
        <w:t>21</w:t>
      </w:r>
      <w:r>
        <w:rPr>
          <w:rStyle w:val="26"/>
          <w:rFonts w:hint="eastAsia" w:ascii="宋体" w:hAnsi="宋体" w:eastAsia="宋体" w:cs="宋体"/>
          <w:b w:val="0"/>
          <w:bCs/>
          <w:color w:val="auto"/>
          <w:sz w:val="21"/>
          <w:szCs w:val="21"/>
        </w:rPr>
        <w:t>日至202</w:t>
      </w:r>
      <w:r>
        <w:rPr>
          <w:rStyle w:val="26"/>
          <w:rFonts w:hint="eastAsia" w:cs="宋体"/>
          <w:b w:val="0"/>
          <w:bCs/>
          <w:color w:val="auto"/>
          <w:sz w:val="21"/>
          <w:szCs w:val="21"/>
          <w:lang w:val="en-US" w:eastAsia="zh-CN"/>
        </w:rPr>
        <w:t>5</w:t>
      </w:r>
      <w:r>
        <w:rPr>
          <w:rStyle w:val="26"/>
          <w:rFonts w:hint="eastAsia" w:ascii="宋体" w:hAnsi="宋体" w:eastAsia="宋体" w:cs="宋体"/>
          <w:b w:val="0"/>
          <w:bCs/>
          <w:color w:val="auto"/>
          <w:sz w:val="21"/>
          <w:szCs w:val="21"/>
        </w:rPr>
        <w:t>年</w:t>
      </w:r>
      <w:r>
        <w:rPr>
          <w:rStyle w:val="26"/>
          <w:rFonts w:hint="eastAsia" w:cs="宋体"/>
          <w:b w:val="0"/>
          <w:bCs/>
          <w:color w:val="auto"/>
          <w:sz w:val="21"/>
          <w:szCs w:val="21"/>
          <w:lang w:val="en-US" w:eastAsia="zh-CN"/>
        </w:rPr>
        <w:t>2</w:t>
      </w:r>
      <w:r>
        <w:rPr>
          <w:rStyle w:val="26"/>
          <w:rFonts w:hint="eastAsia" w:ascii="宋体" w:hAnsi="宋体" w:eastAsia="宋体" w:cs="宋体"/>
          <w:b w:val="0"/>
          <w:bCs/>
          <w:color w:val="auto"/>
          <w:sz w:val="21"/>
          <w:szCs w:val="21"/>
        </w:rPr>
        <w:t>月</w:t>
      </w:r>
      <w:r>
        <w:rPr>
          <w:rStyle w:val="26"/>
          <w:rFonts w:hint="eastAsia" w:cs="宋体"/>
          <w:b w:val="0"/>
          <w:bCs/>
          <w:color w:val="auto"/>
          <w:sz w:val="21"/>
          <w:szCs w:val="21"/>
          <w:lang w:val="en-US" w:eastAsia="zh-CN"/>
        </w:rPr>
        <w:t>27</w:t>
      </w:r>
      <w:r>
        <w:rPr>
          <w:rStyle w:val="26"/>
          <w:rFonts w:hint="eastAsia" w:ascii="宋体" w:hAnsi="宋体" w:eastAsia="宋体" w:cs="宋体"/>
          <w:b w:val="0"/>
          <w:bCs/>
          <w:color w:val="auto"/>
          <w:sz w:val="21"/>
          <w:szCs w:val="21"/>
        </w:rPr>
        <w:t>日，每天上午00:00至12:00，下午12:00至23:59（北京时间，法定节假日除外。）</w:t>
      </w:r>
    </w:p>
    <w:p w14:paraId="58D9C7D1">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2.地点：河南省公共资源交易中心（</w:t>
      </w:r>
      <w:r>
        <w:rPr>
          <w:rStyle w:val="26"/>
          <w:rFonts w:hint="eastAsia" w:cs="宋体"/>
          <w:b w:val="0"/>
          <w:bCs/>
          <w:color w:val="000000"/>
          <w:sz w:val="21"/>
          <w:szCs w:val="21"/>
          <w:lang w:eastAsia="zh-CN"/>
        </w:rPr>
        <w:t>hnsggzyjy.henan.gov.cn</w:t>
      </w:r>
      <w:r>
        <w:rPr>
          <w:rStyle w:val="26"/>
          <w:rFonts w:hint="eastAsia" w:ascii="宋体" w:hAnsi="宋体" w:eastAsia="宋体" w:cs="宋体"/>
          <w:b w:val="0"/>
          <w:bCs/>
          <w:color w:val="000000"/>
          <w:sz w:val="21"/>
          <w:szCs w:val="21"/>
        </w:rPr>
        <w:t>）网站</w:t>
      </w:r>
    </w:p>
    <w:p w14:paraId="1F9A7FB9">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3.方式：投标人凭企业CA 数字证书登录河南省公共资源交易中心网站市场主体登录系统，并按网上提示自行下载投标项目所含格式（.hnzf）的招标文件。投标人未按照规定时间在网上下载招标文件的，其投标将被拒绝。</w:t>
      </w:r>
    </w:p>
    <w:p w14:paraId="680D13EC">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4.售价：0元</w:t>
      </w:r>
    </w:p>
    <w:p w14:paraId="73AF8C08">
      <w:pPr>
        <w:keepNext w:val="0"/>
        <w:keepLines w:val="0"/>
        <w:pageBreakBefore w:val="0"/>
        <w:widowControl w:val="0"/>
        <w:kinsoku/>
        <w:wordWrap/>
        <w:overflowPunct/>
        <w:topLinePunct w:val="0"/>
        <w:autoSpaceDE/>
        <w:autoSpaceDN/>
        <w:bidi w:val="0"/>
        <w:adjustRightInd w:val="0"/>
        <w:snapToGrid/>
        <w:spacing w:line="396" w:lineRule="auto"/>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四、投标截止时间及地点</w:t>
      </w:r>
    </w:p>
    <w:p w14:paraId="451A20AE">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auto"/>
          <w:sz w:val="21"/>
          <w:szCs w:val="21"/>
        </w:rPr>
      </w:pPr>
      <w:r>
        <w:rPr>
          <w:rStyle w:val="26"/>
          <w:rFonts w:hint="eastAsia" w:ascii="宋体" w:hAnsi="宋体" w:eastAsia="宋体" w:cs="宋体"/>
          <w:b w:val="0"/>
          <w:bCs/>
          <w:color w:val="auto"/>
          <w:sz w:val="21"/>
          <w:szCs w:val="21"/>
        </w:rPr>
        <w:t>1.时间：202</w:t>
      </w:r>
      <w:r>
        <w:rPr>
          <w:rStyle w:val="26"/>
          <w:rFonts w:hint="eastAsia" w:cs="宋体"/>
          <w:b w:val="0"/>
          <w:bCs/>
          <w:color w:val="auto"/>
          <w:sz w:val="21"/>
          <w:szCs w:val="21"/>
          <w:lang w:val="en-US" w:eastAsia="zh-CN"/>
        </w:rPr>
        <w:t>5</w:t>
      </w:r>
      <w:r>
        <w:rPr>
          <w:rStyle w:val="26"/>
          <w:rFonts w:hint="eastAsia" w:ascii="宋体" w:hAnsi="宋体" w:eastAsia="宋体" w:cs="宋体"/>
          <w:b w:val="0"/>
          <w:bCs/>
          <w:color w:val="auto"/>
          <w:sz w:val="21"/>
          <w:szCs w:val="21"/>
        </w:rPr>
        <w:t>年</w:t>
      </w:r>
      <w:r>
        <w:rPr>
          <w:rStyle w:val="26"/>
          <w:rFonts w:hint="eastAsia" w:cs="宋体"/>
          <w:b w:val="0"/>
          <w:bCs/>
          <w:color w:val="auto"/>
          <w:sz w:val="21"/>
          <w:szCs w:val="21"/>
          <w:lang w:val="en-US" w:eastAsia="zh-CN"/>
        </w:rPr>
        <w:t>3</w:t>
      </w:r>
      <w:r>
        <w:rPr>
          <w:rStyle w:val="26"/>
          <w:rFonts w:hint="eastAsia" w:ascii="宋体" w:hAnsi="宋体" w:eastAsia="宋体" w:cs="宋体"/>
          <w:b w:val="0"/>
          <w:bCs/>
          <w:color w:val="auto"/>
          <w:sz w:val="21"/>
          <w:szCs w:val="21"/>
        </w:rPr>
        <w:t>月</w:t>
      </w:r>
      <w:r>
        <w:rPr>
          <w:rStyle w:val="26"/>
          <w:rFonts w:hint="eastAsia" w:cs="宋体"/>
          <w:b w:val="0"/>
          <w:bCs/>
          <w:color w:val="auto"/>
          <w:sz w:val="21"/>
          <w:szCs w:val="21"/>
          <w:lang w:val="en-US" w:eastAsia="zh-CN"/>
        </w:rPr>
        <w:t>13</w:t>
      </w:r>
      <w:r>
        <w:rPr>
          <w:rStyle w:val="26"/>
          <w:rFonts w:hint="eastAsia" w:ascii="宋体" w:hAnsi="宋体" w:eastAsia="宋体" w:cs="宋体"/>
          <w:b w:val="0"/>
          <w:bCs/>
          <w:color w:val="auto"/>
          <w:sz w:val="21"/>
          <w:szCs w:val="21"/>
        </w:rPr>
        <w:t>日09时00分（北京时间）</w:t>
      </w:r>
    </w:p>
    <w:p w14:paraId="68AF62D7">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2.地点：通过“河南省公共资源交易中心（</w:t>
      </w:r>
      <w:r>
        <w:rPr>
          <w:rStyle w:val="26"/>
          <w:rFonts w:hint="eastAsia" w:cs="宋体"/>
          <w:b w:val="0"/>
          <w:bCs/>
          <w:color w:val="000000"/>
          <w:sz w:val="21"/>
          <w:szCs w:val="21"/>
          <w:lang w:eastAsia="zh-CN"/>
        </w:rPr>
        <w:t>hnsggzyjy.henan.gov.cn</w:t>
      </w:r>
      <w:r>
        <w:rPr>
          <w:rStyle w:val="26"/>
          <w:rFonts w:hint="eastAsia" w:ascii="宋体" w:hAnsi="宋体" w:eastAsia="宋体" w:cs="宋体"/>
          <w:b w:val="0"/>
          <w:bCs/>
          <w:color w:val="000000"/>
          <w:sz w:val="21"/>
          <w:szCs w:val="21"/>
        </w:rPr>
        <w:t>）”电子交易平台加密上传。逾期送达的投标文件，电子招标投标交易平台将予以拒收。</w:t>
      </w:r>
    </w:p>
    <w:p w14:paraId="5390F649">
      <w:pPr>
        <w:keepNext w:val="0"/>
        <w:keepLines w:val="0"/>
        <w:pageBreakBefore w:val="0"/>
        <w:widowControl w:val="0"/>
        <w:kinsoku/>
        <w:wordWrap/>
        <w:overflowPunct/>
        <w:topLinePunct w:val="0"/>
        <w:autoSpaceDE/>
        <w:autoSpaceDN/>
        <w:bidi w:val="0"/>
        <w:adjustRightInd w:val="0"/>
        <w:snapToGrid/>
        <w:spacing w:line="396" w:lineRule="auto"/>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五、开标时间及地点</w:t>
      </w:r>
    </w:p>
    <w:p w14:paraId="3EB3A1FC">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auto"/>
          <w:sz w:val="21"/>
          <w:szCs w:val="21"/>
        </w:rPr>
      </w:pPr>
      <w:r>
        <w:rPr>
          <w:rStyle w:val="26"/>
          <w:rFonts w:hint="eastAsia" w:ascii="宋体" w:hAnsi="宋体" w:eastAsia="宋体" w:cs="宋体"/>
          <w:b w:val="0"/>
          <w:bCs/>
          <w:color w:val="auto"/>
          <w:sz w:val="21"/>
          <w:szCs w:val="21"/>
        </w:rPr>
        <w:t>1.时间：202</w:t>
      </w:r>
      <w:r>
        <w:rPr>
          <w:rStyle w:val="26"/>
          <w:rFonts w:hint="eastAsia" w:cs="宋体"/>
          <w:b w:val="0"/>
          <w:bCs/>
          <w:color w:val="auto"/>
          <w:sz w:val="21"/>
          <w:szCs w:val="21"/>
          <w:lang w:val="en-US" w:eastAsia="zh-CN"/>
        </w:rPr>
        <w:t>5</w:t>
      </w:r>
      <w:r>
        <w:rPr>
          <w:rStyle w:val="26"/>
          <w:rFonts w:hint="eastAsia" w:ascii="宋体" w:hAnsi="宋体" w:eastAsia="宋体" w:cs="宋体"/>
          <w:b w:val="0"/>
          <w:bCs/>
          <w:color w:val="auto"/>
          <w:sz w:val="21"/>
          <w:szCs w:val="21"/>
        </w:rPr>
        <w:t>年</w:t>
      </w:r>
      <w:r>
        <w:rPr>
          <w:rStyle w:val="26"/>
          <w:rFonts w:hint="eastAsia" w:cs="宋体"/>
          <w:b w:val="0"/>
          <w:bCs/>
          <w:color w:val="auto"/>
          <w:sz w:val="21"/>
          <w:szCs w:val="21"/>
          <w:lang w:val="en-US" w:eastAsia="zh-CN"/>
        </w:rPr>
        <w:t>3</w:t>
      </w:r>
      <w:r>
        <w:rPr>
          <w:rStyle w:val="26"/>
          <w:rFonts w:hint="eastAsia" w:ascii="宋体" w:hAnsi="宋体" w:eastAsia="宋体" w:cs="宋体"/>
          <w:b w:val="0"/>
          <w:bCs/>
          <w:color w:val="auto"/>
          <w:sz w:val="21"/>
          <w:szCs w:val="21"/>
        </w:rPr>
        <w:t>月</w:t>
      </w:r>
      <w:r>
        <w:rPr>
          <w:rStyle w:val="26"/>
          <w:rFonts w:hint="eastAsia" w:cs="宋体"/>
          <w:b w:val="0"/>
          <w:bCs/>
          <w:color w:val="auto"/>
          <w:sz w:val="21"/>
          <w:szCs w:val="21"/>
          <w:lang w:val="en-US" w:eastAsia="zh-CN"/>
        </w:rPr>
        <w:t>13</w:t>
      </w:r>
      <w:r>
        <w:rPr>
          <w:rStyle w:val="26"/>
          <w:rFonts w:hint="eastAsia" w:ascii="宋体" w:hAnsi="宋体" w:eastAsia="宋体" w:cs="宋体"/>
          <w:b w:val="0"/>
          <w:bCs/>
          <w:color w:val="auto"/>
          <w:sz w:val="21"/>
          <w:szCs w:val="21"/>
        </w:rPr>
        <w:t>日09时00分（北京时间）</w:t>
      </w:r>
    </w:p>
    <w:p w14:paraId="402F34F0">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auto"/>
          <w:sz w:val="21"/>
          <w:szCs w:val="21"/>
        </w:rPr>
      </w:pPr>
      <w:r>
        <w:rPr>
          <w:rStyle w:val="26"/>
          <w:rFonts w:hint="eastAsia" w:ascii="宋体" w:hAnsi="宋体" w:eastAsia="宋体" w:cs="宋体"/>
          <w:b w:val="0"/>
          <w:bCs/>
          <w:color w:val="auto"/>
          <w:sz w:val="21"/>
          <w:szCs w:val="21"/>
        </w:rPr>
        <w:t>2.地点：河南省公共资源交易中心远程开标室(一)-3，郑州市经二路12号（经二路与纬四路向南50米路西）。</w:t>
      </w:r>
    </w:p>
    <w:p w14:paraId="2EDE6F64">
      <w:pPr>
        <w:keepNext w:val="0"/>
        <w:keepLines w:val="0"/>
        <w:pageBreakBefore w:val="0"/>
        <w:widowControl w:val="0"/>
        <w:kinsoku/>
        <w:wordWrap/>
        <w:overflowPunct/>
        <w:topLinePunct w:val="0"/>
        <w:autoSpaceDE/>
        <w:autoSpaceDN/>
        <w:bidi w:val="0"/>
        <w:adjustRightInd w:val="0"/>
        <w:snapToGrid/>
        <w:spacing w:line="396" w:lineRule="auto"/>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六、发布公告的媒介及招标公告期限</w:t>
      </w:r>
    </w:p>
    <w:p w14:paraId="189C03BD">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本次招标公告在《河南省政府采购网》、《河南省公共资源交易中心网》上发布，招标公告期限为五个工作日。</w:t>
      </w:r>
    </w:p>
    <w:p w14:paraId="64FD406D">
      <w:pPr>
        <w:keepNext w:val="0"/>
        <w:keepLines w:val="0"/>
        <w:pageBreakBefore w:val="0"/>
        <w:widowControl w:val="0"/>
        <w:kinsoku/>
        <w:wordWrap/>
        <w:overflowPunct/>
        <w:topLinePunct w:val="0"/>
        <w:autoSpaceDE/>
        <w:autoSpaceDN/>
        <w:bidi w:val="0"/>
        <w:adjustRightInd w:val="0"/>
        <w:snapToGrid/>
        <w:spacing w:line="396" w:lineRule="auto"/>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七、其他补充事宜</w:t>
      </w:r>
    </w:p>
    <w:p w14:paraId="56B449B4">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1.本项目执行强制采购、优先采购节能产品、优先采购环境标志产品、促进中小企业发展、促进残疾人就业、支持监狱企业发展等相关政府采购政策。</w:t>
      </w:r>
    </w:p>
    <w:p w14:paraId="071DCBFC">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2.本项目采购标的对应的中小企业划分标</w:t>
      </w:r>
      <w:r>
        <w:rPr>
          <w:rStyle w:val="26"/>
          <w:rFonts w:hint="eastAsia" w:ascii="宋体" w:hAnsi="宋体" w:eastAsia="宋体" w:cs="宋体"/>
          <w:b w:val="0"/>
          <w:bCs/>
          <w:color w:val="000000"/>
          <w:sz w:val="21"/>
          <w:szCs w:val="21"/>
          <w:highlight w:val="none"/>
        </w:rPr>
        <w:t>准所属行业：</w:t>
      </w:r>
      <w:r>
        <w:rPr>
          <w:rStyle w:val="26"/>
          <w:rFonts w:hint="eastAsia" w:ascii="宋体" w:hAnsi="宋体" w:eastAsia="宋体" w:cs="宋体"/>
          <w:b w:val="0"/>
          <w:bCs/>
          <w:color w:val="000000"/>
          <w:sz w:val="21"/>
          <w:szCs w:val="21"/>
          <w:highlight w:val="none"/>
          <w:lang w:val="en-US" w:eastAsia="zh-CN"/>
        </w:rPr>
        <w:t>工业</w:t>
      </w:r>
      <w:r>
        <w:rPr>
          <w:rStyle w:val="26"/>
          <w:rFonts w:hint="eastAsia" w:ascii="宋体" w:hAnsi="宋体" w:eastAsia="宋体" w:cs="宋体"/>
          <w:b w:val="0"/>
          <w:bCs/>
          <w:color w:val="000000"/>
          <w:sz w:val="21"/>
          <w:szCs w:val="21"/>
          <w:highlight w:val="none"/>
        </w:rPr>
        <w:t>；中小</w:t>
      </w:r>
      <w:r>
        <w:rPr>
          <w:rStyle w:val="26"/>
          <w:rFonts w:hint="eastAsia" w:ascii="宋体" w:hAnsi="宋体" w:eastAsia="宋体" w:cs="宋体"/>
          <w:b w:val="0"/>
          <w:bCs/>
          <w:color w:val="000000"/>
          <w:sz w:val="21"/>
          <w:szCs w:val="21"/>
        </w:rPr>
        <w:t>微企业划分按照《国家统计局关于印发&lt;统计上大中小微型企业划分办法（2017）&gt;的通知》（国统字〔2017〕213号文件）及《工业和信息化部、国家统计局、国家发展和改革委员会、财政部关于印发&lt;中小企业划型标准规定&gt;的通知》（工信部联企业[2011]300 号）规定的划分标准为依据（符合中小企业划分标准的个体工商户，在政府采购活动中视同中小企业）</w:t>
      </w:r>
    </w:p>
    <w:p w14:paraId="58BA16D6">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3.本项目支持河南省政府采购合同融资政策，详见第二章供应商须知前附表中《河南省政府采购合同融资政策告知函》。</w:t>
      </w:r>
    </w:p>
    <w:p w14:paraId="30760DC5">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4.代理服务费收费标准：参照河南省招标投标协会《关于印发&lt;河南省招标代理服务收费标准&gt;的通知》（豫招协[2023]002号）规定的标准收取，由中标（成交）人支付。</w:t>
      </w:r>
    </w:p>
    <w:p w14:paraId="09B23023">
      <w:pPr>
        <w:keepNext w:val="0"/>
        <w:keepLines w:val="0"/>
        <w:pageBreakBefore w:val="0"/>
        <w:widowControl w:val="0"/>
        <w:kinsoku/>
        <w:wordWrap/>
        <w:overflowPunct/>
        <w:topLinePunct w:val="0"/>
        <w:autoSpaceDE/>
        <w:autoSpaceDN/>
        <w:bidi w:val="0"/>
        <w:adjustRightInd w:val="0"/>
        <w:snapToGrid/>
        <w:spacing w:line="396" w:lineRule="auto"/>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八、凡对本次招标提出询问，请按照以下方式联系</w:t>
      </w:r>
    </w:p>
    <w:p w14:paraId="716AE904">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 xml:space="preserve">1. 采购人信息 </w:t>
      </w:r>
    </w:p>
    <w:p w14:paraId="210DED80">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名    称：嵩山实验室</w:t>
      </w:r>
    </w:p>
    <w:p w14:paraId="33C961FB">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地    址：郑州市郑东新区博学路尚贤街交叉口自然资源大厦C栋</w:t>
      </w:r>
    </w:p>
    <w:p w14:paraId="24C5ECF1">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联 系 人：王老师</w:t>
      </w:r>
    </w:p>
    <w:p w14:paraId="1481CFA7">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联系方式：0371-66676057</w:t>
      </w:r>
    </w:p>
    <w:p w14:paraId="64B4E0F0">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2.采购代理机构信息（如有）</w:t>
      </w:r>
    </w:p>
    <w:p w14:paraId="635CD02A">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名    称：河南省伟信招标管理咨询有限公司</w:t>
      </w:r>
    </w:p>
    <w:p w14:paraId="3DEF6773">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地    址：郑州市郑东新区东风南路6号绿地中心北塔16楼</w:t>
      </w:r>
    </w:p>
    <w:p w14:paraId="1AE51683">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联 系 人：贺献伟</w:t>
      </w:r>
    </w:p>
    <w:p w14:paraId="3DD505D2">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联系方式：0371-65359921  15003824122</w:t>
      </w:r>
    </w:p>
    <w:p w14:paraId="582A8002">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 xml:space="preserve">3.项目联系方式 </w:t>
      </w:r>
    </w:p>
    <w:p w14:paraId="56B9DA83">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项目联系人：贺献伟</w:t>
      </w:r>
    </w:p>
    <w:p w14:paraId="47827821">
      <w:pPr>
        <w:keepNext w:val="0"/>
        <w:keepLines w:val="0"/>
        <w:pageBreakBefore w:val="0"/>
        <w:widowControl w:val="0"/>
        <w:kinsoku/>
        <w:wordWrap/>
        <w:overflowPunct/>
        <w:topLinePunct w:val="0"/>
        <w:autoSpaceDE/>
        <w:autoSpaceDN/>
        <w:bidi w:val="0"/>
        <w:adjustRightInd w:val="0"/>
        <w:snapToGrid/>
        <w:spacing w:line="396" w:lineRule="auto"/>
        <w:ind w:firstLine="420" w:firstLineChars="200"/>
        <w:jc w:val="left"/>
        <w:textAlignment w:val="auto"/>
        <w:rPr>
          <w:rStyle w:val="26"/>
          <w:rFonts w:hint="eastAsia" w:ascii="宋体" w:hAnsi="宋体" w:eastAsia="宋体" w:cs="宋体"/>
          <w:b w:val="0"/>
          <w:bCs/>
          <w:color w:val="000000"/>
          <w:sz w:val="21"/>
          <w:szCs w:val="21"/>
        </w:rPr>
      </w:pPr>
      <w:r>
        <w:rPr>
          <w:rStyle w:val="26"/>
          <w:rFonts w:hint="eastAsia" w:ascii="宋体" w:hAnsi="宋体" w:eastAsia="宋体" w:cs="宋体"/>
          <w:b w:val="0"/>
          <w:bCs/>
          <w:color w:val="000000"/>
          <w:sz w:val="21"/>
          <w:szCs w:val="21"/>
        </w:rPr>
        <w:t>联系方式：0371-65359921  15003824122</w:t>
      </w:r>
    </w:p>
    <w:p w14:paraId="75B3389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val="en-US" w:eastAsia="zh-CN"/>
        </w:rPr>
      </w:pPr>
      <w:r>
        <w:rPr>
          <w:rStyle w:val="26"/>
          <w:rFonts w:hint="eastAsia" w:ascii="宋体" w:hAnsi="宋体" w:eastAsia="宋体" w:cs="宋体"/>
          <w:color w:val="000000"/>
          <w:sz w:val="21"/>
          <w:szCs w:val="21"/>
        </w:rPr>
        <w:br w:type="page"/>
      </w:r>
    </w:p>
    <w:p w14:paraId="4D26C9B7">
      <w:pPr>
        <w:pStyle w:val="4"/>
        <w:bidi w:val="0"/>
        <w:rPr>
          <w:rFonts w:hint="eastAsia" w:ascii="宋体" w:hAnsi="宋体" w:eastAsia="宋体" w:cs="宋体"/>
          <w:lang w:val="en-US" w:eastAsia="zh-CN"/>
        </w:rPr>
      </w:pPr>
      <w:bookmarkStart w:id="1" w:name="_Toc3912"/>
      <w:r>
        <w:rPr>
          <w:rFonts w:hint="eastAsia" w:ascii="宋体" w:hAnsi="宋体" w:eastAsia="宋体" w:cs="宋体"/>
          <w:lang w:val="en-US" w:eastAsia="zh-CN"/>
        </w:rPr>
        <w:t>第二章  供应商须知前附表</w:t>
      </w:r>
      <w:bookmarkEnd w:id="1"/>
    </w:p>
    <w:p w14:paraId="4B1CACF9">
      <w:pPr>
        <w:keepNext w:val="0"/>
        <w:keepLines w:val="0"/>
        <w:pageBreakBefore w:val="0"/>
        <w:widowControl w:val="0"/>
        <w:kinsoku/>
        <w:wordWrap/>
        <w:overflowPunct/>
        <w:topLinePunct w:val="0"/>
        <w:autoSpaceDE/>
        <w:autoSpaceDN/>
        <w:bidi w:val="0"/>
        <w:adjustRightInd/>
        <w:snapToGrid/>
        <w:spacing w:line="39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本表是本招标项目的具体资料，是对投标人须知的具体补充和修改，如有矛盾，应以本表为准。</w:t>
      </w:r>
    </w:p>
    <w:tbl>
      <w:tblPr>
        <w:tblStyle w:val="23"/>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86"/>
        <w:gridCol w:w="8668"/>
      </w:tblGrid>
      <w:tr w14:paraId="38A5A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686" w:type="dxa"/>
            <w:vAlign w:val="center"/>
          </w:tcPr>
          <w:p w14:paraId="575462E6">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b/>
                <w:bCs/>
                <w:sz w:val="21"/>
                <w:szCs w:val="21"/>
                <w:lang w:eastAsia="zh-CN"/>
              </w:rPr>
              <w:t>序号</w:t>
            </w:r>
          </w:p>
        </w:tc>
        <w:tc>
          <w:tcPr>
            <w:tcW w:w="8668" w:type="dxa"/>
            <w:vAlign w:val="center"/>
          </w:tcPr>
          <w:p w14:paraId="790810DD">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eastAsia" w:ascii="宋体" w:hAnsi="宋体" w:eastAsia="宋体" w:cs="宋体"/>
                <w:b/>
                <w:sz w:val="21"/>
                <w:szCs w:val="21"/>
              </w:rPr>
            </w:pPr>
            <w:r>
              <w:rPr>
                <w:rFonts w:hint="eastAsia" w:ascii="宋体" w:hAnsi="宋体" w:eastAsia="宋体" w:cs="宋体"/>
                <w:b/>
                <w:sz w:val="21"/>
                <w:szCs w:val="21"/>
              </w:rPr>
              <w:t>内容</w:t>
            </w:r>
          </w:p>
        </w:tc>
      </w:tr>
      <w:tr w14:paraId="6FD74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86" w:type="dxa"/>
            <w:vAlign w:val="center"/>
          </w:tcPr>
          <w:p w14:paraId="146376DE">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8668" w:type="dxa"/>
            <w:vAlign w:val="center"/>
          </w:tcPr>
          <w:p w14:paraId="11A6B293">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lang w:eastAsia="zh-CN"/>
              </w:rPr>
            </w:pPr>
            <w:r>
              <w:rPr>
                <w:rFonts w:hint="eastAsia" w:ascii="宋体" w:hAnsi="宋体" w:eastAsia="宋体" w:cs="宋体"/>
                <w:sz w:val="21"/>
                <w:szCs w:val="21"/>
              </w:rPr>
              <w:t>项目名称：</w:t>
            </w:r>
            <w:r>
              <w:rPr>
                <w:rFonts w:hint="eastAsia" w:cs="宋体"/>
                <w:sz w:val="21"/>
                <w:szCs w:val="21"/>
                <w:lang w:eastAsia="zh-CN"/>
              </w:rPr>
              <w:t>嵩山实验室多模态智慧云网环境关键技术研究与验证（一期）-网络底座建设项目</w:t>
            </w:r>
          </w:p>
        </w:tc>
      </w:tr>
      <w:tr w14:paraId="3736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86" w:type="dxa"/>
            <w:vAlign w:val="center"/>
          </w:tcPr>
          <w:p w14:paraId="0A0228EA">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p>
        </w:tc>
        <w:tc>
          <w:tcPr>
            <w:tcW w:w="8668" w:type="dxa"/>
            <w:vAlign w:val="center"/>
          </w:tcPr>
          <w:p w14:paraId="0A6F6BD9">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采</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购</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人：嵩山实验室</w:t>
            </w:r>
          </w:p>
          <w:p w14:paraId="4DAF979D">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地    址：郑州市郑东新区博学路尚贤街交叉口自然资源大厦C栋</w:t>
            </w:r>
          </w:p>
          <w:p w14:paraId="1CF82C50">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联 系 人：王老师</w:t>
            </w:r>
          </w:p>
          <w:p w14:paraId="0824BE20">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联系方式：0371-66676057</w:t>
            </w:r>
          </w:p>
        </w:tc>
      </w:tr>
      <w:tr w14:paraId="64FCF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86" w:type="dxa"/>
            <w:vAlign w:val="center"/>
          </w:tcPr>
          <w:p w14:paraId="4FEDB754">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p>
        </w:tc>
        <w:tc>
          <w:tcPr>
            <w:tcW w:w="8668" w:type="dxa"/>
            <w:vAlign w:val="center"/>
          </w:tcPr>
          <w:p w14:paraId="36FC82F3">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代理机构：河南省伟信招标管理咨询有限公司</w:t>
            </w:r>
          </w:p>
          <w:p w14:paraId="2B32E851">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地    址：郑州市郑东新区东风南路6号绿地中心北塔16楼</w:t>
            </w:r>
          </w:p>
          <w:p w14:paraId="7F7BD5EA">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联 系 人：贺献伟</w:t>
            </w:r>
          </w:p>
          <w:p w14:paraId="459CB66F">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联系方式：0371-65359921  15003824122</w:t>
            </w:r>
          </w:p>
        </w:tc>
      </w:tr>
      <w:tr w14:paraId="722B9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86" w:type="dxa"/>
            <w:vAlign w:val="center"/>
          </w:tcPr>
          <w:p w14:paraId="7055FC15">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8668" w:type="dxa"/>
            <w:vAlign w:val="center"/>
          </w:tcPr>
          <w:p w14:paraId="74485613">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合格投标人的资格要求</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 xml:space="preserve">详见招标公告“第二条 </w:t>
            </w:r>
            <w:r>
              <w:rPr>
                <w:rStyle w:val="26"/>
                <w:rFonts w:hint="eastAsia" w:ascii="宋体" w:hAnsi="宋体" w:eastAsia="宋体" w:cs="宋体"/>
                <w:b w:val="0"/>
                <w:bCs/>
                <w:color w:val="000000"/>
                <w:sz w:val="21"/>
                <w:szCs w:val="21"/>
              </w:rPr>
              <w:t>申请人资格要求</w:t>
            </w:r>
            <w:r>
              <w:rPr>
                <w:rFonts w:hint="eastAsia" w:ascii="宋体" w:hAnsi="宋体" w:eastAsia="宋体" w:cs="宋体"/>
                <w:sz w:val="21"/>
                <w:szCs w:val="21"/>
                <w:lang w:val="en-US" w:eastAsia="zh-CN"/>
              </w:rPr>
              <w:t>”</w:t>
            </w:r>
          </w:p>
        </w:tc>
      </w:tr>
      <w:tr w14:paraId="6ACC8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86" w:type="dxa"/>
            <w:vAlign w:val="center"/>
          </w:tcPr>
          <w:p w14:paraId="6DC030BE">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8668" w:type="dxa"/>
            <w:vAlign w:val="center"/>
          </w:tcPr>
          <w:p w14:paraId="02CEA35C">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lang w:eastAsia="zh-CN"/>
              </w:rPr>
            </w:pPr>
            <w:r>
              <w:rPr>
                <w:rFonts w:hint="eastAsia" w:ascii="宋体" w:hAnsi="宋体" w:eastAsia="宋体" w:cs="宋体"/>
                <w:sz w:val="21"/>
                <w:szCs w:val="21"/>
              </w:rPr>
              <w:t>合格投标人的其他资格要求：</w:t>
            </w:r>
            <w:r>
              <w:rPr>
                <w:rFonts w:hint="eastAsia" w:ascii="宋体" w:hAnsi="宋体" w:eastAsia="宋体" w:cs="宋体"/>
                <w:sz w:val="21"/>
                <w:szCs w:val="21"/>
                <w:lang w:val="en-US" w:eastAsia="zh-CN"/>
              </w:rPr>
              <w:t>/</w:t>
            </w:r>
          </w:p>
        </w:tc>
      </w:tr>
      <w:tr w14:paraId="68E02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86" w:type="dxa"/>
            <w:vAlign w:val="center"/>
          </w:tcPr>
          <w:p w14:paraId="4AB173A4">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w:t>
            </w:r>
          </w:p>
        </w:tc>
        <w:tc>
          <w:tcPr>
            <w:tcW w:w="8668" w:type="dxa"/>
            <w:vAlign w:val="center"/>
          </w:tcPr>
          <w:p w14:paraId="6521F841">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是否允许采购进口产品：</w:t>
            </w:r>
            <w:r>
              <w:rPr>
                <w:rFonts w:hint="eastAsia" w:cs="宋体"/>
                <w:sz w:val="21"/>
                <w:szCs w:val="21"/>
                <w:lang w:val="en-US" w:eastAsia="zh-CN"/>
              </w:rPr>
              <w:t>否</w:t>
            </w:r>
          </w:p>
        </w:tc>
      </w:tr>
      <w:tr w14:paraId="67483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86" w:type="dxa"/>
            <w:vAlign w:val="center"/>
          </w:tcPr>
          <w:p w14:paraId="5B75FBD5">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8668" w:type="dxa"/>
            <w:vAlign w:val="center"/>
          </w:tcPr>
          <w:p w14:paraId="06D49790">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lang w:eastAsia="zh-CN"/>
              </w:rPr>
            </w:pPr>
            <w:r>
              <w:rPr>
                <w:rFonts w:hint="eastAsia" w:ascii="宋体" w:hAnsi="宋体" w:eastAsia="宋体" w:cs="宋体"/>
                <w:sz w:val="21"/>
                <w:szCs w:val="21"/>
              </w:rPr>
              <w:t>是否为专门面向中小企业采购：否</w:t>
            </w:r>
            <w:r>
              <w:rPr>
                <w:rFonts w:hint="eastAsia" w:ascii="宋体" w:hAnsi="宋体" w:eastAsia="宋体" w:cs="宋体"/>
                <w:sz w:val="21"/>
                <w:szCs w:val="21"/>
                <w:lang w:eastAsia="zh-CN"/>
              </w:rPr>
              <w:t>。（专门面向中小企业采购，供应商需出具《中小企业声明函》，非专门面向中小企业采购，小型、微型企业应出具《中小企业声明函》，对报价给予</w:t>
            </w:r>
            <w:r>
              <w:rPr>
                <w:rFonts w:hint="eastAsia" w:ascii="宋体" w:hAnsi="宋体" w:eastAsia="宋体" w:cs="宋体"/>
                <w:sz w:val="21"/>
                <w:szCs w:val="21"/>
                <w:lang w:val="en-US" w:eastAsia="zh-CN"/>
              </w:rPr>
              <w:t>10%的扣除，用扣除后的价格参与评审</w:t>
            </w:r>
            <w:r>
              <w:rPr>
                <w:rFonts w:hint="eastAsia" w:ascii="宋体" w:hAnsi="宋体" w:eastAsia="宋体" w:cs="宋体"/>
                <w:sz w:val="21"/>
                <w:szCs w:val="21"/>
                <w:lang w:eastAsia="zh-CN"/>
              </w:rPr>
              <w:t>）</w:t>
            </w:r>
          </w:p>
        </w:tc>
      </w:tr>
      <w:tr w14:paraId="347EB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86" w:type="dxa"/>
            <w:vAlign w:val="center"/>
          </w:tcPr>
          <w:p w14:paraId="577EDF13">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8</w:t>
            </w:r>
          </w:p>
        </w:tc>
        <w:tc>
          <w:tcPr>
            <w:tcW w:w="8668" w:type="dxa"/>
            <w:vAlign w:val="center"/>
          </w:tcPr>
          <w:p w14:paraId="69886564">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lang w:eastAsia="zh-CN"/>
              </w:rPr>
            </w:pPr>
            <w:r>
              <w:rPr>
                <w:rFonts w:hint="eastAsia" w:ascii="宋体" w:hAnsi="宋体" w:eastAsia="宋体" w:cs="宋体"/>
                <w:sz w:val="21"/>
                <w:szCs w:val="21"/>
              </w:rPr>
              <w:t>是否允许联合体投标：</w:t>
            </w:r>
            <w:r>
              <w:rPr>
                <w:rFonts w:hint="eastAsia" w:ascii="宋体" w:hAnsi="宋体" w:eastAsia="宋体" w:cs="宋体"/>
                <w:sz w:val="21"/>
                <w:szCs w:val="21"/>
                <w:u w:val="none"/>
                <w:lang w:eastAsia="zh-CN"/>
              </w:rPr>
              <w:t>否</w:t>
            </w:r>
          </w:p>
        </w:tc>
      </w:tr>
      <w:tr w14:paraId="52A69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86" w:type="dxa"/>
            <w:vAlign w:val="center"/>
          </w:tcPr>
          <w:p w14:paraId="5F6752E1">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9</w:t>
            </w:r>
          </w:p>
        </w:tc>
        <w:tc>
          <w:tcPr>
            <w:tcW w:w="8668" w:type="dxa"/>
            <w:vAlign w:val="center"/>
          </w:tcPr>
          <w:p w14:paraId="72D40790">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联合体的其他资格要求：</w:t>
            </w:r>
            <w:r>
              <w:rPr>
                <w:rFonts w:hint="eastAsia" w:ascii="宋体" w:hAnsi="宋体" w:eastAsia="宋体" w:cs="宋体"/>
                <w:sz w:val="21"/>
                <w:szCs w:val="21"/>
                <w:lang w:val="en-US" w:eastAsia="zh-CN"/>
              </w:rPr>
              <w:t>/</w:t>
            </w:r>
          </w:p>
        </w:tc>
      </w:tr>
      <w:tr w14:paraId="7FCEA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86" w:type="dxa"/>
            <w:vAlign w:val="center"/>
          </w:tcPr>
          <w:p w14:paraId="777575E7">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8668" w:type="dxa"/>
            <w:vAlign w:val="center"/>
          </w:tcPr>
          <w:p w14:paraId="6A9EC31A">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lang w:eastAsia="zh-CN"/>
              </w:rPr>
            </w:pPr>
            <w:r>
              <w:rPr>
                <w:rFonts w:hint="eastAsia" w:ascii="宋体" w:hAnsi="宋体" w:eastAsia="宋体" w:cs="宋体"/>
                <w:sz w:val="21"/>
                <w:szCs w:val="21"/>
              </w:rPr>
              <w:t>项目预算金额：</w:t>
            </w:r>
            <w:r>
              <w:rPr>
                <w:rFonts w:hint="eastAsia" w:ascii="宋体" w:hAnsi="宋体" w:eastAsia="宋体" w:cs="宋体"/>
                <w:sz w:val="21"/>
                <w:szCs w:val="21"/>
                <w:u w:val="single"/>
              </w:rPr>
              <w:t xml:space="preserve"> 6549100</w:t>
            </w:r>
            <w:r>
              <w:rPr>
                <w:rFonts w:hint="eastAsia" w:ascii="宋体" w:hAnsi="宋体" w:eastAsia="宋体" w:cs="宋体"/>
                <w:sz w:val="21"/>
                <w:szCs w:val="21"/>
                <w:u w:val="single"/>
                <w:lang w:val="en-US" w:eastAsia="zh-CN"/>
              </w:rPr>
              <w:t>.00</w:t>
            </w:r>
            <w:r>
              <w:rPr>
                <w:rFonts w:hint="eastAsia" w:ascii="宋体" w:hAnsi="宋体" w:eastAsia="宋体" w:cs="宋体"/>
                <w:sz w:val="21"/>
                <w:szCs w:val="21"/>
                <w:u w:val="single"/>
              </w:rPr>
              <w:t xml:space="preserve"> </w:t>
            </w:r>
            <w:r>
              <w:rPr>
                <w:rFonts w:hint="eastAsia" w:ascii="宋体" w:hAnsi="宋体" w:eastAsia="宋体" w:cs="宋体"/>
                <w:sz w:val="21"/>
                <w:szCs w:val="21"/>
              </w:rPr>
              <w:t>元；最高限价：</w:t>
            </w:r>
            <w:r>
              <w:rPr>
                <w:rFonts w:hint="eastAsia" w:ascii="宋体" w:hAnsi="宋体" w:eastAsia="宋体" w:cs="宋体"/>
                <w:sz w:val="21"/>
                <w:szCs w:val="21"/>
                <w:u w:val="single"/>
              </w:rPr>
              <w:t xml:space="preserve"> 6549100</w:t>
            </w:r>
            <w:r>
              <w:rPr>
                <w:rFonts w:hint="eastAsia" w:ascii="宋体" w:hAnsi="宋体" w:eastAsia="宋体" w:cs="宋体"/>
                <w:sz w:val="21"/>
                <w:szCs w:val="21"/>
                <w:u w:val="single"/>
                <w:lang w:val="en-US" w:eastAsia="zh-CN"/>
              </w:rPr>
              <w:t>.00</w:t>
            </w:r>
            <w:r>
              <w:rPr>
                <w:rFonts w:hint="eastAsia" w:ascii="宋体" w:hAnsi="宋体" w:eastAsia="宋体" w:cs="宋体"/>
                <w:sz w:val="21"/>
                <w:szCs w:val="21"/>
                <w:u w:val="single"/>
              </w:rPr>
              <w:t xml:space="preserve"> </w:t>
            </w:r>
            <w:r>
              <w:rPr>
                <w:rFonts w:hint="eastAsia" w:ascii="宋体" w:hAnsi="宋体" w:eastAsia="宋体" w:cs="宋体"/>
                <w:sz w:val="21"/>
                <w:szCs w:val="21"/>
              </w:rPr>
              <w:t>元</w:t>
            </w:r>
          </w:p>
        </w:tc>
      </w:tr>
      <w:tr w14:paraId="7FB63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86" w:type="dxa"/>
            <w:vAlign w:val="center"/>
          </w:tcPr>
          <w:p w14:paraId="60596890">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eastAsia" w:ascii="宋体" w:hAnsi="宋体" w:eastAsia="宋体" w:cs="宋体"/>
                <w:b/>
                <w:bCs w:val="0"/>
                <w:sz w:val="21"/>
                <w:szCs w:val="21"/>
                <w:lang w:val="en-US" w:eastAsia="zh-CN"/>
              </w:rPr>
            </w:pPr>
            <w:r>
              <w:rPr>
                <w:rFonts w:hint="eastAsia" w:ascii="宋体" w:hAnsi="宋体" w:eastAsia="宋体" w:cs="宋体"/>
                <w:b/>
                <w:bCs w:val="0"/>
                <w:sz w:val="21"/>
                <w:szCs w:val="21"/>
                <w:lang w:val="en-US" w:eastAsia="zh-CN"/>
              </w:rPr>
              <w:t>11</w:t>
            </w:r>
          </w:p>
        </w:tc>
        <w:tc>
          <w:tcPr>
            <w:tcW w:w="8668" w:type="dxa"/>
            <w:vAlign w:val="center"/>
          </w:tcPr>
          <w:p w14:paraId="763D7C62">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保证金：本项目不收取</w:t>
            </w:r>
            <w:r>
              <w:rPr>
                <w:rFonts w:hint="eastAsia" w:ascii="宋体" w:hAnsi="宋体" w:eastAsia="宋体" w:cs="宋体"/>
                <w:b/>
                <w:bCs w:val="0"/>
                <w:sz w:val="21"/>
                <w:szCs w:val="21"/>
                <w:lang w:val="en-US" w:eastAsia="zh-CN"/>
              </w:rPr>
              <w:t>投标</w:t>
            </w:r>
            <w:r>
              <w:rPr>
                <w:rFonts w:hint="eastAsia" w:ascii="宋体" w:hAnsi="宋体" w:eastAsia="宋体" w:cs="宋体"/>
                <w:b/>
                <w:bCs w:val="0"/>
                <w:sz w:val="21"/>
                <w:szCs w:val="21"/>
                <w:lang w:eastAsia="zh-CN"/>
              </w:rPr>
              <w:t>保证金，需提供投标承诺函及代理服务费承诺函，具体格式详见第</w:t>
            </w:r>
            <w:r>
              <w:rPr>
                <w:rFonts w:hint="eastAsia" w:ascii="宋体" w:hAnsi="宋体" w:eastAsia="宋体" w:cs="宋体"/>
                <w:b/>
                <w:bCs w:val="0"/>
                <w:sz w:val="21"/>
                <w:szCs w:val="21"/>
                <w:lang w:val="en-US" w:eastAsia="zh-CN"/>
              </w:rPr>
              <w:t>七</w:t>
            </w:r>
            <w:r>
              <w:rPr>
                <w:rFonts w:hint="eastAsia" w:ascii="宋体" w:hAnsi="宋体" w:eastAsia="宋体" w:cs="宋体"/>
                <w:b/>
                <w:bCs w:val="0"/>
                <w:sz w:val="21"/>
                <w:szCs w:val="21"/>
                <w:lang w:eastAsia="zh-CN"/>
              </w:rPr>
              <w:t>章</w:t>
            </w:r>
            <w:r>
              <w:rPr>
                <w:rFonts w:hint="eastAsia" w:ascii="宋体" w:hAnsi="宋体" w:eastAsia="宋体" w:cs="宋体"/>
                <w:b/>
                <w:bCs w:val="0"/>
                <w:sz w:val="21"/>
                <w:szCs w:val="21"/>
                <w:lang w:val="en-US" w:eastAsia="zh-CN"/>
              </w:rPr>
              <w:t>投标</w:t>
            </w:r>
            <w:r>
              <w:rPr>
                <w:rFonts w:hint="eastAsia" w:ascii="宋体" w:hAnsi="宋体" w:eastAsia="宋体" w:cs="宋体"/>
                <w:b/>
                <w:bCs w:val="0"/>
                <w:sz w:val="21"/>
                <w:szCs w:val="21"/>
                <w:lang w:eastAsia="zh-CN"/>
              </w:rPr>
              <w:t>文件格式，未按</w:t>
            </w:r>
            <w:r>
              <w:rPr>
                <w:rFonts w:hint="eastAsia" w:ascii="宋体" w:hAnsi="宋体" w:eastAsia="宋体" w:cs="宋体"/>
                <w:b/>
                <w:bCs w:val="0"/>
                <w:sz w:val="21"/>
                <w:szCs w:val="21"/>
                <w:lang w:val="en-US" w:eastAsia="zh-CN"/>
              </w:rPr>
              <w:t>招标</w:t>
            </w:r>
            <w:r>
              <w:rPr>
                <w:rFonts w:hint="eastAsia" w:ascii="宋体" w:hAnsi="宋体" w:eastAsia="宋体" w:cs="宋体"/>
                <w:b/>
                <w:bCs w:val="0"/>
                <w:sz w:val="21"/>
                <w:szCs w:val="21"/>
                <w:lang w:eastAsia="zh-CN"/>
              </w:rPr>
              <w:t>文件规定提交承诺函及代理服务费承诺函的均视为无效投标。</w:t>
            </w:r>
          </w:p>
        </w:tc>
      </w:tr>
      <w:tr w14:paraId="10740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86" w:type="dxa"/>
            <w:vAlign w:val="center"/>
          </w:tcPr>
          <w:p w14:paraId="12B621C2">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8668" w:type="dxa"/>
            <w:vAlign w:val="center"/>
          </w:tcPr>
          <w:p w14:paraId="1863F8F2">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lang w:eastAsia="zh-CN"/>
              </w:rPr>
            </w:pPr>
            <w:r>
              <w:rPr>
                <w:rFonts w:hint="eastAsia" w:ascii="宋体" w:hAnsi="宋体" w:eastAsia="宋体" w:cs="宋体"/>
                <w:sz w:val="21"/>
                <w:szCs w:val="21"/>
              </w:rPr>
              <w:t>是否组织现场考察或者召开答</w:t>
            </w:r>
            <w:r>
              <w:rPr>
                <w:rFonts w:hint="eastAsia" w:ascii="宋体" w:hAnsi="宋体" w:eastAsia="宋体" w:cs="宋体"/>
                <w:sz w:val="21"/>
                <w:szCs w:val="21"/>
                <w:u w:val="none"/>
              </w:rPr>
              <w:t>疑会：</w:t>
            </w:r>
            <w:r>
              <w:rPr>
                <w:rFonts w:hint="eastAsia" w:ascii="宋体" w:hAnsi="宋体" w:eastAsia="宋体" w:cs="宋体"/>
                <w:sz w:val="21"/>
                <w:szCs w:val="21"/>
                <w:u w:val="none"/>
                <w:lang w:eastAsia="zh-CN"/>
              </w:rPr>
              <w:t>否</w:t>
            </w:r>
          </w:p>
        </w:tc>
      </w:tr>
      <w:tr w14:paraId="3E32E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86" w:type="dxa"/>
            <w:vAlign w:val="center"/>
          </w:tcPr>
          <w:p w14:paraId="43D0A834">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w:t>
            </w:r>
          </w:p>
        </w:tc>
        <w:tc>
          <w:tcPr>
            <w:tcW w:w="8668" w:type="dxa"/>
            <w:vAlign w:val="center"/>
          </w:tcPr>
          <w:p w14:paraId="6D332406">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lang w:eastAsia="zh-CN"/>
              </w:rPr>
            </w:pPr>
            <w:r>
              <w:rPr>
                <w:rFonts w:hint="eastAsia" w:ascii="宋体" w:hAnsi="宋体" w:eastAsia="宋体" w:cs="宋体"/>
                <w:sz w:val="21"/>
                <w:szCs w:val="21"/>
              </w:rPr>
              <w:t>是否需要提供样品：</w:t>
            </w:r>
            <w:r>
              <w:rPr>
                <w:rFonts w:hint="eastAsia" w:ascii="宋体" w:hAnsi="宋体" w:eastAsia="宋体" w:cs="宋体"/>
                <w:sz w:val="21"/>
                <w:szCs w:val="21"/>
                <w:u w:val="none"/>
                <w:lang w:eastAsia="zh-CN"/>
              </w:rPr>
              <w:t>否</w:t>
            </w:r>
          </w:p>
        </w:tc>
      </w:tr>
      <w:tr w14:paraId="20084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86" w:type="dxa"/>
            <w:vAlign w:val="center"/>
          </w:tcPr>
          <w:p w14:paraId="2A1A9F24">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w:t>
            </w:r>
          </w:p>
        </w:tc>
        <w:tc>
          <w:tcPr>
            <w:tcW w:w="8668" w:type="dxa"/>
            <w:vAlign w:val="center"/>
          </w:tcPr>
          <w:p w14:paraId="5B441E48">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u w:val="single"/>
                <w:lang w:eastAsia="zh-CN"/>
              </w:rPr>
            </w:pPr>
            <w:r>
              <w:rPr>
                <w:rFonts w:hint="eastAsia" w:ascii="宋体" w:hAnsi="宋体" w:eastAsia="宋体" w:cs="宋体"/>
                <w:sz w:val="21"/>
                <w:szCs w:val="21"/>
              </w:rPr>
              <w:t>投标有效期：提交投标文件截止之日起60日历天</w:t>
            </w:r>
          </w:p>
        </w:tc>
      </w:tr>
      <w:tr w14:paraId="1F2C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86" w:type="dxa"/>
            <w:vAlign w:val="center"/>
          </w:tcPr>
          <w:p w14:paraId="73D17C9C">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w:t>
            </w:r>
          </w:p>
        </w:tc>
        <w:tc>
          <w:tcPr>
            <w:tcW w:w="8668" w:type="dxa"/>
            <w:vAlign w:val="center"/>
          </w:tcPr>
          <w:p w14:paraId="269FF619">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w:t>
            </w:r>
            <w:r>
              <w:rPr>
                <w:rFonts w:hint="eastAsia" w:ascii="宋体" w:hAnsi="宋体" w:eastAsia="宋体" w:cs="宋体"/>
                <w:color w:val="auto"/>
                <w:sz w:val="21"/>
                <w:szCs w:val="21"/>
                <w:lang w:eastAsia="zh-CN"/>
              </w:rPr>
              <w:t>文件（电子）提交</w:t>
            </w:r>
            <w:r>
              <w:rPr>
                <w:rFonts w:hint="eastAsia" w:ascii="宋体" w:hAnsi="宋体" w:eastAsia="宋体" w:cs="宋体"/>
                <w:color w:val="auto"/>
                <w:sz w:val="21"/>
                <w:szCs w:val="21"/>
              </w:rPr>
              <w:t>截止时间：202</w:t>
            </w:r>
            <w:r>
              <w:rPr>
                <w:rFonts w:hint="eastAsia" w:cs="宋体"/>
                <w:color w:val="auto"/>
                <w:sz w:val="21"/>
                <w:szCs w:val="21"/>
                <w:lang w:val="en-US" w:eastAsia="zh-CN"/>
              </w:rPr>
              <w:t>5</w:t>
            </w:r>
            <w:r>
              <w:rPr>
                <w:rFonts w:hint="eastAsia" w:ascii="宋体" w:hAnsi="宋体" w:eastAsia="宋体" w:cs="宋体"/>
                <w:color w:val="auto"/>
                <w:sz w:val="21"/>
                <w:szCs w:val="21"/>
              </w:rPr>
              <w:t>年</w:t>
            </w:r>
            <w:r>
              <w:rPr>
                <w:rFonts w:hint="eastAsia" w:cs="宋体"/>
                <w:color w:val="auto"/>
                <w:sz w:val="21"/>
                <w:szCs w:val="21"/>
                <w:lang w:val="en-US" w:eastAsia="zh-CN"/>
              </w:rPr>
              <w:t>3</w:t>
            </w:r>
            <w:r>
              <w:rPr>
                <w:rFonts w:hint="eastAsia" w:ascii="宋体" w:hAnsi="宋体" w:eastAsia="宋体" w:cs="宋体"/>
                <w:color w:val="auto"/>
                <w:sz w:val="21"/>
                <w:szCs w:val="21"/>
              </w:rPr>
              <w:t>月</w:t>
            </w:r>
            <w:r>
              <w:rPr>
                <w:rFonts w:hint="eastAsia" w:cs="宋体"/>
                <w:color w:val="auto"/>
                <w:sz w:val="21"/>
                <w:szCs w:val="21"/>
                <w:lang w:val="en-US" w:eastAsia="zh-CN"/>
              </w:rPr>
              <w:t>13</w:t>
            </w:r>
            <w:r>
              <w:rPr>
                <w:rFonts w:hint="eastAsia" w:ascii="宋体" w:hAnsi="宋体" w:eastAsia="宋体" w:cs="宋体"/>
                <w:color w:val="auto"/>
                <w:sz w:val="21"/>
                <w:szCs w:val="21"/>
              </w:rPr>
              <w:t>日09时00分（北京时间）</w:t>
            </w:r>
          </w:p>
          <w:p w14:paraId="5FBF0153">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投标文件提交地点：河南省公共资源交易中心（</w:t>
            </w:r>
            <w:r>
              <w:rPr>
                <w:rFonts w:hint="eastAsia" w:cs="宋体"/>
                <w:color w:val="auto"/>
                <w:sz w:val="21"/>
                <w:szCs w:val="21"/>
                <w:lang w:eastAsia="zh-CN"/>
              </w:rPr>
              <w:t>hnsggzyjy.henan.gov.cn</w:t>
            </w:r>
            <w:r>
              <w:rPr>
                <w:rFonts w:hint="eastAsia" w:ascii="宋体" w:hAnsi="宋体" w:eastAsia="宋体" w:cs="宋体"/>
                <w:color w:val="auto"/>
                <w:sz w:val="21"/>
                <w:szCs w:val="21"/>
                <w:lang w:eastAsia="zh-CN"/>
              </w:rPr>
              <w:t>）电子交易平台</w:t>
            </w:r>
          </w:p>
        </w:tc>
      </w:tr>
      <w:tr w14:paraId="61352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86" w:type="dxa"/>
            <w:vAlign w:val="center"/>
          </w:tcPr>
          <w:p w14:paraId="52A7C20E">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w:t>
            </w:r>
          </w:p>
        </w:tc>
        <w:tc>
          <w:tcPr>
            <w:tcW w:w="8668" w:type="dxa"/>
            <w:vAlign w:val="center"/>
          </w:tcPr>
          <w:p w14:paraId="008F3E7E">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开标时间：</w:t>
            </w:r>
            <w:r>
              <w:rPr>
                <w:rFonts w:hint="eastAsia" w:ascii="宋体" w:hAnsi="宋体" w:eastAsia="宋体" w:cs="宋体"/>
                <w:color w:val="auto"/>
                <w:sz w:val="21"/>
                <w:szCs w:val="21"/>
                <w:lang w:val="en-US" w:eastAsia="zh-CN"/>
              </w:rPr>
              <w:t>同招标公告</w:t>
            </w:r>
            <w:r>
              <w:rPr>
                <w:rFonts w:hint="eastAsia" w:ascii="宋体" w:hAnsi="宋体" w:eastAsia="宋体" w:cs="宋体"/>
                <w:color w:val="auto"/>
                <w:sz w:val="21"/>
                <w:szCs w:val="21"/>
              </w:rPr>
              <w:t>开标时间及地点</w:t>
            </w:r>
          </w:p>
          <w:p w14:paraId="3CA48C07">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开标地点：同招标公告开标时间及地点</w:t>
            </w:r>
          </w:p>
        </w:tc>
      </w:tr>
      <w:tr w14:paraId="7F1B3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86" w:type="dxa"/>
            <w:vAlign w:val="center"/>
          </w:tcPr>
          <w:p w14:paraId="7CE5E2D9">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eastAsia" w:ascii="宋体" w:hAnsi="宋体" w:eastAsia="宋体" w:cs="宋体"/>
                <w:bCs/>
                <w:kern w:val="2"/>
                <w:sz w:val="21"/>
                <w:szCs w:val="21"/>
                <w:lang w:val="en-US" w:eastAsia="zh-CN" w:bidi="ar-SA"/>
              </w:rPr>
            </w:pPr>
            <w:r>
              <w:rPr>
                <w:rFonts w:hint="eastAsia" w:ascii="宋体" w:hAnsi="宋体" w:eastAsia="宋体" w:cs="宋体"/>
                <w:sz w:val="21"/>
                <w:szCs w:val="21"/>
                <w:lang w:val="en-US" w:eastAsia="zh-CN"/>
              </w:rPr>
              <w:t>17</w:t>
            </w:r>
          </w:p>
        </w:tc>
        <w:tc>
          <w:tcPr>
            <w:tcW w:w="8668" w:type="dxa"/>
            <w:vAlign w:val="center"/>
          </w:tcPr>
          <w:p w14:paraId="791D353D">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投标文件递交</w:t>
            </w:r>
            <w:r>
              <w:rPr>
                <w:rFonts w:hint="eastAsia" w:ascii="宋体" w:hAnsi="宋体" w:eastAsia="宋体" w:cs="宋体"/>
                <w:color w:val="auto"/>
                <w:sz w:val="21"/>
                <w:szCs w:val="21"/>
                <w:lang w:eastAsia="zh-CN"/>
              </w:rPr>
              <w:t>：</w:t>
            </w:r>
          </w:p>
          <w:p w14:paraId="29471EE4">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各投标人应在投标截止时间前上传加密的电子投标文件（*.hntf）到会员系统的指定位置。上传时必须得到电脑“上传成功”的确认回复。请投标人在上传时认真检查上传投标文件是否完整、正确。</w:t>
            </w:r>
          </w:p>
          <w:p w14:paraId="7C1396B3">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投标人因交易中心投标系统问题无法上传电子投标文件时，请在工作时间与河南省公共资源交易中心联系。</w:t>
            </w:r>
          </w:p>
          <w:p w14:paraId="3CB47D17">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逾期上传/送达的或者未上传/未送达指定地点的投标文件，采购人不予受理。</w:t>
            </w:r>
          </w:p>
          <w:p w14:paraId="7329B5E5">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注意事项：1.上传电子投标文件时“其他部分”上传完整的电子投标文件；</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.多家供应商投标文件“制作机器码”一致的，所有投标文件文件均做无效文件处理。</w:t>
            </w:r>
          </w:p>
        </w:tc>
      </w:tr>
      <w:tr w14:paraId="606FF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86" w:type="dxa"/>
            <w:vAlign w:val="center"/>
          </w:tcPr>
          <w:p w14:paraId="5FF6136D">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eastAsia" w:ascii="宋体" w:hAnsi="宋体" w:eastAsia="宋体" w:cs="宋体"/>
                <w:bCs/>
                <w:kern w:val="2"/>
                <w:sz w:val="21"/>
                <w:szCs w:val="21"/>
                <w:highlight w:val="none"/>
                <w:lang w:val="en-US" w:eastAsia="zh-CN" w:bidi="ar-SA"/>
              </w:rPr>
            </w:pPr>
            <w:r>
              <w:rPr>
                <w:rFonts w:hint="eastAsia" w:ascii="宋体" w:hAnsi="宋体" w:eastAsia="宋体" w:cs="宋体"/>
                <w:sz w:val="21"/>
                <w:szCs w:val="21"/>
                <w:highlight w:val="none"/>
                <w:lang w:val="en-US" w:eastAsia="zh-CN"/>
              </w:rPr>
              <w:t>18</w:t>
            </w:r>
          </w:p>
        </w:tc>
        <w:tc>
          <w:tcPr>
            <w:tcW w:w="8668" w:type="dxa"/>
            <w:vAlign w:val="center"/>
          </w:tcPr>
          <w:p w14:paraId="4820B24A">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盖章、签字或印鉴要求：</w:t>
            </w:r>
          </w:p>
          <w:p w14:paraId="0EAB18D0">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）盖章：指企业单位盖公章</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法定代表人或授权代表人签字：指法定代表人或委托代理人本人亲自签署本名行为的结果。</w:t>
            </w:r>
          </w:p>
          <w:p w14:paraId="03E4BAA4">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3）随着电子信息化的发展，逐步演化为电子签章、电子签名，供应商通过河南省公共资源交易中心受理大厅 CA 密钥窗口办理电子认证；故：本招标文件中如无特殊说明时则按“加盖企业电子签章”等同于“加盖企业公章”；“法定代表人签字”等同于“法定代表人（个人电子签章\个人电子签名）”；“委托代理人签字”等同于“委托代理人（个人电子签章\个人电子签名）”。</w:t>
            </w:r>
          </w:p>
          <w:p w14:paraId="07B56594">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4）电子版投标文件需用供应商单位的 CA 印章，法定代表人签字的地方都应用法定代表人的 CA 印章，若有委托代理人，且委托代理人没有 CA 锁，则投标文件需上传有委托代理人手写签名的扫描件。</w:t>
            </w:r>
          </w:p>
        </w:tc>
      </w:tr>
      <w:tr w14:paraId="0B4FE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86" w:type="dxa"/>
            <w:vAlign w:val="center"/>
          </w:tcPr>
          <w:p w14:paraId="04C83953">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eastAsia" w:ascii="宋体" w:hAnsi="宋体" w:eastAsia="宋体" w:cs="宋体"/>
                <w:bCs/>
                <w:kern w:val="2"/>
                <w:sz w:val="21"/>
                <w:szCs w:val="21"/>
                <w:highlight w:val="none"/>
                <w:lang w:val="en-US" w:eastAsia="zh-CN" w:bidi="ar-SA"/>
              </w:rPr>
            </w:pPr>
            <w:r>
              <w:rPr>
                <w:rFonts w:hint="eastAsia" w:ascii="宋体" w:hAnsi="宋体" w:eastAsia="宋体" w:cs="宋体"/>
                <w:sz w:val="21"/>
                <w:szCs w:val="21"/>
                <w:highlight w:val="none"/>
                <w:lang w:val="en-US" w:eastAsia="zh-CN"/>
              </w:rPr>
              <w:t>19</w:t>
            </w:r>
          </w:p>
        </w:tc>
        <w:tc>
          <w:tcPr>
            <w:tcW w:w="8668" w:type="dxa"/>
            <w:vAlign w:val="center"/>
          </w:tcPr>
          <w:p w14:paraId="4E63FE37">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信用查询时间</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递交投标截止时间</w:t>
            </w:r>
            <w:r>
              <w:rPr>
                <w:rFonts w:hint="eastAsia" w:ascii="宋体" w:hAnsi="宋体" w:eastAsia="宋体" w:cs="宋体"/>
                <w:sz w:val="21"/>
                <w:szCs w:val="21"/>
                <w:highlight w:val="none"/>
                <w:lang w:val="en-US" w:eastAsia="zh-CN"/>
              </w:rPr>
              <w:t>止至资格审查工作结束前</w:t>
            </w:r>
          </w:p>
        </w:tc>
      </w:tr>
      <w:tr w14:paraId="00882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86" w:type="dxa"/>
            <w:vAlign w:val="center"/>
          </w:tcPr>
          <w:p w14:paraId="2ADF920E">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eastAsia" w:ascii="宋体" w:hAnsi="宋体" w:eastAsia="宋体" w:cs="宋体"/>
                <w:b/>
                <w:bCs w:val="0"/>
                <w:kern w:val="2"/>
                <w:sz w:val="21"/>
                <w:szCs w:val="21"/>
                <w:highlight w:val="none"/>
                <w:lang w:val="en-US" w:eastAsia="zh-CN" w:bidi="ar-SA"/>
              </w:rPr>
            </w:pPr>
            <w:r>
              <w:rPr>
                <w:rFonts w:hint="eastAsia" w:ascii="宋体" w:hAnsi="宋体" w:eastAsia="宋体" w:cs="宋体"/>
                <w:b/>
                <w:bCs w:val="0"/>
                <w:sz w:val="21"/>
                <w:szCs w:val="21"/>
                <w:highlight w:val="none"/>
                <w:lang w:val="en-US" w:eastAsia="zh-CN"/>
              </w:rPr>
              <w:t>20</w:t>
            </w:r>
          </w:p>
        </w:tc>
        <w:tc>
          <w:tcPr>
            <w:tcW w:w="8668" w:type="dxa"/>
            <w:vAlign w:val="center"/>
          </w:tcPr>
          <w:p w14:paraId="719DBA20">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b/>
                <w:bCs w:val="0"/>
                <w:sz w:val="21"/>
                <w:szCs w:val="21"/>
                <w:highlight w:val="none"/>
              </w:rPr>
            </w:pPr>
            <w:r>
              <w:rPr>
                <w:rFonts w:hint="eastAsia" w:ascii="宋体" w:hAnsi="宋体" w:eastAsia="宋体" w:cs="宋体"/>
                <w:b/>
                <w:bCs w:val="0"/>
                <w:sz w:val="21"/>
                <w:szCs w:val="21"/>
                <w:highlight w:val="none"/>
              </w:rPr>
              <w:t>核心产品：</w:t>
            </w:r>
            <w:r>
              <w:rPr>
                <w:rFonts w:hint="eastAsia" w:ascii="宋体" w:hAnsi="宋体" w:eastAsia="宋体" w:cs="宋体"/>
                <w:b/>
                <w:bCs w:val="0"/>
                <w:sz w:val="21"/>
                <w:szCs w:val="21"/>
                <w:highlight w:val="none"/>
                <w:u w:val="single"/>
              </w:rPr>
              <w:t xml:space="preserve"> </w:t>
            </w:r>
            <w:r>
              <w:rPr>
                <w:rFonts w:hint="eastAsia" w:cs="宋体"/>
                <w:b/>
                <w:bCs w:val="0"/>
                <w:sz w:val="21"/>
                <w:szCs w:val="21"/>
                <w:highlight w:val="none"/>
                <w:u w:val="single"/>
                <w:lang w:val="en-US" w:eastAsia="zh-CN"/>
              </w:rPr>
              <w:t xml:space="preserve"> 接入</w:t>
            </w:r>
            <w:r>
              <w:rPr>
                <w:rFonts w:hint="eastAsia" w:ascii="宋体" w:hAnsi="宋体" w:eastAsia="宋体" w:cs="宋体"/>
                <w:b/>
                <w:bCs w:val="0"/>
                <w:sz w:val="21"/>
                <w:szCs w:val="21"/>
                <w:highlight w:val="none"/>
                <w:u w:val="single"/>
              </w:rPr>
              <w:t>交换机</w:t>
            </w:r>
            <w:r>
              <w:rPr>
                <w:rFonts w:hint="eastAsia" w:cs="宋体"/>
                <w:b/>
                <w:bCs w:val="0"/>
                <w:sz w:val="21"/>
                <w:szCs w:val="21"/>
                <w:highlight w:val="none"/>
                <w:u w:val="single"/>
                <w:lang w:val="en-US" w:eastAsia="zh-CN"/>
              </w:rPr>
              <w:t>2</w:t>
            </w:r>
            <w:r>
              <w:rPr>
                <w:rFonts w:hint="eastAsia" w:ascii="宋体" w:hAnsi="宋体" w:eastAsia="宋体" w:cs="宋体"/>
                <w:b/>
                <w:bCs w:val="0"/>
                <w:sz w:val="21"/>
                <w:szCs w:val="21"/>
                <w:highlight w:val="none"/>
                <w:u w:val="single"/>
              </w:rPr>
              <w:t xml:space="preserve">  </w:t>
            </w:r>
          </w:p>
        </w:tc>
      </w:tr>
      <w:tr w14:paraId="068D4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86" w:type="dxa"/>
            <w:vAlign w:val="center"/>
          </w:tcPr>
          <w:p w14:paraId="3D9876E3">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eastAsia" w:ascii="宋体" w:hAnsi="宋体" w:eastAsia="宋体" w:cs="宋体"/>
                <w:bCs/>
                <w:kern w:val="2"/>
                <w:sz w:val="21"/>
                <w:szCs w:val="21"/>
                <w:highlight w:val="none"/>
                <w:lang w:val="en-US" w:eastAsia="zh-CN" w:bidi="ar-SA"/>
              </w:rPr>
            </w:pPr>
            <w:r>
              <w:rPr>
                <w:rFonts w:hint="eastAsia" w:ascii="宋体" w:hAnsi="宋体" w:eastAsia="宋体" w:cs="宋体"/>
                <w:sz w:val="21"/>
                <w:szCs w:val="21"/>
                <w:highlight w:val="none"/>
                <w:lang w:val="en-US" w:eastAsia="zh-CN"/>
              </w:rPr>
              <w:t>21</w:t>
            </w:r>
          </w:p>
        </w:tc>
        <w:tc>
          <w:tcPr>
            <w:tcW w:w="8668" w:type="dxa"/>
            <w:vAlign w:val="center"/>
          </w:tcPr>
          <w:p w14:paraId="00BB2FBC">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评标委员会的组建</w:t>
            </w:r>
            <w:r>
              <w:rPr>
                <w:rFonts w:hint="eastAsia" w:ascii="宋体" w:hAnsi="宋体" w:eastAsia="宋体" w:cs="宋体"/>
                <w:sz w:val="21"/>
                <w:szCs w:val="21"/>
                <w:highlight w:val="none"/>
                <w:lang w:eastAsia="zh-CN"/>
              </w:rPr>
              <w:t>：</w:t>
            </w:r>
          </w:p>
          <w:p w14:paraId="1F355E34">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评标委员会构成：</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人，其中采购人代表1人，相关经济、技术专家4人；</w:t>
            </w:r>
          </w:p>
          <w:p w14:paraId="669D11C5">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bCs/>
                <w:kern w:val="0"/>
                <w:sz w:val="32"/>
                <w:szCs w:val="21"/>
                <w:highlight w:val="none"/>
                <w:lang w:val="en-US" w:eastAsia="zh-CN" w:bidi="ar-SA"/>
              </w:rPr>
            </w:pPr>
            <w:r>
              <w:rPr>
                <w:rFonts w:hint="eastAsia" w:ascii="宋体" w:hAnsi="宋体" w:eastAsia="宋体" w:cs="宋体"/>
                <w:sz w:val="21"/>
                <w:szCs w:val="21"/>
                <w:highlight w:val="none"/>
              </w:rPr>
              <w:t>评审专家确定方式：财政部门指定专家库中随机抽取</w:t>
            </w:r>
          </w:p>
        </w:tc>
      </w:tr>
      <w:tr w14:paraId="55346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86" w:type="dxa"/>
            <w:vAlign w:val="center"/>
          </w:tcPr>
          <w:p w14:paraId="659E9165">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eastAsia" w:ascii="宋体" w:hAnsi="宋体" w:eastAsia="宋体" w:cs="宋体"/>
                <w:bCs/>
                <w:kern w:val="2"/>
                <w:sz w:val="21"/>
                <w:szCs w:val="21"/>
                <w:highlight w:val="none"/>
                <w:lang w:val="en-US" w:eastAsia="zh-CN" w:bidi="ar-SA"/>
              </w:rPr>
            </w:pPr>
            <w:r>
              <w:rPr>
                <w:rFonts w:hint="eastAsia" w:ascii="宋体" w:hAnsi="宋体" w:eastAsia="宋体" w:cs="宋体"/>
                <w:sz w:val="21"/>
                <w:szCs w:val="21"/>
                <w:highlight w:val="none"/>
                <w:lang w:val="en-US" w:eastAsia="zh-CN"/>
              </w:rPr>
              <w:t>22</w:t>
            </w:r>
          </w:p>
        </w:tc>
        <w:tc>
          <w:tcPr>
            <w:tcW w:w="8668" w:type="dxa"/>
            <w:vAlign w:val="center"/>
          </w:tcPr>
          <w:p w14:paraId="29DF5A04">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i/>
                <w:sz w:val="21"/>
                <w:szCs w:val="21"/>
                <w:highlight w:val="none"/>
                <w:lang w:val="en-US" w:eastAsia="zh-CN"/>
              </w:rPr>
            </w:pPr>
            <w:r>
              <w:rPr>
                <w:rFonts w:hint="eastAsia" w:ascii="宋体" w:hAnsi="宋体" w:eastAsia="宋体" w:cs="宋体"/>
                <w:sz w:val="21"/>
                <w:szCs w:val="21"/>
                <w:highlight w:val="none"/>
              </w:rPr>
              <w:t>评标方法：适用</w:t>
            </w:r>
            <w:r>
              <w:rPr>
                <w:rFonts w:hint="eastAsia" w:ascii="宋体" w:hAnsi="宋体" w:eastAsia="宋体" w:cs="宋体"/>
                <w:sz w:val="21"/>
                <w:szCs w:val="21"/>
                <w:highlight w:val="none"/>
                <w:u w:val="single"/>
                <w:lang w:val="en-US" w:eastAsia="zh-CN"/>
              </w:rPr>
              <w:t xml:space="preserve"> 综合评分法 </w:t>
            </w:r>
          </w:p>
        </w:tc>
      </w:tr>
      <w:tr w14:paraId="24D9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86" w:type="dxa"/>
            <w:vAlign w:val="center"/>
          </w:tcPr>
          <w:p w14:paraId="7AC2781B">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eastAsia" w:ascii="宋体" w:hAnsi="宋体" w:eastAsia="宋体" w:cs="宋体"/>
                <w:bCs/>
                <w:kern w:val="2"/>
                <w:sz w:val="21"/>
                <w:szCs w:val="21"/>
                <w:highlight w:val="none"/>
                <w:lang w:val="en-US" w:eastAsia="zh-CN" w:bidi="ar-SA"/>
              </w:rPr>
            </w:pPr>
            <w:r>
              <w:rPr>
                <w:rFonts w:hint="eastAsia" w:ascii="宋体" w:hAnsi="宋体" w:eastAsia="宋体" w:cs="宋体"/>
                <w:sz w:val="21"/>
                <w:szCs w:val="21"/>
                <w:highlight w:val="none"/>
                <w:lang w:val="en-US" w:eastAsia="zh-CN"/>
              </w:rPr>
              <w:t>23</w:t>
            </w:r>
          </w:p>
        </w:tc>
        <w:tc>
          <w:tcPr>
            <w:tcW w:w="8668" w:type="dxa"/>
            <w:vAlign w:val="center"/>
          </w:tcPr>
          <w:p w14:paraId="6A429C42">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推荐中标候选人的数量：</w:t>
            </w:r>
            <w:r>
              <w:rPr>
                <w:rFonts w:hint="eastAsia" w:ascii="宋体" w:hAnsi="宋体" w:eastAsia="宋体" w:cs="宋体"/>
                <w:sz w:val="21"/>
                <w:szCs w:val="21"/>
                <w:highlight w:val="none"/>
                <w:u w:val="single"/>
                <w:lang w:val="en-US" w:eastAsia="zh-CN"/>
              </w:rPr>
              <w:t xml:space="preserve"> 3名 </w:t>
            </w:r>
          </w:p>
        </w:tc>
      </w:tr>
      <w:tr w14:paraId="32E23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86" w:type="dxa"/>
            <w:vAlign w:val="center"/>
          </w:tcPr>
          <w:p w14:paraId="2E2AA58E">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eastAsia" w:ascii="宋体" w:hAnsi="宋体" w:eastAsia="宋体" w:cs="宋体"/>
                <w:bCs/>
                <w:kern w:val="2"/>
                <w:sz w:val="21"/>
                <w:szCs w:val="21"/>
                <w:highlight w:val="none"/>
                <w:lang w:val="en-US" w:eastAsia="zh-CN" w:bidi="ar-SA"/>
              </w:rPr>
            </w:pPr>
            <w:r>
              <w:rPr>
                <w:rFonts w:hint="eastAsia" w:ascii="宋体" w:hAnsi="宋体" w:eastAsia="宋体" w:cs="宋体"/>
                <w:sz w:val="21"/>
                <w:szCs w:val="21"/>
                <w:highlight w:val="none"/>
                <w:lang w:val="en-US" w:eastAsia="zh-CN"/>
              </w:rPr>
              <w:t>24</w:t>
            </w:r>
          </w:p>
        </w:tc>
        <w:tc>
          <w:tcPr>
            <w:tcW w:w="8668" w:type="dxa"/>
            <w:vAlign w:val="center"/>
          </w:tcPr>
          <w:p w14:paraId="79C890C5">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采购人</w:t>
            </w:r>
            <w:r>
              <w:rPr>
                <w:rFonts w:hint="eastAsia" w:ascii="宋体" w:hAnsi="宋体" w:eastAsia="宋体" w:cs="宋体"/>
                <w:sz w:val="21"/>
                <w:szCs w:val="21"/>
                <w:highlight w:val="none"/>
              </w:rPr>
              <w:t>是否委托评标委员会直接确定</w:t>
            </w:r>
            <w:r>
              <w:rPr>
                <w:rFonts w:hint="eastAsia" w:ascii="宋体" w:hAnsi="宋体" w:eastAsia="宋体" w:cs="宋体"/>
                <w:sz w:val="21"/>
                <w:szCs w:val="21"/>
                <w:highlight w:val="none"/>
                <w:lang w:eastAsia="zh-CN"/>
              </w:rPr>
              <w:t>中标供应商</w:t>
            </w:r>
            <w:r>
              <w:rPr>
                <w:rFonts w:hint="eastAsia" w:ascii="宋体" w:hAnsi="宋体" w:eastAsia="宋体" w:cs="宋体"/>
                <w:sz w:val="21"/>
                <w:szCs w:val="21"/>
                <w:highlight w:val="none"/>
              </w:rPr>
              <w:t>：否</w:t>
            </w:r>
          </w:p>
        </w:tc>
      </w:tr>
      <w:tr w14:paraId="45468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86" w:type="dxa"/>
            <w:vAlign w:val="center"/>
          </w:tcPr>
          <w:p w14:paraId="7C1DDF56">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eastAsia" w:ascii="宋体" w:hAnsi="宋体" w:eastAsia="宋体" w:cs="宋体"/>
                <w:bCs/>
                <w:kern w:val="2"/>
                <w:sz w:val="21"/>
                <w:szCs w:val="21"/>
                <w:highlight w:val="none"/>
                <w:lang w:val="en-US" w:eastAsia="zh-CN" w:bidi="ar-SA"/>
              </w:rPr>
            </w:pPr>
            <w:r>
              <w:rPr>
                <w:rFonts w:hint="eastAsia" w:ascii="宋体" w:hAnsi="宋体" w:eastAsia="宋体" w:cs="宋体"/>
                <w:sz w:val="21"/>
                <w:szCs w:val="21"/>
                <w:highlight w:val="none"/>
                <w:lang w:val="en-US" w:eastAsia="zh-CN"/>
              </w:rPr>
              <w:t>25</w:t>
            </w:r>
          </w:p>
        </w:tc>
        <w:tc>
          <w:tcPr>
            <w:tcW w:w="8668" w:type="dxa"/>
            <w:vAlign w:val="center"/>
          </w:tcPr>
          <w:p w14:paraId="78C027DF">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是否提交履约保证金：是</w:t>
            </w:r>
          </w:p>
          <w:p w14:paraId="0CCA2D14">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履约保证金的形式：以金融机构出具的保函或对公转账形式提交</w:t>
            </w:r>
          </w:p>
          <w:p w14:paraId="49A9A90C">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履约保证金的金额：合同金额的5%</w:t>
            </w:r>
          </w:p>
          <w:p w14:paraId="27885A8D">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成交供应商需在中标通知书发放之日起5日内向嵩山实验室提交履约保证金。项目最终验收合格后履约保证金无息退还。</w:t>
            </w:r>
          </w:p>
          <w:p w14:paraId="681A1290">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缴费信息</w:t>
            </w:r>
          </w:p>
          <w:p w14:paraId="7EF9EE43">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账户名称：嵩山实验室</w:t>
            </w:r>
          </w:p>
          <w:p w14:paraId="38D2B701">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开</w:t>
            </w:r>
            <w:r>
              <w:rPr>
                <w:rFonts w:hint="eastAsia" w:cs="宋体"/>
                <w:sz w:val="21"/>
                <w:szCs w:val="21"/>
                <w:highlight w:val="none"/>
                <w:lang w:val="en-US" w:eastAsia="zh-CN"/>
              </w:rPr>
              <w:t xml:space="preserve"> </w:t>
            </w:r>
            <w:r>
              <w:rPr>
                <w:rFonts w:hint="eastAsia" w:ascii="宋体" w:hAnsi="宋体" w:eastAsia="宋体" w:cs="宋体"/>
                <w:sz w:val="21"/>
                <w:szCs w:val="21"/>
                <w:highlight w:val="none"/>
                <w:lang w:eastAsia="zh-CN"/>
              </w:rPr>
              <w:t>户</w:t>
            </w:r>
            <w:r>
              <w:rPr>
                <w:rFonts w:hint="eastAsia" w:cs="宋体"/>
                <w:sz w:val="21"/>
                <w:szCs w:val="21"/>
                <w:highlight w:val="none"/>
                <w:lang w:val="en-US" w:eastAsia="zh-CN"/>
              </w:rPr>
              <w:t xml:space="preserve"> </w:t>
            </w:r>
            <w:r>
              <w:rPr>
                <w:rFonts w:hint="eastAsia" w:ascii="宋体" w:hAnsi="宋体" w:eastAsia="宋体" w:cs="宋体"/>
                <w:sz w:val="21"/>
                <w:szCs w:val="21"/>
                <w:highlight w:val="none"/>
                <w:lang w:eastAsia="zh-CN"/>
              </w:rPr>
              <w:t>行：交通银行股份有限公司郑州九如路支行</w:t>
            </w:r>
          </w:p>
          <w:p w14:paraId="2088CF35">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账</w:t>
            </w:r>
            <w:r>
              <w:rPr>
                <w:rFonts w:hint="eastAsia" w:cs="宋体"/>
                <w:sz w:val="21"/>
                <w:szCs w:val="21"/>
                <w:highlight w:val="none"/>
                <w:lang w:val="en-US" w:eastAsia="zh-CN"/>
              </w:rPr>
              <w:t xml:space="preserve">    </w:t>
            </w:r>
            <w:r>
              <w:rPr>
                <w:rFonts w:hint="eastAsia" w:ascii="宋体" w:hAnsi="宋体" w:eastAsia="宋体" w:cs="宋体"/>
                <w:sz w:val="21"/>
                <w:szCs w:val="21"/>
                <w:highlight w:val="none"/>
                <w:lang w:eastAsia="zh-CN"/>
              </w:rPr>
              <w:t>号：411137000019460000174</w:t>
            </w:r>
          </w:p>
        </w:tc>
      </w:tr>
      <w:tr w14:paraId="1F178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86" w:type="dxa"/>
            <w:vAlign w:val="center"/>
          </w:tcPr>
          <w:p w14:paraId="0C5D012B">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eastAsia" w:ascii="宋体" w:hAnsi="宋体" w:eastAsia="宋体" w:cs="宋体"/>
                <w:bCs/>
                <w:kern w:val="2"/>
                <w:sz w:val="21"/>
                <w:szCs w:val="21"/>
                <w:lang w:val="en-US" w:eastAsia="zh-CN" w:bidi="ar-SA"/>
              </w:rPr>
            </w:pPr>
            <w:r>
              <w:rPr>
                <w:rFonts w:hint="eastAsia" w:ascii="宋体" w:hAnsi="宋体" w:eastAsia="宋体" w:cs="宋体"/>
                <w:sz w:val="21"/>
                <w:szCs w:val="21"/>
                <w:lang w:val="en-US" w:eastAsia="zh-CN"/>
              </w:rPr>
              <w:t>26</w:t>
            </w:r>
          </w:p>
        </w:tc>
        <w:tc>
          <w:tcPr>
            <w:tcW w:w="8668" w:type="dxa"/>
            <w:vAlign w:val="center"/>
          </w:tcPr>
          <w:p w14:paraId="53963135">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招标代理费：</w:t>
            </w:r>
            <w:r>
              <w:rPr>
                <w:rFonts w:hint="eastAsia" w:ascii="宋体" w:hAnsi="宋体" w:eastAsia="宋体" w:cs="宋体"/>
                <w:sz w:val="21"/>
                <w:szCs w:val="21"/>
              </w:rPr>
              <w:t>参照河南省招标投标协会《关于印发&lt;河南省招标代理服务收费标准&gt;的通知》（豫招协[2023]002号）规定的标准收取，由中标（成交）人支付</w:t>
            </w:r>
            <w:r>
              <w:rPr>
                <w:rFonts w:hint="eastAsia" w:ascii="宋体" w:hAnsi="宋体" w:eastAsia="宋体" w:cs="宋体"/>
                <w:sz w:val="21"/>
                <w:szCs w:val="21"/>
                <w:lang w:eastAsia="zh-CN"/>
              </w:rPr>
              <w:t>。</w:t>
            </w:r>
          </w:p>
        </w:tc>
      </w:tr>
      <w:tr w14:paraId="7DC8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86" w:type="dxa"/>
            <w:vAlign w:val="center"/>
          </w:tcPr>
          <w:p w14:paraId="428C471A">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eastAsia" w:ascii="宋体" w:hAnsi="宋体" w:eastAsia="宋体" w:cs="宋体"/>
                <w:bCs/>
                <w:kern w:val="2"/>
                <w:sz w:val="21"/>
                <w:szCs w:val="21"/>
                <w:lang w:val="en-US" w:eastAsia="zh-CN" w:bidi="ar-SA"/>
              </w:rPr>
            </w:pPr>
            <w:r>
              <w:rPr>
                <w:rFonts w:hint="eastAsia" w:ascii="宋体" w:hAnsi="宋体" w:eastAsia="宋体" w:cs="宋体"/>
                <w:sz w:val="21"/>
                <w:szCs w:val="21"/>
                <w:lang w:val="en-US" w:eastAsia="zh-CN"/>
              </w:rPr>
              <w:t>2</w:t>
            </w:r>
            <w:r>
              <w:rPr>
                <w:rFonts w:hint="eastAsia" w:cs="宋体"/>
                <w:sz w:val="21"/>
                <w:szCs w:val="21"/>
                <w:lang w:val="en-US" w:eastAsia="zh-CN"/>
              </w:rPr>
              <w:t>7</w:t>
            </w:r>
          </w:p>
        </w:tc>
        <w:tc>
          <w:tcPr>
            <w:tcW w:w="8668" w:type="dxa"/>
            <w:vAlign w:val="center"/>
          </w:tcPr>
          <w:p w14:paraId="46D135B1">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针对同一采购程序环节的质疑次数</w:t>
            </w:r>
            <w:r>
              <w:rPr>
                <w:rFonts w:hint="eastAsia" w:ascii="宋体" w:hAnsi="宋体" w:eastAsia="宋体" w:cs="宋体"/>
                <w:sz w:val="21"/>
                <w:szCs w:val="21"/>
                <w:highlight w:val="none"/>
                <w:lang w:eastAsia="zh-CN"/>
              </w:rPr>
              <w:t>及形式</w:t>
            </w:r>
            <w:r>
              <w:rPr>
                <w:rFonts w:hint="eastAsia" w:ascii="宋体" w:hAnsi="宋体" w:eastAsia="宋体" w:cs="宋体"/>
                <w:sz w:val="21"/>
                <w:szCs w:val="21"/>
                <w:highlight w:val="none"/>
              </w:rPr>
              <w:t>：</w:t>
            </w:r>
          </w:p>
          <w:p w14:paraId="318154A7">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一次性提出</w:t>
            </w:r>
          </w:p>
          <w:p w14:paraId="0B10B239">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□多次提出</w:t>
            </w:r>
          </w:p>
          <w:p w14:paraId="63272C2B">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联系部门：河南省伟信招标管理咨询有限公司</w:t>
            </w:r>
          </w:p>
          <w:p w14:paraId="6314B685">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联系电话：0371-65359921</w:t>
            </w:r>
          </w:p>
          <w:p w14:paraId="1845E397">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通讯地址：郑州市郑东新区东风南路6号绿地中心北塔16楼</w:t>
            </w:r>
          </w:p>
        </w:tc>
      </w:tr>
      <w:tr w14:paraId="186AE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86" w:type="dxa"/>
            <w:vAlign w:val="center"/>
          </w:tcPr>
          <w:p w14:paraId="25674DF3">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eastAsia" w:ascii="宋体" w:hAnsi="宋体" w:eastAsia="宋体" w:cs="宋体"/>
                <w:bCs/>
                <w:kern w:val="2"/>
                <w:sz w:val="21"/>
                <w:szCs w:val="21"/>
                <w:highlight w:val="none"/>
                <w:lang w:val="en-US" w:eastAsia="zh-CN" w:bidi="ar-SA"/>
              </w:rPr>
            </w:pPr>
            <w:r>
              <w:rPr>
                <w:rFonts w:hint="eastAsia" w:ascii="宋体" w:hAnsi="宋体" w:eastAsia="宋体" w:cs="宋体"/>
                <w:sz w:val="21"/>
                <w:szCs w:val="21"/>
                <w:highlight w:val="none"/>
                <w:lang w:val="en-US" w:eastAsia="zh-CN"/>
              </w:rPr>
              <w:t>2</w:t>
            </w:r>
            <w:r>
              <w:rPr>
                <w:rFonts w:hint="eastAsia" w:cs="宋体"/>
                <w:sz w:val="21"/>
                <w:szCs w:val="21"/>
                <w:highlight w:val="none"/>
                <w:lang w:val="en-US" w:eastAsia="zh-CN"/>
              </w:rPr>
              <w:t>8</w:t>
            </w:r>
          </w:p>
        </w:tc>
        <w:tc>
          <w:tcPr>
            <w:tcW w:w="8668" w:type="dxa"/>
            <w:vAlign w:val="center"/>
          </w:tcPr>
          <w:p w14:paraId="51ED31B2">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其他政府采购政策：</w:t>
            </w:r>
          </w:p>
          <w:p w14:paraId="2DC1B08C">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A.为贯彻落实《财政部 工业和信息化部关于印发《政府采购促进中小企业发展管理办法》的通知》（财库〔2020〕46号）和《关于进一步加大政府采购支持中小企业力度的通知》（财库〔2022〕19号），本项目鼓励中小企业参与，供应商若是中小企业，应提交《中小企业声明函》原件。若不能提供，则视为非中小微型企业，价格不予扣除；（声明函格式详见附件）。</w:t>
            </w:r>
          </w:p>
          <w:p w14:paraId="7816D8A4">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B.中小企业划型标准以《工业和信息化部 国家统计局 国家发展和改革委财政部关于印发中小企业划型标准规定的通知》（工信部联企业〔2011〕300号）为依据。其中企业的营业收入、资产总额判定依据为最近一年度的财务审计报告，企业从业人员总数判定依据为缴纳统筹人员总数。</w:t>
            </w:r>
          </w:p>
          <w:p w14:paraId="1F6C2951">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C.根据《财政部 司法部关于政府采购支持监狱企业发展有关问题的通知》（财库〔2014〕68号）规定，本项目支持监狱企业参与政府采购活动。监狱企业参加本项目投标时，须提供由省级以上监狱管理局、戒毒管理局（含新疆生产建设兵团）出具的属于监狱企业的证明文件，视同小型、微型企业。</w:t>
            </w:r>
          </w:p>
          <w:p w14:paraId="16F6D401">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D.根据《财政部 民政部 中国残疾人联合会关于关于促进残疾人就业政府采购政策的通知》（财库〔2017〕141号）规定，本项目支持残疾人福利性单位参与政府采购活动，符合条件的残疾人福利性单位参加本项目投标时，应当提供《残疾人福利性单位声明函》，视同小型、微型企业。</w:t>
            </w:r>
          </w:p>
          <w:p w14:paraId="1B916B9A">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E.根据《财政部发展改革委 生态环境部 市场监管总局 关于调整优化节能产品、环境标志产品政府采购执行机制的通知》（财库〔2019〕9号）、《市场监管总局关于发布参与实施政府采购节能产品、环境标志产品认证机构名录的公告》（以下简称“机构名录”）、《关于印发节能产品政府采购品目清单的通知》（财库〔2019〕19号）（以下简称“节能清单”）、《关于印发环境标志产品政府采购品目清单的通知》（财库〔2019〕18号）（以下简称“环保清单”）要求，投标产品中如有属于“节能清单”中标记“★”产品的，须提供经过“机构名录”中的认证机构出具的、处于有效期之内的“节能产品认证证书”。</w:t>
            </w:r>
          </w:p>
          <w:p w14:paraId="2D94C129">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对于投标产品属于“节能清单”中非标记“★”产品或属于 “环保清单”产品的，并提供经过“机构名录”中的认证机构出具的、处于有效期之内的产品认证证书的给予优先采购，未提供的视为主动放弃被优先采购的权利。</w:t>
            </w:r>
          </w:p>
          <w:p w14:paraId="0698EA06">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F．招标文件的最终解释权归采购人，其它未尽事宜，按国家有关法律、法规执行。</w:t>
            </w:r>
          </w:p>
        </w:tc>
      </w:tr>
      <w:tr w14:paraId="3B2F4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86" w:type="dxa"/>
            <w:vAlign w:val="center"/>
          </w:tcPr>
          <w:p w14:paraId="622FB937">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default" w:ascii="宋体" w:hAnsi="宋体" w:eastAsia="宋体" w:cs="宋体"/>
                <w:bCs/>
                <w:kern w:val="2"/>
                <w:sz w:val="21"/>
                <w:szCs w:val="21"/>
                <w:lang w:val="en-US" w:eastAsia="zh-CN" w:bidi="ar-SA"/>
              </w:rPr>
            </w:pPr>
            <w:r>
              <w:rPr>
                <w:rFonts w:hint="eastAsia" w:cs="宋体"/>
                <w:sz w:val="21"/>
                <w:szCs w:val="21"/>
                <w:lang w:val="en-US" w:eastAsia="zh-CN"/>
              </w:rPr>
              <w:t>29</w:t>
            </w:r>
          </w:p>
        </w:tc>
        <w:tc>
          <w:tcPr>
            <w:tcW w:w="8668" w:type="dxa"/>
            <w:vAlign w:val="center"/>
          </w:tcPr>
          <w:p w14:paraId="1D98875C">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付款方式：</w:t>
            </w:r>
          </w:p>
          <w:p w14:paraId="7DBCC6AD">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1、第一次付款：签订合同</w:t>
            </w:r>
            <w:r>
              <w:rPr>
                <w:rFonts w:hint="eastAsia" w:cs="宋体"/>
                <w:sz w:val="21"/>
                <w:szCs w:val="21"/>
                <w:highlight w:val="none"/>
                <w:lang w:val="en-US" w:eastAsia="zh-CN"/>
              </w:rPr>
              <w:t>，供应商</w:t>
            </w:r>
            <w:r>
              <w:rPr>
                <w:rFonts w:hint="eastAsia" w:ascii="宋体" w:hAnsi="宋体" w:eastAsia="宋体" w:cs="宋体"/>
                <w:sz w:val="21"/>
                <w:szCs w:val="21"/>
                <w:highlight w:val="none"/>
                <w:lang w:val="en-US" w:eastAsia="zh-CN"/>
              </w:rPr>
              <w:t>提供合同总额30%的银行预付款保函，采购人支付30%的预付款，用于项目启动。</w:t>
            </w:r>
          </w:p>
          <w:p w14:paraId="7019654E">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highlight w:val="none"/>
                <w:lang w:val="en-US" w:eastAsia="zh-CN"/>
              </w:rPr>
            </w:pPr>
            <w:r>
              <w:rPr>
                <w:rFonts w:hint="eastAsia" w:cs="宋体"/>
                <w:sz w:val="21"/>
                <w:szCs w:val="21"/>
                <w:highlight w:val="none"/>
                <w:lang w:val="en-US" w:eastAsia="zh-CN"/>
              </w:rPr>
              <w:t>2</w:t>
            </w:r>
            <w:r>
              <w:rPr>
                <w:rFonts w:hint="eastAsia" w:ascii="宋体" w:hAnsi="宋体" w:eastAsia="宋体" w:cs="宋体"/>
                <w:sz w:val="21"/>
                <w:szCs w:val="21"/>
                <w:highlight w:val="none"/>
                <w:lang w:val="en-US" w:eastAsia="zh-CN"/>
              </w:rPr>
              <w:t>、第二次付款：5号楼和2号楼一层所需设备全部到货</w:t>
            </w:r>
            <w:r>
              <w:rPr>
                <w:rFonts w:hint="eastAsia" w:cs="宋体"/>
                <w:sz w:val="21"/>
                <w:szCs w:val="21"/>
                <w:highlight w:val="none"/>
                <w:lang w:val="en-US" w:eastAsia="zh-CN"/>
              </w:rPr>
              <w:t>并验收合格后</w:t>
            </w:r>
            <w:r>
              <w:rPr>
                <w:rFonts w:hint="eastAsia" w:ascii="宋体" w:hAnsi="宋体" w:eastAsia="宋体" w:cs="宋体"/>
                <w:sz w:val="21"/>
                <w:szCs w:val="21"/>
                <w:highlight w:val="none"/>
                <w:lang w:val="en-US" w:eastAsia="zh-CN"/>
              </w:rPr>
              <w:t>支付至合同总价款</w:t>
            </w:r>
            <w:r>
              <w:rPr>
                <w:rFonts w:hint="eastAsia" w:cs="宋体"/>
                <w:sz w:val="21"/>
                <w:szCs w:val="21"/>
                <w:highlight w:val="none"/>
                <w:lang w:val="en-US" w:eastAsia="zh-CN"/>
              </w:rPr>
              <w:t>4</w:t>
            </w:r>
            <w:r>
              <w:rPr>
                <w:rFonts w:hint="eastAsia" w:ascii="宋体" w:hAnsi="宋体" w:eastAsia="宋体" w:cs="宋体"/>
                <w:sz w:val="21"/>
                <w:szCs w:val="21"/>
                <w:highlight w:val="none"/>
                <w:lang w:val="en-US" w:eastAsia="zh-CN"/>
              </w:rPr>
              <w:t>0%。</w:t>
            </w:r>
          </w:p>
          <w:p w14:paraId="16CBFAA3">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highlight w:val="none"/>
                <w:lang w:val="en-US" w:eastAsia="zh-CN"/>
              </w:rPr>
            </w:pPr>
            <w:r>
              <w:rPr>
                <w:rFonts w:hint="eastAsia" w:cs="宋体"/>
                <w:sz w:val="21"/>
                <w:szCs w:val="21"/>
                <w:highlight w:val="none"/>
                <w:lang w:val="en-US" w:eastAsia="zh-CN"/>
              </w:rPr>
              <w:t>3</w:t>
            </w:r>
            <w:r>
              <w:rPr>
                <w:rFonts w:hint="eastAsia" w:ascii="宋体" w:hAnsi="宋体" w:eastAsia="宋体" w:cs="宋体"/>
                <w:sz w:val="21"/>
                <w:szCs w:val="21"/>
                <w:highlight w:val="none"/>
                <w:lang w:val="en-US" w:eastAsia="zh-CN"/>
              </w:rPr>
              <w:t>、</w:t>
            </w:r>
            <w:r>
              <w:rPr>
                <w:rFonts w:hint="eastAsia" w:ascii="宋体" w:hAnsi="宋体" w:eastAsia="宋体" w:cs="宋体"/>
                <w:bCs/>
                <w:spacing w:val="-6"/>
                <w:sz w:val="21"/>
                <w:szCs w:val="21"/>
                <w:highlight w:val="none"/>
                <w:lang w:val="en-US" w:eastAsia="zh-CN"/>
              </w:rPr>
              <w:t>第三次付款：5号楼和2号楼一层施工完成，</w:t>
            </w:r>
            <w:r>
              <w:rPr>
                <w:rFonts w:hint="eastAsia" w:cs="宋体"/>
                <w:bCs/>
                <w:spacing w:val="-6"/>
                <w:sz w:val="21"/>
                <w:szCs w:val="21"/>
                <w:highlight w:val="none"/>
                <w:lang w:val="en-US" w:eastAsia="zh-CN"/>
              </w:rPr>
              <w:t>验收合格并</w:t>
            </w:r>
            <w:r>
              <w:rPr>
                <w:rFonts w:hint="eastAsia" w:ascii="宋体" w:hAnsi="宋体" w:eastAsia="宋体" w:cs="宋体"/>
                <w:bCs/>
                <w:spacing w:val="-6"/>
                <w:sz w:val="21"/>
                <w:szCs w:val="21"/>
                <w:highlight w:val="none"/>
                <w:lang w:val="en-US" w:eastAsia="zh-CN"/>
              </w:rPr>
              <w:t>交付使用</w:t>
            </w:r>
            <w:r>
              <w:rPr>
                <w:rFonts w:hint="eastAsia" w:cs="宋体"/>
                <w:bCs/>
                <w:spacing w:val="-6"/>
                <w:sz w:val="21"/>
                <w:szCs w:val="21"/>
                <w:highlight w:val="none"/>
                <w:lang w:val="en-US" w:eastAsia="zh-CN"/>
              </w:rPr>
              <w:t>后</w:t>
            </w:r>
            <w:r>
              <w:rPr>
                <w:rFonts w:hint="eastAsia" w:ascii="宋体" w:hAnsi="宋体" w:eastAsia="宋体" w:cs="宋体"/>
                <w:bCs/>
                <w:spacing w:val="-6"/>
                <w:sz w:val="21"/>
                <w:szCs w:val="21"/>
                <w:highlight w:val="none"/>
                <w:lang w:val="en-US" w:eastAsia="zh-CN"/>
              </w:rPr>
              <w:t>支付至合同总价款的</w:t>
            </w:r>
            <w:r>
              <w:rPr>
                <w:rFonts w:hint="eastAsia" w:cs="宋体"/>
                <w:bCs/>
                <w:spacing w:val="-6"/>
                <w:sz w:val="21"/>
                <w:szCs w:val="21"/>
                <w:highlight w:val="none"/>
                <w:lang w:val="en-US" w:eastAsia="zh-CN"/>
              </w:rPr>
              <w:t>5</w:t>
            </w:r>
            <w:r>
              <w:rPr>
                <w:rFonts w:hint="eastAsia" w:ascii="宋体" w:hAnsi="宋体" w:eastAsia="宋体" w:cs="宋体"/>
                <w:bCs/>
                <w:spacing w:val="-6"/>
                <w:sz w:val="21"/>
                <w:szCs w:val="21"/>
                <w:highlight w:val="none"/>
                <w:lang w:val="en-US" w:eastAsia="zh-CN"/>
              </w:rPr>
              <w:t>0%</w:t>
            </w:r>
            <w:r>
              <w:rPr>
                <w:rFonts w:hint="eastAsia" w:ascii="宋体" w:hAnsi="宋体" w:eastAsia="宋体" w:cs="宋体"/>
                <w:sz w:val="21"/>
                <w:szCs w:val="21"/>
                <w:highlight w:val="none"/>
                <w:lang w:val="en-US" w:eastAsia="zh-CN"/>
              </w:rPr>
              <w:t>。</w:t>
            </w:r>
          </w:p>
          <w:p w14:paraId="5616E848">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highlight w:val="none"/>
                <w:lang w:val="en-US" w:eastAsia="zh-CN"/>
              </w:rPr>
            </w:pPr>
            <w:r>
              <w:rPr>
                <w:rFonts w:hint="eastAsia" w:cs="宋体"/>
                <w:sz w:val="21"/>
                <w:szCs w:val="21"/>
                <w:highlight w:val="none"/>
                <w:lang w:val="en-US" w:eastAsia="zh-CN"/>
              </w:rPr>
              <w:t>4</w:t>
            </w:r>
            <w:r>
              <w:rPr>
                <w:rFonts w:hint="eastAsia" w:ascii="宋体" w:hAnsi="宋体" w:eastAsia="宋体" w:cs="宋体"/>
                <w:sz w:val="21"/>
                <w:szCs w:val="21"/>
                <w:highlight w:val="none"/>
                <w:lang w:val="en-US" w:eastAsia="zh-CN"/>
              </w:rPr>
              <w:t>、第四次付款：1号楼、2号楼和3号楼（南塔）每施工完成一栋，</w:t>
            </w:r>
            <w:r>
              <w:rPr>
                <w:rFonts w:hint="eastAsia" w:cs="宋体"/>
                <w:sz w:val="21"/>
                <w:szCs w:val="21"/>
                <w:highlight w:val="none"/>
                <w:lang w:val="en-US" w:eastAsia="zh-CN"/>
              </w:rPr>
              <w:t>验收合格并</w:t>
            </w:r>
            <w:r>
              <w:rPr>
                <w:rFonts w:hint="eastAsia" w:ascii="宋体" w:hAnsi="宋体" w:eastAsia="宋体" w:cs="宋体"/>
                <w:sz w:val="21"/>
                <w:szCs w:val="21"/>
                <w:highlight w:val="none"/>
                <w:lang w:val="en-US" w:eastAsia="zh-CN"/>
              </w:rPr>
              <w:t>交付使用后，支付合同总价款的10%</w:t>
            </w:r>
            <w:r>
              <w:rPr>
                <w:rFonts w:hint="eastAsia" w:cs="宋体"/>
                <w:sz w:val="21"/>
                <w:szCs w:val="21"/>
                <w:highlight w:val="none"/>
                <w:lang w:val="en-US" w:eastAsia="zh-CN"/>
              </w:rPr>
              <w:t>。</w:t>
            </w:r>
          </w:p>
          <w:p w14:paraId="6A9A6152">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highlight w:val="none"/>
                <w:lang w:val="en-US" w:eastAsia="zh-CN"/>
              </w:rPr>
            </w:pPr>
            <w:r>
              <w:rPr>
                <w:rFonts w:hint="eastAsia" w:cs="宋体"/>
                <w:sz w:val="21"/>
                <w:szCs w:val="21"/>
                <w:highlight w:val="none"/>
                <w:lang w:val="en-US" w:eastAsia="zh-CN"/>
              </w:rPr>
              <w:t>5</w:t>
            </w:r>
            <w:r>
              <w:rPr>
                <w:rFonts w:hint="eastAsia" w:ascii="宋体" w:hAnsi="宋体" w:eastAsia="宋体" w:cs="宋体"/>
                <w:sz w:val="21"/>
                <w:szCs w:val="21"/>
                <w:highlight w:val="none"/>
                <w:lang w:val="en-US" w:eastAsia="zh-CN"/>
              </w:rPr>
              <w:t>、最终付款：通过最终验收后支付</w:t>
            </w:r>
            <w:r>
              <w:rPr>
                <w:rFonts w:hint="eastAsia" w:cs="宋体"/>
                <w:sz w:val="21"/>
                <w:szCs w:val="21"/>
                <w:highlight w:val="none"/>
                <w:lang w:val="en-US" w:eastAsia="zh-CN"/>
              </w:rPr>
              <w:t>至合同金额的100%</w:t>
            </w:r>
            <w:r>
              <w:rPr>
                <w:rFonts w:hint="eastAsia" w:ascii="宋体" w:hAnsi="宋体" w:eastAsia="宋体" w:cs="宋体"/>
                <w:sz w:val="21"/>
                <w:szCs w:val="21"/>
                <w:highlight w:val="none"/>
                <w:lang w:val="en-US" w:eastAsia="zh-CN"/>
              </w:rPr>
              <w:t>。</w:t>
            </w:r>
          </w:p>
          <w:p w14:paraId="03AD0763">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highlight w:val="yellow"/>
                <w:lang w:val="en-US" w:eastAsia="zh-CN"/>
              </w:rPr>
            </w:pPr>
            <w:r>
              <w:rPr>
                <w:rFonts w:hint="eastAsia" w:cs="宋体"/>
                <w:sz w:val="21"/>
                <w:szCs w:val="21"/>
                <w:highlight w:val="none"/>
                <w:lang w:val="en-US" w:eastAsia="zh-CN"/>
              </w:rPr>
              <w:t>6</w:t>
            </w:r>
            <w:r>
              <w:rPr>
                <w:rFonts w:hint="eastAsia" w:ascii="宋体" w:hAnsi="宋体" w:eastAsia="宋体" w:cs="宋体"/>
                <w:sz w:val="21"/>
                <w:szCs w:val="21"/>
                <w:highlight w:val="none"/>
                <w:lang w:val="en-US" w:eastAsia="zh-CN"/>
              </w:rPr>
              <w:t>、鉴于可能存在的特殊情况，双方应通过友好协商确定具体的付款方式及金额。</w:t>
            </w:r>
          </w:p>
        </w:tc>
      </w:tr>
      <w:tr w14:paraId="70795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86" w:type="dxa"/>
            <w:vAlign w:val="center"/>
          </w:tcPr>
          <w:p w14:paraId="406FC94C">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cs="宋体"/>
                <w:sz w:val="21"/>
                <w:szCs w:val="21"/>
                <w:lang w:val="en-US" w:eastAsia="zh-CN"/>
              </w:rPr>
              <w:t>0</w:t>
            </w:r>
          </w:p>
        </w:tc>
        <w:tc>
          <w:tcPr>
            <w:tcW w:w="8668" w:type="dxa"/>
            <w:vAlign w:val="center"/>
          </w:tcPr>
          <w:p w14:paraId="31EC44AA">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同品牌多家供应商处理原则：</w:t>
            </w:r>
          </w:p>
          <w:p w14:paraId="7AD40AEF">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相同品牌产品且通过资格审查、符合性审查的不同供应商参加同一合同项下投标的，按一家供应商计算，评审后得分最高的同品牌供应商获得中标人推荐资格；评审得分相同的，按照以下方式确定一个供应商获得中标人推荐资格，其他同品牌供应商不作为成交候选人。</w:t>
            </w:r>
          </w:p>
          <w:p w14:paraId="6E9AB6DC">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评审得分相同的，按投标报价由低到高顺序排列；评审得分且投标报价相同的，按技术参数得分由高到低顺序排列；评审得分且投标报价且技术参数得分均相同的，“如果供应商拟提供的所有产品列入了国家有关部门最新公布的政府采购节能产品、环境标志产品实施品目清单，并提供了由国家确定的认证机构出具的、处于有效期之内的节能产品、环境标志产品认证证书，则其排序在前优先采购。”其他同品牌供应商不作为成交候选人。</w:t>
            </w:r>
          </w:p>
        </w:tc>
      </w:tr>
      <w:tr w14:paraId="31E58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86" w:type="dxa"/>
            <w:vAlign w:val="center"/>
          </w:tcPr>
          <w:p w14:paraId="3B9F1188">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cs="宋体"/>
                <w:sz w:val="21"/>
                <w:szCs w:val="21"/>
                <w:lang w:val="en-US" w:eastAsia="zh-CN"/>
              </w:rPr>
              <w:t>1</w:t>
            </w:r>
          </w:p>
        </w:tc>
        <w:tc>
          <w:tcPr>
            <w:tcW w:w="8668" w:type="dxa"/>
            <w:vAlign w:val="center"/>
          </w:tcPr>
          <w:p w14:paraId="7AFE2D13">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附件：河南省政府采购合同融资政策告知函</w:t>
            </w:r>
          </w:p>
          <w:p w14:paraId="07584A87">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河南省政府采购合同融资政策告知函</w:t>
            </w:r>
          </w:p>
          <w:p w14:paraId="21593E57">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各投标人：</w:t>
            </w:r>
          </w:p>
          <w:p w14:paraId="0A82A455">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210" w:firstLineChars="1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欢迎贵公司参与河南省政府采购活动！</w:t>
            </w:r>
          </w:p>
          <w:p w14:paraId="4824EB6F">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210" w:firstLineChars="1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政府采购合同融资是河南省财政厅支持中小微企业发展，针对参与政府采购活动的投标人融资难、融资贵问题推出的一项融资政策。贵公司若成为本次政府采购项目的中标供应商，可持政府采购合同向金融机构申请贷款，无需抵押、担保，融资机构将根据《河南省政府采购合同融资工作实施方案》（豫财购〔2017〕10 号），按照双方自愿的原则提供便捷、优惠的贷款服务。</w:t>
            </w:r>
          </w:p>
          <w:p w14:paraId="0B7A18B6">
            <w:pPr>
              <w:keepNext w:val="0"/>
              <w:keepLines w:val="0"/>
              <w:pageBreakBefore w:val="0"/>
              <w:widowControl w:val="0"/>
              <w:kinsoku/>
              <w:wordWrap/>
              <w:overflowPunct/>
              <w:topLinePunct w:val="0"/>
              <w:autoSpaceDE/>
              <w:autoSpaceDN/>
              <w:bidi w:val="0"/>
              <w:adjustRightInd/>
              <w:snapToGrid/>
              <w:spacing w:before="32" w:beforeLines="10" w:after="32" w:afterLines="10" w:line="276" w:lineRule="auto"/>
              <w:ind w:left="80" w:leftChars="25" w:right="80" w:rightChars="25" w:firstLine="210" w:firstLineChars="1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贷款渠道和提供贷款的金融机构，可在河南省政府采购网“河南省政府采购合同融资平台”查询联系。</w:t>
            </w:r>
          </w:p>
        </w:tc>
      </w:tr>
    </w:tbl>
    <w:p w14:paraId="57C802CF">
      <w:pPr>
        <w:rPr>
          <w:rFonts w:hint="eastAsia" w:ascii="宋体" w:hAnsi="宋体" w:eastAsia="宋体" w:cs="宋体"/>
          <w:lang w:val="en-US" w:eastAsia="zh-CN"/>
        </w:rPr>
      </w:pPr>
      <w:r>
        <w:rPr>
          <w:rFonts w:hint="eastAsia" w:ascii="宋体" w:hAnsi="宋体" w:eastAsia="宋体" w:cs="宋体"/>
          <w:lang w:val="en-US" w:eastAsia="zh-CN"/>
        </w:rPr>
        <w:br w:type="page"/>
      </w:r>
    </w:p>
    <w:p w14:paraId="794D20B5">
      <w:pPr>
        <w:pStyle w:val="4"/>
        <w:bidi w:val="0"/>
        <w:rPr>
          <w:rFonts w:hint="eastAsia" w:ascii="宋体" w:hAnsi="宋体" w:eastAsia="宋体" w:cs="宋体"/>
          <w:lang w:val="en-US" w:eastAsia="zh-CN"/>
        </w:rPr>
      </w:pPr>
      <w:bookmarkStart w:id="2" w:name="_Toc29552"/>
      <w:r>
        <w:rPr>
          <w:rFonts w:hint="eastAsia" w:ascii="宋体" w:hAnsi="宋体" w:eastAsia="宋体" w:cs="宋体"/>
          <w:lang w:val="en-US" w:eastAsia="zh-CN"/>
        </w:rPr>
        <w:t>第三章  供应商须知</w:t>
      </w:r>
      <w:bookmarkEnd w:id="2"/>
    </w:p>
    <w:p w14:paraId="1045831F">
      <w:pPr>
        <w:pStyle w:val="6"/>
        <w:bidi w:val="0"/>
        <w:rPr>
          <w:rFonts w:hint="eastAsia" w:ascii="宋体" w:hAnsi="宋体" w:eastAsia="宋体" w:cs="宋体"/>
        </w:rPr>
      </w:pPr>
      <w:bookmarkStart w:id="3" w:name="_Toc21215"/>
      <w:bookmarkStart w:id="4" w:name="_Toc2582263"/>
      <w:bookmarkStart w:id="5" w:name="_Toc21015"/>
      <w:bookmarkStart w:id="6" w:name="_Toc16202"/>
      <w:bookmarkStart w:id="7" w:name="_Toc532473449"/>
      <w:r>
        <w:rPr>
          <w:rFonts w:hint="eastAsia" w:ascii="宋体" w:hAnsi="宋体" w:eastAsia="宋体" w:cs="宋体"/>
          <w:lang w:eastAsia="zh-CN"/>
        </w:rPr>
        <w:t>（一）</w:t>
      </w:r>
      <w:r>
        <w:rPr>
          <w:rFonts w:hint="eastAsia" w:ascii="宋体" w:hAnsi="宋体" w:eastAsia="宋体" w:cs="宋体"/>
        </w:rPr>
        <w:t>总则</w:t>
      </w:r>
      <w:bookmarkEnd w:id="3"/>
      <w:bookmarkEnd w:id="4"/>
      <w:bookmarkEnd w:id="5"/>
      <w:bookmarkEnd w:id="6"/>
      <w:bookmarkEnd w:id="7"/>
    </w:p>
    <w:p w14:paraId="353AF691">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rPr>
      </w:pPr>
      <w:bookmarkStart w:id="8" w:name="_Toc520356144"/>
      <w:bookmarkStart w:id="9" w:name="_Toc2582264"/>
      <w:bookmarkStart w:id="10" w:name="_Toc32623"/>
      <w:bookmarkStart w:id="11" w:name="_Toc532473450"/>
      <w:bookmarkStart w:id="12" w:name="_Toc515647758"/>
      <w:bookmarkStart w:id="13" w:name="_Toc32189"/>
      <w:r>
        <w:rPr>
          <w:rFonts w:hint="eastAsia" w:ascii="宋体" w:hAnsi="宋体" w:eastAsia="宋体" w:cs="宋体"/>
          <w:b/>
          <w:bCs/>
          <w:sz w:val="21"/>
          <w:szCs w:val="21"/>
        </w:rPr>
        <w:t>采购人、采购代理机构及</w:t>
      </w:r>
      <w:bookmarkEnd w:id="8"/>
      <w:r>
        <w:rPr>
          <w:rFonts w:hint="eastAsia" w:ascii="宋体" w:hAnsi="宋体" w:eastAsia="宋体" w:cs="宋体"/>
          <w:b/>
          <w:bCs/>
          <w:sz w:val="21"/>
          <w:szCs w:val="21"/>
        </w:rPr>
        <w:t>投标人</w:t>
      </w:r>
      <w:bookmarkEnd w:id="9"/>
      <w:bookmarkEnd w:id="10"/>
      <w:bookmarkEnd w:id="11"/>
      <w:bookmarkEnd w:id="12"/>
      <w:bookmarkEnd w:id="13"/>
    </w:p>
    <w:p w14:paraId="39D6320B">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rPr>
      </w:pPr>
      <w:r>
        <w:rPr>
          <w:rFonts w:hint="eastAsia" w:ascii="宋体" w:hAnsi="宋体" w:eastAsia="宋体" w:cs="宋体"/>
          <w:sz w:val="21"/>
          <w:szCs w:val="21"/>
        </w:rPr>
        <w:t>采购人：是指依法进行政府采购的国家机关、事业单位、团体组织。</w:t>
      </w:r>
    </w:p>
    <w:p w14:paraId="58D8BA3E">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rPr>
      </w:pPr>
      <w:r>
        <w:rPr>
          <w:rFonts w:hint="eastAsia" w:ascii="宋体" w:hAnsi="宋体" w:eastAsia="宋体" w:cs="宋体"/>
          <w:sz w:val="21"/>
          <w:szCs w:val="21"/>
        </w:rPr>
        <w:t>采购代理机构：是指集中采购机构或从事采购代理业务的社会中介机构。</w:t>
      </w:r>
    </w:p>
    <w:p w14:paraId="1970DE40">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rPr>
      </w:pPr>
      <w:r>
        <w:rPr>
          <w:rFonts w:hint="eastAsia" w:ascii="宋体" w:hAnsi="宋体" w:eastAsia="宋体" w:cs="宋体"/>
          <w:sz w:val="21"/>
          <w:szCs w:val="21"/>
        </w:rPr>
        <w:t>投标人：是指响应招标、参加投标竞争的法人、非法人组织或者自然人。潜在投标人：以招标文件规定的方式获取本项目招标文件的法人、非法人组织或者自然人。</w:t>
      </w:r>
    </w:p>
    <w:p w14:paraId="22484E47">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投标人</w:t>
      </w:r>
      <w:r>
        <w:rPr>
          <w:rFonts w:hint="eastAsia" w:ascii="宋体" w:hAnsi="宋体" w:eastAsia="宋体" w:cs="宋体"/>
          <w:sz w:val="21"/>
          <w:szCs w:val="21"/>
        </w:rPr>
        <w:t>及其投标货物须满足以下条件：</w:t>
      </w:r>
    </w:p>
    <w:p w14:paraId="15988C18">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508" w:leftChars="0" w:hanging="708" w:firstLineChars="0"/>
        <w:textAlignment w:val="auto"/>
        <w:rPr>
          <w:rFonts w:hint="eastAsia" w:ascii="宋体" w:hAnsi="宋体" w:eastAsia="宋体" w:cs="宋体"/>
          <w:sz w:val="21"/>
          <w:szCs w:val="21"/>
        </w:rPr>
      </w:pPr>
      <w:r>
        <w:rPr>
          <w:rFonts w:hint="eastAsia" w:ascii="宋体" w:hAnsi="宋体" w:eastAsia="宋体" w:cs="宋体"/>
          <w:sz w:val="21"/>
          <w:szCs w:val="21"/>
        </w:rPr>
        <w:t>具备《中华人民共和国政府采购法》第二十二条关</w:t>
      </w:r>
      <w:r>
        <w:rPr>
          <w:rFonts w:hint="eastAsia" w:ascii="宋体" w:hAnsi="宋体" w:eastAsia="宋体" w:cs="宋体"/>
          <w:sz w:val="21"/>
          <w:szCs w:val="21"/>
          <w:lang w:eastAsia="zh-CN"/>
        </w:rPr>
        <w:t>于</w:t>
      </w:r>
      <w:r>
        <w:rPr>
          <w:rFonts w:hint="eastAsia" w:ascii="宋体" w:hAnsi="宋体" w:eastAsia="宋体" w:cs="宋体"/>
          <w:sz w:val="21"/>
          <w:szCs w:val="21"/>
        </w:rPr>
        <w:t>供应商条件的规定。</w:t>
      </w:r>
    </w:p>
    <w:p w14:paraId="4AB28623">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508" w:leftChars="0" w:hanging="708" w:firstLineChars="0"/>
        <w:textAlignment w:val="auto"/>
        <w:rPr>
          <w:rFonts w:hint="eastAsia" w:ascii="宋体" w:hAnsi="宋体" w:eastAsia="宋体" w:cs="宋体"/>
          <w:sz w:val="21"/>
          <w:szCs w:val="21"/>
        </w:rPr>
      </w:pPr>
      <w:r>
        <w:rPr>
          <w:rFonts w:hint="eastAsia" w:ascii="宋体" w:hAnsi="宋体" w:eastAsia="宋体" w:cs="宋体"/>
          <w:sz w:val="21"/>
          <w:szCs w:val="21"/>
        </w:rPr>
        <w:t>以招标文件规定的方式获得了本项目的招标文件。</w:t>
      </w:r>
    </w:p>
    <w:p w14:paraId="0414766E">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508" w:leftChars="0" w:hanging="708" w:firstLineChars="0"/>
        <w:textAlignment w:val="auto"/>
        <w:rPr>
          <w:rFonts w:hint="eastAsia" w:ascii="宋体" w:hAnsi="宋体" w:eastAsia="宋体" w:cs="宋体"/>
          <w:sz w:val="21"/>
          <w:szCs w:val="21"/>
        </w:rPr>
      </w:pPr>
      <w:r>
        <w:rPr>
          <w:rFonts w:hint="eastAsia" w:ascii="宋体" w:hAnsi="宋体" w:eastAsia="宋体" w:cs="宋体"/>
          <w:sz w:val="21"/>
          <w:szCs w:val="21"/>
        </w:rPr>
        <w:t>符合</w:t>
      </w:r>
      <w:r>
        <w:rPr>
          <w:rFonts w:hint="eastAsia" w:ascii="宋体" w:hAnsi="宋体" w:eastAsia="宋体" w:cs="宋体"/>
          <w:sz w:val="21"/>
          <w:szCs w:val="21"/>
          <w:lang w:eastAsia="zh-CN"/>
        </w:rPr>
        <w:t>本项目</w:t>
      </w:r>
      <w:r>
        <w:rPr>
          <w:rFonts w:hint="eastAsia" w:ascii="宋体" w:hAnsi="宋体" w:eastAsia="宋体" w:cs="宋体"/>
          <w:sz w:val="21"/>
          <w:szCs w:val="21"/>
        </w:rPr>
        <w:t>合格投标人的其他资格要求</w:t>
      </w:r>
    </w:p>
    <w:p w14:paraId="38B2DEBD">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508" w:leftChars="0" w:hanging="708" w:firstLineChars="0"/>
        <w:textAlignment w:val="auto"/>
        <w:rPr>
          <w:rFonts w:hint="eastAsia" w:ascii="宋体" w:hAnsi="宋体" w:eastAsia="宋体" w:cs="宋体"/>
          <w:sz w:val="21"/>
          <w:szCs w:val="21"/>
        </w:rPr>
      </w:pPr>
      <w:r>
        <w:rPr>
          <w:rFonts w:hint="eastAsia" w:ascii="宋体" w:hAnsi="宋体" w:eastAsia="宋体" w:cs="宋体"/>
          <w:sz w:val="21"/>
          <w:szCs w:val="21"/>
        </w:rPr>
        <w:t>若</w:t>
      </w:r>
      <w:r>
        <w:rPr>
          <w:rFonts w:hint="eastAsia" w:ascii="宋体" w:hAnsi="宋体" w:eastAsia="宋体" w:cs="宋体"/>
          <w:sz w:val="21"/>
          <w:szCs w:val="21"/>
          <w:lang w:eastAsia="zh-CN"/>
        </w:rPr>
        <w:t>本项目</w:t>
      </w:r>
      <w:r>
        <w:rPr>
          <w:rFonts w:hint="eastAsia" w:ascii="宋体" w:hAnsi="宋体" w:eastAsia="宋体" w:cs="宋体"/>
          <w:sz w:val="21"/>
          <w:szCs w:val="21"/>
        </w:rPr>
        <w:t>允许采购进口产品，投标人应保证所投产品可履行合法报通关手续进入中国关境内。若</w:t>
      </w:r>
      <w:r>
        <w:rPr>
          <w:rFonts w:hint="eastAsia" w:ascii="宋体" w:hAnsi="宋体" w:eastAsia="宋体" w:cs="宋体"/>
          <w:sz w:val="21"/>
          <w:szCs w:val="21"/>
          <w:lang w:eastAsia="zh-CN"/>
        </w:rPr>
        <w:t>本项目不</w:t>
      </w:r>
      <w:r>
        <w:rPr>
          <w:rFonts w:hint="eastAsia" w:ascii="宋体" w:hAnsi="宋体" w:eastAsia="宋体" w:cs="宋体"/>
          <w:sz w:val="21"/>
          <w:szCs w:val="21"/>
        </w:rPr>
        <w:t>允许采购进口产品，如投标人所投产品为进口产品，其投标将被认定为</w:t>
      </w:r>
      <w:r>
        <w:rPr>
          <w:rFonts w:hint="eastAsia" w:ascii="宋体" w:hAnsi="宋体" w:eastAsia="宋体" w:cs="宋体"/>
          <w:b/>
          <w:bCs/>
          <w:sz w:val="21"/>
          <w:szCs w:val="21"/>
        </w:rPr>
        <w:t>投标无效</w:t>
      </w:r>
      <w:r>
        <w:rPr>
          <w:rFonts w:hint="eastAsia" w:ascii="宋体" w:hAnsi="宋体" w:eastAsia="宋体" w:cs="宋体"/>
          <w:sz w:val="21"/>
          <w:szCs w:val="21"/>
        </w:rPr>
        <w:t>。</w:t>
      </w:r>
    </w:p>
    <w:p w14:paraId="42EA15B5">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508" w:leftChars="0" w:hanging="708" w:firstLineChars="0"/>
        <w:textAlignment w:val="auto"/>
        <w:rPr>
          <w:rFonts w:hint="eastAsia" w:ascii="宋体" w:hAnsi="宋体" w:eastAsia="宋体" w:cs="宋体"/>
          <w:sz w:val="21"/>
          <w:szCs w:val="21"/>
        </w:rPr>
      </w:pPr>
      <w:r>
        <w:rPr>
          <w:rFonts w:hint="eastAsia" w:ascii="宋体" w:hAnsi="宋体" w:eastAsia="宋体" w:cs="宋体"/>
          <w:sz w:val="21"/>
          <w:szCs w:val="21"/>
        </w:rPr>
        <w:t>若</w:t>
      </w:r>
      <w:r>
        <w:rPr>
          <w:rFonts w:hint="eastAsia" w:ascii="宋体" w:hAnsi="宋体" w:eastAsia="宋体" w:cs="宋体"/>
          <w:sz w:val="21"/>
          <w:szCs w:val="21"/>
          <w:lang w:eastAsia="zh-CN"/>
        </w:rPr>
        <w:t>本项目</w:t>
      </w:r>
      <w:r>
        <w:rPr>
          <w:rFonts w:hint="eastAsia" w:ascii="宋体" w:hAnsi="宋体" w:eastAsia="宋体" w:cs="宋体"/>
          <w:sz w:val="21"/>
          <w:szCs w:val="21"/>
        </w:rPr>
        <w:t>专门面向中小企业采购的，如投标人所投产品为非中小企业</w:t>
      </w:r>
      <w:r>
        <w:rPr>
          <w:rFonts w:hint="eastAsia" w:ascii="宋体" w:hAnsi="宋体" w:eastAsia="宋体" w:cs="宋体"/>
          <w:sz w:val="21"/>
          <w:szCs w:val="21"/>
          <w:lang w:eastAsia="zh-CN"/>
        </w:rPr>
        <w:t>制造</w:t>
      </w:r>
      <w:r>
        <w:rPr>
          <w:rFonts w:hint="eastAsia" w:ascii="宋体" w:hAnsi="宋体" w:eastAsia="宋体" w:cs="宋体"/>
          <w:sz w:val="21"/>
          <w:szCs w:val="21"/>
        </w:rPr>
        <w:t>，其投标将被认定为</w:t>
      </w:r>
      <w:r>
        <w:rPr>
          <w:rFonts w:hint="eastAsia" w:ascii="宋体" w:hAnsi="宋体" w:eastAsia="宋体" w:cs="宋体"/>
          <w:b/>
          <w:bCs/>
          <w:sz w:val="21"/>
          <w:szCs w:val="21"/>
        </w:rPr>
        <w:t>投标无效</w:t>
      </w:r>
      <w:r>
        <w:rPr>
          <w:rFonts w:hint="eastAsia" w:ascii="宋体" w:hAnsi="宋体" w:eastAsia="宋体" w:cs="宋体"/>
          <w:sz w:val="21"/>
          <w:szCs w:val="21"/>
        </w:rPr>
        <w:t>。</w:t>
      </w:r>
    </w:p>
    <w:p w14:paraId="0F573E45">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rPr>
      </w:pPr>
      <w:r>
        <w:rPr>
          <w:rFonts w:hint="eastAsia" w:ascii="宋体" w:hAnsi="宋体" w:eastAsia="宋体" w:cs="宋体"/>
          <w:sz w:val="21"/>
          <w:szCs w:val="21"/>
        </w:rPr>
        <w:t>如</w:t>
      </w:r>
      <w:r>
        <w:rPr>
          <w:rFonts w:hint="eastAsia" w:ascii="宋体" w:hAnsi="宋体" w:eastAsia="宋体" w:cs="宋体"/>
          <w:sz w:val="21"/>
          <w:szCs w:val="21"/>
          <w:lang w:eastAsia="zh-CN"/>
        </w:rPr>
        <w:t>本项目</w:t>
      </w:r>
      <w:r>
        <w:rPr>
          <w:rFonts w:hint="eastAsia" w:ascii="宋体" w:hAnsi="宋体" w:eastAsia="宋体" w:cs="宋体"/>
          <w:sz w:val="21"/>
          <w:szCs w:val="21"/>
        </w:rPr>
        <w:t>允许联合体投标，对联合体规定如下：</w:t>
      </w:r>
    </w:p>
    <w:p w14:paraId="46A3BC84">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508" w:leftChars="0" w:hanging="708" w:firstLineChars="0"/>
        <w:textAlignment w:val="auto"/>
        <w:rPr>
          <w:rFonts w:hint="eastAsia" w:ascii="宋体" w:hAnsi="宋体" w:eastAsia="宋体" w:cs="宋体"/>
          <w:sz w:val="21"/>
          <w:szCs w:val="21"/>
        </w:rPr>
      </w:pPr>
      <w:r>
        <w:rPr>
          <w:rFonts w:hint="eastAsia" w:ascii="宋体" w:hAnsi="宋体" w:eastAsia="宋体" w:cs="宋体"/>
          <w:sz w:val="21"/>
          <w:szCs w:val="21"/>
        </w:rPr>
        <w:t>两个及以上供应商可以组成一个投标联合体，以一个投标人的身份投标。</w:t>
      </w:r>
    </w:p>
    <w:p w14:paraId="6E10620E">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508" w:leftChars="0" w:hanging="708" w:firstLineChars="0"/>
        <w:textAlignment w:val="auto"/>
        <w:rPr>
          <w:rFonts w:hint="eastAsia" w:ascii="宋体" w:hAnsi="宋体" w:eastAsia="宋体" w:cs="宋体"/>
          <w:sz w:val="21"/>
          <w:szCs w:val="21"/>
        </w:rPr>
      </w:pPr>
      <w:r>
        <w:rPr>
          <w:rFonts w:hint="eastAsia" w:ascii="宋体" w:hAnsi="宋体" w:eastAsia="宋体" w:cs="宋体"/>
          <w:sz w:val="21"/>
          <w:szCs w:val="21"/>
        </w:rPr>
        <w:t>联合体各方均应符合本须知</w:t>
      </w:r>
      <w:r>
        <w:rPr>
          <w:rFonts w:hint="eastAsia" w:ascii="宋体" w:hAnsi="宋体" w:eastAsia="宋体" w:cs="宋体"/>
          <w:sz w:val="21"/>
          <w:szCs w:val="21"/>
          <w:lang w:val="en-US" w:eastAsia="zh-CN"/>
        </w:rPr>
        <w:t>1.4的</w:t>
      </w:r>
      <w:r>
        <w:rPr>
          <w:rFonts w:hint="eastAsia" w:ascii="宋体" w:hAnsi="宋体" w:eastAsia="宋体" w:cs="宋体"/>
          <w:sz w:val="21"/>
          <w:szCs w:val="21"/>
        </w:rPr>
        <w:t>规定。</w:t>
      </w:r>
    </w:p>
    <w:p w14:paraId="76F8D33D">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508" w:leftChars="0" w:hanging="708" w:firstLineChars="0"/>
        <w:textAlignment w:val="auto"/>
        <w:rPr>
          <w:rFonts w:hint="eastAsia" w:ascii="宋体" w:hAnsi="宋体" w:eastAsia="宋体" w:cs="宋体"/>
          <w:sz w:val="21"/>
          <w:szCs w:val="21"/>
        </w:rPr>
      </w:pPr>
      <w:r>
        <w:rPr>
          <w:rFonts w:hint="eastAsia" w:ascii="宋体" w:hAnsi="宋体" w:eastAsia="宋体" w:cs="宋体"/>
          <w:sz w:val="21"/>
          <w:szCs w:val="21"/>
        </w:rPr>
        <w:t>采购人根据采购项目对投标人的特殊要求，联合体中至少应当有一方符合相关规定。</w:t>
      </w:r>
    </w:p>
    <w:p w14:paraId="62531BD2">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508" w:leftChars="0" w:hanging="708" w:firstLineChars="0"/>
        <w:textAlignment w:val="auto"/>
        <w:rPr>
          <w:rFonts w:hint="eastAsia" w:ascii="宋体" w:hAnsi="宋体" w:eastAsia="宋体" w:cs="宋体"/>
          <w:sz w:val="21"/>
          <w:szCs w:val="21"/>
        </w:rPr>
      </w:pPr>
      <w:r>
        <w:rPr>
          <w:rFonts w:hint="eastAsia" w:ascii="宋体" w:hAnsi="宋体" w:eastAsia="宋体" w:cs="宋体"/>
          <w:sz w:val="21"/>
          <w:szCs w:val="21"/>
        </w:rPr>
        <w:t>联合体各方应签订共同投标协议，明确约定联合体各方承担的工作和相应的责任，并将共同投标协议作为投标文件的内容提交。</w:t>
      </w:r>
    </w:p>
    <w:p w14:paraId="10238779">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508" w:leftChars="0" w:hanging="708" w:firstLineChars="0"/>
        <w:textAlignment w:val="auto"/>
        <w:rPr>
          <w:rFonts w:hint="eastAsia" w:ascii="宋体" w:hAnsi="宋体" w:eastAsia="宋体" w:cs="宋体"/>
          <w:sz w:val="21"/>
          <w:szCs w:val="21"/>
        </w:rPr>
      </w:pPr>
      <w:r>
        <w:rPr>
          <w:rFonts w:hint="eastAsia" w:ascii="宋体" w:hAnsi="宋体" w:eastAsia="宋体" w:cs="宋体"/>
          <w:sz w:val="21"/>
          <w:szCs w:val="21"/>
        </w:rPr>
        <w:t>大中型企业、其他自然人、法人或者非法人组织与小型、微型企业组成联合体共同参加投标，共同投标协议中应写明小型、微型企业的协议合同金额占到共同投标协议投标总金额的比例。</w:t>
      </w:r>
    </w:p>
    <w:p w14:paraId="4C99D567">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508" w:leftChars="0" w:hanging="708" w:firstLineChars="0"/>
        <w:textAlignment w:val="auto"/>
        <w:rPr>
          <w:rFonts w:hint="eastAsia" w:ascii="宋体" w:hAnsi="宋体" w:eastAsia="宋体" w:cs="宋体"/>
          <w:sz w:val="21"/>
          <w:szCs w:val="21"/>
          <w:lang w:eastAsia="zh-CN"/>
        </w:rPr>
      </w:pPr>
      <w:r>
        <w:rPr>
          <w:rFonts w:hint="eastAsia" w:ascii="宋体" w:hAnsi="宋体" w:eastAsia="宋体" w:cs="宋体"/>
          <w:sz w:val="21"/>
          <w:szCs w:val="21"/>
        </w:rPr>
        <w:t>以联合体形式参加政府采购活动的，联合体各方不得再单独参加或者与其他供应商另外组成联合体参加本项目同一合同项下的投标，否则相关投标将被认定为</w:t>
      </w:r>
      <w:r>
        <w:rPr>
          <w:rFonts w:hint="eastAsia" w:ascii="宋体" w:hAnsi="宋体" w:eastAsia="宋体" w:cs="宋体"/>
          <w:b/>
          <w:bCs/>
          <w:sz w:val="21"/>
          <w:szCs w:val="21"/>
        </w:rPr>
        <w:t>投标无效</w:t>
      </w:r>
      <w:r>
        <w:rPr>
          <w:rFonts w:hint="eastAsia" w:ascii="宋体" w:hAnsi="宋体" w:eastAsia="宋体" w:cs="宋体"/>
          <w:sz w:val="21"/>
          <w:szCs w:val="21"/>
          <w:lang w:eastAsia="zh-CN"/>
        </w:rPr>
        <w:t>。</w:t>
      </w:r>
    </w:p>
    <w:p w14:paraId="6286A979">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rPr>
      </w:pPr>
      <w:r>
        <w:rPr>
          <w:rFonts w:hint="eastAsia" w:ascii="宋体" w:hAnsi="宋体" w:eastAsia="宋体" w:cs="宋体"/>
          <w:sz w:val="21"/>
          <w:szCs w:val="21"/>
        </w:rPr>
        <w:t>单位负责人为同一人或者存在直接控股、管理关系的不同供应商参与本项目同一合同项下的投标的，其相关投标将被认定为</w:t>
      </w:r>
      <w:r>
        <w:rPr>
          <w:rFonts w:hint="eastAsia" w:ascii="宋体" w:hAnsi="宋体" w:eastAsia="宋体" w:cs="宋体"/>
          <w:b/>
          <w:bCs/>
          <w:sz w:val="21"/>
          <w:szCs w:val="21"/>
        </w:rPr>
        <w:t>投标无效</w:t>
      </w:r>
      <w:r>
        <w:rPr>
          <w:rFonts w:hint="eastAsia" w:ascii="宋体" w:hAnsi="宋体" w:eastAsia="宋体" w:cs="宋体"/>
          <w:sz w:val="21"/>
          <w:szCs w:val="21"/>
        </w:rPr>
        <w:t>。</w:t>
      </w:r>
    </w:p>
    <w:p w14:paraId="45013DFA">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rPr>
      </w:pPr>
      <w:r>
        <w:rPr>
          <w:rFonts w:hint="eastAsia" w:ascii="宋体" w:hAnsi="宋体" w:eastAsia="宋体" w:cs="宋体"/>
          <w:sz w:val="21"/>
          <w:szCs w:val="21"/>
        </w:rPr>
        <w:t>为本项目提供过整体设计、规范编制或者项目管理、监理、检测等服务的供应商，不得再参加本项目上述服务以外的其他采购活动。否则其投标将被认定为</w:t>
      </w:r>
      <w:r>
        <w:rPr>
          <w:rFonts w:hint="eastAsia" w:ascii="宋体" w:hAnsi="宋体" w:eastAsia="宋体" w:cs="宋体"/>
          <w:b/>
          <w:bCs/>
          <w:sz w:val="21"/>
          <w:szCs w:val="21"/>
        </w:rPr>
        <w:t>投标无效</w:t>
      </w:r>
      <w:r>
        <w:rPr>
          <w:rFonts w:hint="eastAsia" w:ascii="宋体" w:hAnsi="宋体" w:eastAsia="宋体" w:cs="宋体"/>
          <w:sz w:val="21"/>
          <w:szCs w:val="21"/>
        </w:rPr>
        <w:t>。</w:t>
      </w:r>
    </w:p>
    <w:p w14:paraId="27E63BE8">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rPr>
      </w:pPr>
      <w:r>
        <w:rPr>
          <w:rFonts w:hint="eastAsia" w:ascii="宋体" w:hAnsi="宋体" w:eastAsia="宋体" w:cs="宋体"/>
          <w:bCs/>
          <w:spacing w:val="-6"/>
          <w:sz w:val="21"/>
          <w:szCs w:val="21"/>
        </w:rPr>
        <w:t>在政府采购活动中，采购人员及相关人员与供应商有下列利害关系之一的，应当回避</w:t>
      </w:r>
      <w:r>
        <w:rPr>
          <w:rFonts w:hint="eastAsia" w:ascii="宋体" w:hAnsi="宋体" w:eastAsia="宋体" w:cs="宋体"/>
          <w:sz w:val="21"/>
          <w:szCs w:val="21"/>
        </w:rPr>
        <w:t>：</w:t>
      </w:r>
    </w:p>
    <w:p w14:paraId="20AC25E8">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508" w:leftChars="0" w:hanging="708" w:firstLineChars="0"/>
        <w:textAlignment w:val="auto"/>
        <w:rPr>
          <w:rFonts w:hint="eastAsia" w:ascii="宋体" w:hAnsi="宋体" w:eastAsia="宋体" w:cs="宋体"/>
          <w:sz w:val="21"/>
          <w:szCs w:val="21"/>
          <w:lang w:eastAsia="zh-CN"/>
        </w:rPr>
      </w:pPr>
      <w:r>
        <w:rPr>
          <w:rFonts w:hint="eastAsia" w:ascii="宋体" w:hAnsi="宋体" w:eastAsia="宋体" w:cs="宋体"/>
          <w:sz w:val="21"/>
          <w:szCs w:val="21"/>
        </w:rPr>
        <w:t>参加采购活动前3年内与供应商存在劳动关系</w:t>
      </w:r>
      <w:r>
        <w:rPr>
          <w:rFonts w:hint="eastAsia" w:ascii="宋体" w:hAnsi="宋体" w:eastAsia="宋体" w:cs="宋体"/>
          <w:sz w:val="21"/>
          <w:szCs w:val="21"/>
          <w:lang w:eastAsia="zh-CN"/>
        </w:rPr>
        <w:t>。</w:t>
      </w:r>
    </w:p>
    <w:p w14:paraId="06F08F5C">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508" w:leftChars="0" w:hanging="708" w:firstLineChars="0"/>
        <w:textAlignment w:val="auto"/>
        <w:rPr>
          <w:rFonts w:hint="eastAsia" w:ascii="宋体" w:hAnsi="宋体" w:eastAsia="宋体" w:cs="宋体"/>
          <w:sz w:val="21"/>
          <w:szCs w:val="21"/>
          <w:lang w:eastAsia="zh-CN"/>
        </w:rPr>
      </w:pPr>
      <w:r>
        <w:rPr>
          <w:rFonts w:hint="eastAsia" w:ascii="宋体" w:hAnsi="宋体" w:eastAsia="宋体" w:cs="宋体"/>
          <w:sz w:val="21"/>
          <w:szCs w:val="21"/>
        </w:rPr>
        <w:t>参加采购活动前3年内担任供应商的董事、监事</w:t>
      </w:r>
      <w:r>
        <w:rPr>
          <w:rFonts w:hint="eastAsia" w:ascii="宋体" w:hAnsi="宋体" w:eastAsia="宋体" w:cs="宋体"/>
          <w:sz w:val="21"/>
          <w:szCs w:val="21"/>
          <w:lang w:eastAsia="zh-CN"/>
        </w:rPr>
        <w:t>。</w:t>
      </w:r>
    </w:p>
    <w:p w14:paraId="72CCF45D">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508" w:leftChars="0" w:hanging="708" w:firstLineChars="0"/>
        <w:textAlignment w:val="auto"/>
        <w:rPr>
          <w:rFonts w:hint="eastAsia" w:ascii="宋体" w:hAnsi="宋体" w:eastAsia="宋体" w:cs="宋体"/>
          <w:sz w:val="21"/>
          <w:szCs w:val="21"/>
          <w:lang w:eastAsia="zh-CN"/>
        </w:rPr>
      </w:pPr>
      <w:r>
        <w:rPr>
          <w:rFonts w:hint="eastAsia" w:ascii="宋体" w:hAnsi="宋体" w:eastAsia="宋体" w:cs="宋体"/>
          <w:sz w:val="21"/>
          <w:szCs w:val="21"/>
        </w:rPr>
        <w:t>参加采购活动前3年内是供应商的控股股东或者实际控制人</w:t>
      </w:r>
      <w:r>
        <w:rPr>
          <w:rFonts w:hint="eastAsia" w:ascii="宋体" w:hAnsi="宋体" w:eastAsia="宋体" w:cs="宋体"/>
          <w:sz w:val="21"/>
          <w:szCs w:val="21"/>
          <w:lang w:eastAsia="zh-CN"/>
        </w:rPr>
        <w:t>。</w:t>
      </w:r>
    </w:p>
    <w:p w14:paraId="3DEFF245">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508" w:leftChars="0" w:hanging="708" w:firstLineChars="0"/>
        <w:textAlignment w:val="auto"/>
        <w:rPr>
          <w:rFonts w:hint="eastAsia" w:ascii="宋体" w:hAnsi="宋体" w:eastAsia="宋体" w:cs="宋体"/>
          <w:sz w:val="21"/>
          <w:szCs w:val="21"/>
          <w:lang w:eastAsia="zh-CN"/>
        </w:rPr>
      </w:pPr>
      <w:r>
        <w:rPr>
          <w:rFonts w:hint="eastAsia" w:ascii="宋体" w:hAnsi="宋体" w:eastAsia="宋体" w:cs="宋体"/>
          <w:sz w:val="21"/>
          <w:szCs w:val="21"/>
        </w:rPr>
        <w:t>与供应商的法定代表人或者负责人有夫妻、直系血亲、三代以内旁系血亲或者近姻亲关系</w:t>
      </w:r>
      <w:r>
        <w:rPr>
          <w:rFonts w:hint="eastAsia" w:ascii="宋体" w:hAnsi="宋体" w:eastAsia="宋体" w:cs="宋体"/>
          <w:sz w:val="21"/>
          <w:szCs w:val="21"/>
          <w:lang w:eastAsia="zh-CN"/>
        </w:rPr>
        <w:t>。</w:t>
      </w:r>
    </w:p>
    <w:p w14:paraId="2F5AB2D5">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508" w:leftChars="0" w:hanging="708" w:firstLineChars="0"/>
        <w:textAlignment w:val="auto"/>
        <w:rPr>
          <w:rFonts w:hint="eastAsia" w:ascii="宋体" w:hAnsi="宋体" w:eastAsia="宋体" w:cs="宋体"/>
          <w:sz w:val="21"/>
          <w:szCs w:val="21"/>
        </w:rPr>
      </w:pPr>
      <w:r>
        <w:rPr>
          <w:rFonts w:hint="eastAsia" w:ascii="宋体" w:hAnsi="宋体" w:eastAsia="宋体" w:cs="宋体"/>
          <w:sz w:val="21"/>
          <w:szCs w:val="21"/>
        </w:rPr>
        <w:t>与供应商有其他可能影响政府采购活动公平、公正进行的关系。</w:t>
      </w:r>
    </w:p>
    <w:p w14:paraId="2FD20D20">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508" w:leftChars="0" w:hanging="708"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B667679">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rPr>
      </w:pPr>
      <w:bookmarkStart w:id="14" w:name="_Toc515647759"/>
      <w:bookmarkStart w:id="15" w:name="_Toc12139"/>
      <w:bookmarkStart w:id="16" w:name="_Toc5286"/>
      <w:bookmarkStart w:id="17" w:name="_Toc2582265"/>
      <w:bookmarkStart w:id="18" w:name="_Toc532473451"/>
      <w:r>
        <w:rPr>
          <w:rFonts w:hint="eastAsia" w:ascii="宋体" w:hAnsi="宋体" w:eastAsia="宋体" w:cs="宋体"/>
          <w:b/>
          <w:bCs/>
          <w:sz w:val="21"/>
          <w:szCs w:val="21"/>
        </w:rPr>
        <w:t>资金来源</w:t>
      </w:r>
      <w:bookmarkEnd w:id="14"/>
      <w:bookmarkEnd w:id="15"/>
      <w:bookmarkEnd w:id="16"/>
      <w:bookmarkEnd w:id="17"/>
      <w:bookmarkEnd w:id="18"/>
    </w:p>
    <w:p w14:paraId="01314253">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rPr>
      </w:pPr>
      <w:r>
        <w:rPr>
          <w:rFonts w:hint="eastAsia" w:ascii="宋体" w:hAnsi="宋体" w:eastAsia="宋体" w:cs="宋体"/>
          <w:sz w:val="21"/>
          <w:szCs w:val="21"/>
        </w:rPr>
        <w:t>本项目的采购人已获得足以支付本次招标后所签订的合同项下的资金。</w:t>
      </w:r>
    </w:p>
    <w:p w14:paraId="1C56C36A">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rPr>
      </w:pPr>
      <w:r>
        <w:rPr>
          <w:rFonts w:hint="eastAsia" w:ascii="宋体" w:hAnsi="宋体" w:eastAsia="宋体" w:cs="宋体"/>
          <w:sz w:val="21"/>
          <w:szCs w:val="21"/>
        </w:rPr>
        <w:t>投标人报价超过文件规定的预算金额或者最高限价的，其投标将被认定为</w:t>
      </w:r>
      <w:r>
        <w:rPr>
          <w:rFonts w:hint="eastAsia" w:ascii="宋体" w:hAnsi="宋体" w:eastAsia="宋体" w:cs="宋体"/>
          <w:b/>
          <w:bCs/>
          <w:sz w:val="21"/>
          <w:szCs w:val="21"/>
        </w:rPr>
        <w:t>投标无效</w:t>
      </w:r>
      <w:r>
        <w:rPr>
          <w:rFonts w:hint="eastAsia" w:ascii="宋体" w:hAnsi="宋体" w:eastAsia="宋体" w:cs="宋体"/>
          <w:sz w:val="21"/>
          <w:szCs w:val="21"/>
        </w:rPr>
        <w:t>。</w:t>
      </w:r>
    </w:p>
    <w:p w14:paraId="1296110A">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rPr>
      </w:pPr>
      <w:bookmarkStart w:id="19" w:name="_Toc520356145"/>
      <w:bookmarkStart w:id="20" w:name="_Toc20526"/>
      <w:bookmarkStart w:id="21" w:name="_Toc515647760"/>
      <w:bookmarkStart w:id="22" w:name="_Toc15936"/>
      <w:bookmarkStart w:id="23" w:name="_Toc2582266"/>
      <w:bookmarkStart w:id="24" w:name="_Toc532473452"/>
      <w:r>
        <w:rPr>
          <w:rFonts w:hint="eastAsia" w:ascii="宋体" w:hAnsi="宋体" w:eastAsia="宋体" w:cs="宋体"/>
          <w:b/>
          <w:bCs/>
          <w:sz w:val="21"/>
          <w:szCs w:val="21"/>
        </w:rPr>
        <w:t>投标费用</w:t>
      </w:r>
      <w:bookmarkEnd w:id="19"/>
      <w:bookmarkEnd w:id="20"/>
      <w:bookmarkEnd w:id="21"/>
      <w:bookmarkEnd w:id="22"/>
      <w:bookmarkEnd w:id="23"/>
      <w:bookmarkEnd w:id="24"/>
    </w:p>
    <w:p w14:paraId="6BF50C94">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rPr>
      </w:pPr>
      <w:r>
        <w:rPr>
          <w:rFonts w:hint="eastAsia" w:ascii="宋体" w:hAnsi="宋体" w:eastAsia="宋体" w:cs="宋体"/>
          <w:sz w:val="21"/>
          <w:szCs w:val="21"/>
        </w:rPr>
        <w:t>不论投标结果如何，投标人应承担所有与投标有关的费用。</w:t>
      </w:r>
    </w:p>
    <w:p w14:paraId="5D978F2F">
      <w:pPr>
        <w:pStyle w:val="6"/>
        <w:bidi w:val="0"/>
        <w:rPr>
          <w:rFonts w:hint="eastAsia" w:ascii="宋体" w:hAnsi="宋体" w:eastAsia="宋体" w:cs="宋体"/>
        </w:rPr>
      </w:pPr>
      <w:bookmarkStart w:id="25" w:name="_Toc21566"/>
      <w:bookmarkStart w:id="26" w:name="_Toc4365"/>
      <w:bookmarkStart w:id="27" w:name="_Toc2582268"/>
      <w:bookmarkStart w:id="28" w:name="_Toc515647762"/>
      <w:bookmarkStart w:id="29" w:name="_Toc520356146"/>
      <w:bookmarkStart w:id="30" w:name="_Toc532473454"/>
      <w:bookmarkStart w:id="31" w:name="_Toc9016"/>
      <w:bookmarkStart w:id="32" w:name="_Toc216582806"/>
      <w:r>
        <w:rPr>
          <w:rFonts w:hint="eastAsia" w:ascii="宋体" w:hAnsi="宋体" w:eastAsia="宋体" w:cs="宋体"/>
          <w:lang w:eastAsia="zh-CN"/>
        </w:rPr>
        <w:t>（二）</w:t>
      </w:r>
      <w:r>
        <w:rPr>
          <w:rFonts w:hint="eastAsia" w:ascii="宋体" w:hAnsi="宋体" w:eastAsia="宋体" w:cs="宋体"/>
        </w:rPr>
        <w:t>招标文件</w:t>
      </w:r>
      <w:bookmarkEnd w:id="25"/>
      <w:bookmarkEnd w:id="26"/>
      <w:bookmarkEnd w:id="27"/>
      <w:bookmarkEnd w:id="28"/>
      <w:bookmarkEnd w:id="29"/>
      <w:bookmarkEnd w:id="30"/>
      <w:bookmarkEnd w:id="31"/>
      <w:bookmarkEnd w:id="32"/>
    </w:p>
    <w:p w14:paraId="2433999F">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rPr>
      </w:pPr>
      <w:bookmarkStart w:id="33" w:name="_Toc2582269"/>
      <w:bookmarkStart w:id="34" w:name="_Toc25743"/>
      <w:bookmarkStart w:id="35" w:name="_Toc515647763"/>
      <w:bookmarkStart w:id="36" w:name="_Toc532473455"/>
      <w:bookmarkStart w:id="37" w:name="_Toc14084"/>
      <w:bookmarkStart w:id="38" w:name="_Toc520356147"/>
      <w:r>
        <w:rPr>
          <w:rFonts w:hint="eastAsia" w:ascii="宋体" w:hAnsi="宋体" w:eastAsia="宋体" w:cs="宋体"/>
          <w:b/>
          <w:bCs/>
          <w:sz w:val="21"/>
          <w:szCs w:val="21"/>
        </w:rPr>
        <w:t>招标文件构成</w:t>
      </w:r>
      <w:bookmarkEnd w:id="33"/>
      <w:bookmarkEnd w:id="34"/>
      <w:bookmarkEnd w:id="35"/>
      <w:bookmarkEnd w:id="36"/>
      <w:bookmarkEnd w:id="37"/>
      <w:bookmarkEnd w:id="38"/>
    </w:p>
    <w:p w14:paraId="310D0D6B">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招标公告</w:t>
      </w:r>
    </w:p>
    <w:p w14:paraId="7D99B142">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供应商</w:t>
      </w:r>
      <w:r>
        <w:rPr>
          <w:rFonts w:hint="eastAsia" w:ascii="宋体" w:hAnsi="宋体" w:eastAsia="宋体" w:cs="宋体"/>
          <w:sz w:val="21"/>
          <w:szCs w:val="21"/>
        </w:rPr>
        <w:t>须知</w:t>
      </w:r>
      <w:r>
        <w:rPr>
          <w:rFonts w:hint="eastAsia" w:ascii="宋体" w:hAnsi="宋体" w:eastAsia="宋体" w:cs="宋体"/>
          <w:sz w:val="21"/>
          <w:szCs w:val="21"/>
          <w:lang w:eastAsia="zh-CN"/>
        </w:rPr>
        <w:t>前附表</w:t>
      </w:r>
    </w:p>
    <w:p w14:paraId="10780C88">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供应商须知</w:t>
      </w:r>
    </w:p>
    <w:p w14:paraId="6811E122">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项目说明和采购需求</w:t>
      </w:r>
    </w:p>
    <w:p w14:paraId="6349ED51">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评标方法和标准</w:t>
      </w:r>
    </w:p>
    <w:p w14:paraId="3D2E3FED">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政府采购合同</w:t>
      </w:r>
    </w:p>
    <w:p w14:paraId="2FB12347">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投标文件格式</w:t>
      </w:r>
    </w:p>
    <w:p w14:paraId="14ED2D3F">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rPr>
      </w:pPr>
      <w:bookmarkStart w:id="39" w:name="_Toc520356148"/>
      <w:bookmarkStart w:id="40" w:name="_Toc515904805"/>
      <w:bookmarkStart w:id="41" w:name="_Toc2582270"/>
      <w:bookmarkStart w:id="42" w:name="_Toc26044"/>
      <w:bookmarkStart w:id="43" w:name="_Toc9232"/>
      <w:bookmarkStart w:id="44" w:name="_Toc532473456"/>
      <w:r>
        <w:rPr>
          <w:rFonts w:hint="eastAsia" w:ascii="宋体" w:hAnsi="宋体" w:eastAsia="宋体" w:cs="宋体"/>
          <w:b/>
          <w:bCs/>
          <w:sz w:val="21"/>
          <w:szCs w:val="21"/>
        </w:rPr>
        <w:t>招标文件的澄清</w:t>
      </w:r>
      <w:bookmarkEnd w:id="39"/>
      <w:bookmarkEnd w:id="40"/>
      <w:r>
        <w:rPr>
          <w:rFonts w:hint="eastAsia" w:ascii="宋体" w:hAnsi="宋体" w:eastAsia="宋体" w:cs="宋体"/>
          <w:b/>
          <w:bCs/>
          <w:sz w:val="21"/>
          <w:szCs w:val="21"/>
        </w:rPr>
        <w:t>与修改</w:t>
      </w:r>
      <w:bookmarkEnd w:id="41"/>
      <w:bookmarkEnd w:id="42"/>
      <w:bookmarkEnd w:id="43"/>
      <w:bookmarkEnd w:id="44"/>
    </w:p>
    <w:p w14:paraId="7B5E1589">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采购人、采购代理机构可以对已发出的招标文件等进行必要的澄清或者修改，但不得改变采购标的和资格条件。澄清或者修改应当在原公告发布媒体上发布澄清公告。澄清或者修改的内容为招标文件的组成部分。</w:t>
      </w:r>
    </w:p>
    <w:p w14:paraId="49F9521E">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招标文件中有不一致的，有澄清的部分以最终的澄清更正内容为准；未澄清的，以供应商须知前附表为准；供应商须知前附表不</w:t>
      </w:r>
      <w:r>
        <w:rPr>
          <w:rFonts w:hint="eastAsia" w:ascii="宋体" w:hAnsi="宋体" w:eastAsia="宋体" w:cs="宋体"/>
          <w:sz w:val="21"/>
          <w:szCs w:val="21"/>
        </w:rPr>
        <w:t>涉及的内容，以编排在后的最后描述为准。</w:t>
      </w:r>
    </w:p>
    <w:p w14:paraId="001BAD81">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投标人应及时关注本项目原公告发布媒体上发布的澄清公告或修改内容并自行下载，采购人、采购代理机构不再另行通知。</w:t>
      </w:r>
    </w:p>
    <w:p w14:paraId="001B788D">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rPr>
      </w:pPr>
      <w:bookmarkStart w:id="45" w:name="_Toc14569"/>
      <w:bookmarkStart w:id="46" w:name="_Toc2582271"/>
      <w:bookmarkStart w:id="47" w:name="_Toc532473457"/>
      <w:bookmarkStart w:id="48" w:name="_Toc25635"/>
      <w:r>
        <w:rPr>
          <w:rFonts w:hint="eastAsia" w:ascii="宋体" w:hAnsi="宋体" w:eastAsia="宋体" w:cs="宋体"/>
          <w:b/>
          <w:bCs/>
          <w:sz w:val="21"/>
          <w:szCs w:val="21"/>
        </w:rPr>
        <w:t>投标截止时间的顺延</w:t>
      </w:r>
      <w:bookmarkEnd w:id="45"/>
      <w:bookmarkEnd w:id="46"/>
      <w:bookmarkEnd w:id="47"/>
      <w:bookmarkEnd w:id="48"/>
    </w:p>
    <w:p w14:paraId="7A4D01E4">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rPr>
      </w:pPr>
      <w:r>
        <w:rPr>
          <w:rFonts w:hint="eastAsia" w:ascii="宋体" w:hAnsi="宋体" w:eastAsia="宋体" w:cs="宋体"/>
          <w:sz w:val="21"/>
          <w:szCs w:val="21"/>
        </w:rPr>
        <w:t>为使投标人有足够的时间对招标文件的澄清或者修改部分进行研究而准备投标或因其他原因，采购人将依法决定是否顺延投标截止时间。</w:t>
      </w:r>
      <w:r>
        <w:rPr>
          <w:rFonts w:hint="eastAsia" w:ascii="宋体" w:hAnsi="宋体" w:eastAsia="宋体" w:cs="宋体"/>
          <w:sz w:val="21"/>
          <w:szCs w:val="21"/>
          <w:lang w:eastAsia="zh-CN"/>
        </w:rPr>
        <w:t>顺延变更公告应</w:t>
      </w:r>
      <w:r>
        <w:rPr>
          <w:rFonts w:hint="eastAsia" w:ascii="宋体" w:hAnsi="宋体" w:eastAsia="宋体" w:cs="宋体"/>
          <w:sz w:val="21"/>
          <w:szCs w:val="21"/>
          <w:lang w:val="en-US" w:eastAsia="zh-CN"/>
        </w:rPr>
        <w:t>当在原公告发布媒体上发布。</w:t>
      </w:r>
    </w:p>
    <w:p w14:paraId="2A71BF1E">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投标人应及时关注本项目原公告发布媒体上发布的变更公告，采购人、采购代理机构不再另行通知。</w:t>
      </w:r>
    </w:p>
    <w:p w14:paraId="6F258AF1">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其他投标事项</w:t>
      </w:r>
    </w:p>
    <w:p w14:paraId="652E65D1">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rPr>
      </w:pPr>
      <w:r>
        <w:rPr>
          <w:rFonts w:hint="eastAsia" w:ascii="宋体" w:hAnsi="宋体" w:eastAsia="宋体" w:cs="宋体"/>
          <w:sz w:val="21"/>
          <w:szCs w:val="21"/>
        </w:rPr>
        <w:t>投标人应认真阅读招标文件所有的事项、格式、条款和技术规范等。如投标人没有按照招标文件要求提交全部资料，或者投标文件没有对招标文件的实质性要求做出响应，其投标将被认定为</w:t>
      </w:r>
      <w:r>
        <w:rPr>
          <w:rFonts w:hint="eastAsia" w:ascii="宋体" w:hAnsi="宋体" w:eastAsia="宋体" w:cs="宋体"/>
          <w:b/>
          <w:bCs/>
          <w:sz w:val="21"/>
          <w:szCs w:val="21"/>
        </w:rPr>
        <w:t>投标无效</w:t>
      </w:r>
      <w:r>
        <w:rPr>
          <w:rFonts w:hint="eastAsia" w:ascii="宋体" w:hAnsi="宋体" w:eastAsia="宋体" w:cs="宋体"/>
          <w:sz w:val="21"/>
          <w:szCs w:val="21"/>
        </w:rPr>
        <w:t>。</w:t>
      </w:r>
    </w:p>
    <w:p w14:paraId="6722BC9B">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lang w:eastAsia="zh-CN"/>
        </w:rPr>
      </w:pPr>
      <w:r>
        <w:rPr>
          <w:rFonts w:hint="eastAsia" w:ascii="宋体" w:hAnsi="宋体" w:eastAsia="宋体" w:cs="宋体"/>
          <w:sz w:val="21"/>
          <w:szCs w:val="21"/>
        </w:rPr>
        <w:t>原则上采购人、采购代理机构不要求投标人提供样品。除仅凭书面方式不能准确描述采购需求，或者需要对样品进行主观判断以确认是否满足采购需求等特殊情况除外。如需提供样品，对样品相关要求见</w:t>
      </w:r>
      <w:r>
        <w:rPr>
          <w:rFonts w:hint="eastAsia" w:ascii="宋体" w:hAnsi="宋体" w:eastAsia="宋体" w:cs="宋体"/>
          <w:sz w:val="21"/>
          <w:szCs w:val="21"/>
          <w:lang w:eastAsia="zh-CN"/>
        </w:rPr>
        <w:t>供应商</w:t>
      </w:r>
      <w:r>
        <w:rPr>
          <w:rFonts w:hint="eastAsia" w:ascii="宋体" w:hAnsi="宋体" w:eastAsia="宋体" w:cs="宋体"/>
          <w:sz w:val="21"/>
          <w:szCs w:val="21"/>
        </w:rPr>
        <w:t>须知前附表</w:t>
      </w:r>
      <w:r>
        <w:rPr>
          <w:rFonts w:hint="eastAsia" w:ascii="宋体" w:hAnsi="宋体" w:eastAsia="宋体" w:cs="宋体"/>
          <w:sz w:val="21"/>
          <w:szCs w:val="21"/>
          <w:lang w:eastAsia="zh-CN"/>
        </w:rPr>
        <w:t>。</w:t>
      </w:r>
    </w:p>
    <w:p w14:paraId="206CB048">
      <w:pPr>
        <w:pStyle w:val="6"/>
        <w:bidi w:val="0"/>
        <w:rPr>
          <w:rFonts w:hint="eastAsia" w:ascii="宋体" w:hAnsi="宋体" w:eastAsia="宋体" w:cs="宋体"/>
        </w:rPr>
      </w:pPr>
      <w:bookmarkStart w:id="49" w:name="_Toc516367020"/>
      <w:bookmarkStart w:id="50" w:name="_Toc515647766"/>
      <w:bookmarkStart w:id="51" w:name="_Toc20394"/>
      <w:bookmarkStart w:id="52" w:name="_Toc532473458"/>
      <w:bookmarkStart w:id="53" w:name="_Toc2582272"/>
      <w:bookmarkStart w:id="54" w:name="_Toc520356150"/>
      <w:bookmarkStart w:id="55" w:name="_Toc216582807"/>
      <w:bookmarkStart w:id="56" w:name="_Toc30808"/>
      <w:bookmarkStart w:id="57" w:name="_Toc7636"/>
      <w:r>
        <w:rPr>
          <w:rFonts w:hint="eastAsia" w:ascii="宋体" w:hAnsi="宋体" w:eastAsia="宋体" w:cs="宋体"/>
          <w:lang w:eastAsia="zh-CN"/>
        </w:rPr>
        <w:t>（三）</w:t>
      </w:r>
      <w:r>
        <w:rPr>
          <w:rFonts w:hint="eastAsia" w:ascii="宋体" w:hAnsi="宋体" w:eastAsia="宋体" w:cs="宋体"/>
        </w:rPr>
        <w:t>投标文件</w:t>
      </w:r>
      <w:bookmarkEnd w:id="49"/>
      <w:r>
        <w:rPr>
          <w:rFonts w:hint="eastAsia" w:ascii="宋体" w:hAnsi="宋体" w:eastAsia="宋体" w:cs="宋体"/>
        </w:rPr>
        <w:t>的编制</w:t>
      </w:r>
      <w:bookmarkEnd w:id="50"/>
      <w:bookmarkEnd w:id="51"/>
      <w:bookmarkEnd w:id="52"/>
      <w:bookmarkEnd w:id="53"/>
      <w:bookmarkEnd w:id="54"/>
      <w:bookmarkEnd w:id="55"/>
      <w:bookmarkEnd w:id="56"/>
      <w:bookmarkEnd w:id="57"/>
    </w:p>
    <w:p w14:paraId="301AEB72">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rPr>
      </w:pPr>
      <w:bookmarkStart w:id="58" w:name="_Toc520356151"/>
      <w:bookmarkStart w:id="59" w:name="_Toc7786"/>
      <w:bookmarkStart w:id="60" w:name="_Toc3553"/>
      <w:bookmarkStart w:id="61" w:name="_Toc515647767"/>
      <w:bookmarkStart w:id="62" w:name="_Toc2582273"/>
      <w:bookmarkStart w:id="63" w:name="_Toc516367021"/>
      <w:bookmarkStart w:id="64" w:name="_Toc532473459"/>
      <w:r>
        <w:rPr>
          <w:rFonts w:hint="eastAsia" w:ascii="宋体" w:hAnsi="宋体" w:eastAsia="宋体" w:cs="宋体"/>
          <w:b/>
          <w:bCs/>
          <w:sz w:val="21"/>
          <w:szCs w:val="21"/>
        </w:rPr>
        <w:t>投标</w:t>
      </w:r>
      <w:bookmarkEnd w:id="58"/>
      <w:bookmarkEnd w:id="59"/>
      <w:bookmarkEnd w:id="60"/>
      <w:bookmarkEnd w:id="61"/>
      <w:bookmarkEnd w:id="62"/>
      <w:bookmarkEnd w:id="63"/>
      <w:bookmarkEnd w:id="64"/>
      <w:r>
        <w:rPr>
          <w:rFonts w:hint="eastAsia" w:ascii="宋体" w:hAnsi="宋体" w:eastAsia="宋体" w:cs="宋体"/>
          <w:b/>
          <w:bCs/>
          <w:sz w:val="21"/>
          <w:szCs w:val="21"/>
          <w:lang w:eastAsia="zh-CN"/>
        </w:rPr>
        <w:t>范围及文字、计量单位要求</w:t>
      </w:r>
    </w:p>
    <w:p w14:paraId="5D5A40A0">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rPr>
      </w:pPr>
      <w:r>
        <w:rPr>
          <w:rFonts w:hint="eastAsia" w:ascii="宋体" w:hAnsi="宋体" w:eastAsia="宋体" w:cs="宋体"/>
          <w:sz w:val="21"/>
          <w:szCs w:val="21"/>
        </w:rPr>
        <w:t>投标人应当对招标文件中所列的所有内容进行投标，如仅响应部分内容，其投标将被认定为</w:t>
      </w:r>
      <w:r>
        <w:rPr>
          <w:rFonts w:hint="eastAsia" w:ascii="宋体" w:hAnsi="宋体" w:eastAsia="宋体" w:cs="宋体"/>
          <w:b/>
          <w:bCs/>
          <w:sz w:val="21"/>
          <w:szCs w:val="21"/>
        </w:rPr>
        <w:t>投标无效</w:t>
      </w:r>
      <w:r>
        <w:rPr>
          <w:rFonts w:hint="eastAsia" w:ascii="宋体" w:hAnsi="宋体" w:eastAsia="宋体" w:cs="宋体"/>
          <w:sz w:val="21"/>
          <w:szCs w:val="21"/>
        </w:rPr>
        <w:t>。</w:t>
      </w:r>
    </w:p>
    <w:p w14:paraId="35C7C4F5">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无论招标文件中是否要求，投标人所投货物及伴随的服务和工程均应符合国</w:t>
      </w:r>
      <w:r>
        <w:rPr>
          <w:rFonts w:hint="eastAsia" w:ascii="宋体" w:hAnsi="宋体" w:eastAsia="宋体" w:cs="宋体"/>
          <w:sz w:val="21"/>
          <w:szCs w:val="21"/>
          <w:lang w:val="en-US" w:eastAsia="zh-CN"/>
        </w:rPr>
        <w:t>家强制性标准。</w:t>
      </w:r>
    </w:p>
    <w:p w14:paraId="4DCBA994">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投标文件应使用规范汉字书写(专有名词须加注中文解释)，并采用通用的图形符号，不得出现与常规书写格式不符的内容。</w:t>
      </w:r>
    </w:p>
    <w:p w14:paraId="2C4DF3DF">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除招标文件中有特殊要求外，投标文</w:t>
      </w:r>
      <w:r>
        <w:rPr>
          <w:rFonts w:hint="eastAsia" w:ascii="宋体" w:hAnsi="宋体" w:eastAsia="宋体" w:cs="宋体"/>
          <w:sz w:val="21"/>
          <w:szCs w:val="21"/>
        </w:rPr>
        <w:t>件中所使用的计量单位，应采用中华人民共和国法定计量单位。</w:t>
      </w:r>
    </w:p>
    <w:p w14:paraId="30001EE9">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rPr>
      </w:pPr>
      <w:bookmarkStart w:id="65" w:name="_Ref467306195"/>
      <w:bookmarkStart w:id="66" w:name="_Toc516367022"/>
      <w:bookmarkStart w:id="67" w:name="_Ref467306676"/>
      <w:bookmarkStart w:id="68" w:name="_Toc515647768"/>
      <w:bookmarkStart w:id="69" w:name="_Toc28307"/>
      <w:bookmarkStart w:id="70" w:name="_Toc2582274"/>
      <w:bookmarkStart w:id="71" w:name="_Toc520356152"/>
      <w:bookmarkStart w:id="72" w:name="_Toc10364"/>
      <w:bookmarkStart w:id="73" w:name="_Toc532473460"/>
      <w:r>
        <w:rPr>
          <w:rFonts w:hint="eastAsia" w:ascii="宋体" w:hAnsi="宋体" w:eastAsia="宋体" w:cs="宋体"/>
          <w:b/>
          <w:bCs/>
          <w:sz w:val="21"/>
          <w:szCs w:val="21"/>
        </w:rPr>
        <w:t>投标文件</w:t>
      </w:r>
      <w:bookmarkEnd w:id="65"/>
      <w:bookmarkEnd w:id="66"/>
      <w:bookmarkEnd w:id="67"/>
      <w:r>
        <w:rPr>
          <w:rFonts w:hint="eastAsia" w:ascii="宋体" w:hAnsi="宋体" w:eastAsia="宋体" w:cs="宋体"/>
          <w:b/>
          <w:bCs/>
          <w:sz w:val="21"/>
          <w:szCs w:val="21"/>
          <w:lang w:eastAsia="zh-CN"/>
        </w:rPr>
        <w:t>的</w:t>
      </w:r>
      <w:r>
        <w:rPr>
          <w:rFonts w:hint="eastAsia" w:ascii="宋体" w:hAnsi="宋体" w:eastAsia="宋体" w:cs="宋体"/>
          <w:b/>
          <w:bCs/>
          <w:sz w:val="21"/>
          <w:szCs w:val="21"/>
        </w:rPr>
        <w:t>组成</w:t>
      </w:r>
      <w:bookmarkEnd w:id="68"/>
      <w:bookmarkEnd w:id="69"/>
      <w:bookmarkEnd w:id="70"/>
      <w:bookmarkEnd w:id="71"/>
      <w:bookmarkEnd w:id="72"/>
      <w:bookmarkEnd w:id="73"/>
    </w:p>
    <w:p w14:paraId="47466D31">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rPr>
      </w:pPr>
      <w:bookmarkStart w:id="74" w:name="_Ref467052588"/>
      <w:r>
        <w:rPr>
          <w:rFonts w:hint="eastAsia" w:ascii="宋体" w:hAnsi="宋体" w:eastAsia="宋体" w:cs="宋体"/>
          <w:sz w:val="21"/>
          <w:szCs w:val="21"/>
        </w:rPr>
        <w:t>投标人应完整地按照招标文件提供的投标文件格式及要求编写投标文件</w:t>
      </w:r>
      <w:r>
        <w:rPr>
          <w:rFonts w:hint="eastAsia" w:ascii="宋体" w:hAnsi="宋体" w:eastAsia="宋体" w:cs="宋体"/>
          <w:sz w:val="21"/>
          <w:szCs w:val="21"/>
          <w:lang w:eastAsia="zh-CN"/>
        </w:rPr>
        <w:t>，</w:t>
      </w:r>
      <w:r>
        <w:rPr>
          <w:rFonts w:hint="eastAsia" w:ascii="宋体" w:hAnsi="宋体" w:eastAsia="宋体" w:cs="宋体"/>
          <w:sz w:val="21"/>
          <w:szCs w:val="21"/>
        </w:rPr>
        <w:t>对其投标文件的真实性与准确性负责，</w:t>
      </w:r>
      <w:r>
        <w:rPr>
          <w:rFonts w:hint="eastAsia" w:ascii="宋体" w:hAnsi="宋体" w:eastAsia="宋体" w:cs="宋体"/>
          <w:sz w:val="21"/>
          <w:szCs w:val="21"/>
          <w:lang w:eastAsia="zh-CN"/>
        </w:rPr>
        <w:t>投标人</w:t>
      </w:r>
      <w:r>
        <w:rPr>
          <w:rFonts w:hint="eastAsia" w:ascii="宋体" w:hAnsi="宋体" w:eastAsia="宋体" w:cs="宋体"/>
          <w:sz w:val="21"/>
          <w:szCs w:val="21"/>
        </w:rPr>
        <w:t>中标后，其投标文件将作为合同的组成部分。</w:t>
      </w:r>
    </w:p>
    <w:bookmarkEnd w:id="74"/>
    <w:p w14:paraId="6479AAE5">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rPr>
      </w:pPr>
      <w:bookmarkStart w:id="75" w:name="_Toc2582275"/>
      <w:bookmarkStart w:id="76" w:name="_Toc532473461"/>
      <w:bookmarkStart w:id="77" w:name="_Toc520356153"/>
      <w:bookmarkStart w:id="78" w:name="_Toc10379"/>
      <w:bookmarkStart w:id="79" w:name="_Toc516367023"/>
      <w:bookmarkStart w:id="80" w:name="_Toc4601"/>
      <w:bookmarkStart w:id="81" w:name="_Toc515647769"/>
      <w:r>
        <w:rPr>
          <w:rFonts w:hint="eastAsia" w:ascii="宋体" w:hAnsi="宋体" w:eastAsia="宋体" w:cs="宋体"/>
          <w:b/>
          <w:bCs/>
          <w:sz w:val="21"/>
          <w:szCs w:val="21"/>
        </w:rPr>
        <w:t>证明投标标的的合格性和符合招标文件规定的技术文件</w:t>
      </w:r>
      <w:bookmarkEnd w:id="75"/>
      <w:bookmarkEnd w:id="76"/>
      <w:bookmarkEnd w:id="77"/>
      <w:bookmarkEnd w:id="78"/>
      <w:bookmarkEnd w:id="79"/>
      <w:bookmarkEnd w:id="80"/>
      <w:bookmarkEnd w:id="81"/>
    </w:p>
    <w:p w14:paraId="1BD96670">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60" w:leftChars="0" w:hanging="750" w:firstLineChars="0"/>
        <w:textAlignment w:val="auto"/>
        <w:rPr>
          <w:rFonts w:hint="eastAsia" w:ascii="宋体" w:hAnsi="宋体" w:eastAsia="宋体" w:cs="宋体"/>
          <w:sz w:val="21"/>
          <w:szCs w:val="21"/>
        </w:rPr>
      </w:pPr>
      <w:r>
        <w:rPr>
          <w:rFonts w:hint="eastAsia" w:ascii="宋体" w:hAnsi="宋体" w:eastAsia="宋体" w:cs="宋体"/>
          <w:sz w:val="21"/>
          <w:szCs w:val="21"/>
        </w:rPr>
        <w:t>投标人应提交证明文件，证明其投标标的符合招标文件规定。该证明文件是投标文件的技术文件。</w:t>
      </w:r>
    </w:p>
    <w:p w14:paraId="1F60E44E">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rPr>
      </w:pPr>
      <w:bookmarkStart w:id="82" w:name="_Ref467306244"/>
      <w:r>
        <w:rPr>
          <w:rFonts w:hint="eastAsia" w:ascii="宋体" w:hAnsi="宋体" w:eastAsia="宋体" w:cs="宋体"/>
          <w:sz w:val="21"/>
          <w:szCs w:val="21"/>
        </w:rPr>
        <w:t>上款所述的证明文件，可以是文字资料、图纸和数据，</w:t>
      </w:r>
      <w:bookmarkEnd w:id="82"/>
      <w:r>
        <w:rPr>
          <w:rFonts w:hint="eastAsia" w:ascii="宋体" w:hAnsi="宋体" w:eastAsia="宋体" w:cs="宋体"/>
          <w:sz w:val="21"/>
          <w:szCs w:val="21"/>
        </w:rPr>
        <w:t>包括：</w:t>
      </w:r>
    </w:p>
    <w:p w14:paraId="3987F930">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2113" w:leftChars="400" w:hanging="833" w:hangingChars="397"/>
        <w:textAlignment w:val="auto"/>
        <w:rPr>
          <w:rFonts w:hint="eastAsia" w:ascii="宋体" w:hAnsi="宋体" w:eastAsia="宋体" w:cs="宋体"/>
          <w:sz w:val="21"/>
          <w:szCs w:val="21"/>
        </w:rPr>
      </w:pPr>
      <w:r>
        <w:rPr>
          <w:rFonts w:hint="eastAsia" w:ascii="宋体" w:hAnsi="宋体" w:eastAsia="宋体" w:cs="宋体"/>
          <w:sz w:val="21"/>
          <w:szCs w:val="21"/>
        </w:rPr>
        <w:t>货物主要技术指标和性能的详细说明及实现的功能或者目标；</w:t>
      </w:r>
    </w:p>
    <w:p w14:paraId="46F87D12">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2113" w:leftChars="400" w:hanging="833" w:hangingChars="397"/>
        <w:textAlignment w:val="auto"/>
        <w:rPr>
          <w:rFonts w:hint="eastAsia" w:ascii="宋体" w:hAnsi="宋体" w:eastAsia="宋体" w:cs="宋体"/>
          <w:sz w:val="21"/>
          <w:szCs w:val="21"/>
        </w:rPr>
      </w:pPr>
      <w:r>
        <w:rPr>
          <w:rFonts w:hint="eastAsia" w:ascii="宋体" w:hAnsi="宋体" w:eastAsia="宋体" w:cs="宋体"/>
          <w:sz w:val="21"/>
          <w:szCs w:val="21"/>
        </w:rPr>
        <w:t>货物从买方开始使用至招标文件规定的保质期内正常、连续地使用所必须的备件和专用工具清单，包括备件和专用工具的货源及现行价格；</w:t>
      </w:r>
    </w:p>
    <w:p w14:paraId="6F18DF89">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2113" w:leftChars="400" w:hanging="833" w:hangingChars="397"/>
        <w:textAlignment w:val="auto"/>
        <w:rPr>
          <w:rFonts w:hint="eastAsia" w:ascii="宋体" w:hAnsi="宋体" w:eastAsia="宋体" w:cs="宋体"/>
          <w:sz w:val="21"/>
          <w:szCs w:val="21"/>
        </w:rPr>
      </w:pPr>
      <w:r>
        <w:rPr>
          <w:rFonts w:hint="eastAsia" w:ascii="宋体" w:hAnsi="宋体" w:eastAsia="宋体" w:cs="宋体"/>
          <w:sz w:val="21"/>
          <w:szCs w:val="21"/>
        </w:rPr>
        <w:t>对照招标文件技术规格，逐条说明所提供货物及伴随的工程和服务已对招标文件的技术规格做出了实质性的响应，或申明与技术规格条文的偏差和例外。</w:t>
      </w:r>
    </w:p>
    <w:p w14:paraId="3A8A9B93">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投标人应注意采购人在技术规格中指出的工艺、材料和设备的参照品牌型号仅起说明作用，并没有任何倾向性或限制性。采购人、采购代理机构承诺不以上述参照品牌型号作为评标时判定其投标是否有效的标准。任何品牌的供应商均可依法参加本项目的采购活动。</w:t>
      </w:r>
    </w:p>
    <w:p w14:paraId="3DBE8087">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本条所指证明文件不包括对招标文件相关部分的文字、图标的复制。</w:t>
      </w:r>
    </w:p>
    <w:p w14:paraId="12E5F6D5">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rPr>
      </w:pPr>
      <w:bookmarkStart w:id="83" w:name="_Toc532473462"/>
      <w:bookmarkStart w:id="84" w:name="_Toc515647770"/>
      <w:bookmarkStart w:id="85" w:name="_Toc2582276"/>
      <w:bookmarkStart w:id="86" w:name="_Toc23231"/>
      <w:bookmarkStart w:id="87" w:name="_Toc2248"/>
      <w:bookmarkStart w:id="88" w:name="_Toc520356155"/>
      <w:r>
        <w:rPr>
          <w:rFonts w:hint="eastAsia" w:ascii="宋体" w:hAnsi="宋体" w:eastAsia="宋体" w:cs="宋体"/>
          <w:b/>
          <w:bCs/>
          <w:sz w:val="21"/>
          <w:szCs w:val="21"/>
        </w:rPr>
        <w:t>投标报价</w:t>
      </w:r>
      <w:bookmarkEnd w:id="83"/>
      <w:bookmarkEnd w:id="84"/>
      <w:bookmarkEnd w:id="85"/>
      <w:bookmarkEnd w:id="86"/>
      <w:bookmarkEnd w:id="87"/>
      <w:bookmarkEnd w:id="88"/>
    </w:p>
    <w:p w14:paraId="334B11B8">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投标人的报价应当包括满足本次招标全部采购需求所应提供的货物，以及伴随的服务和工程。所有投标均应以人民币报价。</w:t>
      </w:r>
    </w:p>
    <w:p w14:paraId="6EFF9FCC">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投标人应在</w:t>
      </w:r>
      <w:r>
        <w:rPr>
          <w:rFonts w:hint="eastAsia" w:ascii="宋体" w:hAnsi="宋体" w:eastAsia="宋体" w:cs="宋体"/>
          <w:sz w:val="21"/>
          <w:szCs w:val="21"/>
          <w:lang w:eastAsia="zh-CN"/>
        </w:rPr>
        <w:t>价格明细表</w:t>
      </w:r>
      <w:r>
        <w:rPr>
          <w:rFonts w:hint="eastAsia" w:ascii="宋体" w:hAnsi="宋体" w:eastAsia="宋体" w:cs="宋体"/>
          <w:sz w:val="21"/>
          <w:szCs w:val="21"/>
        </w:rPr>
        <w:t>上标明投标货物及相关服务的单价（如适用）和总价，并由法定代表人或其授权代表签署。</w:t>
      </w:r>
    </w:p>
    <w:p w14:paraId="637C8D8A">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lang w:eastAsia="zh-CN"/>
        </w:rPr>
        <w:t>价格明细表</w:t>
      </w:r>
      <w:r>
        <w:rPr>
          <w:rFonts w:hint="eastAsia" w:ascii="宋体" w:hAnsi="宋体" w:eastAsia="宋体" w:cs="宋体"/>
          <w:sz w:val="21"/>
          <w:szCs w:val="21"/>
        </w:rPr>
        <w:t>上的价格应包括：投标货物（包括备品备件、专用工具等）的价格（包括已在中国国内的进口货物完税后的仓库交货价、展室交货价或货架交货价），投标货物运输（含保险）、安装（如有）、调试、检验、技术服务、培训和招标文件要求提供的所有伴随服务、工程等费用；</w:t>
      </w:r>
    </w:p>
    <w:p w14:paraId="69165F10">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投标人所报的</w:t>
      </w:r>
      <w:r>
        <w:rPr>
          <w:rFonts w:hint="eastAsia" w:ascii="宋体" w:hAnsi="宋体" w:eastAsia="宋体" w:cs="宋体"/>
          <w:sz w:val="21"/>
          <w:szCs w:val="21"/>
          <w:lang w:eastAsia="zh-CN"/>
        </w:rPr>
        <w:t>价格明细</w:t>
      </w:r>
      <w:r>
        <w:rPr>
          <w:rFonts w:hint="eastAsia" w:ascii="宋体" w:hAnsi="宋体" w:eastAsia="宋体" w:cs="宋体"/>
          <w:sz w:val="21"/>
          <w:szCs w:val="21"/>
        </w:rPr>
        <w:t>在合同履行过程中是固定不变的，不得以任何理由予以变更。任何包含价格调整要求的投标，其投标将被认定为</w:t>
      </w:r>
      <w:r>
        <w:rPr>
          <w:rFonts w:hint="eastAsia" w:ascii="宋体" w:hAnsi="宋体" w:eastAsia="宋体" w:cs="宋体"/>
          <w:b/>
          <w:bCs/>
          <w:sz w:val="21"/>
          <w:szCs w:val="21"/>
        </w:rPr>
        <w:t>投标无效</w:t>
      </w:r>
      <w:r>
        <w:rPr>
          <w:rFonts w:hint="eastAsia" w:ascii="宋体" w:hAnsi="宋体" w:eastAsia="宋体" w:cs="宋体"/>
          <w:sz w:val="21"/>
          <w:szCs w:val="21"/>
        </w:rPr>
        <w:t>。</w:t>
      </w:r>
    </w:p>
    <w:p w14:paraId="6FB758A9">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采购人不接受具有附加条件的报价或多个方案的报价。</w:t>
      </w:r>
    </w:p>
    <w:p w14:paraId="35AA56EA">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rPr>
      </w:pPr>
      <w:bookmarkStart w:id="89" w:name="_Toc532473463"/>
      <w:bookmarkStart w:id="90" w:name="_Toc515647771"/>
      <w:bookmarkStart w:id="91" w:name="_Toc520356156"/>
      <w:bookmarkStart w:id="92" w:name="_Toc2582277"/>
      <w:bookmarkStart w:id="93" w:name="_Toc11514"/>
      <w:bookmarkStart w:id="94" w:name="_Toc17788"/>
      <w:bookmarkStart w:id="95" w:name="_Ref467306513"/>
      <w:r>
        <w:rPr>
          <w:rFonts w:hint="eastAsia" w:ascii="宋体" w:hAnsi="宋体" w:eastAsia="宋体" w:cs="宋体"/>
          <w:b/>
          <w:bCs/>
          <w:sz w:val="21"/>
          <w:szCs w:val="21"/>
        </w:rPr>
        <w:t>投标保证金</w:t>
      </w:r>
      <w:bookmarkEnd w:id="89"/>
      <w:bookmarkEnd w:id="90"/>
      <w:bookmarkEnd w:id="91"/>
      <w:bookmarkEnd w:id="92"/>
      <w:bookmarkEnd w:id="93"/>
      <w:bookmarkEnd w:id="94"/>
      <w:bookmarkEnd w:id="95"/>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本项不要求</w:t>
      </w:r>
      <w:r>
        <w:rPr>
          <w:rFonts w:hint="eastAsia" w:ascii="宋体" w:hAnsi="宋体" w:eastAsia="宋体" w:cs="宋体"/>
          <w:b/>
          <w:bCs/>
          <w:sz w:val="21"/>
          <w:szCs w:val="21"/>
          <w:lang w:eastAsia="zh-CN"/>
        </w:rPr>
        <w:t>）</w:t>
      </w:r>
    </w:p>
    <w:p w14:paraId="3EB2A277">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lang w:eastAsia="zh-CN"/>
        </w:rPr>
      </w:pPr>
      <w:bookmarkStart w:id="96" w:name="_Ref467306302"/>
      <w:r>
        <w:rPr>
          <w:rFonts w:hint="eastAsia" w:ascii="宋体" w:hAnsi="宋体" w:eastAsia="宋体" w:cs="宋体"/>
          <w:sz w:val="21"/>
          <w:szCs w:val="21"/>
          <w:lang w:val="en-US" w:eastAsia="zh-CN"/>
        </w:rPr>
        <w:t>保</w:t>
      </w:r>
      <w:r>
        <w:rPr>
          <w:rFonts w:hint="eastAsia" w:ascii="宋体" w:hAnsi="宋体" w:eastAsia="宋体" w:cs="宋体"/>
          <w:sz w:val="21"/>
          <w:szCs w:val="21"/>
        </w:rPr>
        <w:t>证金是投标文件的组成部分</w:t>
      </w:r>
      <w:r>
        <w:rPr>
          <w:rFonts w:hint="eastAsia" w:ascii="宋体" w:hAnsi="宋体" w:eastAsia="宋体" w:cs="宋体"/>
          <w:sz w:val="21"/>
          <w:szCs w:val="21"/>
          <w:lang w:eastAsia="zh-CN"/>
        </w:rPr>
        <w:t>。本项目要求投标人提交投标保证金的，应当在招标文件中明确保证金的数额及缴纳形式。</w:t>
      </w:r>
    </w:p>
    <w:p w14:paraId="41CD916D">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投标人</w:t>
      </w:r>
      <w:r>
        <w:rPr>
          <w:rFonts w:hint="eastAsia" w:ascii="宋体" w:hAnsi="宋体" w:eastAsia="宋体" w:cs="宋体"/>
          <w:sz w:val="21"/>
          <w:szCs w:val="21"/>
        </w:rPr>
        <w:t>未在规定时间内缴纳保证金或保证金数额不足以及未按招标文件规定交纳保证金的，</w:t>
      </w:r>
      <w:r>
        <w:rPr>
          <w:rFonts w:hint="eastAsia" w:ascii="宋体" w:hAnsi="宋体" w:eastAsia="宋体" w:cs="宋体"/>
          <w:sz w:val="21"/>
          <w:szCs w:val="21"/>
          <w:lang w:eastAsia="zh-CN"/>
        </w:rPr>
        <w:t>其投标将被认定为</w:t>
      </w:r>
      <w:r>
        <w:rPr>
          <w:rFonts w:hint="eastAsia" w:ascii="宋体" w:hAnsi="宋体" w:eastAsia="宋体" w:cs="宋体"/>
          <w:b/>
          <w:bCs/>
          <w:sz w:val="21"/>
          <w:szCs w:val="21"/>
          <w:lang w:eastAsia="zh-CN"/>
        </w:rPr>
        <w:t>投标无效</w:t>
      </w:r>
      <w:r>
        <w:rPr>
          <w:rFonts w:hint="eastAsia" w:ascii="宋体" w:hAnsi="宋体" w:eastAsia="宋体" w:cs="宋体"/>
          <w:sz w:val="21"/>
          <w:szCs w:val="21"/>
        </w:rPr>
        <w:t>。</w:t>
      </w:r>
    </w:p>
    <w:p w14:paraId="05AD0B12">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采购人或者采购代理机构应当自中标通知书发出之日起5个工作日内退还未中标人的投标保证金；自采购合同签订之日起5个工作日内退还中标人的投标保证金。</w:t>
      </w:r>
    </w:p>
    <w:bookmarkEnd w:id="96"/>
    <w:p w14:paraId="6680E280">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rPr>
      </w:pPr>
      <w:bookmarkStart w:id="97" w:name="_Toc520356157"/>
      <w:bookmarkStart w:id="98" w:name="_Toc2582278"/>
      <w:bookmarkStart w:id="99" w:name="_Toc23590"/>
      <w:bookmarkStart w:id="100" w:name="_Toc515647772"/>
      <w:bookmarkStart w:id="101" w:name="_Toc32569"/>
      <w:bookmarkStart w:id="102" w:name="_Toc532473464"/>
      <w:r>
        <w:rPr>
          <w:rFonts w:hint="eastAsia" w:ascii="宋体" w:hAnsi="宋体" w:eastAsia="宋体" w:cs="宋体"/>
          <w:b/>
          <w:bCs/>
          <w:sz w:val="21"/>
          <w:szCs w:val="21"/>
        </w:rPr>
        <w:t>投标有效期</w:t>
      </w:r>
      <w:bookmarkEnd w:id="97"/>
      <w:bookmarkEnd w:id="98"/>
      <w:bookmarkEnd w:id="99"/>
      <w:bookmarkEnd w:id="100"/>
      <w:bookmarkEnd w:id="101"/>
      <w:bookmarkEnd w:id="102"/>
    </w:p>
    <w:p w14:paraId="40F9DDF1">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投标应在</w:t>
      </w:r>
      <w:r>
        <w:rPr>
          <w:rFonts w:hint="eastAsia" w:ascii="宋体" w:hAnsi="宋体" w:eastAsia="宋体" w:cs="宋体"/>
          <w:sz w:val="21"/>
          <w:szCs w:val="21"/>
          <w:lang w:eastAsia="zh-CN"/>
        </w:rPr>
        <w:t>供应商</w:t>
      </w:r>
      <w:r>
        <w:rPr>
          <w:rFonts w:hint="eastAsia" w:ascii="宋体" w:hAnsi="宋体" w:eastAsia="宋体" w:cs="宋体"/>
          <w:sz w:val="21"/>
          <w:szCs w:val="21"/>
        </w:rPr>
        <w:t>须知前附表中规定时间内保持有效。投标有效期不满足要求的投标，其投标将被认定为</w:t>
      </w:r>
      <w:r>
        <w:rPr>
          <w:rFonts w:hint="eastAsia" w:ascii="宋体" w:hAnsi="宋体" w:eastAsia="宋体" w:cs="宋体"/>
          <w:b/>
          <w:bCs/>
          <w:sz w:val="21"/>
          <w:szCs w:val="21"/>
        </w:rPr>
        <w:t>投标无效</w:t>
      </w:r>
      <w:r>
        <w:rPr>
          <w:rFonts w:hint="eastAsia" w:ascii="宋体" w:hAnsi="宋体" w:eastAsia="宋体" w:cs="宋体"/>
          <w:sz w:val="21"/>
          <w:szCs w:val="21"/>
        </w:rPr>
        <w:t>。</w:t>
      </w:r>
    </w:p>
    <w:p w14:paraId="68826EA2">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因特殊原因，采购人或采购代理机构可在原投标有效期截止之前，要求投标人延长投标文件的有效期。接受该要求的投标人将不会被要求和允许修正其投标。投标人也可以拒绝延长投标有效期的要求，且不承担任何责任。</w:t>
      </w:r>
    </w:p>
    <w:p w14:paraId="77B1DB2F">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rPr>
      </w:pPr>
      <w:bookmarkStart w:id="103" w:name="_Toc515647773"/>
      <w:bookmarkStart w:id="104" w:name="_Toc520356158"/>
      <w:bookmarkStart w:id="105" w:name="_Toc17074"/>
      <w:bookmarkStart w:id="106" w:name="_Toc532473465"/>
      <w:bookmarkStart w:id="107" w:name="_Toc493"/>
      <w:bookmarkStart w:id="108" w:name="_Toc2582279"/>
      <w:r>
        <w:rPr>
          <w:rFonts w:hint="eastAsia" w:ascii="宋体" w:hAnsi="宋体" w:eastAsia="宋体" w:cs="宋体"/>
          <w:b/>
          <w:bCs/>
          <w:sz w:val="21"/>
          <w:szCs w:val="21"/>
        </w:rPr>
        <w:t>投标文件的</w:t>
      </w:r>
      <w:bookmarkEnd w:id="103"/>
      <w:bookmarkEnd w:id="104"/>
      <w:bookmarkEnd w:id="105"/>
      <w:bookmarkEnd w:id="106"/>
      <w:bookmarkEnd w:id="107"/>
      <w:r>
        <w:rPr>
          <w:rFonts w:hint="eastAsia" w:ascii="宋体" w:hAnsi="宋体" w:eastAsia="宋体" w:cs="宋体"/>
          <w:b/>
          <w:bCs/>
          <w:sz w:val="21"/>
          <w:szCs w:val="21"/>
        </w:rPr>
        <w:t>制作</w:t>
      </w:r>
      <w:bookmarkEnd w:id="108"/>
    </w:p>
    <w:p w14:paraId="1AD2DF71">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投标人应按</w:t>
      </w:r>
      <w:r>
        <w:rPr>
          <w:rFonts w:hint="eastAsia" w:ascii="宋体" w:hAnsi="宋体" w:eastAsia="宋体" w:cs="宋体"/>
          <w:sz w:val="21"/>
          <w:szCs w:val="21"/>
          <w:lang w:eastAsia="zh-CN"/>
        </w:rPr>
        <w:t>供应商</w:t>
      </w:r>
      <w:r>
        <w:rPr>
          <w:rFonts w:hint="eastAsia" w:ascii="宋体" w:hAnsi="宋体" w:eastAsia="宋体" w:cs="宋体"/>
          <w:sz w:val="21"/>
          <w:szCs w:val="21"/>
        </w:rPr>
        <w:t>须知前附表中的规定，准备和递交投标文件。</w:t>
      </w:r>
    </w:p>
    <w:p w14:paraId="7ED158B5">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投标文件</w:t>
      </w:r>
      <w:r>
        <w:rPr>
          <w:rFonts w:hint="eastAsia" w:ascii="宋体" w:hAnsi="宋体" w:eastAsia="宋体" w:cs="宋体"/>
          <w:sz w:val="21"/>
          <w:szCs w:val="21"/>
          <w:lang w:eastAsia="zh-CN"/>
        </w:rPr>
        <w:t>需</w:t>
      </w:r>
      <w:r>
        <w:rPr>
          <w:rFonts w:hint="eastAsia" w:ascii="宋体" w:hAnsi="宋体" w:eastAsia="宋体" w:cs="宋体"/>
          <w:sz w:val="21"/>
          <w:szCs w:val="21"/>
        </w:rPr>
        <w:t>由投标人的法定代表人或经其正式委托代理人按招标文件规定在投标文件上签字并加盖公章。委托代理人须持有书面的“法定代表人授权委托书”，并将其附在投标文件中。未按招标文件要求签署和盖章的投标文件，其投标将被认定为</w:t>
      </w:r>
      <w:r>
        <w:rPr>
          <w:rFonts w:hint="eastAsia" w:ascii="宋体" w:hAnsi="宋体" w:eastAsia="宋体" w:cs="宋体"/>
          <w:b/>
          <w:bCs/>
          <w:sz w:val="21"/>
          <w:szCs w:val="21"/>
        </w:rPr>
        <w:t>投标无效</w:t>
      </w:r>
      <w:r>
        <w:rPr>
          <w:rFonts w:hint="eastAsia" w:ascii="宋体" w:hAnsi="宋体" w:eastAsia="宋体" w:cs="宋体"/>
          <w:sz w:val="21"/>
          <w:szCs w:val="21"/>
        </w:rPr>
        <w:t>。</w:t>
      </w:r>
    </w:p>
    <w:p w14:paraId="257C1477">
      <w:pPr>
        <w:pStyle w:val="6"/>
        <w:bidi w:val="0"/>
        <w:rPr>
          <w:rFonts w:hint="eastAsia" w:ascii="宋体" w:hAnsi="宋体" w:eastAsia="宋体" w:cs="宋体"/>
        </w:rPr>
      </w:pPr>
      <w:bookmarkStart w:id="109" w:name="_Toc515647774"/>
      <w:bookmarkStart w:id="110" w:name="_Toc2582280"/>
      <w:bookmarkStart w:id="111" w:name="_Toc216582808"/>
      <w:bookmarkStart w:id="112" w:name="_Toc30095"/>
      <w:bookmarkStart w:id="113" w:name="_Toc16865"/>
      <w:bookmarkStart w:id="114" w:name="_Toc532473466"/>
      <w:bookmarkStart w:id="115" w:name="_Toc520356159"/>
      <w:bookmarkStart w:id="116" w:name="_Toc11179"/>
      <w:r>
        <w:rPr>
          <w:rFonts w:hint="eastAsia" w:ascii="宋体" w:hAnsi="宋体" w:eastAsia="宋体" w:cs="宋体"/>
          <w:lang w:eastAsia="zh-CN"/>
        </w:rPr>
        <w:t>（四）</w:t>
      </w:r>
      <w:r>
        <w:rPr>
          <w:rFonts w:hint="eastAsia" w:ascii="宋体" w:hAnsi="宋体" w:eastAsia="宋体" w:cs="宋体"/>
        </w:rPr>
        <w:t>投标文件的递交</w:t>
      </w:r>
      <w:bookmarkEnd w:id="109"/>
      <w:bookmarkEnd w:id="110"/>
      <w:bookmarkEnd w:id="111"/>
      <w:bookmarkEnd w:id="112"/>
      <w:bookmarkEnd w:id="113"/>
      <w:bookmarkEnd w:id="114"/>
      <w:bookmarkEnd w:id="115"/>
      <w:bookmarkEnd w:id="116"/>
    </w:p>
    <w:p w14:paraId="1D5E2096">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rPr>
      </w:pPr>
      <w:bookmarkStart w:id="117" w:name="_Toc21645"/>
      <w:bookmarkStart w:id="118" w:name="_Toc515647775"/>
      <w:bookmarkStart w:id="119" w:name="_Toc532473467"/>
      <w:bookmarkStart w:id="120" w:name="_Toc520356160"/>
      <w:bookmarkStart w:id="121" w:name="_Toc2582281"/>
      <w:bookmarkStart w:id="122" w:name="_Toc32337"/>
      <w:r>
        <w:rPr>
          <w:rFonts w:hint="eastAsia" w:ascii="宋体" w:hAnsi="宋体" w:eastAsia="宋体" w:cs="宋体"/>
          <w:b/>
          <w:bCs/>
          <w:sz w:val="21"/>
          <w:szCs w:val="21"/>
        </w:rPr>
        <w:t>投标文件的</w:t>
      </w:r>
      <w:r>
        <w:rPr>
          <w:rFonts w:hint="eastAsia" w:ascii="宋体" w:hAnsi="宋体" w:eastAsia="宋体" w:cs="宋体"/>
          <w:b/>
          <w:bCs/>
          <w:sz w:val="21"/>
          <w:szCs w:val="21"/>
          <w:lang w:val="en-US" w:eastAsia="zh-CN"/>
        </w:rPr>
        <w:t>加密</w:t>
      </w:r>
      <w:r>
        <w:rPr>
          <w:rFonts w:hint="eastAsia" w:ascii="宋体" w:hAnsi="宋体" w:eastAsia="宋体" w:cs="宋体"/>
          <w:b/>
          <w:bCs/>
          <w:sz w:val="21"/>
          <w:szCs w:val="21"/>
        </w:rPr>
        <w:t>和标记</w:t>
      </w:r>
      <w:bookmarkEnd w:id="117"/>
      <w:bookmarkEnd w:id="118"/>
      <w:bookmarkEnd w:id="119"/>
      <w:bookmarkEnd w:id="120"/>
      <w:bookmarkEnd w:id="121"/>
      <w:bookmarkEnd w:id="122"/>
    </w:p>
    <w:p w14:paraId="6DE33B19">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投标人应当按照招标文件和电子招标投标交易平台的要求加密投标文件。</w:t>
      </w:r>
    </w:p>
    <w:p w14:paraId="455708CF">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未按要求加密的投标文件，采购人将予以拒收</w:t>
      </w:r>
    </w:p>
    <w:p w14:paraId="5AAED227">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rPr>
      </w:pPr>
      <w:bookmarkStart w:id="123" w:name="_Toc9840"/>
      <w:bookmarkStart w:id="124" w:name="_Toc515647776"/>
      <w:bookmarkStart w:id="125" w:name="_Toc2582282"/>
      <w:bookmarkStart w:id="126" w:name="_Toc520356161"/>
      <w:bookmarkStart w:id="127" w:name="_Toc12751"/>
      <w:bookmarkStart w:id="128" w:name="_Toc532473468"/>
      <w:r>
        <w:rPr>
          <w:rFonts w:hint="eastAsia" w:ascii="宋体" w:hAnsi="宋体" w:eastAsia="宋体" w:cs="宋体"/>
          <w:b/>
          <w:bCs/>
          <w:sz w:val="21"/>
          <w:szCs w:val="21"/>
        </w:rPr>
        <w:t>投标截止</w:t>
      </w:r>
      <w:bookmarkEnd w:id="123"/>
      <w:bookmarkEnd w:id="124"/>
      <w:bookmarkEnd w:id="125"/>
      <w:bookmarkEnd w:id="126"/>
      <w:bookmarkEnd w:id="127"/>
      <w:bookmarkEnd w:id="128"/>
    </w:p>
    <w:p w14:paraId="7D03D880">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投标人应在</w:t>
      </w:r>
      <w:r>
        <w:rPr>
          <w:rFonts w:hint="eastAsia" w:ascii="宋体" w:hAnsi="宋体" w:eastAsia="宋体" w:cs="宋体"/>
          <w:sz w:val="21"/>
          <w:szCs w:val="21"/>
          <w:lang w:eastAsia="zh-CN"/>
        </w:rPr>
        <w:t>供应商</w:t>
      </w:r>
      <w:r>
        <w:rPr>
          <w:rFonts w:hint="eastAsia" w:ascii="宋体" w:hAnsi="宋体" w:eastAsia="宋体" w:cs="宋体"/>
          <w:sz w:val="21"/>
          <w:szCs w:val="21"/>
        </w:rPr>
        <w:t>须知前附表中规定的截止时间前，将投标文件递交到招标公告中规定的地点。</w:t>
      </w:r>
    </w:p>
    <w:p w14:paraId="07252889">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采购人和采购代理机构将拒绝接收在投标截止时间后送达投标文件。</w:t>
      </w:r>
    </w:p>
    <w:p w14:paraId="6E993EA3">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rPr>
      </w:pPr>
      <w:bookmarkStart w:id="129" w:name="_Toc515647777"/>
      <w:bookmarkStart w:id="130" w:name="_Toc520356162"/>
      <w:bookmarkStart w:id="131" w:name="_Toc18537"/>
      <w:bookmarkStart w:id="132" w:name="_Toc532473469"/>
      <w:bookmarkStart w:id="133" w:name="_Toc2582283"/>
      <w:bookmarkStart w:id="134" w:name="_Toc24275"/>
      <w:r>
        <w:rPr>
          <w:rFonts w:hint="eastAsia" w:ascii="宋体" w:hAnsi="宋体" w:eastAsia="宋体" w:cs="宋体"/>
          <w:b/>
          <w:bCs/>
          <w:sz w:val="21"/>
          <w:szCs w:val="21"/>
        </w:rPr>
        <w:t>投标文件的接收、修改与撤回</w:t>
      </w:r>
      <w:bookmarkEnd w:id="129"/>
      <w:bookmarkEnd w:id="130"/>
      <w:bookmarkEnd w:id="131"/>
      <w:bookmarkEnd w:id="132"/>
      <w:bookmarkEnd w:id="133"/>
      <w:bookmarkEnd w:id="134"/>
    </w:p>
    <w:p w14:paraId="7DFE872B">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采购人和采购代理机构将按招标文件规定的时间和地点接收投标文件。</w:t>
      </w:r>
    </w:p>
    <w:p w14:paraId="376AF809">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递交投标文件以后，在规定的投标截止时间前，投标人可以多次修改或撤回已递交的投标文件，最终投标文件以投标截止时间前完成上传至交易中心交易系统最后一份投标文件为准。</w:t>
      </w:r>
    </w:p>
    <w:p w14:paraId="5C3F3854">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在投标截止时间之后，投标人不得对其投标文件做任何修改。</w:t>
      </w:r>
    </w:p>
    <w:p w14:paraId="08A0CFB8">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除投标人不足3家未开标外，采购人和采购代理机构对所接收投标文件概不退回。</w:t>
      </w:r>
    </w:p>
    <w:p w14:paraId="6C6EE53E">
      <w:pPr>
        <w:pStyle w:val="6"/>
        <w:bidi w:val="0"/>
        <w:rPr>
          <w:rFonts w:hint="eastAsia" w:ascii="宋体" w:hAnsi="宋体" w:eastAsia="宋体" w:cs="宋体"/>
        </w:rPr>
      </w:pPr>
      <w:bookmarkStart w:id="135" w:name="_Toc216582809"/>
      <w:bookmarkStart w:id="136" w:name="_Toc2582284"/>
      <w:bookmarkStart w:id="137" w:name="_Toc9823"/>
      <w:bookmarkStart w:id="138" w:name="_Toc520356163"/>
      <w:bookmarkStart w:id="139" w:name="_Toc28398"/>
      <w:bookmarkStart w:id="140" w:name="_Toc532473470"/>
      <w:bookmarkStart w:id="141" w:name="_Toc12436"/>
      <w:bookmarkStart w:id="142" w:name="_Toc515647778"/>
      <w:r>
        <w:rPr>
          <w:rFonts w:hint="eastAsia" w:ascii="宋体" w:hAnsi="宋体" w:eastAsia="宋体" w:cs="宋体"/>
          <w:lang w:eastAsia="zh-CN"/>
        </w:rPr>
        <w:t>（五）</w:t>
      </w:r>
      <w:r>
        <w:rPr>
          <w:rFonts w:hint="eastAsia" w:ascii="宋体" w:hAnsi="宋体" w:eastAsia="宋体" w:cs="宋体"/>
        </w:rPr>
        <w:t>开标及评标</w:t>
      </w:r>
      <w:bookmarkEnd w:id="135"/>
      <w:bookmarkEnd w:id="136"/>
      <w:bookmarkEnd w:id="137"/>
      <w:bookmarkEnd w:id="138"/>
      <w:bookmarkEnd w:id="139"/>
      <w:bookmarkEnd w:id="140"/>
      <w:bookmarkEnd w:id="141"/>
      <w:bookmarkEnd w:id="142"/>
    </w:p>
    <w:p w14:paraId="5A9CC905">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rPr>
      </w:pPr>
      <w:bookmarkStart w:id="143" w:name="_Toc2582285"/>
      <w:bookmarkStart w:id="144" w:name="_Toc532473471"/>
      <w:bookmarkStart w:id="145" w:name="_Toc25345"/>
      <w:bookmarkStart w:id="146" w:name="_Toc520356164"/>
      <w:bookmarkStart w:id="147" w:name="_Toc515647779"/>
      <w:bookmarkStart w:id="148" w:name="_Toc7186"/>
      <w:r>
        <w:rPr>
          <w:rFonts w:hint="eastAsia" w:ascii="宋体" w:hAnsi="宋体" w:eastAsia="宋体" w:cs="宋体"/>
          <w:b/>
          <w:bCs/>
          <w:sz w:val="21"/>
          <w:szCs w:val="21"/>
        </w:rPr>
        <w:t>开标</w:t>
      </w:r>
      <w:bookmarkEnd w:id="143"/>
      <w:bookmarkEnd w:id="144"/>
      <w:bookmarkEnd w:id="145"/>
      <w:bookmarkEnd w:id="146"/>
      <w:bookmarkEnd w:id="147"/>
      <w:bookmarkEnd w:id="148"/>
    </w:p>
    <w:p w14:paraId="2504EDB5">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191" w:leftChars="0" w:hanging="680" w:firstLineChars="0"/>
        <w:textAlignment w:val="auto"/>
        <w:rPr>
          <w:rFonts w:hint="eastAsia" w:ascii="宋体" w:hAnsi="宋体" w:eastAsia="宋体" w:cs="宋体"/>
          <w:sz w:val="21"/>
          <w:szCs w:val="21"/>
        </w:rPr>
      </w:pPr>
      <w:r>
        <w:rPr>
          <w:rFonts w:hint="eastAsia" w:ascii="宋体" w:hAnsi="宋体" w:eastAsia="宋体" w:cs="宋体"/>
          <w:sz w:val="21"/>
          <w:szCs w:val="21"/>
        </w:rPr>
        <w:t>采购人和采购代理机构将按</w:t>
      </w:r>
      <w:r>
        <w:rPr>
          <w:rFonts w:hint="eastAsia" w:ascii="宋体" w:hAnsi="宋体" w:eastAsia="宋体" w:cs="宋体"/>
          <w:sz w:val="21"/>
          <w:szCs w:val="21"/>
          <w:lang w:eastAsia="zh-CN"/>
        </w:rPr>
        <w:t>供应商</w:t>
      </w:r>
      <w:r>
        <w:rPr>
          <w:rFonts w:hint="eastAsia" w:ascii="宋体" w:hAnsi="宋体" w:eastAsia="宋体" w:cs="宋体"/>
          <w:sz w:val="21"/>
          <w:szCs w:val="21"/>
        </w:rPr>
        <w:t>须知前附表中规定的开标时间和地点组织开标，并邀请所有投标人代表参加。</w:t>
      </w:r>
    </w:p>
    <w:p w14:paraId="0A9FBB1A">
      <w:pPr>
        <w:keepNext w:val="0"/>
        <w:keepLines w:val="0"/>
        <w:pageBreakBefore w:val="0"/>
        <w:widowControl w:val="0"/>
        <w:numPr>
          <w:ilvl w:val="0"/>
          <w:numId w:val="0"/>
        </w:numPr>
        <w:kinsoku/>
        <w:wordWrap/>
        <w:overflowPunct/>
        <w:topLinePunct w:val="0"/>
        <w:autoSpaceDE/>
        <w:autoSpaceDN/>
        <w:bidi w:val="0"/>
        <w:adjustRightInd/>
        <w:snapToGrid/>
        <w:spacing w:line="396" w:lineRule="auto"/>
        <w:ind w:left="0" w:leftChars="0" w:firstLine="1173" w:firstLineChars="559"/>
        <w:textAlignment w:val="auto"/>
        <w:rPr>
          <w:rFonts w:hint="eastAsia" w:ascii="宋体" w:hAnsi="宋体" w:eastAsia="宋体" w:cs="宋体"/>
          <w:sz w:val="21"/>
          <w:szCs w:val="21"/>
        </w:rPr>
      </w:pPr>
      <w:r>
        <w:rPr>
          <w:rFonts w:hint="eastAsia" w:ascii="宋体" w:hAnsi="宋体" w:eastAsia="宋体" w:cs="宋体"/>
          <w:sz w:val="21"/>
          <w:szCs w:val="21"/>
        </w:rPr>
        <w:t>投标人不足3家的，不予开标。</w:t>
      </w:r>
    </w:p>
    <w:p w14:paraId="361F1645">
      <w:pPr>
        <w:keepNext w:val="0"/>
        <w:keepLines w:val="0"/>
        <w:pageBreakBefore w:val="0"/>
        <w:widowControl w:val="0"/>
        <w:numPr>
          <w:ilvl w:val="0"/>
          <w:numId w:val="0"/>
        </w:numPr>
        <w:kinsoku/>
        <w:wordWrap/>
        <w:overflowPunct/>
        <w:topLinePunct w:val="0"/>
        <w:autoSpaceDE/>
        <w:autoSpaceDN/>
        <w:bidi w:val="0"/>
        <w:adjustRightInd/>
        <w:snapToGrid/>
        <w:spacing w:line="396" w:lineRule="auto"/>
        <w:ind w:left="0" w:leftChars="0" w:firstLine="1173" w:firstLineChars="559"/>
        <w:textAlignment w:val="auto"/>
        <w:rPr>
          <w:rFonts w:hint="eastAsia" w:ascii="宋体" w:hAnsi="宋体" w:eastAsia="宋体" w:cs="宋体"/>
          <w:sz w:val="21"/>
          <w:szCs w:val="21"/>
        </w:rPr>
      </w:pPr>
      <w:r>
        <w:rPr>
          <w:rFonts w:hint="eastAsia" w:ascii="宋体" w:hAnsi="宋体" w:eastAsia="宋体" w:cs="宋体"/>
          <w:sz w:val="21"/>
          <w:szCs w:val="21"/>
          <w:lang w:eastAsia="zh-CN"/>
        </w:rPr>
        <w:t>评</w:t>
      </w:r>
      <w:r>
        <w:rPr>
          <w:rFonts w:hint="eastAsia" w:ascii="宋体" w:hAnsi="宋体" w:eastAsia="宋体" w:cs="宋体"/>
          <w:sz w:val="21"/>
          <w:szCs w:val="21"/>
        </w:rPr>
        <w:t>标委员会成员不得参加开标活动。</w:t>
      </w:r>
    </w:p>
    <w:p w14:paraId="03FABD44">
      <w:pPr>
        <w:keepNext w:val="0"/>
        <w:keepLines w:val="0"/>
        <w:pageBreakBefore w:val="0"/>
        <w:widowControl w:val="0"/>
        <w:numPr>
          <w:ilvl w:val="1"/>
          <w:numId w:val="1"/>
        </w:numPr>
        <w:kinsoku/>
        <w:wordWrap w:val="0"/>
        <w:overflowPunct/>
        <w:topLinePunct w:val="0"/>
        <w:autoSpaceDE/>
        <w:autoSpaceDN/>
        <w:bidi w:val="0"/>
        <w:adjustRightInd/>
        <w:snapToGrid/>
        <w:spacing w:line="396" w:lineRule="auto"/>
        <w:ind w:left="1191" w:leftChars="0" w:hanging="680" w:firstLineChars="0"/>
        <w:textAlignment w:val="auto"/>
        <w:rPr>
          <w:rFonts w:hint="eastAsia" w:ascii="宋体" w:hAnsi="宋体" w:eastAsia="宋体" w:cs="宋体"/>
          <w:sz w:val="21"/>
          <w:szCs w:val="21"/>
        </w:rPr>
      </w:pPr>
      <w:r>
        <w:rPr>
          <w:rFonts w:hint="eastAsia" w:ascii="宋体" w:hAnsi="宋体" w:eastAsia="宋体" w:cs="宋体"/>
          <w:sz w:val="21"/>
          <w:szCs w:val="21"/>
        </w:rPr>
        <w:t>采购代理机构按招标文件规定的时间和地点组织开标，本项目采用“远程不见面”开标方式，远程开标大厅网址为（</w:t>
      </w:r>
      <w:r>
        <w:rPr>
          <w:rFonts w:hint="eastAsia" w:cs="宋体"/>
          <w:sz w:val="21"/>
          <w:szCs w:val="21"/>
          <w:lang w:eastAsia="zh-CN"/>
        </w:rPr>
        <w:t>hnsggzyjy.henan.gov.cn</w:t>
      </w:r>
      <w:r>
        <w:rPr>
          <w:rFonts w:hint="eastAsia" w:ascii="宋体" w:hAnsi="宋体" w:eastAsia="宋体" w:cs="宋体"/>
          <w:sz w:val="21"/>
          <w:szCs w:val="21"/>
        </w:rPr>
        <w:t>BidOpening/bidopeninghallaction/hall/login），供应商无需到现场参加开标会议，开标时有关监督部门对评审全过程进行监督。</w:t>
      </w:r>
    </w:p>
    <w:p w14:paraId="547240F9">
      <w:pPr>
        <w:keepNext w:val="0"/>
        <w:keepLines w:val="0"/>
        <w:pageBreakBefore w:val="0"/>
        <w:widowControl w:val="0"/>
        <w:numPr>
          <w:ilvl w:val="0"/>
          <w:numId w:val="0"/>
        </w:numPr>
        <w:kinsoku/>
        <w:wordWrap w:val="0"/>
        <w:overflowPunct/>
        <w:topLinePunct w:val="0"/>
        <w:autoSpaceDE/>
        <w:autoSpaceDN/>
        <w:bidi w:val="0"/>
        <w:adjustRightInd/>
        <w:snapToGrid/>
        <w:spacing w:line="396" w:lineRule="auto"/>
        <w:ind w:left="0" w:leftChars="0" w:firstLine="1173" w:firstLineChars="559"/>
        <w:textAlignment w:val="auto"/>
        <w:rPr>
          <w:rFonts w:hint="eastAsia" w:ascii="宋体" w:hAnsi="宋体" w:eastAsia="宋体" w:cs="宋体"/>
          <w:sz w:val="21"/>
          <w:szCs w:val="21"/>
        </w:rPr>
      </w:pPr>
      <w:r>
        <w:rPr>
          <w:rFonts w:hint="eastAsia" w:ascii="宋体" w:hAnsi="宋体" w:eastAsia="宋体" w:cs="宋体"/>
          <w:sz w:val="21"/>
          <w:szCs w:val="21"/>
        </w:rPr>
        <w:t>未宣读的投标价格、价格折扣等实质内容，评标时不予承认。</w:t>
      </w:r>
    </w:p>
    <w:p w14:paraId="0D2E4D75">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191" w:leftChars="0" w:hanging="680" w:firstLineChars="0"/>
        <w:textAlignment w:val="auto"/>
        <w:rPr>
          <w:rFonts w:hint="eastAsia" w:ascii="宋体" w:hAnsi="宋体" w:eastAsia="宋体" w:cs="宋体"/>
          <w:sz w:val="21"/>
          <w:szCs w:val="21"/>
        </w:rPr>
      </w:pPr>
      <w:r>
        <w:rPr>
          <w:rFonts w:hint="eastAsia" w:ascii="宋体" w:hAnsi="宋体" w:eastAsia="宋体" w:cs="宋体"/>
          <w:sz w:val="21"/>
          <w:szCs w:val="21"/>
        </w:rPr>
        <w:t>采购人或采购代理机构将对开标过程进行记录</w:t>
      </w:r>
      <w:bookmarkStart w:id="149" w:name="_Toc520356165"/>
      <w:r>
        <w:rPr>
          <w:rFonts w:hint="eastAsia" w:ascii="宋体" w:hAnsi="宋体" w:eastAsia="宋体" w:cs="宋体"/>
          <w:sz w:val="21"/>
          <w:szCs w:val="21"/>
        </w:rPr>
        <w:t>，并存档备查。</w:t>
      </w:r>
    </w:p>
    <w:p w14:paraId="360DD0A8">
      <w:pPr>
        <w:keepNext w:val="0"/>
        <w:keepLines w:val="0"/>
        <w:pageBreakBefore w:val="0"/>
        <w:widowControl w:val="0"/>
        <w:numPr>
          <w:ilvl w:val="0"/>
          <w:numId w:val="0"/>
        </w:numPr>
        <w:kinsoku/>
        <w:wordWrap/>
        <w:overflowPunct/>
        <w:topLinePunct w:val="0"/>
        <w:autoSpaceDE/>
        <w:autoSpaceDN/>
        <w:bidi w:val="0"/>
        <w:adjustRightInd/>
        <w:snapToGrid/>
        <w:spacing w:line="396" w:lineRule="auto"/>
        <w:ind w:left="0" w:leftChars="0" w:firstLine="1173" w:firstLineChars="559"/>
        <w:textAlignment w:val="auto"/>
        <w:rPr>
          <w:rFonts w:hint="eastAsia" w:ascii="宋体" w:hAnsi="宋体" w:eastAsia="宋体" w:cs="宋体"/>
          <w:sz w:val="21"/>
          <w:szCs w:val="21"/>
        </w:rPr>
      </w:pPr>
      <w:r>
        <w:rPr>
          <w:rFonts w:hint="eastAsia" w:ascii="宋体" w:hAnsi="宋体" w:eastAsia="宋体" w:cs="宋体"/>
          <w:sz w:val="21"/>
          <w:szCs w:val="21"/>
        </w:rPr>
        <w:t>投标人未派代表参加开标的，视同投标人认可开标结果。</w:t>
      </w:r>
    </w:p>
    <w:p w14:paraId="767D3F52">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191" w:leftChars="0" w:hanging="680" w:firstLineChars="0"/>
        <w:textAlignment w:val="auto"/>
        <w:rPr>
          <w:rFonts w:hint="eastAsia" w:ascii="宋体" w:hAnsi="宋体" w:eastAsia="宋体" w:cs="宋体"/>
          <w:sz w:val="21"/>
          <w:szCs w:val="21"/>
        </w:rPr>
      </w:pPr>
      <w:r>
        <w:rPr>
          <w:rFonts w:hint="eastAsia" w:ascii="宋体" w:hAnsi="宋体" w:eastAsia="宋体" w:cs="宋体"/>
          <w:sz w:val="21"/>
          <w:szCs w:val="21"/>
        </w:rPr>
        <w:t>投标人代表对开标过程和开标记录有疑义，以及认为开标现场采购人、采购代理机构相关工作人员有需要回避的情形的，应当场提出询问或者回避申请。</w:t>
      </w:r>
    </w:p>
    <w:bookmarkEnd w:id="149"/>
    <w:p w14:paraId="52C9CE60">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rPr>
      </w:pPr>
      <w:bookmarkStart w:id="150" w:name="_Toc515647780"/>
      <w:bookmarkStart w:id="151" w:name="_Toc21372"/>
      <w:bookmarkStart w:id="152" w:name="_Toc532473472"/>
      <w:bookmarkStart w:id="153" w:name="_Toc2582286"/>
      <w:bookmarkStart w:id="154" w:name="_Toc19296"/>
      <w:r>
        <w:rPr>
          <w:rFonts w:hint="eastAsia" w:ascii="宋体" w:hAnsi="宋体" w:eastAsia="宋体" w:cs="宋体"/>
          <w:b/>
          <w:bCs/>
          <w:sz w:val="21"/>
          <w:szCs w:val="21"/>
        </w:rPr>
        <w:t>资格审查及组建评标委员会</w:t>
      </w:r>
      <w:bookmarkEnd w:id="150"/>
      <w:bookmarkEnd w:id="151"/>
      <w:bookmarkEnd w:id="152"/>
      <w:bookmarkEnd w:id="153"/>
      <w:bookmarkEnd w:id="154"/>
    </w:p>
    <w:p w14:paraId="1F38FB74">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lang w:eastAsia="zh-CN"/>
        </w:rPr>
      </w:pPr>
      <w:r>
        <w:rPr>
          <w:rFonts w:hint="eastAsia" w:ascii="宋体" w:hAnsi="宋体" w:eastAsia="宋体" w:cs="宋体"/>
          <w:sz w:val="21"/>
          <w:szCs w:val="21"/>
        </w:rPr>
        <w:t>采购人或采购代理机构依据法律法规和招标文件中规定的内容，对投标人及其投标货物的资格进行审查，未通过资格审查的投标人不进入评标</w:t>
      </w:r>
      <w:r>
        <w:rPr>
          <w:rFonts w:hint="eastAsia" w:ascii="宋体" w:hAnsi="宋体" w:eastAsia="宋体" w:cs="宋体"/>
          <w:sz w:val="21"/>
          <w:szCs w:val="21"/>
          <w:lang w:eastAsia="zh-CN"/>
        </w:rPr>
        <w:t>。</w:t>
      </w:r>
    </w:p>
    <w:p w14:paraId="55EA3DCB">
      <w:pPr>
        <w:keepNext w:val="0"/>
        <w:keepLines w:val="0"/>
        <w:pageBreakBefore w:val="0"/>
        <w:widowControl w:val="0"/>
        <w:numPr>
          <w:ilvl w:val="0"/>
          <w:numId w:val="0"/>
        </w:numPr>
        <w:kinsoku/>
        <w:wordWrap/>
        <w:overflowPunct/>
        <w:topLinePunct w:val="0"/>
        <w:autoSpaceDE/>
        <w:autoSpaceDN/>
        <w:bidi w:val="0"/>
        <w:adjustRightInd/>
        <w:snapToGrid/>
        <w:spacing w:line="396" w:lineRule="auto"/>
        <w:ind w:left="0" w:leftChars="0" w:firstLine="1260" w:firstLineChars="600"/>
        <w:textAlignment w:val="auto"/>
        <w:rPr>
          <w:rFonts w:hint="eastAsia" w:ascii="宋体" w:hAnsi="宋体" w:eastAsia="宋体" w:cs="宋体"/>
          <w:sz w:val="21"/>
          <w:szCs w:val="21"/>
        </w:rPr>
      </w:pPr>
      <w:r>
        <w:rPr>
          <w:rFonts w:hint="eastAsia" w:ascii="宋体" w:hAnsi="宋体" w:eastAsia="宋体" w:cs="宋体"/>
          <w:sz w:val="21"/>
          <w:szCs w:val="21"/>
          <w:lang w:eastAsia="zh-CN"/>
        </w:rPr>
        <w:t>合格投标</w:t>
      </w:r>
      <w:r>
        <w:rPr>
          <w:rFonts w:hint="eastAsia" w:ascii="宋体" w:hAnsi="宋体" w:eastAsia="宋体" w:cs="宋体"/>
          <w:sz w:val="21"/>
          <w:szCs w:val="21"/>
        </w:rPr>
        <w:t>人不足三家的，不得评标。</w:t>
      </w:r>
    </w:p>
    <w:p w14:paraId="3BD20131">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采购人或代理机构将按</w:t>
      </w:r>
      <w:r>
        <w:rPr>
          <w:rFonts w:hint="eastAsia" w:ascii="宋体" w:hAnsi="宋体" w:eastAsia="宋体" w:cs="宋体"/>
          <w:sz w:val="21"/>
          <w:szCs w:val="21"/>
          <w:lang w:eastAsia="zh-CN"/>
        </w:rPr>
        <w:t>供应商</w:t>
      </w:r>
      <w:r>
        <w:rPr>
          <w:rFonts w:hint="eastAsia" w:ascii="宋体" w:hAnsi="宋体" w:eastAsia="宋体" w:cs="宋体"/>
          <w:sz w:val="21"/>
          <w:szCs w:val="21"/>
        </w:rPr>
        <w:t>须知前附表中规定的时间查询投标人的信用记录。</w:t>
      </w:r>
    </w:p>
    <w:p w14:paraId="1796DE55">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668" w:leftChars="0" w:hanging="868" w:firstLineChars="0"/>
        <w:textAlignment w:val="auto"/>
        <w:rPr>
          <w:rFonts w:hint="eastAsia" w:ascii="宋体" w:hAnsi="宋体" w:eastAsia="宋体" w:cs="宋体"/>
          <w:sz w:val="21"/>
          <w:szCs w:val="21"/>
        </w:rPr>
      </w:pPr>
      <w:r>
        <w:rPr>
          <w:rFonts w:hint="eastAsia" w:ascii="宋体" w:hAnsi="宋体" w:eastAsia="宋体" w:cs="宋体"/>
          <w:sz w:val="21"/>
          <w:szCs w:val="21"/>
        </w:rPr>
        <w:t>投标人在</w:t>
      </w:r>
      <w:r>
        <w:rPr>
          <w:rStyle w:val="26"/>
          <w:rFonts w:hint="eastAsia" w:ascii="宋体" w:hAnsi="宋体" w:eastAsia="宋体" w:cs="宋体"/>
          <w:b w:val="0"/>
          <w:bCs/>
          <w:color w:val="000000"/>
          <w:sz w:val="21"/>
          <w:szCs w:val="21"/>
        </w:rPr>
        <w:t>“信用中国”网站（www.creditchina.gov.cn）、中国政府采购网（www.ccgp.gov.cn），被列入失信被执行人、重大税收违法失信主体、政府采购严重违法失信行为记录名单</w:t>
      </w:r>
      <w:r>
        <w:rPr>
          <w:rFonts w:hint="eastAsia" w:ascii="宋体" w:hAnsi="宋体" w:eastAsia="宋体" w:cs="宋体"/>
          <w:sz w:val="21"/>
          <w:szCs w:val="21"/>
        </w:rPr>
        <w:t>，投标将被认定为</w:t>
      </w:r>
      <w:r>
        <w:rPr>
          <w:rFonts w:hint="eastAsia" w:ascii="宋体" w:hAnsi="宋体" w:eastAsia="宋体" w:cs="宋体"/>
          <w:b/>
          <w:bCs/>
          <w:sz w:val="21"/>
          <w:szCs w:val="21"/>
        </w:rPr>
        <w:t>投标无效</w:t>
      </w:r>
      <w:r>
        <w:rPr>
          <w:rFonts w:hint="eastAsia" w:ascii="宋体" w:hAnsi="宋体" w:eastAsia="宋体" w:cs="宋体"/>
          <w:sz w:val="21"/>
          <w:szCs w:val="21"/>
        </w:rPr>
        <w:t>。</w:t>
      </w:r>
    </w:p>
    <w:p w14:paraId="05033C74">
      <w:pPr>
        <w:keepNext w:val="0"/>
        <w:keepLines w:val="0"/>
        <w:pageBreakBefore w:val="0"/>
        <w:widowControl w:val="0"/>
        <w:numPr>
          <w:ilvl w:val="0"/>
          <w:numId w:val="0"/>
        </w:numPr>
        <w:kinsoku/>
        <w:wordWrap/>
        <w:overflowPunct/>
        <w:topLinePunct w:val="0"/>
        <w:autoSpaceDE/>
        <w:autoSpaceDN/>
        <w:bidi w:val="0"/>
        <w:adjustRightInd/>
        <w:snapToGrid/>
        <w:spacing w:line="396" w:lineRule="auto"/>
        <w:ind w:left="1600" w:leftChars="500" w:firstLine="3" w:firstLineChars="0"/>
        <w:textAlignment w:val="auto"/>
        <w:rPr>
          <w:rFonts w:hint="eastAsia" w:ascii="宋体" w:hAnsi="宋体" w:eastAsia="宋体" w:cs="宋体"/>
          <w:sz w:val="21"/>
          <w:szCs w:val="21"/>
        </w:rPr>
      </w:pPr>
      <w:r>
        <w:rPr>
          <w:rFonts w:hint="eastAsia" w:ascii="宋体" w:hAnsi="宋体" w:eastAsia="宋体" w:cs="宋体"/>
          <w:sz w:val="21"/>
          <w:szCs w:val="21"/>
        </w:rPr>
        <w:t>以联合体形式参加投标的，联合体任何成员存在以上不良信用记录的，联合体投标将被认定为</w:t>
      </w:r>
      <w:r>
        <w:rPr>
          <w:rFonts w:hint="eastAsia" w:ascii="宋体" w:hAnsi="宋体" w:eastAsia="宋体" w:cs="宋体"/>
          <w:b/>
          <w:bCs/>
          <w:sz w:val="21"/>
          <w:szCs w:val="21"/>
        </w:rPr>
        <w:t>投标无效</w:t>
      </w:r>
      <w:r>
        <w:rPr>
          <w:rFonts w:hint="eastAsia" w:ascii="宋体" w:hAnsi="宋体" w:eastAsia="宋体" w:cs="宋体"/>
          <w:sz w:val="21"/>
          <w:szCs w:val="21"/>
        </w:rPr>
        <w:t>。</w:t>
      </w:r>
    </w:p>
    <w:p w14:paraId="2CDC616B">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668" w:leftChars="0" w:hanging="868" w:firstLineChars="0"/>
        <w:textAlignment w:val="auto"/>
        <w:rPr>
          <w:rFonts w:hint="eastAsia" w:ascii="宋体" w:hAnsi="宋体" w:eastAsia="宋体" w:cs="宋体"/>
          <w:sz w:val="21"/>
          <w:szCs w:val="21"/>
        </w:rPr>
      </w:pPr>
      <w:r>
        <w:rPr>
          <w:rFonts w:hint="eastAsia" w:ascii="宋体" w:hAnsi="宋体" w:eastAsia="宋体" w:cs="宋体"/>
          <w:sz w:val="21"/>
          <w:szCs w:val="21"/>
        </w:rPr>
        <w:t>采购人或采购代理机构经办人将查询网页存档备查。投标人不良信用记录以采购人或采购代理机构查询结果为准。投标人自行提供的与网站信息不一致的其他证明材料亦不作为资格审查依据。</w:t>
      </w:r>
    </w:p>
    <w:p w14:paraId="226F4D0C">
      <w:pPr>
        <w:keepNext w:val="0"/>
        <w:keepLines w:val="0"/>
        <w:pageBreakBefore w:val="0"/>
        <w:widowControl w:val="0"/>
        <w:numPr>
          <w:ilvl w:val="0"/>
          <w:numId w:val="0"/>
        </w:numPr>
        <w:kinsoku/>
        <w:wordWrap/>
        <w:overflowPunct/>
        <w:topLinePunct w:val="0"/>
        <w:autoSpaceDE/>
        <w:autoSpaceDN/>
        <w:bidi w:val="0"/>
        <w:adjustRightInd/>
        <w:snapToGrid/>
        <w:spacing w:line="396" w:lineRule="auto"/>
        <w:ind w:left="1660" w:leftChars="519"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在本招标文件规定的查询时间之外，网站信息发生的任何变更均不作为资格审查依据。</w:t>
      </w:r>
    </w:p>
    <w:p w14:paraId="5296017D">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按照《中华人民共和国政府采购法》、《中华人民共和国政府采购法实施条例》及本项目本级和上级财政部门的有关规定依法组建的评标委员会，负责评标工作。</w:t>
      </w:r>
      <w:bookmarkStart w:id="155" w:name="_Toc520356166"/>
    </w:p>
    <w:p w14:paraId="01C94035">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668" w:leftChars="0" w:hanging="868"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评标委员会由采购人代表和评审专家组成，成员人数应当为5人以上单数，其中评审专家不得少于成员总数的三分之二。</w:t>
      </w:r>
    </w:p>
    <w:p w14:paraId="10E66A2C">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508" w:leftChars="0" w:hanging="708"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评标委员会成员名称在评标结果公告前应当保密。</w:t>
      </w:r>
    </w:p>
    <w:p w14:paraId="5AF45D3C">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rPr>
      </w:pPr>
      <w:bookmarkStart w:id="156" w:name="_Toc515647781"/>
      <w:bookmarkStart w:id="157" w:name="_Toc2582287"/>
      <w:bookmarkStart w:id="158" w:name="_Toc28479"/>
      <w:bookmarkStart w:id="159" w:name="_Toc19949"/>
      <w:bookmarkStart w:id="160" w:name="_Toc532473473"/>
      <w:r>
        <w:rPr>
          <w:rFonts w:hint="eastAsia" w:ascii="宋体" w:hAnsi="宋体" w:eastAsia="宋体" w:cs="宋体"/>
          <w:b/>
          <w:bCs/>
          <w:sz w:val="21"/>
          <w:szCs w:val="21"/>
        </w:rPr>
        <w:t>投标文件</w:t>
      </w:r>
      <w:bookmarkEnd w:id="155"/>
      <w:r>
        <w:rPr>
          <w:rFonts w:hint="eastAsia" w:ascii="宋体" w:hAnsi="宋体" w:eastAsia="宋体" w:cs="宋体"/>
          <w:b/>
          <w:bCs/>
          <w:sz w:val="21"/>
          <w:szCs w:val="21"/>
        </w:rPr>
        <w:t>符合性审查与澄清</w:t>
      </w:r>
      <w:bookmarkEnd w:id="156"/>
      <w:bookmarkEnd w:id="157"/>
      <w:bookmarkEnd w:id="158"/>
      <w:bookmarkEnd w:id="159"/>
      <w:bookmarkEnd w:id="160"/>
    </w:p>
    <w:p w14:paraId="52F8A1E8">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bookmarkStart w:id="161" w:name="_Hlt522424701"/>
      <w:bookmarkEnd w:id="161"/>
      <w:bookmarkStart w:id="162" w:name="_Toc520356167"/>
      <w:r>
        <w:rPr>
          <w:rFonts w:hint="eastAsia" w:ascii="宋体" w:hAnsi="宋体" w:eastAsia="宋体" w:cs="宋体"/>
          <w:sz w:val="21"/>
          <w:szCs w:val="21"/>
        </w:rPr>
        <w:t>符合性审查是指依据招标文件的规定，从商务和技术角度对投标文件的有效性和完整性进行审查，以确定是否对招标文件的实质性要求做出响应。</w:t>
      </w:r>
    </w:p>
    <w:p w14:paraId="1BE833C2">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投标文件的澄清</w:t>
      </w:r>
    </w:p>
    <w:p w14:paraId="4CFD5243">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668" w:leftChars="0" w:hanging="868" w:firstLineChars="0"/>
        <w:textAlignment w:val="auto"/>
        <w:rPr>
          <w:rFonts w:hint="eastAsia" w:ascii="宋体" w:hAnsi="宋体" w:eastAsia="宋体" w:cs="宋体"/>
          <w:sz w:val="21"/>
          <w:szCs w:val="21"/>
        </w:rPr>
      </w:pPr>
      <w:r>
        <w:rPr>
          <w:rFonts w:hint="eastAsia" w:ascii="宋体" w:hAnsi="宋体" w:eastAsia="宋体" w:cs="宋体"/>
          <w:bCs/>
          <w:spacing w:val="-2"/>
          <w:sz w:val="21"/>
          <w:szCs w:val="21"/>
        </w:rPr>
        <w:t>在评标期间，评标委员会要求投标人对其投标文件中含义不明确、对同类问题表述不一致或者有明显文字和计算错误的内容，以及评标委员会认为投标人的报价明显低于其他通过符合性审查投标人的报价，有可能影响履约的情况作必要的澄清、说明或补正。投标人的澄清、说明或补正应在评标委员会规定的时间内进行，并不得超出投标文件范围或者改变投标文件的实质性内容</w:t>
      </w:r>
      <w:r>
        <w:rPr>
          <w:rFonts w:hint="eastAsia" w:ascii="宋体" w:hAnsi="宋体" w:eastAsia="宋体" w:cs="宋体"/>
          <w:sz w:val="21"/>
          <w:szCs w:val="21"/>
        </w:rPr>
        <w:t>。</w:t>
      </w:r>
    </w:p>
    <w:p w14:paraId="39F5DF74">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668" w:leftChars="0" w:hanging="868" w:firstLineChars="0"/>
        <w:textAlignment w:val="auto"/>
        <w:rPr>
          <w:rFonts w:hint="eastAsia" w:ascii="宋体" w:hAnsi="宋体" w:eastAsia="宋体" w:cs="宋体"/>
          <w:sz w:val="21"/>
          <w:szCs w:val="21"/>
        </w:rPr>
      </w:pPr>
      <w:r>
        <w:rPr>
          <w:rFonts w:hint="eastAsia" w:ascii="宋体" w:hAnsi="宋体" w:eastAsia="宋体" w:cs="宋体"/>
          <w:sz w:val="21"/>
          <w:szCs w:val="21"/>
        </w:rPr>
        <w:t>投标人的澄清、说明或补正将作为投标文件的一部分。</w:t>
      </w:r>
    </w:p>
    <w:p w14:paraId="15F6D776">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投标文件报价出现前后不一致的，按照下列规定修正：</w:t>
      </w:r>
    </w:p>
    <w:p w14:paraId="7EEC6DBC">
      <w:pPr>
        <w:keepNext w:val="0"/>
        <w:keepLines w:val="0"/>
        <w:pageBreakBefore w:val="0"/>
        <w:widowControl w:val="0"/>
        <w:numPr>
          <w:ilvl w:val="0"/>
          <w:numId w:val="0"/>
        </w:numPr>
        <w:kinsoku/>
        <w:wordWrap/>
        <w:overflowPunct/>
        <w:topLinePunct w:val="0"/>
        <w:autoSpaceDE/>
        <w:autoSpaceDN/>
        <w:bidi w:val="0"/>
        <w:adjustRightInd/>
        <w:snapToGrid/>
        <w:spacing w:line="396" w:lineRule="auto"/>
        <w:ind w:left="1260" w:lef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（1）投标文件中开标一览表（报价表）内容与投标文件中相应内容不一致的，以开标一览表（报价表）为准；</w:t>
      </w:r>
    </w:p>
    <w:p w14:paraId="450FB3DB">
      <w:pPr>
        <w:keepNext w:val="0"/>
        <w:keepLines w:val="0"/>
        <w:pageBreakBefore w:val="0"/>
        <w:widowControl w:val="0"/>
        <w:numPr>
          <w:ilvl w:val="0"/>
          <w:numId w:val="0"/>
        </w:numPr>
        <w:kinsoku/>
        <w:wordWrap/>
        <w:overflowPunct/>
        <w:topLinePunct w:val="0"/>
        <w:autoSpaceDE/>
        <w:autoSpaceDN/>
        <w:bidi w:val="0"/>
        <w:adjustRightInd/>
        <w:snapToGrid/>
        <w:spacing w:line="396" w:lineRule="auto"/>
        <w:ind w:left="1260" w:lef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（2）大写金额和小写金额不一致的，以大写金额为准；</w:t>
      </w:r>
    </w:p>
    <w:p w14:paraId="22A3DC1E">
      <w:pPr>
        <w:keepNext w:val="0"/>
        <w:keepLines w:val="0"/>
        <w:pageBreakBefore w:val="0"/>
        <w:widowControl w:val="0"/>
        <w:numPr>
          <w:ilvl w:val="0"/>
          <w:numId w:val="0"/>
        </w:numPr>
        <w:kinsoku/>
        <w:wordWrap/>
        <w:overflowPunct/>
        <w:topLinePunct w:val="0"/>
        <w:autoSpaceDE/>
        <w:autoSpaceDN/>
        <w:bidi w:val="0"/>
        <w:adjustRightInd/>
        <w:snapToGrid/>
        <w:spacing w:line="396" w:lineRule="auto"/>
        <w:ind w:left="1260" w:lef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（3）单价金额小数点或者百分比有明显错位的，以开标一览表的总价为准，并修改单价；</w:t>
      </w:r>
    </w:p>
    <w:p w14:paraId="3D39FC1E">
      <w:pPr>
        <w:keepNext w:val="0"/>
        <w:keepLines w:val="0"/>
        <w:pageBreakBefore w:val="0"/>
        <w:widowControl w:val="0"/>
        <w:numPr>
          <w:ilvl w:val="0"/>
          <w:numId w:val="0"/>
        </w:numPr>
        <w:kinsoku/>
        <w:wordWrap/>
        <w:overflowPunct/>
        <w:topLinePunct w:val="0"/>
        <w:autoSpaceDE/>
        <w:autoSpaceDN/>
        <w:bidi w:val="0"/>
        <w:adjustRightInd/>
        <w:snapToGrid/>
        <w:spacing w:line="396" w:lineRule="auto"/>
        <w:ind w:left="1260" w:lef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（4）总价金额与按单价汇总金额不一致的，以单价金额计算结果为准。</w:t>
      </w:r>
    </w:p>
    <w:p w14:paraId="19330463">
      <w:pPr>
        <w:keepNext w:val="0"/>
        <w:keepLines w:val="0"/>
        <w:pageBreakBefore w:val="0"/>
        <w:widowControl w:val="0"/>
        <w:numPr>
          <w:ilvl w:val="0"/>
          <w:numId w:val="0"/>
        </w:numPr>
        <w:kinsoku/>
        <w:wordWrap/>
        <w:overflowPunct/>
        <w:topLinePunct w:val="0"/>
        <w:autoSpaceDE/>
        <w:autoSpaceDN/>
        <w:bidi w:val="0"/>
        <w:adjustRightInd/>
        <w:snapToGrid/>
        <w:spacing w:line="396" w:lineRule="auto"/>
        <w:ind w:left="1260" w:lef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同时出现两种以上不一致的，按照前款规定的顺序修正。</w:t>
      </w:r>
    </w:p>
    <w:p w14:paraId="7CCC6F7F">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如</w:t>
      </w:r>
      <w:r>
        <w:rPr>
          <w:rFonts w:hint="eastAsia" w:ascii="宋体" w:hAnsi="宋体" w:eastAsia="宋体" w:cs="宋体"/>
          <w:sz w:val="21"/>
          <w:szCs w:val="21"/>
          <w:lang w:eastAsia="zh-CN"/>
        </w:rPr>
        <w:t>本项目</w:t>
      </w:r>
      <w:r>
        <w:rPr>
          <w:rFonts w:hint="eastAsia" w:ascii="宋体" w:hAnsi="宋体" w:eastAsia="宋体" w:cs="宋体"/>
          <w:sz w:val="21"/>
          <w:szCs w:val="21"/>
        </w:rPr>
        <w:t>只有一种产品，不同投标人所投产品为同一品牌的，按如下方式处理：</w:t>
      </w:r>
    </w:p>
    <w:p w14:paraId="132F0D21">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668" w:leftChars="0" w:hanging="868" w:firstLineChars="0"/>
        <w:textAlignment w:val="auto"/>
        <w:rPr>
          <w:rFonts w:hint="eastAsia" w:ascii="宋体" w:hAnsi="宋体" w:eastAsia="宋体" w:cs="宋体"/>
          <w:sz w:val="21"/>
          <w:szCs w:val="21"/>
        </w:rPr>
      </w:pPr>
      <w:r>
        <w:rPr>
          <w:rFonts w:hint="eastAsia" w:ascii="宋体" w:hAnsi="宋体" w:eastAsia="宋体" w:cs="宋体"/>
          <w:sz w:val="21"/>
          <w:szCs w:val="21"/>
        </w:rPr>
        <w:t>如本项目使用最低评标价法，提供相同品牌产品的不同投标人以其中通过资格审查、符合性审查且报价最低的参加评标；报价相同的，由采购人或者采购人委托评标委员会按照招标文件中评标办法规定的方式确定一个参加评标的投标人；未规定的采取随机抽取方式确定，其他投标将被认定为</w:t>
      </w:r>
      <w:r>
        <w:rPr>
          <w:rFonts w:hint="eastAsia" w:ascii="宋体" w:hAnsi="宋体" w:eastAsia="宋体" w:cs="宋体"/>
          <w:b/>
          <w:bCs/>
          <w:sz w:val="21"/>
          <w:szCs w:val="21"/>
        </w:rPr>
        <w:t>投标无效</w:t>
      </w:r>
      <w:r>
        <w:rPr>
          <w:rFonts w:hint="eastAsia" w:ascii="宋体" w:hAnsi="宋体" w:eastAsia="宋体" w:cs="宋体"/>
          <w:sz w:val="21"/>
          <w:szCs w:val="21"/>
        </w:rPr>
        <w:t>。</w:t>
      </w:r>
    </w:p>
    <w:p w14:paraId="5D5E2437">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668" w:leftChars="0" w:hanging="868" w:firstLineChars="0"/>
        <w:textAlignment w:val="auto"/>
        <w:rPr>
          <w:rFonts w:hint="eastAsia" w:ascii="宋体" w:hAnsi="宋体" w:eastAsia="宋体" w:cs="宋体"/>
          <w:sz w:val="21"/>
          <w:szCs w:val="21"/>
        </w:rPr>
      </w:pPr>
      <w:r>
        <w:rPr>
          <w:rFonts w:hint="eastAsia" w:ascii="宋体" w:hAnsi="宋体" w:eastAsia="宋体" w:cs="宋体"/>
          <w:sz w:val="21"/>
          <w:szCs w:val="21"/>
        </w:rPr>
        <w:t>如本项目使用综合评分法，提供相同品牌产品且通过资格审查、符合性审查的不同投标人，按一家投标人计算，评审后得分最高的同品牌投标人获得</w:t>
      </w:r>
      <w:r>
        <w:rPr>
          <w:rFonts w:hint="eastAsia" w:ascii="宋体" w:hAnsi="宋体" w:eastAsia="宋体" w:cs="宋体"/>
          <w:sz w:val="21"/>
          <w:szCs w:val="21"/>
          <w:lang w:eastAsia="zh-CN"/>
        </w:rPr>
        <w:t>中标供应商</w:t>
      </w:r>
      <w:r>
        <w:rPr>
          <w:rFonts w:hint="eastAsia" w:ascii="宋体" w:hAnsi="宋体" w:eastAsia="宋体" w:cs="宋体"/>
          <w:sz w:val="21"/>
          <w:szCs w:val="21"/>
        </w:rPr>
        <w:t>推荐资格；评审得分相同的，由采购人或者采购人委托评标委员会按照招标文件中评标办法规定的方式确定一个投标人获得</w:t>
      </w:r>
      <w:r>
        <w:rPr>
          <w:rFonts w:hint="eastAsia" w:ascii="宋体" w:hAnsi="宋体" w:eastAsia="宋体" w:cs="宋体"/>
          <w:sz w:val="21"/>
          <w:szCs w:val="21"/>
          <w:lang w:eastAsia="zh-CN"/>
        </w:rPr>
        <w:t>中标供应商</w:t>
      </w:r>
      <w:r>
        <w:rPr>
          <w:rFonts w:hint="eastAsia" w:ascii="宋体" w:hAnsi="宋体" w:eastAsia="宋体" w:cs="宋体"/>
          <w:sz w:val="21"/>
          <w:szCs w:val="21"/>
        </w:rPr>
        <w:t>推荐资格；未规定的采取随机抽取方式确定，其他同品牌投标人不作为中标候选人。</w:t>
      </w:r>
    </w:p>
    <w:p w14:paraId="4F945A54">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如</w:t>
      </w:r>
      <w:r>
        <w:rPr>
          <w:rFonts w:hint="eastAsia" w:ascii="宋体" w:hAnsi="宋体" w:eastAsia="宋体" w:cs="宋体"/>
          <w:sz w:val="21"/>
          <w:szCs w:val="21"/>
          <w:lang w:eastAsia="zh-CN"/>
        </w:rPr>
        <w:t>本项目</w:t>
      </w:r>
      <w:r>
        <w:rPr>
          <w:rFonts w:hint="eastAsia" w:ascii="宋体" w:hAnsi="宋体" w:eastAsia="宋体" w:cs="宋体"/>
          <w:sz w:val="21"/>
          <w:szCs w:val="21"/>
        </w:rPr>
        <w:t>包含多种产品的，采购人或采购代理机构</w:t>
      </w:r>
      <w:r>
        <w:rPr>
          <w:rFonts w:hint="eastAsia" w:ascii="宋体" w:hAnsi="宋体" w:eastAsia="宋体" w:cs="宋体"/>
          <w:sz w:val="21"/>
          <w:szCs w:val="21"/>
          <w:lang w:eastAsia="zh-CN"/>
        </w:rPr>
        <w:t>应当</w:t>
      </w:r>
      <w:r>
        <w:rPr>
          <w:rFonts w:hint="eastAsia" w:ascii="宋体" w:hAnsi="宋体" w:eastAsia="宋体" w:cs="宋体"/>
          <w:sz w:val="21"/>
          <w:szCs w:val="21"/>
        </w:rPr>
        <w:t>在</w:t>
      </w:r>
      <w:r>
        <w:rPr>
          <w:rFonts w:hint="eastAsia" w:ascii="宋体" w:hAnsi="宋体" w:eastAsia="宋体" w:cs="宋体"/>
          <w:sz w:val="21"/>
          <w:szCs w:val="21"/>
          <w:lang w:eastAsia="zh-CN"/>
        </w:rPr>
        <w:t>供应商</w:t>
      </w:r>
      <w:r>
        <w:rPr>
          <w:rFonts w:hint="eastAsia" w:ascii="宋体" w:hAnsi="宋体" w:eastAsia="宋体" w:cs="宋体"/>
          <w:sz w:val="21"/>
          <w:szCs w:val="21"/>
        </w:rPr>
        <w:t>须知前附表中载明核心产品，</w:t>
      </w:r>
      <w:r>
        <w:rPr>
          <w:rFonts w:hint="eastAsia" w:ascii="宋体" w:hAnsi="宋体" w:eastAsia="宋体" w:cs="宋体"/>
          <w:sz w:val="21"/>
          <w:szCs w:val="21"/>
          <w:lang w:eastAsia="zh-CN"/>
        </w:rPr>
        <w:t>若投标人提供的</w:t>
      </w:r>
      <w:r>
        <w:rPr>
          <w:rFonts w:hint="eastAsia" w:ascii="宋体" w:hAnsi="宋体" w:eastAsia="宋体" w:cs="宋体"/>
          <w:sz w:val="21"/>
          <w:szCs w:val="21"/>
        </w:rPr>
        <w:t>核心产品的品牌相同，相关投标人将被认定为属于提供相同品牌产品，按第20.4条规定处理。</w:t>
      </w:r>
    </w:p>
    <w:p w14:paraId="18C6953C">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投标人所投产品如被列入财政部与国家主管部门颁发的节能产品或环境标志产品品目清单或无线局域网产品清单，应提供处于有效期之内认证证书等相关证明，在评标时予以优先采购。</w:t>
      </w:r>
    </w:p>
    <w:p w14:paraId="484A8893">
      <w:pPr>
        <w:keepNext w:val="0"/>
        <w:keepLines w:val="0"/>
        <w:pageBreakBefore w:val="0"/>
        <w:widowControl w:val="0"/>
        <w:numPr>
          <w:ilvl w:val="0"/>
          <w:numId w:val="0"/>
        </w:numPr>
        <w:kinsoku/>
        <w:wordWrap/>
        <w:overflowPunct/>
        <w:topLinePunct w:val="0"/>
        <w:autoSpaceDE/>
        <w:autoSpaceDN/>
        <w:bidi w:val="0"/>
        <w:adjustRightInd/>
        <w:snapToGrid/>
        <w:spacing w:line="396" w:lineRule="auto"/>
        <w:ind w:left="1247" w:leftChars="0"/>
        <w:textAlignment w:val="auto"/>
        <w:rPr>
          <w:rFonts w:hint="eastAsia" w:ascii="宋体" w:hAnsi="宋体" w:eastAsia="宋体" w:cs="宋体"/>
          <w:sz w:val="21"/>
          <w:szCs w:val="21"/>
        </w:rPr>
      </w:pPr>
      <w:r>
        <w:rPr>
          <w:rFonts w:hint="eastAsia" w:ascii="宋体" w:hAnsi="宋体" w:eastAsia="宋体" w:cs="宋体"/>
          <w:bCs/>
          <w:spacing w:val="-6"/>
          <w:sz w:val="21"/>
          <w:szCs w:val="21"/>
        </w:rPr>
        <w:t>如采购人所采购产品为政府强制采购的产品，投标人所投产品应属于品目清单的强制采购部分。投标人应提供有效期内的认证证书，否则其投标将被认定为</w:t>
      </w:r>
      <w:r>
        <w:rPr>
          <w:rFonts w:hint="eastAsia" w:ascii="宋体" w:hAnsi="宋体" w:eastAsia="宋体" w:cs="宋体"/>
          <w:b/>
          <w:bCs/>
          <w:spacing w:val="-6"/>
          <w:sz w:val="21"/>
          <w:szCs w:val="21"/>
        </w:rPr>
        <w:t>投标无效</w:t>
      </w:r>
      <w:r>
        <w:rPr>
          <w:rFonts w:hint="eastAsia" w:ascii="宋体" w:hAnsi="宋体" w:eastAsia="宋体" w:cs="宋体"/>
          <w:sz w:val="21"/>
          <w:szCs w:val="21"/>
        </w:rPr>
        <w:t>。</w:t>
      </w:r>
    </w:p>
    <w:p w14:paraId="5E3655BB">
      <w:pPr>
        <w:keepNext w:val="0"/>
        <w:keepLines w:val="0"/>
        <w:pageBreakBefore w:val="0"/>
        <w:widowControl w:val="0"/>
        <w:numPr>
          <w:ilvl w:val="0"/>
          <w:numId w:val="0"/>
        </w:numPr>
        <w:kinsoku/>
        <w:wordWrap/>
        <w:overflowPunct/>
        <w:topLinePunct w:val="0"/>
        <w:autoSpaceDE/>
        <w:autoSpaceDN/>
        <w:bidi w:val="0"/>
        <w:adjustRightInd/>
        <w:snapToGrid/>
        <w:spacing w:line="396" w:lineRule="auto"/>
        <w:ind w:left="1247" w:leftChars="0"/>
        <w:textAlignment w:val="auto"/>
        <w:rPr>
          <w:rFonts w:hint="eastAsia" w:ascii="宋体" w:hAnsi="宋体" w:eastAsia="宋体" w:cs="宋体"/>
          <w:sz w:val="21"/>
          <w:szCs w:val="21"/>
        </w:rPr>
      </w:pPr>
      <w:r>
        <w:rPr>
          <w:rFonts w:hint="eastAsia" w:ascii="宋体" w:hAnsi="宋体" w:eastAsia="宋体" w:cs="宋体"/>
          <w:sz w:val="21"/>
          <w:szCs w:val="21"/>
        </w:rPr>
        <w:t>如采购人所采购产品属于信息安全产品的，投标人所投产品应为经国家认证的信息安全产品，并提供由中国信息安全认证中心按国家标准认证颁发的有效认证证书，否则其投标将被认定为</w:t>
      </w:r>
      <w:r>
        <w:rPr>
          <w:rFonts w:hint="eastAsia" w:ascii="宋体" w:hAnsi="宋体" w:eastAsia="宋体" w:cs="宋体"/>
          <w:b/>
          <w:bCs/>
          <w:sz w:val="21"/>
          <w:szCs w:val="21"/>
        </w:rPr>
        <w:t>投标无效</w:t>
      </w:r>
      <w:r>
        <w:rPr>
          <w:rFonts w:hint="eastAsia" w:ascii="宋体" w:hAnsi="宋体" w:eastAsia="宋体" w:cs="宋体"/>
          <w:sz w:val="21"/>
          <w:szCs w:val="21"/>
        </w:rPr>
        <w:t>。</w:t>
      </w:r>
    </w:p>
    <w:p w14:paraId="3ED36272">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rPr>
      </w:pPr>
      <w:bookmarkStart w:id="163" w:name="_Toc515647783"/>
      <w:bookmarkStart w:id="164" w:name="_Toc6092"/>
      <w:bookmarkStart w:id="165" w:name="_Toc2582289"/>
      <w:bookmarkStart w:id="166" w:name="_Toc532473475"/>
      <w:bookmarkStart w:id="167" w:name="_Toc4950"/>
      <w:r>
        <w:rPr>
          <w:rFonts w:hint="eastAsia" w:ascii="宋体" w:hAnsi="宋体" w:eastAsia="宋体" w:cs="宋体"/>
          <w:b/>
          <w:bCs/>
          <w:sz w:val="21"/>
          <w:szCs w:val="21"/>
        </w:rPr>
        <w:t>投标</w:t>
      </w:r>
      <w:bookmarkEnd w:id="163"/>
      <w:r>
        <w:rPr>
          <w:rFonts w:hint="eastAsia" w:ascii="宋体" w:hAnsi="宋体" w:eastAsia="宋体" w:cs="宋体"/>
          <w:b/>
          <w:bCs/>
          <w:sz w:val="21"/>
          <w:szCs w:val="21"/>
        </w:rPr>
        <w:t>无效</w:t>
      </w:r>
      <w:bookmarkEnd w:id="164"/>
      <w:bookmarkEnd w:id="165"/>
      <w:bookmarkEnd w:id="166"/>
      <w:bookmarkEnd w:id="167"/>
    </w:p>
    <w:p w14:paraId="0E1B6C0F">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rPr>
      </w:pPr>
      <w:r>
        <w:rPr>
          <w:rFonts w:hint="eastAsia" w:ascii="宋体" w:hAnsi="宋体" w:eastAsia="宋体" w:cs="宋体"/>
          <w:sz w:val="21"/>
          <w:szCs w:val="21"/>
        </w:rPr>
        <w:t>如发现下列情况之一的，其投标将被认定为</w:t>
      </w:r>
      <w:r>
        <w:rPr>
          <w:rFonts w:hint="eastAsia" w:ascii="宋体" w:hAnsi="宋体" w:eastAsia="宋体" w:cs="宋体"/>
          <w:b/>
          <w:bCs/>
          <w:sz w:val="21"/>
          <w:szCs w:val="21"/>
        </w:rPr>
        <w:t>投标无效</w:t>
      </w:r>
      <w:r>
        <w:rPr>
          <w:rFonts w:hint="eastAsia" w:ascii="宋体" w:hAnsi="宋体" w:eastAsia="宋体" w:cs="宋体"/>
          <w:sz w:val="21"/>
          <w:szCs w:val="21"/>
        </w:rPr>
        <w:t>：</w:t>
      </w:r>
    </w:p>
    <w:p w14:paraId="17A11133">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508" w:leftChars="0" w:hanging="708"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投</w:t>
      </w:r>
      <w:r>
        <w:rPr>
          <w:rFonts w:hint="eastAsia" w:ascii="宋体" w:hAnsi="宋体" w:eastAsia="宋体" w:cs="宋体"/>
          <w:sz w:val="21"/>
          <w:szCs w:val="21"/>
        </w:rPr>
        <w:t>标文件制作机器码与其他投标人的投标文件制作机器码一致</w:t>
      </w:r>
      <w:r>
        <w:rPr>
          <w:rFonts w:hint="eastAsia" w:ascii="宋体" w:hAnsi="宋体" w:eastAsia="宋体" w:cs="宋体"/>
          <w:sz w:val="21"/>
          <w:szCs w:val="21"/>
          <w:lang w:eastAsia="zh-CN"/>
        </w:rPr>
        <w:t>的；</w:t>
      </w:r>
    </w:p>
    <w:p w14:paraId="74976EBA">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508" w:leftChars="0" w:hanging="708" w:firstLineChars="0"/>
        <w:textAlignment w:val="auto"/>
        <w:rPr>
          <w:rFonts w:hint="eastAsia" w:ascii="宋体" w:hAnsi="宋体" w:eastAsia="宋体" w:cs="宋体"/>
          <w:sz w:val="21"/>
          <w:szCs w:val="21"/>
        </w:rPr>
      </w:pPr>
      <w:r>
        <w:rPr>
          <w:rFonts w:hint="eastAsia" w:ascii="宋体" w:hAnsi="宋体" w:eastAsia="宋体" w:cs="宋体"/>
          <w:sz w:val="21"/>
          <w:szCs w:val="21"/>
        </w:rPr>
        <w:t>未按照招标文件规定要求签署、盖章的；</w:t>
      </w:r>
    </w:p>
    <w:p w14:paraId="0D31EC7B">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508" w:leftChars="0" w:hanging="708" w:firstLineChars="0"/>
        <w:textAlignment w:val="auto"/>
        <w:rPr>
          <w:rFonts w:hint="eastAsia" w:ascii="宋体" w:hAnsi="宋体" w:eastAsia="宋体" w:cs="宋体"/>
          <w:sz w:val="21"/>
          <w:szCs w:val="21"/>
        </w:rPr>
      </w:pPr>
      <w:r>
        <w:rPr>
          <w:rFonts w:hint="eastAsia" w:ascii="宋体" w:hAnsi="宋体" w:eastAsia="宋体" w:cs="宋体"/>
          <w:sz w:val="21"/>
          <w:szCs w:val="21"/>
        </w:rPr>
        <w:t>属于串通投标，或者依法被视为串通投标；</w:t>
      </w:r>
    </w:p>
    <w:p w14:paraId="5E572E8E">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668" w:leftChars="0" w:hanging="868" w:firstLineChars="0"/>
        <w:textAlignment w:val="auto"/>
        <w:rPr>
          <w:rFonts w:hint="eastAsia" w:ascii="宋体" w:hAnsi="宋体" w:eastAsia="宋体" w:cs="宋体"/>
          <w:sz w:val="21"/>
          <w:szCs w:val="21"/>
        </w:rPr>
      </w:pPr>
      <w:r>
        <w:rPr>
          <w:rFonts w:hint="eastAsia" w:ascii="宋体" w:hAnsi="宋体" w:eastAsia="宋体" w:cs="宋体"/>
          <w:sz w:val="21"/>
          <w:szCs w:val="21"/>
        </w:rPr>
        <w:t>评标委员会认为投标人的报价明显低于其他通过符合性审查投标人的报价，有可能影响履约的，且投标人未按照规定证明其报价合理性的；</w:t>
      </w:r>
    </w:p>
    <w:p w14:paraId="5F27C648">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508" w:leftChars="0" w:hanging="708" w:firstLineChars="0"/>
        <w:textAlignment w:val="auto"/>
        <w:rPr>
          <w:rFonts w:hint="eastAsia" w:ascii="宋体" w:hAnsi="宋体" w:eastAsia="宋体" w:cs="宋体"/>
          <w:sz w:val="21"/>
          <w:szCs w:val="21"/>
        </w:rPr>
      </w:pPr>
      <w:r>
        <w:rPr>
          <w:rFonts w:hint="eastAsia" w:ascii="宋体" w:hAnsi="宋体" w:eastAsia="宋体" w:cs="宋体"/>
          <w:sz w:val="21"/>
          <w:szCs w:val="21"/>
        </w:rPr>
        <w:t>投标文件含有采购人不能接受的附加条件的；</w:t>
      </w:r>
    </w:p>
    <w:p w14:paraId="69DE2A34">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508" w:leftChars="0" w:hanging="708" w:firstLineChars="0"/>
        <w:textAlignment w:val="auto"/>
        <w:rPr>
          <w:rFonts w:hint="eastAsia" w:ascii="宋体" w:hAnsi="宋体" w:eastAsia="宋体" w:cs="宋体"/>
          <w:sz w:val="21"/>
          <w:szCs w:val="21"/>
        </w:rPr>
      </w:pPr>
      <w:r>
        <w:rPr>
          <w:rFonts w:hint="eastAsia" w:ascii="宋体" w:hAnsi="宋体" w:eastAsia="宋体" w:cs="宋体"/>
          <w:sz w:val="21"/>
          <w:szCs w:val="21"/>
        </w:rPr>
        <w:t>属于招标文件规定的其他投标无效情形；</w:t>
      </w:r>
    </w:p>
    <w:p w14:paraId="0C2CD775">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508" w:leftChars="0" w:hanging="708" w:firstLineChars="0"/>
        <w:textAlignment w:val="auto"/>
        <w:rPr>
          <w:rFonts w:hint="eastAsia" w:ascii="宋体" w:hAnsi="宋体" w:eastAsia="宋体" w:cs="宋体"/>
          <w:sz w:val="21"/>
          <w:szCs w:val="21"/>
        </w:rPr>
      </w:pPr>
      <w:r>
        <w:rPr>
          <w:rFonts w:hint="eastAsia" w:ascii="宋体" w:hAnsi="宋体" w:eastAsia="宋体" w:cs="宋体"/>
          <w:sz w:val="21"/>
          <w:szCs w:val="21"/>
        </w:rPr>
        <w:t>不符合</w:t>
      </w:r>
      <w:r>
        <w:rPr>
          <w:rFonts w:hint="eastAsia" w:ascii="宋体" w:hAnsi="宋体" w:eastAsia="宋体" w:cs="宋体"/>
          <w:sz w:val="21"/>
          <w:szCs w:val="21"/>
          <w:lang w:eastAsia="zh-CN"/>
        </w:rPr>
        <w:t>政府采购法律</w:t>
      </w:r>
      <w:r>
        <w:rPr>
          <w:rFonts w:hint="eastAsia" w:ascii="宋体" w:hAnsi="宋体" w:eastAsia="宋体" w:cs="宋体"/>
          <w:sz w:val="21"/>
          <w:szCs w:val="21"/>
        </w:rPr>
        <w:t>法规和招标文件中规定的其他实质性要求的。</w:t>
      </w:r>
    </w:p>
    <w:bookmarkEnd w:id="162"/>
    <w:p w14:paraId="3452E5A4">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rPr>
      </w:pPr>
      <w:bookmarkStart w:id="168" w:name="_Toc532473476"/>
      <w:bookmarkStart w:id="169" w:name="_Toc2582290"/>
      <w:bookmarkStart w:id="170" w:name="_Toc22941"/>
      <w:bookmarkStart w:id="171" w:name="_Toc13652"/>
      <w:bookmarkStart w:id="172" w:name="_Toc515647784"/>
      <w:r>
        <w:rPr>
          <w:rFonts w:hint="eastAsia" w:ascii="宋体" w:hAnsi="宋体" w:eastAsia="宋体" w:cs="宋体"/>
          <w:b/>
          <w:bCs/>
          <w:sz w:val="21"/>
          <w:szCs w:val="21"/>
        </w:rPr>
        <w:t>比较与评价</w:t>
      </w:r>
      <w:bookmarkEnd w:id="168"/>
      <w:bookmarkEnd w:id="169"/>
      <w:bookmarkEnd w:id="170"/>
      <w:bookmarkEnd w:id="171"/>
      <w:bookmarkEnd w:id="172"/>
    </w:p>
    <w:p w14:paraId="6E0322E5">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经符合性审查合格的投标文件，评标委员会将根据招标文件确定的评标方法和标准，对其技术部分和商务部分作进一步的比较和评价。</w:t>
      </w:r>
    </w:p>
    <w:p w14:paraId="19AE10D8">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评标严格按照招标文件的要求和条件进行。根据实际情况，在</w:t>
      </w:r>
      <w:r>
        <w:rPr>
          <w:rFonts w:hint="eastAsia" w:ascii="宋体" w:hAnsi="宋体" w:eastAsia="宋体" w:cs="宋体"/>
          <w:sz w:val="21"/>
          <w:szCs w:val="21"/>
          <w:lang w:eastAsia="zh-CN"/>
        </w:rPr>
        <w:t>供应商</w:t>
      </w:r>
      <w:r>
        <w:rPr>
          <w:rFonts w:hint="eastAsia" w:ascii="宋体" w:hAnsi="宋体" w:eastAsia="宋体" w:cs="宋体"/>
          <w:sz w:val="21"/>
          <w:szCs w:val="21"/>
        </w:rPr>
        <w:t>须知前附表中规定采用下列一种评标方法：</w:t>
      </w:r>
    </w:p>
    <w:p w14:paraId="55FE6CDB">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668" w:leftChars="0" w:hanging="868" w:firstLineChars="0"/>
        <w:textAlignment w:val="auto"/>
        <w:rPr>
          <w:rFonts w:hint="eastAsia" w:ascii="宋体" w:hAnsi="宋体" w:eastAsia="宋体" w:cs="宋体"/>
          <w:sz w:val="21"/>
          <w:szCs w:val="21"/>
        </w:rPr>
      </w:pPr>
      <w:r>
        <w:rPr>
          <w:rFonts w:hint="eastAsia" w:ascii="宋体" w:hAnsi="宋体" w:eastAsia="宋体" w:cs="宋体"/>
          <w:sz w:val="21"/>
          <w:szCs w:val="21"/>
        </w:rPr>
        <w:t>最低评标价法，是指投标文件满足招标文件全部要求，且投标报价最低的投标人为中标候选人的评标方法。</w:t>
      </w:r>
    </w:p>
    <w:p w14:paraId="0896C013">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668" w:leftChars="0" w:hanging="868" w:firstLineChars="0"/>
        <w:textAlignment w:val="auto"/>
        <w:rPr>
          <w:rFonts w:hint="eastAsia" w:ascii="宋体" w:hAnsi="宋体" w:eastAsia="宋体" w:cs="宋体"/>
          <w:sz w:val="21"/>
          <w:szCs w:val="21"/>
        </w:rPr>
      </w:pPr>
      <w:r>
        <w:rPr>
          <w:rFonts w:hint="eastAsia" w:ascii="宋体" w:hAnsi="宋体" w:eastAsia="宋体" w:cs="宋体"/>
          <w:sz w:val="21"/>
          <w:szCs w:val="21"/>
        </w:rPr>
        <w:t>综合评分法，是指投标文件满足招标文件全部要求，且按照评审因素的量化指标评审得分最高的投标人为中标候选人的评标方法。</w:t>
      </w:r>
    </w:p>
    <w:p w14:paraId="28D6C540">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lang w:eastAsia="zh-CN"/>
        </w:rPr>
      </w:pPr>
      <w:r>
        <w:rPr>
          <w:rFonts w:hint="eastAsia" w:ascii="宋体" w:hAnsi="宋体" w:eastAsia="宋体" w:cs="宋体"/>
          <w:sz w:val="21"/>
          <w:szCs w:val="21"/>
        </w:rPr>
        <w:t>根据《政府采购促进中小企业发展</w:t>
      </w:r>
      <w:r>
        <w:rPr>
          <w:rFonts w:hint="eastAsia" w:ascii="宋体" w:hAnsi="宋体" w:eastAsia="宋体" w:cs="宋体"/>
          <w:sz w:val="21"/>
          <w:szCs w:val="21"/>
          <w:lang w:eastAsia="zh-CN"/>
        </w:rPr>
        <w:t>管理</w:t>
      </w:r>
      <w:r>
        <w:rPr>
          <w:rFonts w:hint="eastAsia" w:ascii="宋体" w:hAnsi="宋体" w:eastAsia="宋体" w:cs="宋体"/>
          <w:sz w:val="21"/>
          <w:szCs w:val="21"/>
        </w:rPr>
        <w:t>办法》（财库[20</w:t>
      </w:r>
      <w:r>
        <w:rPr>
          <w:rFonts w:hint="eastAsia" w:ascii="宋体" w:hAnsi="宋体" w:eastAsia="宋体" w:cs="宋体"/>
          <w:sz w:val="21"/>
          <w:szCs w:val="21"/>
          <w:lang w:val="en-US" w:eastAsia="zh-CN"/>
        </w:rPr>
        <w:t>20</w:t>
      </w:r>
      <w:r>
        <w:rPr>
          <w:rFonts w:hint="eastAsia" w:ascii="宋体" w:hAnsi="宋体" w:eastAsia="宋体" w:cs="宋体"/>
          <w:sz w:val="21"/>
          <w:szCs w:val="21"/>
        </w:rPr>
        <w:t>]</w:t>
      </w:r>
      <w:r>
        <w:rPr>
          <w:rFonts w:hint="eastAsia" w:ascii="宋体" w:hAnsi="宋体" w:eastAsia="宋体" w:cs="宋体"/>
          <w:sz w:val="21"/>
          <w:szCs w:val="21"/>
          <w:lang w:val="en-US" w:eastAsia="zh-CN"/>
        </w:rPr>
        <w:t>46</w:t>
      </w:r>
      <w:r>
        <w:rPr>
          <w:rFonts w:hint="eastAsia" w:ascii="宋体" w:hAnsi="宋体" w:eastAsia="宋体" w:cs="宋体"/>
          <w:sz w:val="21"/>
          <w:szCs w:val="21"/>
        </w:rPr>
        <w:t>号）、《财政部 司法部关于政府采购支持监狱企业发展有关问题的通知》（财库〔2014〕68号）和《三部门联合发布关于促进残疾人就业政府采购政策的通知》（</w:t>
      </w:r>
      <w:bookmarkStart w:id="173" w:name="sendNo"/>
      <w:r>
        <w:rPr>
          <w:rFonts w:hint="eastAsia" w:ascii="宋体" w:hAnsi="宋体" w:eastAsia="宋体" w:cs="宋体"/>
          <w:sz w:val="21"/>
          <w:szCs w:val="21"/>
        </w:rPr>
        <w:t>财库〔</w:t>
      </w:r>
      <w:bookmarkEnd w:id="173"/>
      <w:r>
        <w:rPr>
          <w:rFonts w:hint="eastAsia" w:ascii="宋体" w:hAnsi="宋体" w:eastAsia="宋体" w:cs="宋体"/>
          <w:sz w:val="21"/>
          <w:szCs w:val="21"/>
        </w:rPr>
        <w:t>2017〕141号）的规定，对满足价格扣除条件且在投标文件中提交了《</w:t>
      </w:r>
      <w:r>
        <w:rPr>
          <w:rFonts w:hint="eastAsia" w:ascii="宋体" w:hAnsi="宋体" w:eastAsia="宋体" w:cs="宋体"/>
          <w:sz w:val="21"/>
          <w:szCs w:val="21"/>
          <w:lang w:eastAsia="zh-CN"/>
        </w:rPr>
        <w:t>中小企业声明函</w:t>
      </w:r>
      <w:r>
        <w:rPr>
          <w:rFonts w:hint="eastAsia" w:ascii="宋体" w:hAnsi="宋体" w:eastAsia="宋体" w:cs="宋体"/>
          <w:sz w:val="21"/>
          <w:szCs w:val="21"/>
        </w:rPr>
        <w:t>》、《残疾人福利性单位声明函》</w:t>
      </w:r>
      <w:r>
        <w:rPr>
          <w:rFonts w:hint="eastAsia" w:ascii="宋体" w:hAnsi="宋体" w:eastAsia="宋体" w:cs="宋体"/>
          <w:sz w:val="21"/>
          <w:szCs w:val="21"/>
          <w:lang w:eastAsia="zh-CN"/>
        </w:rPr>
        <w:t>相关</w:t>
      </w:r>
      <w:r>
        <w:rPr>
          <w:rFonts w:hint="eastAsia" w:ascii="宋体" w:hAnsi="宋体" w:eastAsia="宋体" w:cs="宋体"/>
          <w:sz w:val="21"/>
          <w:szCs w:val="21"/>
        </w:rPr>
        <w:t>属于监狱企业的证明文件的投标人，</w:t>
      </w:r>
      <w:r>
        <w:rPr>
          <w:rFonts w:hint="eastAsia" w:ascii="宋体" w:hAnsi="宋体" w:eastAsia="宋体" w:cs="宋体"/>
          <w:sz w:val="21"/>
          <w:szCs w:val="21"/>
          <w:lang w:eastAsia="zh-CN"/>
        </w:rPr>
        <w:t>按照相关价格扣除规定和供应商</w:t>
      </w:r>
      <w:r>
        <w:rPr>
          <w:rFonts w:hint="eastAsia" w:ascii="宋体" w:hAnsi="宋体" w:eastAsia="宋体" w:cs="宋体"/>
          <w:sz w:val="21"/>
          <w:szCs w:val="21"/>
        </w:rPr>
        <w:t>须知前附表</w:t>
      </w:r>
      <w:r>
        <w:rPr>
          <w:rFonts w:hint="eastAsia" w:ascii="宋体" w:hAnsi="宋体" w:eastAsia="宋体" w:cs="宋体"/>
          <w:sz w:val="21"/>
          <w:szCs w:val="21"/>
          <w:lang w:eastAsia="zh-CN"/>
        </w:rPr>
        <w:t>要求执行</w:t>
      </w:r>
      <w:r>
        <w:rPr>
          <w:rFonts w:hint="eastAsia" w:ascii="宋体" w:hAnsi="宋体" w:eastAsia="宋体" w:cs="宋体"/>
          <w:sz w:val="21"/>
          <w:szCs w:val="21"/>
        </w:rPr>
        <w:t>。</w:t>
      </w:r>
    </w:p>
    <w:p w14:paraId="6449A05A">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落实其他政府采购政策条款</w:t>
      </w:r>
      <w:r>
        <w:rPr>
          <w:rFonts w:hint="eastAsia" w:ascii="宋体" w:hAnsi="宋体" w:eastAsia="宋体" w:cs="宋体"/>
          <w:sz w:val="21"/>
          <w:szCs w:val="21"/>
          <w:lang w:eastAsia="zh-CN"/>
        </w:rPr>
        <w:t>，</w:t>
      </w:r>
      <w:r>
        <w:rPr>
          <w:rFonts w:hint="eastAsia" w:ascii="宋体" w:hAnsi="宋体" w:eastAsia="宋体" w:cs="宋体"/>
          <w:sz w:val="21"/>
          <w:szCs w:val="21"/>
        </w:rPr>
        <w:t>具体详见</w:t>
      </w:r>
      <w:r>
        <w:rPr>
          <w:rFonts w:hint="eastAsia" w:ascii="宋体" w:hAnsi="宋体" w:eastAsia="宋体" w:cs="宋体"/>
          <w:sz w:val="21"/>
          <w:szCs w:val="21"/>
          <w:lang w:eastAsia="zh-CN"/>
        </w:rPr>
        <w:t>供应商</w:t>
      </w:r>
      <w:r>
        <w:rPr>
          <w:rFonts w:hint="eastAsia" w:ascii="宋体" w:hAnsi="宋体" w:eastAsia="宋体" w:cs="宋体"/>
          <w:sz w:val="21"/>
          <w:szCs w:val="21"/>
        </w:rPr>
        <w:t>须知前附表。</w:t>
      </w:r>
    </w:p>
    <w:p w14:paraId="0DD95A17">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rPr>
      </w:pPr>
      <w:bookmarkStart w:id="174" w:name="_Toc20227"/>
      <w:bookmarkStart w:id="175" w:name="_Toc515647785"/>
      <w:bookmarkStart w:id="176" w:name="_Toc532473477"/>
      <w:bookmarkStart w:id="177" w:name="_Toc9378"/>
      <w:bookmarkStart w:id="178" w:name="_Toc2582291"/>
      <w:r>
        <w:rPr>
          <w:rFonts w:hint="eastAsia" w:ascii="宋体" w:hAnsi="宋体" w:eastAsia="宋体" w:cs="宋体"/>
          <w:b/>
          <w:bCs/>
          <w:sz w:val="21"/>
          <w:szCs w:val="21"/>
        </w:rPr>
        <w:t>废标</w:t>
      </w:r>
      <w:bookmarkEnd w:id="174"/>
      <w:bookmarkEnd w:id="175"/>
      <w:bookmarkEnd w:id="176"/>
      <w:bookmarkEnd w:id="177"/>
      <w:bookmarkEnd w:id="178"/>
    </w:p>
    <w:p w14:paraId="7E316978">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rPr>
      </w:pPr>
      <w:r>
        <w:rPr>
          <w:rFonts w:hint="eastAsia" w:ascii="宋体" w:hAnsi="宋体" w:eastAsia="宋体" w:cs="宋体"/>
          <w:sz w:val="21"/>
          <w:szCs w:val="21"/>
        </w:rPr>
        <w:t xml:space="preserve">出现下列情形之一，将导致项目废标： </w:t>
      </w:r>
    </w:p>
    <w:p w14:paraId="3511434C">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508" w:leftChars="0" w:hanging="708" w:firstLineChars="0"/>
        <w:textAlignment w:val="auto"/>
        <w:rPr>
          <w:rFonts w:hint="eastAsia" w:ascii="宋体" w:hAnsi="宋体" w:eastAsia="宋体" w:cs="宋体"/>
          <w:sz w:val="21"/>
          <w:szCs w:val="21"/>
        </w:rPr>
      </w:pPr>
      <w:r>
        <w:rPr>
          <w:rFonts w:hint="eastAsia" w:ascii="宋体" w:hAnsi="宋体" w:eastAsia="宋体" w:cs="宋体"/>
          <w:sz w:val="21"/>
          <w:szCs w:val="21"/>
        </w:rPr>
        <w:t>符合专业条件的供应商或者对招标文件做实质性响应的供应商不足三家；</w:t>
      </w:r>
    </w:p>
    <w:p w14:paraId="36D0C182">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508" w:leftChars="0" w:hanging="708" w:firstLineChars="0"/>
        <w:textAlignment w:val="auto"/>
        <w:rPr>
          <w:rFonts w:hint="eastAsia" w:ascii="宋体" w:hAnsi="宋体" w:eastAsia="宋体" w:cs="宋体"/>
          <w:sz w:val="21"/>
          <w:szCs w:val="21"/>
        </w:rPr>
      </w:pPr>
      <w:r>
        <w:rPr>
          <w:rFonts w:hint="eastAsia" w:ascii="宋体" w:hAnsi="宋体" w:eastAsia="宋体" w:cs="宋体"/>
          <w:sz w:val="21"/>
          <w:szCs w:val="21"/>
        </w:rPr>
        <w:t>出现影响采购公正的违法、违规行为的；</w:t>
      </w:r>
    </w:p>
    <w:p w14:paraId="03B435D3">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508" w:leftChars="0" w:hanging="708" w:firstLineChars="0"/>
        <w:textAlignment w:val="auto"/>
        <w:rPr>
          <w:rFonts w:hint="eastAsia" w:ascii="宋体" w:hAnsi="宋体" w:eastAsia="宋体" w:cs="宋体"/>
          <w:sz w:val="21"/>
          <w:szCs w:val="21"/>
        </w:rPr>
      </w:pPr>
      <w:r>
        <w:rPr>
          <w:rFonts w:hint="eastAsia" w:ascii="宋体" w:hAnsi="宋体" w:eastAsia="宋体" w:cs="宋体"/>
          <w:sz w:val="21"/>
          <w:szCs w:val="21"/>
        </w:rPr>
        <w:t>投标人的报价均超过了采购预算，采购人不能支付的；</w:t>
      </w:r>
    </w:p>
    <w:p w14:paraId="5F39EE06">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508" w:leftChars="0" w:hanging="708" w:firstLineChars="0"/>
        <w:textAlignment w:val="auto"/>
        <w:rPr>
          <w:rFonts w:hint="eastAsia" w:ascii="宋体" w:hAnsi="宋体" w:eastAsia="宋体" w:cs="宋体"/>
          <w:sz w:val="21"/>
          <w:szCs w:val="21"/>
        </w:rPr>
      </w:pPr>
      <w:r>
        <w:rPr>
          <w:rFonts w:hint="eastAsia" w:ascii="宋体" w:hAnsi="宋体" w:eastAsia="宋体" w:cs="宋体"/>
          <w:sz w:val="21"/>
          <w:szCs w:val="21"/>
        </w:rPr>
        <w:t>因重大变故，采购任务取消的。</w:t>
      </w:r>
    </w:p>
    <w:p w14:paraId="1FD55A21">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rPr>
      </w:pPr>
      <w:bookmarkStart w:id="179" w:name="_Toc515647786"/>
      <w:bookmarkStart w:id="180" w:name="_Toc24972"/>
      <w:bookmarkStart w:id="181" w:name="_Toc31289"/>
      <w:bookmarkStart w:id="182" w:name="_Toc2582292"/>
      <w:bookmarkStart w:id="183" w:name="_Toc532473478"/>
      <w:bookmarkStart w:id="184" w:name="_Toc520356169"/>
      <w:r>
        <w:rPr>
          <w:rFonts w:hint="eastAsia" w:ascii="宋体" w:hAnsi="宋体" w:eastAsia="宋体" w:cs="宋体"/>
          <w:b/>
          <w:bCs/>
          <w:sz w:val="21"/>
          <w:szCs w:val="21"/>
        </w:rPr>
        <w:t>保密</w:t>
      </w:r>
      <w:bookmarkEnd w:id="179"/>
      <w:bookmarkEnd w:id="180"/>
      <w:bookmarkEnd w:id="181"/>
      <w:r>
        <w:rPr>
          <w:rFonts w:hint="eastAsia" w:ascii="宋体" w:hAnsi="宋体" w:eastAsia="宋体" w:cs="宋体"/>
          <w:b/>
          <w:bCs/>
          <w:sz w:val="21"/>
          <w:szCs w:val="21"/>
        </w:rPr>
        <w:t>要求</w:t>
      </w:r>
      <w:bookmarkEnd w:id="182"/>
      <w:bookmarkEnd w:id="183"/>
    </w:p>
    <w:p w14:paraId="3A75D7CF">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评标将在严格保密的情况下进行。</w:t>
      </w:r>
    </w:p>
    <w:p w14:paraId="0B07AD35">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有关人员应当遵守评标工作纪律，不得泄露评标文件评标情况和评标中获悉的国家秘密、商业秘密。</w:t>
      </w:r>
    </w:p>
    <w:bookmarkEnd w:id="184"/>
    <w:p w14:paraId="1275E51B">
      <w:pPr>
        <w:pStyle w:val="6"/>
        <w:bidi w:val="0"/>
        <w:rPr>
          <w:rFonts w:hint="eastAsia" w:ascii="宋体" w:hAnsi="宋体" w:eastAsia="宋体" w:cs="宋体"/>
        </w:rPr>
      </w:pPr>
      <w:bookmarkStart w:id="185" w:name="_Toc216582810"/>
      <w:bookmarkStart w:id="186" w:name="_Toc532473479"/>
      <w:bookmarkStart w:id="187" w:name="_Toc2582293"/>
      <w:bookmarkStart w:id="188" w:name="_Toc23904"/>
      <w:bookmarkStart w:id="189" w:name="_Toc12143"/>
      <w:bookmarkStart w:id="190" w:name="_Toc515647787"/>
      <w:bookmarkStart w:id="191" w:name="_Toc32742"/>
      <w:r>
        <w:rPr>
          <w:rFonts w:hint="eastAsia" w:ascii="宋体" w:hAnsi="宋体" w:eastAsia="宋体" w:cs="宋体"/>
          <w:lang w:eastAsia="zh-CN"/>
        </w:rPr>
        <w:t>（六）</w:t>
      </w:r>
      <w:r>
        <w:rPr>
          <w:rFonts w:hint="eastAsia" w:ascii="宋体" w:hAnsi="宋体" w:eastAsia="宋体" w:cs="宋体"/>
        </w:rPr>
        <w:t>确定中标</w:t>
      </w:r>
      <w:bookmarkEnd w:id="185"/>
      <w:bookmarkEnd w:id="186"/>
      <w:bookmarkEnd w:id="187"/>
      <w:bookmarkEnd w:id="188"/>
      <w:bookmarkEnd w:id="189"/>
      <w:bookmarkEnd w:id="190"/>
      <w:bookmarkEnd w:id="191"/>
    </w:p>
    <w:p w14:paraId="4D0819F8">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rPr>
      </w:pPr>
      <w:bookmarkStart w:id="192" w:name="_Toc532473480"/>
      <w:bookmarkStart w:id="193" w:name="_Toc515647788"/>
      <w:bookmarkStart w:id="194" w:name="_Toc520356170"/>
      <w:bookmarkStart w:id="195" w:name="_Toc2582294"/>
      <w:bookmarkStart w:id="196" w:name="_Toc23762"/>
      <w:bookmarkStart w:id="197" w:name="_Toc23617"/>
      <w:bookmarkStart w:id="198" w:name="_Ref467307010"/>
      <w:r>
        <w:rPr>
          <w:rFonts w:hint="eastAsia" w:ascii="宋体" w:hAnsi="宋体" w:eastAsia="宋体" w:cs="宋体"/>
          <w:b/>
          <w:bCs/>
          <w:sz w:val="21"/>
          <w:szCs w:val="21"/>
        </w:rPr>
        <w:t>中标候选人的确定原则及标准</w:t>
      </w:r>
      <w:bookmarkEnd w:id="192"/>
      <w:bookmarkEnd w:id="193"/>
      <w:bookmarkEnd w:id="194"/>
      <w:bookmarkEnd w:id="195"/>
      <w:bookmarkEnd w:id="196"/>
      <w:bookmarkEnd w:id="197"/>
      <w:bookmarkEnd w:id="198"/>
    </w:p>
    <w:p w14:paraId="1157EC51">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除评标委员会受采购人委托直接确定</w:t>
      </w:r>
      <w:r>
        <w:rPr>
          <w:rFonts w:hint="eastAsia" w:ascii="宋体" w:hAnsi="宋体" w:eastAsia="宋体" w:cs="宋体"/>
          <w:sz w:val="21"/>
          <w:szCs w:val="21"/>
          <w:lang w:eastAsia="zh-CN"/>
        </w:rPr>
        <w:t>中标供应商</w:t>
      </w:r>
      <w:r>
        <w:rPr>
          <w:rFonts w:hint="eastAsia" w:ascii="宋体" w:hAnsi="宋体" w:eastAsia="宋体" w:cs="宋体"/>
          <w:sz w:val="21"/>
          <w:szCs w:val="21"/>
        </w:rPr>
        <w:t>的情形外，对实质上响应招标文件的投标人按下列方法进行排序，确定中标候选人：</w:t>
      </w:r>
    </w:p>
    <w:p w14:paraId="5A6747D6">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668" w:leftChars="0" w:hanging="868" w:firstLineChars="0"/>
        <w:textAlignment w:val="auto"/>
        <w:rPr>
          <w:rFonts w:hint="eastAsia" w:ascii="宋体" w:hAnsi="宋体" w:eastAsia="宋体" w:cs="宋体"/>
          <w:sz w:val="21"/>
          <w:szCs w:val="21"/>
          <w:lang w:val="en-US" w:eastAsia="zh-CN"/>
        </w:rPr>
      </w:pPr>
      <w:bookmarkStart w:id="199" w:name="_Toc520356171"/>
      <w:bookmarkStart w:id="200" w:name="_Toc515647789"/>
      <w:r>
        <w:rPr>
          <w:rFonts w:hint="eastAsia" w:ascii="宋体" w:hAnsi="宋体" w:eastAsia="宋体" w:cs="宋体"/>
          <w:sz w:val="21"/>
          <w:szCs w:val="21"/>
        </w:rPr>
        <w:t>采用最低评标价法的，除了算术修正和落实政府采购政策需进行的价格扣除外，不对投标人的投标价格进行任何调整。评标结果按修正和扣除后的投标报价由低到高顺序排列。得分与投标报价均相同的处理方式</w:t>
      </w:r>
      <w:r>
        <w:rPr>
          <w:rFonts w:hint="eastAsia" w:ascii="宋体" w:hAnsi="宋体" w:eastAsia="宋体" w:cs="宋体"/>
          <w:sz w:val="21"/>
          <w:szCs w:val="21"/>
          <w:lang w:eastAsia="zh-CN"/>
        </w:rPr>
        <w:t>：</w:t>
      </w:r>
      <w:r>
        <w:rPr>
          <w:rFonts w:hint="eastAsia" w:ascii="宋体" w:hAnsi="宋体" w:eastAsia="宋体" w:cs="宋体"/>
          <w:sz w:val="21"/>
          <w:szCs w:val="21"/>
          <w:u w:val="single"/>
          <w:lang w:val="en-US" w:eastAsia="zh-CN"/>
        </w:rPr>
        <w:t xml:space="preserve">  /  </w:t>
      </w:r>
      <w:r>
        <w:rPr>
          <w:rFonts w:hint="eastAsia" w:ascii="宋体" w:hAnsi="宋体" w:eastAsia="宋体" w:cs="宋体"/>
          <w:sz w:val="21"/>
          <w:szCs w:val="21"/>
          <w:lang w:val="en-US" w:eastAsia="zh-CN"/>
        </w:rPr>
        <w:t>。</w:t>
      </w:r>
    </w:p>
    <w:p w14:paraId="70295A1E">
      <w:pPr>
        <w:keepNext w:val="0"/>
        <w:keepLines w:val="0"/>
        <w:pageBreakBefore w:val="0"/>
        <w:widowControl w:val="0"/>
        <w:numPr>
          <w:ilvl w:val="2"/>
          <w:numId w:val="1"/>
        </w:numPr>
        <w:kinsoku/>
        <w:wordWrap/>
        <w:overflowPunct/>
        <w:topLinePunct w:val="0"/>
        <w:autoSpaceDE/>
        <w:autoSpaceDN/>
        <w:bidi w:val="0"/>
        <w:adjustRightInd/>
        <w:snapToGrid/>
        <w:spacing w:line="396" w:lineRule="auto"/>
        <w:ind w:left="1668" w:leftChars="0" w:hanging="868" w:firstLineChars="0"/>
        <w:textAlignment w:val="auto"/>
        <w:rPr>
          <w:rFonts w:hint="eastAsia" w:ascii="宋体" w:hAnsi="宋体" w:eastAsia="宋体" w:cs="宋体"/>
          <w:sz w:val="21"/>
          <w:szCs w:val="21"/>
        </w:rPr>
      </w:pPr>
      <w:r>
        <w:rPr>
          <w:rFonts w:hint="eastAsia" w:ascii="宋体" w:hAnsi="宋体" w:eastAsia="宋体" w:cs="宋体"/>
          <w:sz w:val="21"/>
          <w:szCs w:val="21"/>
        </w:rPr>
        <w:t>采用综合评分法的，评标结果按评审后得分由高到低顺序排列。得分相同的，按修正和扣除后的投标报价由低到高顺序排列。得分与投标报价均相同的处理方式</w:t>
      </w:r>
      <w:r>
        <w:rPr>
          <w:rFonts w:hint="eastAsia" w:ascii="宋体" w:hAnsi="宋体" w:eastAsia="宋体" w:cs="宋体"/>
          <w:sz w:val="21"/>
          <w:szCs w:val="21"/>
          <w:lang w:eastAsia="zh-CN"/>
        </w:rPr>
        <w:t>：</w:t>
      </w:r>
      <w:r>
        <w:rPr>
          <w:rFonts w:hint="eastAsia" w:ascii="宋体" w:hAnsi="宋体" w:eastAsia="宋体" w:cs="宋体"/>
          <w:sz w:val="21"/>
          <w:szCs w:val="21"/>
          <w:u w:val="single"/>
          <w:lang w:val="en-US" w:eastAsia="zh-CN"/>
        </w:rPr>
        <w:t xml:space="preserve">  详见供应商须知前附表  </w:t>
      </w:r>
      <w:r>
        <w:rPr>
          <w:rFonts w:hint="eastAsia" w:ascii="宋体" w:hAnsi="宋体" w:eastAsia="宋体" w:cs="宋体"/>
          <w:sz w:val="21"/>
          <w:szCs w:val="21"/>
          <w:lang w:val="en-US" w:eastAsia="zh-CN"/>
        </w:rPr>
        <w:t>。</w:t>
      </w:r>
    </w:p>
    <w:bookmarkEnd w:id="199"/>
    <w:p w14:paraId="5CDDE6A4">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lang w:eastAsia="zh-CN"/>
        </w:rPr>
      </w:pPr>
      <w:bookmarkStart w:id="201" w:name="_Toc23951"/>
      <w:bookmarkStart w:id="202" w:name="_Toc2582295"/>
      <w:bookmarkStart w:id="203" w:name="_Toc532473481"/>
      <w:bookmarkStart w:id="204" w:name="_Toc9653"/>
      <w:r>
        <w:rPr>
          <w:rFonts w:hint="eastAsia" w:ascii="宋体" w:hAnsi="宋体" w:eastAsia="宋体" w:cs="宋体"/>
          <w:b/>
          <w:bCs/>
          <w:sz w:val="21"/>
          <w:szCs w:val="21"/>
        </w:rPr>
        <w:t>确定中标候选人和</w:t>
      </w:r>
      <w:bookmarkEnd w:id="200"/>
      <w:bookmarkEnd w:id="201"/>
      <w:bookmarkEnd w:id="202"/>
      <w:bookmarkEnd w:id="203"/>
      <w:bookmarkEnd w:id="204"/>
      <w:r>
        <w:rPr>
          <w:rFonts w:hint="eastAsia" w:ascii="宋体" w:hAnsi="宋体" w:eastAsia="宋体" w:cs="宋体"/>
          <w:b/>
          <w:bCs/>
          <w:sz w:val="21"/>
          <w:szCs w:val="21"/>
          <w:lang w:eastAsia="zh-CN"/>
        </w:rPr>
        <w:t>中标供应商</w:t>
      </w:r>
    </w:p>
    <w:p w14:paraId="5EA40661">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rPr>
      </w:pPr>
      <w:r>
        <w:rPr>
          <w:rFonts w:hint="eastAsia" w:ascii="宋体" w:hAnsi="宋体" w:eastAsia="宋体" w:cs="宋体"/>
          <w:sz w:val="21"/>
          <w:szCs w:val="21"/>
        </w:rPr>
        <w:t>评标委员会将根据评标标准，按</w:t>
      </w:r>
      <w:r>
        <w:rPr>
          <w:rFonts w:hint="eastAsia" w:ascii="宋体" w:hAnsi="宋体" w:eastAsia="宋体" w:cs="宋体"/>
          <w:sz w:val="21"/>
          <w:szCs w:val="21"/>
          <w:lang w:eastAsia="zh-CN"/>
        </w:rPr>
        <w:t>供应商</w:t>
      </w:r>
      <w:r>
        <w:rPr>
          <w:rFonts w:hint="eastAsia" w:ascii="宋体" w:hAnsi="宋体" w:eastAsia="宋体" w:cs="宋体"/>
          <w:sz w:val="21"/>
          <w:szCs w:val="21"/>
        </w:rPr>
        <w:t>须知前附表中规定数量推荐中标候选人。</w:t>
      </w:r>
    </w:p>
    <w:p w14:paraId="436D4F11">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020" w:leftChars="0" w:hanging="510" w:firstLineChars="0"/>
        <w:textAlignment w:val="auto"/>
        <w:rPr>
          <w:rFonts w:hint="eastAsia" w:ascii="宋体" w:hAnsi="宋体" w:eastAsia="宋体" w:cs="宋体"/>
          <w:sz w:val="21"/>
          <w:szCs w:val="21"/>
        </w:rPr>
      </w:pPr>
      <w:r>
        <w:rPr>
          <w:rFonts w:hint="eastAsia" w:ascii="宋体" w:hAnsi="宋体" w:eastAsia="宋体" w:cs="宋体"/>
          <w:sz w:val="21"/>
          <w:szCs w:val="21"/>
        </w:rPr>
        <w:t>按</w:t>
      </w:r>
      <w:r>
        <w:rPr>
          <w:rFonts w:hint="eastAsia" w:ascii="宋体" w:hAnsi="宋体" w:eastAsia="宋体" w:cs="宋体"/>
          <w:sz w:val="21"/>
          <w:szCs w:val="21"/>
          <w:lang w:eastAsia="zh-CN"/>
        </w:rPr>
        <w:t>供应商</w:t>
      </w:r>
      <w:r>
        <w:rPr>
          <w:rFonts w:hint="eastAsia" w:ascii="宋体" w:hAnsi="宋体" w:eastAsia="宋体" w:cs="宋体"/>
          <w:sz w:val="21"/>
          <w:szCs w:val="21"/>
        </w:rPr>
        <w:t>须知前附表中规定，由评标委员会直接确定</w:t>
      </w:r>
      <w:r>
        <w:rPr>
          <w:rFonts w:hint="eastAsia" w:ascii="宋体" w:hAnsi="宋体" w:eastAsia="宋体" w:cs="宋体"/>
          <w:sz w:val="21"/>
          <w:szCs w:val="21"/>
          <w:lang w:eastAsia="zh-CN"/>
        </w:rPr>
        <w:t>中标供应商</w:t>
      </w:r>
      <w:r>
        <w:rPr>
          <w:rFonts w:hint="eastAsia" w:ascii="宋体" w:hAnsi="宋体" w:eastAsia="宋体" w:cs="宋体"/>
          <w:sz w:val="21"/>
          <w:szCs w:val="21"/>
        </w:rPr>
        <w:t>。</w:t>
      </w:r>
    </w:p>
    <w:p w14:paraId="7992343A">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rPr>
      </w:pPr>
      <w:bookmarkStart w:id="205" w:name="_Toc2582296"/>
      <w:bookmarkStart w:id="206" w:name="_Toc520356174"/>
      <w:bookmarkStart w:id="207" w:name="_Toc532473483"/>
      <w:bookmarkStart w:id="208" w:name="_Toc515647791"/>
      <w:bookmarkStart w:id="209" w:name="_Toc31099"/>
      <w:bookmarkStart w:id="210" w:name="_Toc30170"/>
      <w:r>
        <w:rPr>
          <w:rFonts w:hint="eastAsia" w:ascii="宋体" w:hAnsi="宋体" w:eastAsia="宋体" w:cs="宋体"/>
          <w:b/>
          <w:bCs/>
          <w:sz w:val="21"/>
          <w:szCs w:val="21"/>
        </w:rPr>
        <w:t>发出中标通知书</w:t>
      </w:r>
      <w:bookmarkEnd w:id="205"/>
    </w:p>
    <w:p w14:paraId="0F5E8DB1">
      <w:pPr>
        <w:keepNext w:val="0"/>
        <w:keepLines w:val="0"/>
        <w:pageBreakBefore w:val="0"/>
        <w:widowControl w:val="0"/>
        <w:numPr>
          <w:ilvl w:val="0"/>
          <w:numId w:val="0"/>
        </w:numPr>
        <w:kinsoku/>
        <w:wordWrap/>
        <w:overflowPunct/>
        <w:topLinePunct w:val="0"/>
        <w:autoSpaceDE/>
        <w:autoSpaceDN/>
        <w:bidi w:val="0"/>
        <w:adjustRightInd/>
        <w:snapToGrid/>
        <w:spacing w:line="396" w:lineRule="auto"/>
        <w:ind w:left="640" w:leftChars="20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在投标有效期内，</w:t>
      </w:r>
      <w:r>
        <w:rPr>
          <w:rFonts w:hint="eastAsia" w:ascii="宋体" w:hAnsi="宋体" w:eastAsia="宋体" w:cs="宋体"/>
          <w:sz w:val="21"/>
          <w:szCs w:val="21"/>
          <w:lang w:eastAsia="zh-CN"/>
        </w:rPr>
        <w:t>中标供应商</w:t>
      </w:r>
      <w:r>
        <w:rPr>
          <w:rFonts w:hint="eastAsia" w:ascii="宋体" w:hAnsi="宋体" w:eastAsia="宋体" w:cs="宋体"/>
          <w:sz w:val="21"/>
          <w:szCs w:val="21"/>
        </w:rPr>
        <w:t>确定后，采购人或者采购代理机构发布中标公告。在公告中标结果的同时，向</w:t>
      </w:r>
      <w:r>
        <w:rPr>
          <w:rFonts w:hint="eastAsia" w:ascii="宋体" w:hAnsi="宋体" w:eastAsia="宋体" w:cs="宋体"/>
          <w:sz w:val="21"/>
          <w:szCs w:val="21"/>
          <w:lang w:eastAsia="zh-CN"/>
        </w:rPr>
        <w:t>中标供应商</w:t>
      </w:r>
      <w:r>
        <w:rPr>
          <w:rFonts w:hint="eastAsia" w:ascii="宋体" w:hAnsi="宋体" w:eastAsia="宋体" w:cs="宋体"/>
          <w:sz w:val="21"/>
          <w:szCs w:val="21"/>
        </w:rPr>
        <w:t>发出中标通知书，中标通知书是合同的组成部分。</w:t>
      </w:r>
    </w:p>
    <w:p w14:paraId="31796744">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rPr>
      </w:pPr>
      <w:bookmarkStart w:id="211" w:name="_Toc2582297"/>
      <w:r>
        <w:rPr>
          <w:rFonts w:hint="eastAsia" w:ascii="宋体" w:hAnsi="宋体" w:eastAsia="宋体" w:cs="宋体"/>
          <w:b/>
          <w:bCs/>
          <w:sz w:val="21"/>
          <w:szCs w:val="21"/>
        </w:rPr>
        <w:t>告知招标结果</w:t>
      </w:r>
      <w:bookmarkEnd w:id="211"/>
    </w:p>
    <w:p w14:paraId="122026F4">
      <w:pPr>
        <w:keepNext w:val="0"/>
        <w:keepLines w:val="0"/>
        <w:pageBreakBefore w:val="0"/>
        <w:widowControl w:val="0"/>
        <w:numPr>
          <w:ilvl w:val="0"/>
          <w:numId w:val="0"/>
        </w:numPr>
        <w:kinsoku/>
        <w:wordWrap/>
        <w:overflowPunct/>
        <w:topLinePunct w:val="0"/>
        <w:autoSpaceDE/>
        <w:autoSpaceDN/>
        <w:bidi w:val="0"/>
        <w:adjustRightInd/>
        <w:snapToGrid/>
        <w:spacing w:line="396" w:lineRule="auto"/>
        <w:ind w:left="640" w:leftChars="20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在公告中标结果的同时，告知未通过资格审查投标人未通过的原因；采用综合评分法评审的，还将告知未</w:t>
      </w:r>
      <w:r>
        <w:rPr>
          <w:rFonts w:hint="eastAsia" w:ascii="宋体" w:hAnsi="宋体" w:eastAsia="宋体" w:cs="宋体"/>
          <w:sz w:val="21"/>
          <w:szCs w:val="21"/>
          <w:lang w:eastAsia="zh-CN"/>
        </w:rPr>
        <w:t>中标供应商</w:t>
      </w:r>
      <w:r>
        <w:rPr>
          <w:rFonts w:hint="eastAsia" w:ascii="宋体" w:hAnsi="宋体" w:eastAsia="宋体" w:cs="宋体"/>
          <w:sz w:val="21"/>
          <w:szCs w:val="21"/>
        </w:rPr>
        <w:t>本人的评审得分和排序。</w:t>
      </w:r>
      <w:bookmarkEnd w:id="206"/>
      <w:bookmarkEnd w:id="207"/>
      <w:bookmarkEnd w:id="208"/>
      <w:bookmarkEnd w:id="209"/>
      <w:bookmarkEnd w:id="210"/>
    </w:p>
    <w:p w14:paraId="4B1FCFCD">
      <w:pPr>
        <w:pStyle w:val="6"/>
        <w:bidi w:val="0"/>
        <w:rPr>
          <w:rFonts w:hint="eastAsia" w:ascii="宋体" w:hAnsi="宋体" w:eastAsia="宋体" w:cs="宋体"/>
        </w:rPr>
      </w:pPr>
      <w:bookmarkStart w:id="212" w:name="_Toc29982"/>
      <w:bookmarkStart w:id="213" w:name="_Toc515647792"/>
      <w:bookmarkStart w:id="214" w:name="_Ref467307062"/>
      <w:bookmarkStart w:id="215" w:name="_Toc520356175"/>
      <w:bookmarkStart w:id="216" w:name="_Toc532473484"/>
      <w:bookmarkStart w:id="217" w:name="_Toc790"/>
      <w:bookmarkStart w:id="218" w:name="_Toc2582298"/>
      <w:bookmarkStart w:id="219" w:name="_Ref467306377"/>
      <w:bookmarkStart w:id="220" w:name="_Toc7779"/>
      <w:bookmarkStart w:id="221" w:name="_Ref467307204"/>
      <w:bookmarkStart w:id="222" w:name="_Ref467306978"/>
      <w:r>
        <w:rPr>
          <w:rFonts w:hint="eastAsia" w:ascii="宋体" w:hAnsi="宋体" w:eastAsia="宋体" w:cs="宋体"/>
          <w:lang w:eastAsia="zh-CN"/>
        </w:rPr>
        <w:t>（七）合同及履约验收</w:t>
      </w:r>
      <w:bookmarkEnd w:id="212"/>
    </w:p>
    <w:p w14:paraId="3A80CD47">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rPr>
      </w:pPr>
      <w:r>
        <w:rPr>
          <w:rFonts w:hint="eastAsia" w:ascii="宋体" w:hAnsi="宋体" w:eastAsia="宋体" w:cs="宋体"/>
          <w:b/>
          <w:bCs/>
          <w:sz w:val="21"/>
          <w:szCs w:val="21"/>
        </w:rPr>
        <w:t>签订合同</w:t>
      </w:r>
      <w:bookmarkEnd w:id="213"/>
      <w:bookmarkEnd w:id="214"/>
      <w:bookmarkEnd w:id="215"/>
      <w:bookmarkEnd w:id="216"/>
      <w:bookmarkEnd w:id="217"/>
      <w:bookmarkEnd w:id="218"/>
      <w:bookmarkEnd w:id="219"/>
      <w:bookmarkEnd w:id="220"/>
      <w:bookmarkEnd w:id="221"/>
      <w:bookmarkEnd w:id="222"/>
    </w:p>
    <w:p w14:paraId="1967E1E3">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采购人与</w:t>
      </w:r>
      <w:r>
        <w:rPr>
          <w:rFonts w:hint="eastAsia" w:ascii="宋体" w:hAnsi="宋体" w:eastAsia="宋体" w:cs="宋体"/>
          <w:sz w:val="21"/>
          <w:szCs w:val="21"/>
          <w:lang w:eastAsia="zh-CN"/>
        </w:rPr>
        <w:t>中标供应商</w:t>
      </w:r>
      <w:r>
        <w:rPr>
          <w:rFonts w:hint="eastAsia" w:ascii="宋体" w:hAnsi="宋体" w:eastAsia="宋体" w:cs="宋体"/>
          <w:sz w:val="21"/>
          <w:szCs w:val="21"/>
        </w:rPr>
        <w:t>应当</w:t>
      </w:r>
      <w:r>
        <w:rPr>
          <w:rFonts w:hint="eastAsia" w:ascii="宋体" w:hAnsi="宋体" w:eastAsia="宋体" w:cs="宋体"/>
          <w:sz w:val="21"/>
          <w:szCs w:val="21"/>
          <w:lang w:eastAsia="zh-CN"/>
        </w:rPr>
        <w:t>在</w:t>
      </w:r>
      <w:r>
        <w:rPr>
          <w:rFonts w:hint="eastAsia" w:ascii="宋体" w:hAnsi="宋体" w:eastAsia="宋体" w:cs="宋体"/>
          <w:sz w:val="21"/>
          <w:szCs w:val="21"/>
        </w:rPr>
        <w:t>中标通知书</w:t>
      </w:r>
      <w:r>
        <w:rPr>
          <w:rFonts w:hint="eastAsia" w:ascii="宋体" w:hAnsi="宋体" w:eastAsia="宋体" w:cs="宋体"/>
          <w:sz w:val="21"/>
          <w:szCs w:val="21"/>
          <w:lang w:eastAsia="zh-CN"/>
        </w:rPr>
        <w:t>发出之日</w:t>
      </w:r>
      <w:r>
        <w:rPr>
          <w:rFonts w:hint="eastAsia" w:ascii="宋体" w:hAnsi="宋体" w:eastAsia="宋体" w:cs="宋体"/>
          <w:sz w:val="21"/>
          <w:szCs w:val="21"/>
        </w:rPr>
        <w:t>起</w:t>
      </w:r>
      <w:r>
        <w:rPr>
          <w:rFonts w:hint="eastAsia" w:ascii="宋体" w:hAnsi="宋体" w:eastAsia="宋体" w:cs="宋体"/>
          <w:sz w:val="21"/>
          <w:szCs w:val="21"/>
          <w:lang w:val="en-US" w:eastAsia="zh-CN"/>
        </w:rPr>
        <w:t>十五</w:t>
      </w:r>
      <w:r>
        <w:rPr>
          <w:rFonts w:hint="eastAsia" w:ascii="宋体" w:hAnsi="宋体" w:eastAsia="宋体" w:cs="宋体"/>
          <w:sz w:val="21"/>
          <w:szCs w:val="21"/>
        </w:rPr>
        <w:t>日内，签订</w:t>
      </w:r>
      <w:r>
        <w:rPr>
          <w:rFonts w:hint="eastAsia" w:ascii="宋体" w:hAnsi="宋体" w:eastAsia="宋体" w:cs="宋体"/>
          <w:sz w:val="21"/>
          <w:szCs w:val="21"/>
          <w:lang w:eastAsia="zh-CN"/>
        </w:rPr>
        <w:t>政府采购</w:t>
      </w:r>
      <w:r>
        <w:rPr>
          <w:rFonts w:hint="eastAsia" w:ascii="宋体" w:hAnsi="宋体" w:eastAsia="宋体" w:cs="宋体"/>
          <w:sz w:val="21"/>
          <w:szCs w:val="21"/>
        </w:rPr>
        <w:t>合同。</w:t>
      </w:r>
    </w:p>
    <w:p w14:paraId="600FC84E">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bookmarkStart w:id="223" w:name="_Ref467306425"/>
      <w:bookmarkStart w:id="224" w:name="_Toc520356176"/>
      <w:bookmarkStart w:id="225" w:name="_Ref467307090"/>
      <w:r>
        <w:rPr>
          <w:rFonts w:hint="eastAsia" w:ascii="宋体" w:hAnsi="宋体" w:eastAsia="宋体" w:cs="宋体"/>
          <w:sz w:val="21"/>
          <w:szCs w:val="21"/>
        </w:rPr>
        <w:t>招标文件、</w:t>
      </w:r>
      <w:r>
        <w:rPr>
          <w:rFonts w:hint="eastAsia" w:ascii="宋体" w:hAnsi="宋体" w:eastAsia="宋体" w:cs="宋体"/>
          <w:sz w:val="21"/>
          <w:szCs w:val="21"/>
          <w:lang w:eastAsia="zh-CN"/>
        </w:rPr>
        <w:t>中标供应商</w:t>
      </w:r>
      <w:r>
        <w:rPr>
          <w:rFonts w:hint="eastAsia" w:ascii="宋体" w:hAnsi="宋体" w:eastAsia="宋体" w:cs="宋体"/>
          <w:sz w:val="21"/>
          <w:szCs w:val="21"/>
        </w:rPr>
        <w:t>的投标文件及其澄清文件等，均为签订合同的依据。所签订的合同不得对招标文件确定的事项和中标人投标文件作实质性修改</w:t>
      </w:r>
      <w:r>
        <w:rPr>
          <w:rFonts w:hint="eastAsia" w:ascii="宋体" w:hAnsi="宋体" w:eastAsia="宋体" w:cs="宋体"/>
          <w:sz w:val="21"/>
          <w:szCs w:val="21"/>
          <w:lang w:eastAsia="zh-CN"/>
        </w:rPr>
        <w:t>。</w:t>
      </w:r>
      <w:r>
        <w:rPr>
          <w:rFonts w:hint="eastAsia" w:ascii="宋体" w:hAnsi="宋体" w:eastAsia="宋体" w:cs="宋体"/>
          <w:sz w:val="21"/>
          <w:szCs w:val="21"/>
        </w:rPr>
        <w:t>采购人不得向中标人提出任何不合理的要求作为签订合同的条件。</w:t>
      </w:r>
    </w:p>
    <w:p w14:paraId="3FB5E681">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如</w:t>
      </w:r>
      <w:r>
        <w:rPr>
          <w:rFonts w:hint="eastAsia" w:ascii="宋体" w:hAnsi="宋体" w:eastAsia="宋体" w:cs="宋体"/>
          <w:sz w:val="21"/>
          <w:szCs w:val="21"/>
          <w:lang w:eastAsia="zh-CN"/>
        </w:rPr>
        <w:t>中标供应商</w:t>
      </w:r>
      <w:r>
        <w:rPr>
          <w:rFonts w:hint="eastAsia" w:ascii="宋体" w:hAnsi="宋体" w:eastAsia="宋体" w:cs="宋体"/>
          <w:sz w:val="21"/>
          <w:szCs w:val="21"/>
        </w:rPr>
        <w:t>拒绝与采购人签订合同的，</w:t>
      </w:r>
      <w:r>
        <w:rPr>
          <w:rFonts w:hint="eastAsia" w:ascii="宋体" w:hAnsi="宋体" w:eastAsia="宋体" w:cs="宋体"/>
          <w:sz w:val="21"/>
          <w:szCs w:val="21"/>
          <w:lang w:eastAsia="zh-CN"/>
        </w:rPr>
        <w:t>中标供应商</w:t>
      </w:r>
      <w:r>
        <w:rPr>
          <w:rFonts w:hint="eastAsia" w:ascii="宋体" w:hAnsi="宋体" w:eastAsia="宋体" w:cs="宋体"/>
          <w:sz w:val="21"/>
          <w:szCs w:val="21"/>
        </w:rPr>
        <w:t>须按投标</w:t>
      </w:r>
      <w:r>
        <w:rPr>
          <w:rFonts w:hint="eastAsia" w:ascii="宋体" w:hAnsi="宋体" w:eastAsia="宋体" w:cs="宋体"/>
          <w:sz w:val="21"/>
          <w:szCs w:val="21"/>
          <w:lang w:eastAsia="zh-CN"/>
        </w:rPr>
        <w:t>函</w:t>
      </w:r>
      <w:r>
        <w:rPr>
          <w:rFonts w:hint="eastAsia" w:ascii="宋体" w:hAnsi="宋体" w:eastAsia="宋体" w:cs="宋体"/>
          <w:sz w:val="21"/>
          <w:szCs w:val="21"/>
        </w:rPr>
        <w:t>内容向采购人和采购代理机构支付赔偿；采购人可以按照评标报告推荐的中标候选人排序，确定下一中标候选人为</w:t>
      </w:r>
      <w:r>
        <w:rPr>
          <w:rFonts w:hint="eastAsia" w:ascii="宋体" w:hAnsi="宋体" w:eastAsia="宋体" w:cs="宋体"/>
          <w:sz w:val="21"/>
          <w:szCs w:val="21"/>
          <w:lang w:eastAsia="zh-CN"/>
        </w:rPr>
        <w:t>中标供应商</w:t>
      </w:r>
      <w:r>
        <w:rPr>
          <w:rFonts w:hint="eastAsia" w:ascii="宋体" w:hAnsi="宋体" w:eastAsia="宋体" w:cs="宋体"/>
          <w:sz w:val="21"/>
          <w:szCs w:val="21"/>
        </w:rPr>
        <w:t>，也可以重新开展采购活动。</w:t>
      </w:r>
    </w:p>
    <w:p w14:paraId="1FB54157">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当出现</w:t>
      </w:r>
      <w:r>
        <w:rPr>
          <w:rFonts w:hint="eastAsia" w:ascii="宋体" w:hAnsi="宋体" w:eastAsia="宋体" w:cs="宋体"/>
          <w:sz w:val="21"/>
          <w:szCs w:val="21"/>
          <w:lang w:eastAsia="zh-CN"/>
        </w:rPr>
        <w:t>法律</w:t>
      </w:r>
      <w:r>
        <w:rPr>
          <w:rFonts w:hint="eastAsia" w:ascii="宋体" w:hAnsi="宋体" w:eastAsia="宋体" w:cs="宋体"/>
          <w:sz w:val="21"/>
          <w:szCs w:val="21"/>
        </w:rPr>
        <w:t>法规规定的中标无效或中标结果无效情形时，</w:t>
      </w:r>
      <w:bookmarkStart w:id="226" w:name="_Hlk73948372"/>
      <w:r>
        <w:rPr>
          <w:rFonts w:hint="eastAsia" w:ascii="宋体" w:hAnsi="宋体" w:eastAsia="宋体" w:cs="宋体"/>
          <w:sz w:val="21"/>
          <w:szCs w:val="21"/>
          <w:lang w:eastAsia="zh-CN"/>
        </w:rPr>
        <w:t>且</w:t>
      </w:r>
      <w:r>
        <w:rPr>
          <w:rFonts w:hint="eastAsia" w:ascii="宋体" w:hAnsi="宋体" w:eastAsia="宋体" w:cs="宋体"/>
          <w:sz w:val="21"/>
          <w:szCs w:val="21"/>
        </w:rPr>
        <w:t>合格的供应商数量符合规定，</w:t>
      </w:r>
      <w:bookmarkEnd w:id="226"/>
      <w:r>
        <w:rPr>
          <w:rFonts w:hint="eastAsia" w:ascii="宋体" w:hAnsi="宋体" w:eastAsia="宋体" w:cs="宋体"/>
          <w:sz w:val="21"/>
          <w:szCs w:val="21"/>
        </w:rPr>
        <w:t>采购人可与排名下一位的中标候选人另行签订合同，或依法重新开展采购活动。</w:t>
      </w:r>
    </w:p>
    <w:p w14:paraId="32BCBA47">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rPr>
      </w:pPr>
      <w:bookmarkStart w:id="227" w:name="_Toc22555"/>
      <w:bookmarkStart w:id="228" w:name="_Toc2582299"/>
      <w:bookmarkStart w:id="229" w:name="_Toc14080"/>
      <w:bookmarkStart w:id="230" w:name="_Toc515647793"/>
      <w:bookmarkStart w:id="231" w:name="_Toc532473485"/>
      <w:r>
        <w:rPr>
          <w:rFonts w:hint="eastAsia" w:ascii="宋体" w:hAnsi="宋体" w:eastAsia="宋体" w:cs="宋体"/>
          <w:b/>
          <w:bCs/>
          <w:sz w:val="21"/>
          <w:szCs w:val="21"/>
        </w:rPr>
        <w:t>履约保证金</w:t>
      </w:r>
      <w:bookmarkEnd w:id="223"/>
      <w:bookmarkEnd w:id="224"/>
      <w:bookmarkEnd w:id="225"/>
      <w:bookmarkEnd w:id="227"/>
      <w:bookmarkEnd w:id="228"/>
      <w:bookmarkEnd w:id="229"/>
      <w:bookmarkEnd w:id="230"/>
      <w:bookmarkEnd w:id="231"/>
    </w:p>
    <w:p w14:paraId="6E5601B6">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如果需要履约保证金，</w:t>
      </w:r>
      <w:r>
        <w:rPr>
          <w:rFonts w:hint="eastAsia" w:ascii="宋体" w:hAnsi="宋体" w:eastAsia="宋体" w:cs="宋体"/>
          <w:sz w:val="21"/>
          <w:szCs w:val="21"/>
          <w:lang w:eastAsia="zh-CN"/>
        </w:rPr>
        <w:t>中标供应商</w:t>
      </w:r>
      <w:r>
        <w:rPr>
          <w:rFonts w:hint="eastAsia" w:ascii="宋体" w:hAnsi="宋体" w:eastAsia="宋体" w:cs="宋体"/>
          <w:sz w:val="21"/>
          <w:szCs w:val="21"/>
        </w:rPr>
        <w:t>应按照</w:t>
      </w:r>
      <w:r>
        <w:rPr>
          <w:rFonts w:hint="eastAsia" w:ascii="宋体" w:hAnsi="宋体" w:eastAsia="宋体" w:cs="宋体"/>
          <w:sz w:val="21"/>
          <w:szCs w:val="21"/>
          <w:lang w:eastAsia="zh-CN"/>
        </w:rPr>
        <w:t>供应商</w:t>
      </w:r>
      <w:r>
        <w:rPr>
          <w:rFonts w:hint="eastAsia" w:ascii="宋体" w:hAnsi="宋体" w:eastAsia="宋体" w:cs="宋体"/>
          <w:sz w:val="21"/>
          <w:szCs w:val="21"/>
        </w:rPr>
        <w:t>须知前附表规定</w:t>
      </w:r>
      <w:r>
        <w:rPr>
          <w:rFonts w:hint="eastAsia" w:ascii="宋体" w:hAnsi="宋体" w:eastAsia="宋体" w:cs="宋体"/>
          <w:sz w:val="21"/>
          <w:szCs w:val="21"/>
          <w:lang w:eastAsia="zh-CN"/>
        </w:rPr>
        <w:t>向</w:t>
      </w:r>
      <w:r>
        <w:rPr>
          <w:rFonts w:hint="eastAsia" w:ascii="宋体" w:hAnsi="宋体" w:eastAsia="宋体" w:cs="宋体"/>
          <w:sz w:val="21"/>
          <w:szCs w:val="21"/>
        </w:rPr>
        <w:t>采购人</w:t>
      </w:r>
      <w:r>
        <w:rPr>
          <w:rFonts w:hint="eastAsia" w:ascii="宋体" w:hAnsi="宋体" w:eastAsia="宋体" w:cs="宋体"/>
          <w:sz w:val="21"/>
          <w:szCs w:val="21"/>
          <w:lang w:eastAsia="zh-CN"/>
        </w:rPr>
        <w:t>提交</w:t>
      </w:r>
      <w:r>
        <w:rPr>
          <w:rFonts w:hint="eastAsia" w:ascii="宋体" w:hAnsi="宋体" w:eastAsia="宋体" w:cs="宋体"/>
          <w:sz w:val="21"/>
          <w:szCs w:val="21"/>
        </w:rPr>
        <w:t>履约保证金。</w:t>
      </w:r>
    </w:p>
    <w:p w14:paraId="1B61D907">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履约验收</w:t>
      </w:r>
    </w:p>
    <w:p w14:paraId="3539EDD7">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采购人依法组织履约验收工作。采购人成立3人以上验收小组，按照采购合同的约定对供应商履约情况进行验收。</w:t>
      </w:r>
    </w:p>
    <w:p w14:paraId="09135A02">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验收时间和地点：供应商中标后须按照招标文件规定及采购人具体要求，将货物送至采购人指定地点，由采购人进行现场验收并填写验收报告。基本标准为：是否按要求及时完成货物到货工作，供应商提供的货物质量情况是否确保在“合格”以上。</w:t>
      </w:r>
    </w:p>
    <w:p w14:paraId="07C8815A">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验收结束后，应当出具验收书，列明各项标准的验收情况及项目总体评价，由验收双方共同签署。验收结果与采购合同约定的资金支付条件挂钩。履约验收的各项资料应当存档备查。</w:t>
      </w:r>
    </w:p>
    <w:p w14:paraId="11E4DBBD">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验收合格的货物，采购人根据采购合同的约定向供应商支付该批次货款。验收不合格的，供应商免费进行更换。供应商在履约过程中有政府采购法律法规规定的违法违规情形的，采购人及时报告本级财政部门。</w:t>
      </w:r>
    </w:p>
    <w:p w14:paraId="7C92319E">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验收标准：供应商提供的产品质量必须符合以下四种标准：</w:t>
      </w:r>
    </w:p>
    <w:p w14:paraId="1AD6B774">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1260" w:firstLineChars="60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（1）凡产品有现行的中华人民共和国国家标准；</w:t>
      </w:r>
    </w:p>
    <w:p w14:paraId="79A515B7">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1260" w:firstLineChars="60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（2）或部颁标准；</w:t>
      </w:r>
    </w:p>
    <w:p w14:paraId="3F3F1CEA">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1260" w:firstLineChars="60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（3）或通用国际标准；</w:t>
      </w:r>
    </w:p>
    <w:p w14:paraId="148577D9">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1260" w:firstLineChars="60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（4）满足采购人要求。</w:t>
      </w:r>
    </w:p>
    <w:p w14:paraId="29BB34D7">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rPr>
      </w:pPr>
      <w:bookmarkStart w:id="232" w:name="_Toc2583659"/>
      <w:bookmarkStart w:id="233" w:name="_Toc532473486"/>
      <w:bookmarkStart w:id="234" w:name="_Toc3090"/>
      <w:bookmarkStart w:id="235" w:name="_Toc515647794"/>
      <w:bookmarkStart w:id="236" w:name="_Toc29408"/>
      <w:bookmarkStart w:id="237" w:name="_Toc2582300"/>
      <w:r>
        <w:rPr>
          <w:rFonts w:hint="eastAsia" w:ascii="宋体" w:hAnsi="宋体" w:eastAsia="宋体" w:cs="宋体"/>
          <w:b/>
          <w:bCs/>
          <w:sz w:val="21"/>
          <w:szCs w:val="21"/>
        </w:rPr>
        <w:t>招标代理费</w:t>
      </w:r>
      <w:bookmarkEnd w:id="232"/>
    </w:p>
    <w:p w14:paraId="1DAFFFDF">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本项目是否由</w:t>
      </w:r>
      <w:r>
        <w:rPr>
          <w:rFonts w:hint="eastAsia" w:ascii="宋体" w:hAnsi="宋体" w:eastAsia="宋体" w:cs="宋体"/>
          <w:sz w:val="21"/>
          <w:szCs w:val="21"/>
          <w:lang w:eastAsia="zh-CN"/>
        </w:rPr>
        <w:t>中标供应商</w:t>
      </w:r>
      <w:r>
        <w:rPr>
          <w:rFonts w:hint="eastAsia" w:ascii="宋体" w:hAnsi="宋体" w:eastAsia="宋体" w:cs="宋体"/>
          <w:sz w:val="21"/>
          <w:szCs w:val="21"/>
        </w:rPr>
        <w:t>向采购代理机构支付招标代理费</w:t>
      </w:r>
      <w:r>
        <w:rPr>
          <w:rFonts w:hint="eastAsia" w:ascii="宋体" w:hAnsi="宋体" w:eastAsia="宋体" w:cs="宋体"/>
          <w:sz w:val="21"/>
          <w:szCs w:val="21"/>
          <w:lang w:eastAsia="zh-CN"/>
        </w:rPr>
        <w:t>及招标代理费标准</w:t>
      </w:r>
      <w:r>
        <w:rPr>
          <w:rFonts w:hint="eastAsia" w:ascii="宋体" w:hAnsi="宋体" w:eastAsia="宋体" w:cs="宋体"/>
          <w:sz w:val="21"/>
          <w:szCs w:val="21"/>
        </w:rPr>
        <w:t>，按照</w:t>
      </w:r>
      <w:r>
        <w:rPr>
          <w:rFonts w:hint="eastAsia" w:ascii="宋体" w:hAnsi="宋体" w:eastAsia="宋体" w:cs="宋体"/>
          <w:sz w:val="21"/>
          <w:szCs w:val="21"/>
          <w:lang w:eastAsia="zh-CN"/>
        </w:rPr>
        <w:t>供应商须知前附表</w:t>
      </w:r>
      <w:r>
        <w:rPr>
          <w:rFonts w:hint="eastAsia" w:ascii="宋体" w:hAnsi="宋体" w:eastAsia="宋体" w:cs="宋体"/>
          <w:sz w:val="21"/>
          <w:szCs w:val="21"/>
        </w:rPr>
        <w:t>规定执行。</w:t>
      </w:r>
    </w:p>
    <w:p w14:paraId="56C75F6D">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lang w:eastAsia="zh-CN"/>
        </w:rPr>
      </w:pPr>
      <w:bookmarkStart w:id="238" w:name="_Toc2583660"/>
      <w:bookmarkStart w:id="239" w:name="_Toc518923099"/>
      <w:r>
        <w:rPr>
          <w:rFonts w:hint="eastAsia" w:ascii="宋体" w:hAnsi="宋体" w:eastAsia="宋体" w:cs="宋体"/>
          <w:b/>
          <w:bCs/>
          <w:sz w:val="21"/>
          <w:szCs w:val="21"/>
        </w:rPr>
        <w:t>政府采购</w:t>
      </w:r>
      <w:bookmarkEnd w:id="238"/>
      <w:bookmarkEnd w:id="239"/>
      <w:r>
        <w:rPr>
          <w:rFonts w:hint="eastAsia" w:ascii="宋体" w:hAnsi="宋体" w:eastAsia="宋体" w:cs="宋体"/>
          <w:b/>
          <w:bCs/>
          <w:sz w:val="21"/>
          <w:szCs w:val="21"/>
          <w:lang w:eastAsia="zh-CN"/>
        </w:rPr>
        <w:t>合同线上信用融资</w:t>
      </w:r>
    </w:p>
    <w:p w14:paraId="76C7B77E">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中标的投标人为中小微企业的，可以在取得中标通知书后，通过“河南省政府采购合同融资平台”，向相关金融机构、担保机构申请政府采购融资服务。</w:t>
      </w:r>
    </w:p>
    <w:p w14:paraId="41F9C093">
      <w:pPr>
        <w:pStyle w:val="6"/>
        <w:bidi w:val="0"/>
        <w:rPr>
          <w:rFonts w:hint="eastAsia" w:ascii="宋体" w:hAnsi="宋体" w:eastAsia="宋体" w:cs="宋体"/>
          <w:lang w:eastAsia="zh-CN"/>
        </w:rPr>
      </w:pPr>
      <w:bookmarkStart w:id="240" w:name="_Toc32506"/>
      <w:bookmarkStart w:id="241" w:name="_Toc2583663"/>
      <w:bookmarkStart w:id="242" w:name="_Toc518923102"/>
      <w:r>
        <w:rPr>
          <w:rFonts w:hint="eastAsia" w:ascii="宋体" w:hAnsi="宋体" w:eastAsia="宋体" w:cs="宋体"/>
          <w:lang w:eastAsia="zh-CN"/>
        </w:rPr>
        <w:t>（八）质疑和投诉</w:t>
      </w:r>
      <w:bookmarkEnd w:id="240"/>
    </w:p>
    <w:p w14:paraId="75153E1B">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rPr>
      </w:pPr>
      <w:r>
        <w:rPr>
          <w:rFonts w:hint="eastAsia" w:ascii="宋体" w:hAnsi="宋体" w:eastAsia="宋体" w:cs="宋体"/>
          <w:b/>
          <w:bCs/>
          <w:sz w:val="21"/>
          <w:szCs w:val="21"/>
        </w:rPr>
        <w:t>质疑</w:t>
      </w:r>
      <w:bookmarkEnd w:id="241"/>
      <w:bookmarkEnd w:id="242"/>
    </w:p>
    <w:p w14:paraId="38C18ADF">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投标人认为</w:t>
      </w:r>
      <w:r>
        <w:rPr>
          <w:rFonts w:hint="eastAsia" w:ascii="宋体" w:hAnsi="宋体" w:eastAsia="宋体" w:cs="宋体"/>
          <w:sz w:val="21"/>
          <w:szCs w:val="21"/>
          <w:lang w:eastAsia="zh-CN"/>
        </w:rPr>
        <w:t>采购</w:t>
      </w:r>
      <w:r>
        <w:rPr>
          <w:rFonts w:hint="eastAsia" w:ascii="宋体" w:hAnsi="宋体" w:eastAsia="宋体" w:cs="宋体"/>
          <w:sz w:val="21"/>
          <w:szCs w:val="21"/>
        </w:rPr>
        <w:t>文件、</w:t>
      </w:r>
      <w:r>
        <w:rPr>
          <w:rFonts w:hint="eastAsia" w:ascii="宋体" w:hAnsi="宋体" w:eastAsia="宋体" w:cs="宋体"/>
          <w:sz w:val="21"/>
          <w:szCs w:val="21"/>
          <w:lang w:eastAsia="zh-CN"/>
        </w:rPr>
        <w:t>采购</w:t>
      </w:r>
      <w:r>
        <w:rPr>
          <w:rFonts w:hint="eastAsia" w:ascii="宋体" w:hAnsi="宋体" w:eastAsia="宋体" w:cs="宋体"/>
          <w:sz w:val="21"/>
          <w:szCs w:val="21"/>
        </w:rPr>
        <w:t>过程和中标结果使自己的权益受到损害的，可以根据《中华人民共和国政府采购法》、《中华人民共和国政府采购法实施条例》和《政府采购质疑和投诉办法》的有关规定，</w:t>
      </w:r>
      <w:r>
        <w:rPr>
          <w:rFonts w:hint="eastAsia" w:ascii="宋体" w:hAnsi="宋体" w:eastAsia="宋体" w:cs="宋体"/>
          <w:sz w:val="21"/>
          <w:szCs w:val="21"/>
          <w:lang w:eastAsia="zh-CN"/>
        </w:rPr>
        <w:t>在知道或者应知其权益受到损害之日起</w:t>
      </w:r>
      <w:r>
        <w:rPr>
          <w:rFonts w:hint="eastAsia" w:ascii="宋体" w:hAnsi="宋体" w:eastAsia="宋体" w:cs="宋体"/>
          <w:sz w:val="21"/>
          <w:szCs w:val="21"/>
          <w:lang w:val="en-US" w:eastAsia="zh-CN"/>
        </w:rPr>
        <w:t>7个工作日内，</w:t>
      </w:r>
      <w:r>
        <w:rPr>
          <w:rFonts w:hint="eastAsia" w:ascii="宋体" w:hAnsi="宋体" w:eastAsia="宋体" w:cs="宋体"/>
          <w:sz w:val="21"/>
          <w:szCs w:val="21"/>
        </w:rPr>
        <w:t>依法向采购人或其委托的采购代理机构提出质疑。</w:t>
      </w:r>
    </w:p>
    <w:p w14:paraId="4A7D7563">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提出质疑的供应商应当是参加所本项目采购活动的供应商。依法获取可质疑采购文件的潜在供应商也可以依法提出质疑。</w:t>
      </w:r>
    </w:p>
    <w:p w14:paraId="07E5F635">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rPr>
      </w:pPr>
      <w:r>
        <w:rPr>
          <w:rFonts w:hint="eastAsia" w:ascii="宋体" w:hAnsi="宋体" w:eastAsia="宋体" w:cs="宋体"/>
          <w:sz w:val="21"/>
          <w:szCs w:val="21"/>
        </w:rPr>
        <w:t>质疑供应商</w:t>
      </w:r>
      <w:r>
        <w:rPr>
          <w:rFonts w:hint="eastAsia" w:ascii="宋体" w:hAnsi="宋体" w:eastAsia="宋体" w:cs="宋体"/>
          <w:sz w:val="21"/>
          <w:szCs w:val="21"/>
          <w:lang w:eastAsia="zh-CN"/>
        </w:rPr>
        <w:t>应在法定质疑期内提出质疑。</w:t>
      </w:r>
      <w:r>
        <w:rPr>
          <w:rFonts w:hint="eastAsia" w:ascii="宋体" w:hAnsi="宋体" w:eastAsia="宋体" w:cs="宋体"/>
          <w:sz w:val="21"/>
          <w:szCs w:val="21"/>
        </w:rPr>
        <w:t>针对同一采购程序环节的质疑次数应符合</w:t>
      </w:r>
      <w:r>
        <w:rPr>
          <w:rFonts w:hint="eastAsia" w:ascii="宋体" w:hAnsi="宋体" w:eastAsia="宋体" w:cs="宋体"/>
          <w:sz w:val="21"/>
          <w:szCs w:val="21"/>
          <w:lang w:eastAsia="zh-CN"/>
        </w:rPr>
        <w:t>供应商</w:t>
      </w:r>
      <w:r>
        <w:rPr>
          <w:rFonts w:hint="eastAsia" w:ascii="宋体" w:hAnsi="宋体" w:eastAsia="宋体" w:cs="宋体"/>
          <w:sz w:val="21"/>
          <w:szCs w:val="21"/>
        </w:rPr>
        <w:t>须知前附表的规定。超出法定质疑期提交的质疑将被拒绝。</w:t>
      </w:r>
    </w:p>
    <w:p w14:paraId="354129E2">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259" w:leftChars="0" w:hanging="748"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采购人、采购代理机构不得拒收质疑供应商在法定质疑期内发出的质疑函，应当在收到质疑函7个工作日内作出答复，并通知质疑供应商和相关供应商。</w:t>
      </w:r>
    </w:p>
    <w:bookmarkEnd w:id="233"/>
    <w:bookmarkEnd w:id="234"/>
    <w:bookmarkEnd w:id="235"/>
    <w:bookmarkEnd w:id="236"/>
    <w:bookmarkEnd w:id="237"/>
    <w:p w14:paraId="10216236">
      <w:pPr>
        <w:keepNext w:val="0"/>
        <w:keepLines w:val="0"/>
        <w:pageBreakBefore w:val="0"/>
        <w:widowControl w:val="0"/>
        <w:numPr>
          <w:ilvl w:val="0"/>
          <w:numId w:val="1"/>
        </w:numPr>
        <w:kinsoku/>
        <w:wordWrap/>
        <w:overflowPunct/>
        <w:topLinePunct w:val="0"/>
        <w:autoSpaceDE/>
        <w:autoSpaceDN/>
        <w:bidi w:val="0"/>
        <w:adjustRightInd/>
        <w:snapToGrid/>
        <w:spacing w:line="396" w:lineRule="auto"/>
        <w:ind w:left="425" w:leftChars="0" w:hanging="425" w:firstLineChars="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投诉</w:t>
      </w:r>
    </w:p>
    <w:p w14:paraId="33B06315">
      <w:pPr>
        <w:keepNext w:val="0"/>
        <w:keepLines w:val="0"/>
        <w:pageBreakBefore w:val="0"/>
        <w:widowControl w:val="0"/>
        <w:numPr>
          <w:ilvl w:val="1"/>
          <w:numId w:val="1"/>
        </w:numPr>
        <w:kinsoku/>
        <w:wordWrap/>
        <w:overflowPunct/>
        <w:topLinePunct w:val="0"/>
        <w:autoSpaceDE/>
        <w:autoSpaceDN/>
        <w:bidi w:val="0"/>
        <w:adjustRightInd/>
        <w:snapToGrid/>
        <w:spacing w:line="396" w:lineRule="auto"/>
        <w:ind w:left="1168" w:leftChars="0" w:hanging="748"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质疑供应商对采购人、采购代理机构的答复不满意，或者采购人、采购代理机构未在规定时间内作出答复的，可以在答复期满后15个工作日内向同级财政部门提起投诉。</w:t>
      </w:r>
    </w:p>
    <w:p w14:paraId="6AC37E0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val="en-US" w:eastAsia="zh-CN"/>
        </w:rPr>
      </w:pPr>
    </w:p>
    <w:p w14:paraId="1DFE0C8A">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br w:type="page"/>
      </w:r>
    </w:p>
    <w:p w14:paraId="62143E20">
      <w:pPr>
        <w:pStyle w:val="4"/>
        <w:bidi w:val="0"/>
        <w:rPr>
          <w:rFonts w:hint="eastAsia" w:ascii="宋体" w:hAnsi="宋体" w:eastAsia="宋体" w:cs="宋体"/>
          <w:lang w:val="en-US" w:eastAsia="zh-CN"/>
        </w:rPr>
      </w:pPr>
      <w:bookmarkStart w:id="243" w:name="_Toc6156"/>
      <w:r>
        <w:rPr>
          <w:rFonts w:hint="eastAsia" w:ascii="宋体" w:hAnsi="宋体" w:eastAsia="宋体" w:cs="宋体"/>
          <w:lang w:val="en-US" w:eastAsia="zh-CN"/>
        </w:rPr>
        <w:t>第四章  项目说明和采购需求</w:t>
      </w:r>
      <w:bookmarkEnd w:id="243"/>
    </w:p>
    <w:p w14:paraId="12FBDBE7">
      <w:pPr>
        <w:pStyle w:val="2"/>
        <w:keepNext w:val="0"/>
        <w:keepLines w:val="0"/>
        <w:pageBreakBefore w:val="0"/>
        <w:widowControl w:val="0"/>
        <w:kinsoku/>
        <w:wordWrap w:val="0"/>
        <w:overflowPunct/>
        <w:topLinePunct/>
        <w:autoSpaceDE/>
        <w:autoSpaceDN/>
        <w:bidi w:val="0"/>
        <w:adjustRightInd/>
        <w:snapToGrid/>
        <w:spacing w:before="0" w:after="0" w:line="384" w:lineRule="auto"/>
        <w:ind w:left="0" w:leftChars="0" w:firstLine="0" w:firstLineChars="0"/>
        <w:jc w:val="both"/>
        <w:textAlignment w:val="auto"/>
        <w:rPr>
          <w:rFonts w:hint="eastAsia" w:ascii="宋体" w:hAnsi="宋体" w:eastAsia="宋体" w:cs="宋体"/>
          <w:color w:val="auto"/>
          <w:spacing w:val="0"/>
          <w:position w:val="0"/>
          <w:sz w:val="21"/>
          <w:szCs w:val="21"/>
          <w:highlight w:val="none"/>
          <w:lang w:eastAsia="zh-CN"/>
        </w:rPr>
      </w:pPr>
      <w:r>
        <w:rPr>
          <w:rFonts w:hint="eastAsia" w:ascii="宋体" w:hAnsi="宋体" w:eastAsia="宋体" w:cs="宋体"/>
          <w:color w:val="auto"/>
          <w:spacing w:val="0"/>
          <w:position w:val="0"/>
          <w:sz w:val="21"/>
          <w:szCs w:val="21"/>
          <w:highlight w:val="none"/>
          <w:lang w:eastAsia="zh-CN"/>
        </w:rPr>
        <w:t>一、总体要求</w:t>
      </w:r>
    </w:p>
    <w:p w14:paraId="6124ED4B">
      <w:pPr>
        <w:pStyle w:val="2"/>
        <w:keepNext w:val="0"/>
        <w:keepLines w:val="0"/>
        <w:pageBreakBefore w:val="0"/>
        <w:widowControl w:val="0"/>
        <w:kinsoku/>
        <w:wordWrap w:val="0"/>
        <w:overflowPunct/>
        <w:topLinePunct/>
        <w:autoSpaceDE/>
        <w:autoSpaceDN/>
        <w:bidi w:val="0"/>
        <w:adjustRightInd/>
        <w:snapToGrid/>
        <w:spacing w:before="0" w:after="0" w:line="384" w:lineRule="auto"/>
        <w:ind w:left="0" w:leftChars="0" w:firstLine="420" w:firstLineChars="200"/>
        <w:jc w:val="both"/>
        <w:textAlignment w:val="auto"/>
        <w:rPr>
          <w:rFonts w:hint="eastAsia" w:ascii="宋体" w:hAnsi="宋体" w:eastAsia="宋体" w:cs="宋体"/>
          <w:color w:val="auto"/>
          <w:spacing w:val="0"/>
          <w:position w:val="0"/>
          <w:sz w:val="21"/>
          <w:szCs w:val="21"/>
          <w:highlight w:val="none"/>
          <w:lang w:eastAsia="zh-CN"/>
        </w:rPr>
      </w:pPr>
      <w:r>
        <w:rPr>
          <w:rFonts w:hint="eastAsia" w:ascii="宋体" w:hAnsi="宋体" w:eastAsia="宋体" w:cs="宋体"/>
          <w:color w:val="auto"/>
          <w:spacing w:val="0"/>
          <w:position w:val="0"/>
          <w:sz w:val="21"/>
          <w:szCs w:val="21"/>
          <w:highlight w:val="none"/>
          <w:lang w:eastAsia="zh-CN"/>
        </w:rPr>
        <w:t>嵩山实验室聚焦新一代信息技术领域面临的重大科学问题，聚焦广义功能安全和多模态研究，以应用基础和工程科技研究为抓手，带动技术进步与产业发展。基于内生安全理论和多模态网络环境(PNE)技术，构建多模态网络实验环境底座；作为园区服务运行网络，确保为办公、智慧园区管理等业务场景提供稳定可靠、满足带宽/延迟等用网要求的网络承载。</w:t>
      </w:r>
    </w:p>
    <w:p w14:paraId="20B8DF3E">
      <w:pPr>
        <w:pStyle w:val="2"/>
        <w:keepNext w:val="0"/>
        <w:keepLines w:val="0"/>
        <w:pageBreakBefore w:val="0"/>
        <w:widowControl w:val="0"/>
        <w:kinsoku/>
        <w:wordWrap w:val="0"/>
        <w:overflowPunct/>
        <w:topLinePunct/>
        <w:autoSpaceDE/>
        <w:autoSpaceDN/>
        <w:bidi w:val="0"/>
        <w:adjustRightInd/>
        <w:snapToGrid/>
        <w:spacing w:before="0" w:after="0" w:line="384" w:lineRule="auto"/>
        <w:ind w:left="0" w:leftChars="0" w:firstLine="0" w:firstLineChars="0"/>
        <w:jc w:val="both"/>
        <w:textAlignment w:val="auto"/>
        <w:rPr>
          <w:rFonts w:hint="eastAsia" w:ascii="宋体" w:hAnsi="宋体" w:eastAsia="宋体" w:cs="宋体"/>
          <w:color w:val="auto"/>
          <w:spacing w:val="0"/>
          <w:position w:val="0"/>
          <w:sz w:val="21"/>
          <w:szCs w:val="21"/>
          <w:highlight w:val="none"/>
          <w:lang w:eastAsia="zh-CN"/>
        </w:rPr>
      </w:pPr>
      <w:r>
        <w:rPr>
          <w:rFonts w:hint="eastAsia" w:ascii="宋体" w:hAnsi="宋体" w:eastAsia="宋体" w:cs="宋体"/>
          <w:color w:val="auto"/>
          <w:spacing w:val="0"/>
          <w:position w:val="0"/>
          <w:sz w:val="21"/>
          <w:szCs w:val="21"/>
          <w:highlight w:val="none"/>
          <w:lang w:eastAsia="zh-CN"/>
        </w:rPr>
        <w:t>二、项目概况及</w:t>
      </w:r>
      <w:r>
        <w:rPr>
          <w:rFonts w:hint="eastAsia" w:ascii="宋体" w:hAnsi="宋体" w:eastAsia="宋体" w:cs="宋体"/>
          <w:color w:val="auto"/>
          <w:spacing w:val="0"/>
          <w:position w:val="0"/>
          <w:sz w:val="21"/>
          <w:szCs w:val="21"/>
          <w:highlight w:val="none"/>
          <w:lang w:val="en-US" w:eastAsia="zh-CN"/>
        </w:rPr>
        <w:t>建设</w:t>
      </w:r>
      <w:r>
        <w:rPr>
          <w:rFonts w:hint="eastAsia" w:ascii="宋体" w:hAnsi="宋体" w:eastAsia="宋体" w:cs="宋体"/>
          <w:color w:val="auto"/>
          <w:spacing w:val="0"/>
          <w:position w:val="0"/>
          <w:sz w:val="21"/>
          <w:szCs w:val="21"/>
          <w:highlight w:val="none"/>
          <w:lang w:eastAsia="zh-CN"/>
        </w:rPr>
        <w:t>要求：</w:t>
      </w:r>
    </w:p>
    <w:p w14:paraId="27B437A9">
      <w:pPr>
        <w:pStyle w:val="2"/>
        <w:keepNext w:val="0"/>
        <w:keepLines w:val="0"/>
        <w:pageBreakBefore w:val="0"/>
        <w:widowControl w:val="0"/>
        <w:kinsoku/>
        <w:wordWrap w:val="0"/>
        <w:overflowPunct/>
        <w:topLinePunct/>
        <w:autoSpaceDE/>
        <w:autoSpaceDN/>
        <w:bidi w:val="0"/>
        <w:adjustRightInd/>
        <w:snapToGrid/>
        <w:spacing w:before="0" w:after="0" w:line="384" w:lineRule="auto"/>
        <w:ind w:left="0" w:leftChars="0" w:firstLine="420" w:firstLineChars="200"/>
        <w:jc w:val="both"/>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eastAsia="zh-CN"/>
        </w:rPr>
        <w:t>1、项目名称：嵩山实验室多模态智慧云网环境关键技术研究与验证-网络底座建设项目</w:t>
      </w:r>
      <w:r>
        <w:rPr>
          <w:rFonts w:hint="eastAsia" w:ascii="宋体" w:hAnsi="宋体" w:eastAsia="宋体" w:cs="宋体"/>
          <w:color w:val="auto"/>
          <w:spacing w:val="0"/>
          <w:position w:val="0"/>
          <w:sz w:val="21"/>
          <w:szCs w:val="21"/>
          <w:highlight w:val="none"/>
          <w:lang w:val="en-US" w:eastAsia="zh-CN"/>
        </w:rPr>
        <w:t>。</w:t>
      </w:r>
    </w:p>
    <w:p w14:paraId="02B95048">
      <w:pPr>
        <w:pStyle w:val="2"/>
        <w:keepNext w:val="0"/>
        <w:keepLines w:val="0"/>
        <w:pageBreakBefore w:val="0"/>
        <w:widowControl w:val="0"/>
        <w:kinsoku/>
        <w:wordWrap w:val="0"/>
        <w:overflowPunct/>
        <w:topLinePunct/>
        <w:autoSpaceDE/>
        <w:autoSpaceDN/>
        <w:bidi w:val="0"/>
        <w:adjustRightInd/>
        <w:snapToGrid/>
        <w:spacing w:before="0" w:after="0" w:line="384" w:lineRule="auto"/>
        <w:ind w:left="0" w:leftChars="0" w:firstLine="420" w:firstLineChars="200"/>
        <w:jc w:val="both"/>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eastAsia="zh-CN"/>
        </w:rPr>
        <w:t>2、项目规模：本期建设内容</w:t>
      </w:r>
      <w:r>
        <w:rPr>
          <w:rFonts w:hint="eastAsia" w:ascii="宋体" w:hAnsi="宋体" w:eastAsia="宋体" w:cs="宋体"/>
          <w:color w:val="auto"/>
          <w:spacing w:val="0"/>
          <w:position w:val="0"/>
          <w:sz w:val="21"/>
          <w:szCs w:val="21"/>
          <w:highlight w:val="none"/>
          <w:lang w:val="en-US" w:eastAsia="zh-CN"/>
        </w:rPr>
        <w:t>为建设中原科技城智慧产业创新园嵩山实验室办公区的多模态网络环境底座（含无线网），楼宇综合布线系统(含末端电源插座)；其中，综合布线全覆盖，有线/无线网络部署本期计划启用的楼层。</w:t>
      </w:r>
    </w:p>
    <w:p w14:paraId="455F52D1">
      <w:pPr>
        <w:pStyle w:val="2"/>
        <w:keepNext w:val="0"/>
        <w:keepLines w:val="0"/>
        <w:pageBreakBefore w:val="0"/>
        <w:widowControl w:val="0"/>
        <w:kinsoku/>
        <w:wordWrap w:val="0"/>
        <w:overflowPunct/>
        <w:topLinePunct/>
        <w:autoSpaceDE/>
        <w:autoSpaceDN/>
        <w:bidi w:val="0"/>
        <w:adjustRightInd/>
        <w:snapToGrid/>
        <w:spacing w:before="0" w:after="0" w:line="384" w:lineRule="auto"/>
        <w:ind w:left="0" w:leftChars="0" w:firstLine="420" w:firstLineChars="200"/>
        <w:jc w:val="both"/>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eastAsia="zh-CN"/>
        </w:rPr>
        <w:t>3、本次建设项目</w:t>
      </w:r>
      <w:r>
        <w:rPr>
          <w:rFonts w:hint="eastAsia" w:ascii="宋体" w:hAnsi="宋体" w:eastAsia="宋体" w:cs="宋体"/>
          <w:color w:val="auto"/>
          <w:spacing w:val="0"/>
          <w:position w:val="0"/>
          <w:sz w:val="21"/>
          <w:szCs w:val="21"/>
          <w:highlight w:val="none"/>
          <w:lang w:val="en-US" w:eastAsia="zh-CN"/>
        </w:rPr>
        <w:t>涉及</w:t>
      </w:r>
      <w:r>
        <w:rPr>
          <w:rFonts w:hint="eastAsia" w:ascii="宋体" w:hAnsi="宋体" w:eastAsia="宋体" w:cs="宋体"/>
          <w:color w:val="auto"/>
          <w:spacing w:val="0"/>
          <w:position w:val="0"/>
          <w:sz w:val="21"/>
          <w:szCs w:val="21"/>
          <w:highlight w:val="none"/>
          <w:lang w:eastAsia="zh-CN"/>
        </w:rPr>
        <w:t>的建筑</w:t>
      </w:r>
      <w:r>
        <w:rPr>
          <w:rFonts w:hint="eastAsia" w:ascii="宋体" w:hAnsi="宋体" w:eastAsia="宋体" w:cs="宋体"/>
          <w:color w:val="auto"/>
          <w:spacing w:val="0"/>
          <w:position w:val="0"/>
          <w:sz w:val="21"/>
          <w:szCs w:val="21"/>
          <w:highlight w:val="none"/>
          <w:lang w:val="en-US" w:eastAsia="zh-CN"/>
        </w:rPr>
        <w:t>为5#楼、3#楼（南塔）、2#楼、1号楼。项目地址为：建设地点位于郑州金水区龙润西路与龙源西三街交叉口东南角。归属于嵩山实验室的办公楼宇有1#楼、2#楼、3#楼、5#楼及相关室外区域。各楼宇为6层建筑（地下1层、地上5层），报规总建筑面积93251.32平方米，其中，地上面积63717.08平方米，地下面积24998.02平方米，嵩山实验室地下总停车位505个。目前5号楼的基建已完成，具备交付条件，其他楼宇正在建设中。</w:t>
      </w:r>
    </w:p>
    <w:p w14:paraId="2A73C616">
      <w:pPr>
        <w:pStyle w:val="2"/>
        <w:keepNext w:val="0"/>
        <w:keepLines w:val="0"/>
        <w:pageBreakBefore w:val="0"/>
        <w:widowControl w:val="0"/>
        <w:kinsoku/>
        <w:wordWrap w:val="0"/>
        <w:overflowPunct/>
        <w:topLinePunct/>
        <w:autoSpaceDE/>
        <w:autoSpaceDN/>
        <w:bidi w:val="0"/>
        <w:adjustRightInd/>
        <w:snapToGrid/>
        <w:spacing w:before="0" w:after="0" w:line="384" w:lineRule="auto"/>
        <w:ind w:left="0" w:leftChars="0" w:firstLine="420" w:firstLineChars="200"/>
        <w:jc w:val="both"/>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eastAsia="zh-CN"/>
        </w:rPr>
        <w:t>4、 应综合考虑现有建筑的建设条件确定施工方案，并重点考虑安全、质量、进度等关键因素。</w:t>
      </w:r>
      <w:r>
        <w:rPr>
          <w:rFonts w:hint="eastAsia" w:ascii="宋体" w:hAnsi="宋体" w:eastAsia="宋体" w:cs="宋体"/>
          <w:color w:val="auto"/>
          <w:spacing w:val="0"/>
          <w:position w:val="0"/>
          <w:sz w:val="21"/>
          <w:szCs w:val="21"/>
          <w:highlight w:val="none"/>
          <w:lang w:val="en-US" w:eastAsia="zh-CN"/>
        </w:rPr>
        <w:t>重点考虑以下几个方面：</w:t>
      </w:r>
    </w:p>
    <w:p w14:paraId="1EAE31A4">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val="en-US" w:eastAsia="zh-CN"/>
        </w:rPr>
        <w:t>4.1 园区多模态设备集成安装调测问题</w:t>
      </w:r>
    </w:p>
    <w:p w14:paraId="2F8B49A5">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color w:val="auto"/>
          <w:spacing w:val="0"/>
          <w:position w:val="0"/>
          <w:sz w:val="21"/>
          <w:szCs w:val="21"/>
          <w:highlight w:val="none"/>
          <w:lang w:val="en-US" w:eastAsia="zh-CN"/>
        </w:rPr>
        <w:t>本期园区网络所需的多模态网络主设备非本项目购买范围，本项目提供多模态主设备所需光模块，适配安装至主设备后提供整体的安装、调试等集成服务。</w:t>
      </w:r>
    </w:p>
    <w:p w14:paraId="0CE21A73">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val="en-US" w:eastAsia="zh-CN"/>
        </w:rPr>
        <w:t>4.2平行网络设备集成问题</w:t>
      </w:r>
    </w:p>
    <w:p w14:paraId="21D8BDDD">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val="en-US" w:eastAsia="zh-CN"/>
        </w:rPr>
        <w:t>本期平行网络项目中部署在北龙湖实验室中心机房的设备，非本项目购买范围，但需提供后续的安装、调试配合等集成服务。本期要求为平行多模态网络设备提供安装服务并提供满足加电调试的条件。因此，如何结合现有条件及工期，需考虑对施工安排产生的影响。</w:t>
      </w:r>
    </w:p>
    <w:p w14:paraId="58ACB1B4">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val="en-US" w:eastAsia="zh-CN"/>
        </w:rPr>
        <w:t>本期园区网络所需的多模态网络设备非本项目购买范围，但有本期项目集成，因此，如何结合现有条件及工期，需考虑对施工安排产生的影响。</w:t>
      </w:r>
    </w:p>
    <w:p w14:paraId="54B9F939">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val="en-US" w:eastAsia="zh-CN"/>
        </w:rPr>
        <w:t>4.3利旧原有的设备</w:t>
      </w:r>
    </w:p>
    <w:p w14:paraId="57A9D03B">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val="en-US" w:eastAsia="zh-CN"/>
        </w:rPr>
        <w:t>2#楼、3#楼、1#楼利旧设备，需在土建施工具备条件且实验室已从现有办公地点搬至5#楼后才能进行设备拆除和搬迁。因此需考虑施工组织及工期安排产生的影响。</w:t>
      </w:r>
    </w:p>
    <w:p w14:paraId="4F0E0E03">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val="en-US" w:eastAsia="zh-CN"/>
        </w:rPr>
        <w:t>4.4接入层设备部署问题</w:t>
      </w:r>
    </w:p>
    <w:p w14:paraId="7CE47F69">
      <w:pPr>
        <w:keepNext w:val="0"/>
        <w:keepLines w:val="0"/>
        <w:pageBreakBefore w:val="0"/>
        <w:widowControl w:val="0"/>
        <w:kinsoku/>
        <w:overflowPunct/>
        <w:autoSpaceDE/>
        <w:autoSpaceDN/>
        <w:bidi w:val="0"/>
        <w:adjustRightInd/>
        <w:snapToGrid/>
        <w:spacing w:line="384" w:lineRule="auto"/>
        <w:ind w:firstLine="412"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bCs/>
          <w:color w:val="auto"/>
          <w:spacing w:val="-2"/>
          <w:position w:val="0"/>
          <w:sz w:val="21"/>
          <w:szCs w:val="21"/>
          <w:highlight w:val="none"/>
          <w:lang w:val="en-US" w:eastAsia="zh-CN"/>
        </w:rPr>
        <w:t>本期5号楼全部、及其他楼宇的部分采用光纤桌面方式，接入层交换机需要在办公家具购买并摆放完成后方可进行施工，因此，如何结合现有条件及工期，需考虑对施工安排产生的影响</w:t>
      </w:r>
      <w:r>
        <w:rPr>
          <w:rFonts w:hint="eastAsia" w:ascii="宋体" w:hAnsi="宋体" w:eastAsia="宋体" w:cs="宋体"/>
          <w:color w:val="auto"/>
          <w:spacing w:val="0"/>
          <w:position w:val="0"/>
          <w:sz w:val="21"/>
          <w:szCs w:val="21"/>
          <w:highlight w:val="none"/>
          <w:lang w:val="en-US" w:eastAsia="zh-CN"/>
        </w:rPr>
        <w:t>。</w:t>
      </w:r>
    </w:p>
    <w:p w14:paraId="6C9C84E5">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val="en-US" w:eastAsia="zh-CN"/>
        </w:rPr>
        <w:t>4.5施工界面问题</w:t>
      </w:r>
    </w:p>
    <w:p w14:paraId="4023A171">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val="en-US" w:eastAsia="zh-CN"/>
        </w:rPr>
        <w:t>本期工程综合布线水平子系统、需预埋部署的工作区子系统由土建承建单位负责，存在施工界面对接及布线贯通（包括水平皮线光缆、网线的熔接成端及测试），因此，如何结合现有条件及工期，需考虑对施工安排产生的影响。</w:t>
      </w:r>
    </w:p>
    <w:p w14:paraId="27AB448F">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val="en-US" w:eastAsia="zh-CN"/>
        </w:rPr>
        <w:t>4.6联调联试问题</w:t>
      </w:r>
    </w:p>
    <w:p w14:paraId="3A17CA16">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val="en-US" w:eastAsia="zh-CN"/>
        </w:rPr>
        <w:t>本期项目主要为网络底座，与网络相关的网络规划、VLAN子网划分、IP规划及分配等均需本项目进行考虑，并负责园区整体网络设备、安全设备、云平台、信息化系统等内容基于网络方面的联调联试。</w:t>
      </w:r>
    </w:p>
    <w:p w14:paraId="566189A3">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val="en-US" w:eastAsia="zh-CN"/>
        </w:rPr>
        <w:t>5、本项目施工服务应参考工程建设的主要技术标准和规范、多模态智慧云网环境关键技术研究与验证（一期）项目建设方案、平行网络设计方案、图纸及实验室多模态网络中心相关要求及规定进行安装、调试。</w:t>
      </w:r>
    </w:p>
    <w:p w14:paraId="58BB71CC">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val="en-US" w:eastAsia="zh-CN"/>
        </w:rPr>
        <w:t>6、结合嵩山实验室后期需求变化，成交单位应具备基于前期初步设计方案进行深化设计的能力，并按照采购人要求进行深化设计。</w:t>
      </w:r>
    </w:p>
    <w:p w14:paraId="310A3909">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val="en-US" w:eastAsia="zh-CN"/>
        </w:rPr>
        <w:t>7、交付（完工）期</w:t>
      </w:r>
    </w:p>
    <w:p w14:paraId="14416973">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cs="宋体"/>
          <w:color w:val="auto"/>
          <w:spacing w:val="0"/>
          <w:position w:val="0"/>
          <w:sz w:val="21"/>
          <w:szCs w:val="21"/>
          <w:highlight w:val="none"/>
          <w:lang w:val="en-US" w:eastAsia="zh-CN"/>
        </w:rPr>
        <w:t>（1）</w:t>
      </w:r>
      <w:r>
        <w:rPr>
          <w:rFonts w:hint="eastAsia" w:ascii="宋体" w:hAnsi="宋体" w:eastAsia="宋体" w:cs="宋体"/>
          <w:color w:val="auto"/>
          <w:spacing w:val="0"/>
          <w:position w:val="0"/>
          <w:sz w:val="21"/>
          <w:szCs w:val="21"/>
          <w:highlight w:val="none"/>
          <w:lang w:val="en-US" w:eastAsia="zh-CN"/>
        </w:rPr>
        <w:t>合同签订之日起，20日历天完成5#楼隐蔽工程（皮线光缆、插座工程等）的建设， 要求能够提供正常办公所具备的基础网络条件；</w:t>
      </w:r>
    </w:p>
    <w:p w14:paraId="1A9CEDD4">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cs="宋体"/>
          <w:color w:val="auto"/>
          <w:spacing w:val="0"/>
          <w:position w:val="0"/>
          <w:sz w:val="21"/>
          <w:szCs w:val="21"/>
          <w:highlight w:val="none"/>
          <w:lang w:val="en-US" w:eastAsia="zh-CN"/>
        </w:rPr>
        <w:t>（2）</w:t>
      </w:r>
      <w:r>
        <w:rPr>
          <w:rFonts w:hint="eastAsia" w:ascii="宋体" w:hAnsi="宋体" w:eastAsia="宋体" w:cs="宋体"/>
          <w:color w:val="auto"/>
          <w:spacing w:val="0"/>
          <w:position w:val="0"/>
          <w:sz w:val="21"/>
          <w:szCs w:val="21"/>
          <w:highlight w:val="none"/>
          <w:lang w:val="en-US" w:eastAsia="zh-CN"/>
        </w:rPr>
        <w:t>合同签订之日起，45日历天完成5#楼、2#楼1层的建设；</w:t>
      </w:r>
    </w:p>
    <w:p w14:paraId="07E5FB34">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cs="宋体"/>
          <w:color w:val="auto"/>
          <w:spacing w:val="0"/>
          <w:position w:val="0"/>
          <w:sz w:val="21"/>
          <w:szCs w:val="21"/>
          <w:highlight w:val="none"/>
          <w:lang w:val="en-US" w:eastAsia="zh-CN"/>
        </w:rPr>
        <w:t>（3）</w:t>
      </w:r>
      <w:r>
        <w:rPr>
          <w:rFonts w:hint="eastAsia" w:ascii="宋体" w:hAnsi="宋体" w:eastAsia="宋体" w:cs="宋体"/>
          <w:color w:val="auto"/>
          <w:spacing w:val="0"/>
          <w:position w:val="0"/>
          <w:sz w:val="21"/>
          <w:szCs w:val="21"/>
          <w:highlight w:val="none"/>
          <w:lang w:val="en-US" w:eastAsia="zh-CN"/>
        </w:rPr>
        <w:t>3#楼（南塔）、2#楼、1#楼具备进场条件后30日历天完成建设；</w:t>
      </w:r>
    </w:p>
    <w:p w14:paraId="43BF18B3">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cs="宋体"/>
          <w:color w:val="auto"/>
          <w:spacing w:val="0"/>
          <w:position w:val="0"/>
          <w:sz w:val="21"/>
          <w:szCs w:val="21"/>
          <w:highlight w:val="none"/>
          <w:lang w:val="en-US" w:eastAsia="zh-CN"/>
        </w:rPr>
        <w:t>（4）</w:t>
      </w:r>
      <w:r>
        <w:rPr>
          <w:rFonts w:hint="eastAsia" w:ascii="宋体" w:hAnsi="宋体" w:eastAsia="宋体" w:cs="宋体"/>
          <w:color w:val="auto"/>
          <w:spacing w:val="0"/>
          <w:position w:val="0"/>
          <w:sz w:val="21"/>
          <w:szCs w:val="21"/>
          <w:highlight w:val="none"/>
          <w:lang w:val="en-US" w:eastAsia="zh-CN"/>
        </w:rPr>
        <w:t>平行网络设备具备条件后10日历天完成集成，并按采购人要求交付完毕；</w:t>
      </w:r>
    </w:p>
    <w:p w14:paraId="49A10FFF">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cs="宋体"/>
          <w:color w:val="auto"/>
          <w:spacing w:val="0"/>
          <w:position w:val="0"/>
          <w:sz w:val="21"/>
          <w:szCs w:val="21"/>
          <w:highlight w:val="none"/>
          <w:lang w:val="en-US" w:eastAsia="zh-CN"/>
        </w:rPr>
        <w:t>（5）</w:t>
      </w:r>
      <w:r>
        <w:rPr>
          <w:rFonts w:hint="eastAsia" w:ascii="宋体" w:hAnsi="宋体" w:eastAsia="宋体" w:cs="宋体"/>
          <w:bCs/>
          <w:color w:val="auto"/>
          <w:spacing w:val="-2"/>
          <w:position w:val="0"/>
          <w:sz w:val="21"/>
          <w:szCs w:val="21"/>
          <w:highlight w:val="none"/>
          <w:lang w:val="en-US" w:eastAsia="zh-CN"/>
        </w:rPr>
        <w:t>利旧工程具备拆卸搬迁条件后10日历天内完成搬迁和安装，并按采购人要求交付完毕</w:t>
      </w:r>
      <w:r>
        <w:rPr>
          <w:rFonts w:hint="eastAsia" w:ascii="宋体" w:hAnsi="宋体" w:eastAsia="宋体" w:cs="宋体"/>
          <w:color w:val="auto"/>
          <w:spacing w:val="0"/>
          <w:position w:val="0"/>
          <w:sz w:val="21"/>
          <w:szCs w:val="21"/>
          <w:highlight w:val="none"/>
          <w:lang w:val="en-US" w:eastAsia="zh-CN"/>
        </w:rPr>
        <w:t>。</w:t>
      </w:r>
    </w:p>
    <w:p w14:paraId="101F0715">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val="en-US" w:eastAsia="zh-CN"/>
        </w:rPr>
        <w:t>三、项目实施的主要技术标准和规范：</w:t>
      </w:r>
    </w:p>
    <w:p w14:paraId="41F3F9C6">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bCs/>
          <w:color w:val="auto"/>
          <w:spacing w:val="0"/>
          <w:position w:val="0"/>
          <w:sz w:val="21"/>
          <w:szCs w:val="21"/>
          <w:highlight w:val="none"/>
          <w:lang w:val="en-US" w:eastAsia="zh-CN"/>
        </w:rPr>
      </w:pPr>
      <w:r>
        <w:rPr>
          <w:rFonts w:hint="eastAsia" w:ascii="宋体" w:hAnsi="宋体" w:eastAsia="宋体" w:cs="宋体"/>
          <w:bCs/>
          <w:color w:val="auto"/>
          <w:spacing w:val="0"/>
          <w:position w:val="0"/>
          <w:sz w:val="21"/>
          <w:szCs w:val="21"/>
          <w:highlight w:val="none"/>
          <w:lang w:val="en-US" w:eastAsia="zh-CN"/>
        </w:rPr>
        <w:t>设计规划、项目实施、设备安装以及验收等所涉及的技术标准和规范都必须符合中华人民共和国技术标准和规范以及地方及国际上的有关技术标准和规范。</w:t>
      </w:r>
    </w:p>
    <w:p w14:paraId="541A242C">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val="en-US" w:eastAsia="zh-CN"/>
        </w:rPr>
        <w:t>四、施工服务范围及内容</w:t>
      </w:r>
    </w:p>
    <w:p w14:paraId="6682614D">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val="en-US" w:eastAsia="zh-CN"/>
        </w:rPr>
        <w:t>施工范围：</w:t>
      </w:r>
    </w:p>
    <w:p w14:paraId="728FA210">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val="en-US" w:eastAsia="zh-CN"/>
        </w:rPr>
        <w:t>构建北龙湖多模态网络环境底座，建设内容包括有线网络、楼宇综合布线系统、园区无线网，承载办公及科研业务，以及为满足信息化、云平台等建设项目正常运行的必要的网络集成支撑服务。详细内容如下：</w:t>
      </w:r>
    </w:p>
    <w:p w14:paraId="1B91F527">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val="en-US" w:eastAsia="zh-CN"/>
        </w:rPr>
        <w:t>1.多模态网络环境底座：本期按照保障5号楼、2号楼1层及5层、3号楼（南塔）1层及2层、1号楼等区域办公进行设计，计划部署多模态核心层交换机2台；新增部署汇聚层交换机14台，其中多模态交换机12台、传统交换机2台（其中1台为利旧）；部署接入层交换机317台，其中，楼层接入交换机293台（新增265台，利旧28台），无线AP接入POE交换机16台、管理交换机6台、专网交换机2台；构建北龙湖办公区的多模态网络实验环境底座，支持终端、云、物联网接入，承载办公、科研、园区信息化生产等业务。</w:t>
      </w:r>
    </w:p>
    <w:p w14:paraId="7E9E4599">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val="en-US" w:eastAsia="zh-CN"/>
        </w:rPr>
        <w:t>2.</w:t>
      </w:r>
      <w:r>
        <w:rPr>
          <w:rFonts w:hint="eastAsia" w:ascii="宋体" w:hAnsi="宋体" w:eastAsia="宋体" w:cs="宋体"/>
          <w:bCs/>
          <w:color w:val="auto"/>
          <w:spacing w:val="-4"/>
          <w:position w:val="0"/>
          <w:sz w:val="21"/>
          <w:szCs w:val="21"/>
          <w:highlight w:val="none"/>
          <w:lang w:val="en-US" w:eastAsia="zh-CN"/>
        </w:rPr>
        <w:t>无线接入网：新增无线控制器1台，无线AP196个，其中放装型AP 138个（新增60个，利旧78个），高密度AP 58个，用于建设园区无线网，保障园区室内启用区域无线信号的无缝覆盖</w:t>
      </w:r>
      <w:r>
        <w:rPr>
          <w:rFonts w:hint="eastAsia" w:ascii="宋体" w:hAnsi="宋体" w:eastAsia="宋体" w:cs="宋体"/>
          <w:color w:val="auto"/>
          <w:spacing w:val="0"/>
          <w:position w:val="0"/>
          <w:sz w:val="21"/>
          <w:szCs w:val="21"/>
          <w:highlight w:val="none"/>
          <w:lang w:val="en-US" w:eastAsia="zh-CN"/>
        </w:rPr>
        <w:t>。</w:t>
      </w:r>
    </w:p>
    <w:p w14:paraId="34422A20">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val="en-US" w:eastAsia="zh-CN"/>
        </w:rPr>
        <w:t>3.综合布线：建设嵩山实验室北龙湖园区楼宇综合布线系统（除水平子系统外的其他建设内容），覆盖1号楼、2号楼、3号楼（南塔）、5号楼，并建设末端办公家具的电源插座，满足办公用电需求。</w:t>
      </w:r>
    </w:p>
    <w:p w14:paraId="3F9795D3">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val="en-US" w:eastAsia="zh-CN"/>
        </w:rPr>
        <w:t>4、平行网络：平行网络项目中部署在实验室2#楼机房的设备有：多模态核心级设备（核心层网元）2台、多模态控制器（平行网络）2台、平行网络带外管理交换机1台、园区网络出口设备（NDN模态）1台。</w:t>
      </w:r>
    </w:p>
    <w:p w14:paraId="01CEEC43">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val="en-US" w:eastAsia="zh-CN"/>
        </w:rPr>
        <w:t>具体情况参见图纸（另附）：</w:t>
      </w:r>
    </w:p>
    <w:p w14:paraId="1BFF7AD3">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val="en-US" w:eastAsia="zh-CN"/>
        </w:rPr>
        <w:t>五、采购服务范围</w:t>
      </w:r>
    </w:p>
    <w:p w14:paraId="3A1826A0">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val="en-US" w:eastAsia="zh-CN"/>
        </w:rPr>
        <w:t>按照设计图纸及技术规范中要求的设备性能、参数或以及数量，并按照采购人要求，根据施工条件分阶段采购有关设备、辅助设备以及有关材料。</w:t>
      </w:r>
    </w:p>
    <w:p w14:paraId="0A5AAB46">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val="en-US" w:eastAsia="zh-CN"/>
        </w:rPr>
        <w:t>六、其他</w:t>
      </w:r>
    </w:p>
    <w:p w14:paraId="152F576B">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val="en-US" w:eastAsia="zh-CN"/>
        </w:rPr>
        <w:t>重要说明：本项目施工服务依据并不限于上述需求，成交单位应结合嵩山实验室后期需求提出建设性意见并进行施工优化。</w:t>
      </w:r>
    </w:p>
    <w:p w14:paraId="64368D0A">
      <w:pPr>
        <w:keepNext w:val="0"/>
        <w:keepLines w:val="0"/>
        <w:pageBreakBefore w:val="0"/>
        <w:widowControl w:val="0"/>
        <w:kinsoku/>
        <w:overflowPunct/>
        <w:autoSpaceDE/>
        <w:autoSpaceDN/>
        <w:bidi w:val="0"/>
        <w:adjustRightInd/>
        <w:snapToGrid/>
        <w:spacing w:line="384"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val="en-US" w:eastAsia="zh-CN"/>
        </w:rPr>
        <w:t>七、技术规范书（如下）</w:t>
      </w:r>
    </w:p>
    <w:p w14:paraId="6FB5FBCA">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br w:type="page"/>
      </w:r>
    </w:p>
    <w:p w14:paraId="6F65A78E">
      <w:pPr>
        <w:pStyle w:val="37"/>
        <w:spacing w:after="156" w:afterLines="50" w:line="240" w:lineRule="auto"/>
        <w:ind w:left="545" w:right="640" w:firstLine="643"/>
        <w:jc w:val="both"/>
        <w:rPr>
          <w:rFonts w:hint="eastAsia" w:ascii="宋体" w:hAnsi="宋体" w:eastAsia="宋体" w:cs="宋体"/>
          <w:bCs/>
          <w:sz w:val="32"/>
        </w:rPr>
      </w:pPr>
    </w:p>
    <w:p w14:paraId="2005BBDD">
      <w:pPr>
        <w:pStyle w:val="38"/>
        <w:spacing w:line="600" w:lineRule="auto"/>
        <w:jc w:val="center"/>
        <w:rPr>
          <w:rFonts w:hint="eastAsia" w:ascii="宋体" w:hAnsi="宋体" w:eastAsia="宋体" w:cs="宋体"/>
          <w:sz w:val="44"/>
          <w:szCs w:val="44"/>
        </w:rPr>
      </w:pPr>
      <w:r>
        <w:rPr>
          <w:rFonts w:hint="eastAsia" w:ascii="宋体" w:hAnsi="宋体" w:eastAsia="宋体" w:cs="宋体"/>
          <w:sz w:val="44"/>
          <w:szCs w:val="44"/>
          <w:highlight w:val="none"/>
        </w:rPr>
        <mc:AlternateContent>
          <mc:Choice Requires="wps">
            <w:drawing>
              <wp:anchor distT="0" distB="0" distL="114300" distR="114300" simplePos="0" relativeHeight="251659264" behindDoc="0" locked="0" layoutInCell="1" allowOverlap="1">
                <wp:simplePos x="0" y="0"/>
                <wp:positionH relativeFrom="column">
                  <wp:posOffset>344805</wp:posOffset>
                </wp:positionH>
                <wp:positionV relativeFrom="paragraph">
                  <wp:posOffset>133985</wp:posOffset>
                </wp:positionV>
                <wp:extent cx="5328285" cy="0"/>
                <wp:effectExtent l="0" t="28575" r="5715" b="28575"/>
                <wp:wrapNone/>
                <wp:docPr id="13" name="直接连接符 13"/>
                <wp:cNvGraphicFramePr/>
                <a:graphic xmlns:a="http://schemas.openxmlformats.org/drawingml/2006/main">
                  <a:graphicData uri="http://schemas.microsoft.com/office/word/2010/wordprocessingShape">
                    <wps:wsp>
                      <wps:cNvCnPr/>
                      <wps:spPr>
                        <a:xfrm>
                          <a:off x="0" y="0"/>
                          <a:ext cx="5328285" cy="0"/>
                        </a:xfrm>
                        <a:prstGeom prst="line">
                          <a:avLst/>
                        </a:prstGeom>
                        <a:ln w="57150" cap="flat" cmpd="thickThin">
                          <a:solidFill>
                            <a:srgbClr val="000000"/>
                          </a:solidFill>
                          <a:prstDash val="solid"/>
                          <a:headEnd type="none" w="sm" len="sm"/>
                          <a:tailEnd type="none" w="sm" len="sm"/>
                        </a:ln>
                      </wps:spPr>
                      <wps:bodyPr upright="1"/>
                    </wps:wsp>
                  </a:graphicData>
                </a:graphic>
              </wp:anchor>
            </w:drawing>
          </mc:Choice>
          <mc:Fallback>
            <w:pict>
              <v:line id="_x0000_s1026" o:spid="_x0000_s1026" o:spt="20" style="position:absolute;left:0pt;margin-left:27.15pt;margin-top:10.55pt;height:0pt;width:419.55pt;z-index:251659264;mso-width-relative:page;mso-height-relative:page;" filled="f" stroked="t" coordsize="21600,21600" o:gfxdata="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FskUXZAAAACAEAAA8AAAAAAAAAAQAgAAAAIgAAAGRycy9kb3ducmV2&#10;LnhtbFBLAQIUABQAAAAIAIdO4kBc0r6K+wEAAOkDAAAOAAAAAAAAAAEAIAAAACgBAABkcnMvZTJv&#10;RG9jLnhtbFBLBQYAAAAABgAGAFkBAACVBQAAAAA=&#10;">
                <v:fill on="f" focussize="0,0"/>
                <v:stroke weight="4.5pt" color="#000000" linestyle="thickThin" joinstyle="round" startarrowwidth="narrow" startarrowlength="short" endarrowwidth="narrow" endarrowlength="short"/>
                <v:imagedata o:title=""/>
                <o:lock v:ext="edit" aspectratio="f"/>
              </v:line>
            </w:pict>
          </mc:Fallback>
        </mc:AlternateContent>
      </w:r>
    </w:p>
    <w:p w14:paraId="0BC852F0">
      <w:pPr>
        <w:pStyle w:val="39"/>
        <w:spacing w:before="0" w:after="0" w:line="600" w:lineRule="auto"/>
        <w:ind w:right="0" w:firstLine="462"/>
        <w:jc w:val="center"/>
        <w:rPr>
          <w:rFonts w:hint="eastAsia" w:hAnsi="黑体" w:cs="黑体"/>
          <w:b/>
          <w:bCs/>
          <w:sz w:val="44"/>
          <w:szCs w:val="44"/>
          <w:highlight w:val="none"/>
          <w:lang w:val="en-US" w:eastAsia="zh-CN"/>
        </w:rPr>
      </w:pPr>
      <w:r>
        <w:rPr>
          <w:rFonts w:hint="eastAsia" w:hAnsi="黑体" w:cs="黑体"/>
          <w:b/>
          <w:bCs/>
          <w:sz w:val="44"/>
          <w:szCs w:val="44"/>
          <w:highlight w:val="none"/>
          <w:lang w:val="en-US" w:eastAsia="zh-CN"/>
        </w:rPr>
        <w:t>嵩山实验室多模态智慧云网环境关键技术研究与验证-网络底座建设项目</w:t>
      </w:r>
    </w:p>
    <w:p w14:paraId="25B67142">
      <w:pPr>
        <w:pStyle w:val="39"/>
        <w:spacing w:before="0" w:after="0" w:line="600" w:lineRule="auto"/>
        <w:ind w:right="0" w:firstLine="462"/>
        <w:jc w:val="center"/>
        <w:rPr>
          <w:rFonts w:hint="eastAsia" w:ascii="黑体" w:hAnsi="黑体" w:eastAsia="黑体" w:cs="黑体"/>
          <w:b/>
          <w:bCs/>
          <w:sz w:val="44"/>
          <w:szCs w:val="44"/>
          <w:highlight w:val="none"/>
        </w:rPr>
      </w:pPr>
      <w:r>
        <w:rPr>
          <w:rFonts w:hint="eastAsia" w:hAnsi="黑体" w:cs="黑体"/>
          <w:b/>
          <w:bCs/>
          <w:sz w:val="44"/>
          <w:szCs w:val="44"/>
          <w:highlight w:val="none"/>
          <w:lang w:val="en-US" w:eastAsia="zh-CN"/>
        </w:rPr>
        <w:t xml:space="preserve"> </w:t>
      </w:r>
      <w:r>
        <w:rPr>
          <w:rFonts w:hint="eastAsia" w:ascii="黑体" w:hAnsi="黑体" w:eastAsia="黑体" w:cs="黑体"/>
          <w:b/>
          <w:bCs/>
          <w:sz w:val="44"/>
          <w:szCs w:val="44"/>
          <w:highlight w:val="none"/>
        </w:rPr>
        <w:t>技术规范书</w:t>
      </w:r>
    </w:p>
    <w:p w14:paraId="0D524BA8">
      <w:pPr>
        <w:spacing w:line="500" w:lineRule="atLeast"/>
        <w:ind w:left="-284" w:right="-284" w:firstLine="360"/>
        <w:rPr>
          <w:rFonts w:hint="eastAsia" w:ascii="黑体" w:hAnsi="黑体" w:eastAsia="黑体" w:cs="黑体"/>
          <w:b/>
          <w:spacing w:val="-20"/>
        </w:rPr>
      </w:pPr>
      <w:r>
        <w:rPr>
          <w:rFonts w:hint="eastAsia" w:ascii="黑体" w:hAnsi="黑体" w:eastAsia="黑体" w:cs="黑体"/>
          <w:highlight w:val="none"/>
        </w:rPr>
        <mc:AlternateContent>
          <mc:Choice Requires="wps">
            <w:drawing>
              <wp:anchor distT="0" distB="0" distL="114300" distR="114300" simplePos="0" relativeHeight="251660288" behindDoc="0" locked="0" layoutInCell="1" allowOverlap="1">
                <wp:simplePos x="0" y="0"/>
                <wp:positionH relativeFrom="column">
                  <wp:posOffset>354330</wp:posOffset>
                </wp:positionH>
                <wp:positionV relativeFrom="paragraph">
                  <wp:posOffset>240030</wp:posOffset>
                </wp:positionV>
                <wp:extent cx="5328285" cy="0"/>
                <wp:effectExtent l="0" t="28575" r="5715" b="28575"/>
                <wp:wrapNone/>
                <wp:docPr id="14" name="直接连接符 14"/>
                <wp:cNvGraphicFramePr/>
                <a:graphic xmlns:a="http://schemas.openxmlformats.org/drawingml/2006/main">
                  <a:graphicData uri="http://schemas.microsoft.com/office/word/2010/wordprocessingShape">
                    <wps:wsp>
                      <wps:cNvCnPr/>
                      <wps:spPr>
                        <a:xfrm>
                          <a:off x="0" y="0"/>
                          <a:ext cx="5328285" cy="0"/>
                        </a:xfrm>
                        <a:prstGeom prst="line">
                          <a:avLst/>
                        </a:prstGeom>
                        <a:ln w="57150" cap="flat" cmpd="thickThin">
                          <a:solidFill>
                            <a:srgbClr val="000000"/>
                          </a:solidFill>
                          <a:prstDash val="solid"/>
                          <a:headEnd type="none" w="sm" len="sm"/>
                          <a:tailEnd type="none" w="sm" len="sm"/>
                        </a:ln>
                      </wps:spPr>
                      <wps:bodyPr upright="1"/>
                    </wps:wsp>
                  </a:graphicData>
                </a:graphic>
              </wp:anchor>
            </w:drawing>
          </mc:Choice>
          <mc:Fallback>
            <w:pict>
              <v:line id="_x0000_s1026" o:spid="_x0000_s1026" o:spt="20" style="position:absolute;left:0pt;margin-left:27.9pt;margin-top:18.9pt;height:0pt;width:419.55pt;z-index:251660288;mso-width-relative:page;mso-height-relative:page;" filled="f" stroked="t" coordsize="21600,21600" o:gfxdata="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j5KcLZAAAACAEAAA8AAAAAAAAAAQAgAAAAIgAAAGRycy9kb3ducmV2&#10;LnhtbFBLAQIUABQAAAAIAIdO4kB8grpD+wEAAOkDAAAOAAAAAAAAAAEAIAAAACgBAABkcnMvZTJv&#10;RG9jLnhtbFBLBQYAAAAABgAGAFkBAACVBQAAAAA=&#10;">
                <v:fill on="f" focussize="0,0"/>
                <v:stroke weight="4.5pt" color="#000000" linestyle="thickThin" joinstyle="round" startarrowwidth="narrow" startarrowlength="short" endarrowwidth="narrow" endarrowlength="short"/>
                <v:imagedata o:title=""/>
                <o:lock v:ext="edit" aspectratio="f"/>
              </v:line>
            </w:pict>
          </mc:Fallback>
        </mc:AlternateContent>
      </w:r>
    </w:p>
    <w:p w14:paraId="1B68E5E8">
      <w:pPr>
        <w:spacing w:line="500" w:lineRule="atLeast"/>
        <w:ind w:left="-284" w:right="-284" w:firstLine="464"/>
        <w:jc w:val="center"/>
        <w:rPr>
          <w:rFonts w:hint="eastAsia" w:ascii="黑体" w:hAnsi="黑体" w:eastAsia="黑体" w:cs="黑体"/>
          <w:b/>
          <w:sz w:val="30"/>
          <w:szCs w:val="30"/>
        </w:rPr>
      </w:pPr>
    </w:p>
    <w:p w14:paraId="0889668C">
      <w:pPr>
        <w:spacing w:line="500" w:lineRule="atLeast"/>
        <w:ind w:left="-284" w:right="-284" w:firstLine="390"/>
        <w:rPr>
          <w:rFonts w:hint="eastAsia" w:ascii="黑体" w:hAnsi="黑体" w:eastAsia="黑体" w:cs="黑体"/>
          <w:spacing w:val="-20"/>
          <w:sz w:val="30"/>
          <w:szCs w:val="30"/>
        </w:rPr>
      </w:pPr>
    </w:p>
    <w:p w14:paraId="7B435C54">
      <w:pPr>
        <w:spacing w:line="500" w:lineRule="atLeast"/>
        <w:ind w:left="-284" w:right="-284" w:firstLine="390"/>
        <w:rPr>
          <w:rFonts w:hint="eastAsia" w:ascii="黑体" w:hAnsi="黑体" w:eastAsia="黑体" w:cs="黑体"/>
          <w:spacing w:val="-20"/>
          <w:sz w:val="30"/>
          <w:szCs w:val="30"/>
        </w:rPr>
      </w:pPr>
    </w:p>
    <w:p w14:paraId="4CB3E9AF">
      <w:pPr>
        <w:spacing w:line="500" w:lineRule="atLeast"/>
        <w:ind w:left="-284" w:right="-284" w:firstLine="390"/>
        <w:rPr>
          <w:rFonts w:hint="eastAsia" w:ascii="黑体" w:hAnsi="黑体" w:eastAsia="黑体" w:cs="黑体"/>
          <w:spacing w:val="-20"/>
          <w:sz w:val="30"/>
          <w:szCs w:val="30"/>
        </w:rPr>
      </w:pPr>
    </w:p>
    <w:p w14:paraId="0A4C041D">
      <w:pPr>
        <w:spacing w:line="500" w:lineRule="atLeast"/>
        <w:ind w:left="-284" w:right="-284" w:firstLine="390"/>
        <w:rPr>
          <w:rFonts w:hint="eastAsia" w:ascii="黑体" w:hAnsi="黑体" w:eastAsia="黑体" w:cs="黑体"/>
          <w:spacing w:val="-20"/>
          <w:sz w:val="30"/>
          <w:szCs w:val="30"/>
        </w:rPr>
      </w:pPr>
    </w:p>
    <w:p w14:paraId="10F0F58B">
      <w:pPr>
        <w:spacing w:line="500" w:lineRule="atLeast"/>
        <w:ind w:left="-284" w:right="-284" w:firstLine="390"/>
        <w:rPr>
          <w:rFonts w:hint="eastAsia" w:ascii="黑体" w:hAnsi="黑体" w:eastAsia="黑体" w:cs="黑体"/>
          <w:spacing w:val="-20"/>
          <w:sz w:val="30"/>
          <w:szCs w:val="30"/>
        </w:rPr>
      </w:pPr>
    </w:p>
    <w:p w14:paraId="0833AC9D">
      <w:pPr>
        <w:spacing w:line="500" w:lineRule="atLeast"/>
        <w:ind w:left="-284" w:right="-284" w:firstLine="390"/>
        <w:rPr>
          <w:rFonts w:hint="eastAsia" w:ascii="黑体" w:hAnsi="黑体" w:eastAsia="黑体" w:cs="黑体"/>
          <w:spacing w:val="-20"/>
          <w:sz w:val="30"/>
          <w:szCs w:val="30"/>
        </w:rPr>
      </w:pPr>
    </w:p>
    <w:p w14:paraId="4026690A">
      <w:pPr>
        <w:spacing w:line="500" w:lineRule="atLeast"/>
        <w:ind w:left="-284" w:right="-284" w:firstLine="390"/>
        <w:rPr>
          <w:rFonts w:hint="eastAsia" w:ascii="黑体" w:hAnsi="黑体" w:eastAsia="黑体" w:cs="黑体"/>
          <w:spacing w:val="-20"/>
          <w:sz w:val="30"/>
          <w:szCs w:val="30"/>
        </w:rPr>
      </w:pPr>
    </w:p>
    <w:p w14:paraId="03DC9FAC">
      <w:pPr>
        <w:spacing w:line="500" w:lineRule="atLeast"/>
        <w:ind w:left="-284" w:right="-284" w:firstLine="390"/>
        <w:rPr>
          <w:rFonts w:hint="eastAsia" w:ascii="黑体" w:hAnsi="黑体" w:eastAsia="黑体" w:cs="黑体"/>
          <w:spacing w:val="-20"/>
          <w:sz w:val="30"/>
          <w:szCs w:val="30"/>
        </w:rPr>
      </w:pPr>
    </w:p>
    <w:p w14:paraId="66069B74">
      <w:pPr>
        <w:spacing w:line="500" w:lineRule="atLeast"/>
        <w:ind w:left="-284" w:right="-284" w:firstLine="390"/>
        <w:rPr>
          <w:rFonts w:hint="eastAsia" w:ascii="黑体" w:hAnsi="黑体" w:eastAsia="黑体" w:cs="黑体"/>
          <w:spacing w:val="-20"/>
          <w:sz w:val="30"/>
          <w:szCs w:val="30"/>
        </w:rPr>
      </w:pPr>
    </w:p>
    <w:p w14:paraId="727C430D">
      <w:pPr>
        <w:spacing w:line="500" w:lineRule="atLeast"/>
        <w:ind w:left="-284" w:right="-284" w:firstLine="390"/>
        <w:rPr>
          <w:rFonts w:hint="eastAsia" w:ascii="黑体" w:hAnsi="黑体" w:eastAsia="黑体" w:cs="黑体"/>
          <w:spacing w:val="-20"/>
          <w:sz w:val="30"/>
          <w:szCs w:val="30"/>
        </w:rPr>
      </w:pPr>
    </w:p>
    <w:p w14:paraId="2477D063">
      <w:pPr>
        <w:pStyle w:val="40"/>
        <w:spacing w:line="360" w:lineRule="auto"/>
        <w:ind w:firstLine="462"/>
        <w:rPr>
          <w:rFonts w:hint="eastAsia" w:ascii="黑体" w:hAnsi="黑体" w:eastAsia="黑体" w:cs="黑体"/>
          <w:b/>
          <w:bCs/>
          <w:sz w:val="32"/>
          <w:szCs w:val="32"/>
        </w:rPr>
      </w:pPr>
      <w:r>
        <w:rPr>
          <w:rFonts w:hint="eastAsia" w:ascii="黑体" w:hAnsi="黑体" w:eastAsia="黑体" w:cs="黑体"/>
          <w:b/>
          <w:bCs/>
          <w:sz w:val="32"/>
          <w:szCs w:val="32"/>
        </w:rPr>
        <w:t>202</w:t>
      </w:r>
      <w:r>
        <w:rPr>
          <w:rFonts w:hint="eastAsia" w:hAnsi="黑体" w:cs="黑体"/>
          <w:b/>
          <w:bCs/>
          <w:sz w:val="32"/>
          <w:szCs w:val="32"/>
          <w:lang w:val="en-US" w:eastAsia="zh-CN"/>
        </w:rPr>
        <w:t>5</w:t>
      </w:r>
      <w:r>
        <w:rPr>
          <w:rFonts w:hint="eastAsia" w:ascii="黑体" w:hAnsi="黑体" w:eastAsia="黑体" w:cs="黑体"/>
          <w:b/>
          <w:bCs/>
          <w:sz w:val="32"/>
          <w:szCs w:val="32"/>
        </w:rPr>
        <w:t>年</w:t>
      </w:r>
      <w:r>
        <w:rPr>
          <w:rFonts w:hint="eastAsia" w:hAnsi="黑体" w:cs="黑体"/>
          <w:b/>
          <w:bCs/>
          <w:sz w:val="32"/>
          <w:szCs w:val="32"/>
          <w:lang w:val="en-US" w:eastAsia="zh-CN"/>
        </w:rPr>
        <w:t>01</w:t>
      </w:r>
      <w:r>
        <w:rPr>
          <w:rFonts w:hint="eastAsia" w:ascii="黑体" w:hAnsi="黑体" w:eastAsia="黑体" w:cs="黑体"/>
          <w:b/>
          <w:bCs/>
          <w:sz w:val="32"/>
          <w:szCs w:val="32"/>
        </w:rPr>
        <w:t>月</w:t>
      </w:r>
    </w:p>
    <w:p w14:paraId="30FF9D80">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br w:type="page"/>
      </w:r>
    </w:p>
    <w:p w14:paraId="67EB8A55">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第一章</w:t>
      </w:r>
      <w:r>
        <w:rPr>
          <w:rFonts w:hint="eastAsia" w:cs="宋体"/>
          <w:b/>
          <w:bCs w:val="0"/>
          <w:sz w:val="24"/>
          <w:szCs w:val="24"/>
          <w:lang w:val="en-US" w:eastAsia="zh-CN"/>
        </w:rPr>
        <w:t xml:space="preserve">  </w:t>
      </w:r>
      <w:r>
        <w:rPr>
          <w:rFonts w:hint="eastAsia" w:ascii="宋体" w:hAnsi="宋体" w:eastAsia="宋体" w:cs="宋体"/>
          <w:b/>
          <w:bCs w:val="0"/>
          <w:sz w:val="24"/>
          <w:szCs w:val="24"/>
          <w:lang w:val="en-US" w:eastAsia="zh-CN"/>
        </w:rPr>
        <w:t>项目概述</w:t>
      </w:r>
    </w:p>
    <w:p w14:paraId="167B3E06">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一、项目名称</w:t>
      </w:r>
    </w:p>
    <w:p w14:paraId="7A162D2E">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本项目为嵩山实验室多模态智慧云网环境关键技术研究与验证-网络底座建设项目（以下简称本工程）。</w:t>
      </w:r>
    </w:p>
    <w:p w14:paraId="413C0577">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二、适用范围</w:t>
      </w:r>
    </w:p>
    <w:p w14:paraId="6CC688C9">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本技术规范书是为“嵩山实验室多模态智慧云网环境关键技术研究与验证-网络底座建设项目”的招标编制的，只适用于该部分内容。</w:t>
      </w:r>
    </w:p>
    <w:p w14:paraId="19A7BDFF">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三、编制依据</w:t>
      </w:r>
    </w:p>
    <w:p w14:paraId="175B3CD7">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国家现行的有关规范、标准，地方及行业相关规范、标准及规定，包含但不限于：</w:t>
      </w:r>
    </w:p>
    <w:p w14:paraId="3E0334AF">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（一）国家标准规范</w:t>
      </w:r>
    </w:p>
    <w:p w14:paraId="6FC33186">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《信息技术软件生存周期过程》（GB/T 8566-2007）；</w:t>
      </w:r>
    </w:p>
    <w:p w14:paraId="2A302A41">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《计算机软件文档编制规范》（GB/T8567-2006）；</w:t>
      </w:r>
    </w:p>
    <w:p w14:paraId="145BDB13">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《信息技术软件工程术语》（GB/T11457-2006）；</w:t>
      </w:r>
    </w:p>
    <w:p w14:paraId="492B5F81">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《计算机软件测试规范》 (GB/T 15532-2008)；</w:t>
      </w:r>
    </w:p>
    <w:p w14:paraId="6B703651">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《计算机软件需求规格说明规范》（GB/T 9385-2008）；</w:t>
      </w:r>
    </w:p>
    <w:p w14:paraId="5CB90EB4">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《建筑电气与智能化通用规范》(GB 55024-2022)；</w:t>
      </w:r>
    </w:p>
    <w:p w14:paraId="79FEE20B">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《数据中心设计规范》 (GB 50174-2017)；</w:t>
      </w:r>
    </w:p>
    <w:p w14:paraId="78E7945E">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《信息安全等级保护管理办法》 (公通字〔2007〕 43 号)；</w:t>
      </w:r>
    </w:p>
    <w:p w14:paraId="26F714EB">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《信息安全技术信息安全风险评估规范》 (GB/T 20984—2007)；</w:t>
      </w:r>
    </w:p>
    <w:p w14:paraId="0702891B">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《信息安全技术 网络安全等级保护基本要求》 (GB/T22239-2019)；</w:t>
      </w:r>
    </w:p>
    <w:p w14:paraId="773F4965">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《信息安全技术 网络安全设计技术要求》 (GB/T25070-2019)；</w:t>
      </w:r>
    </w:p>
    <w:p w14:paraId="493242E6">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《信息安全技术 网络安全等级保护定级指南》（GB/T 22240-2020）；</w:t>
      </w:r>
    </w:p>
    <w:p w14:paraId="7EEF6954">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《信息安全技术 政务信息共享 数据安全技术要求》(GB/T39477-2020)；</w:t>
      </w:r>
    </w:p>
    <w:p w14:paraId="7BC49C9D">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《信息安全技术 信息系统密码应用基本要求》 (GB/T39786-2021)；</w:t>
      </w:r>
    </w:p>
    <w:p w14:paraId="57785859">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《建筑工程设计文件编制深度规定》(2016版)；</w:t>
      </w:r>
    </w:p>
    <w:p w14:paraId="4F3633A2">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《智能建筑设计标准》GB50314-2015；</w:t>
      </w:r>
    </w:p>
    <w:p w14:paraId="799D9553">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《建筑电气与智能化通用规范》(GB 55024-2022)；</w:t>
      </w:r>
    </w:p>
    <w:p w14:paraId="161FF3AA">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《综合布线系统工程验收规范》（GB/T50312-2016）</w:t>
      </w:r>
    </w:p>
    <w:p w14:paraId="66ACCF19">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《电力工程电缆设计标准》GB50217-2018</w:t>
      </w:r>
    </w:p>
    <w:p w14:paraId="2569DF09">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《建筑物防雷设计规范》GB 50057-2010</w:t>
      </w:r>
    </w:p>
    <w:p w14:paraId="7F35C0FC">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《通信局（站）防雷与接地工程验收规范》GB51120-2015</w:t>
      </w:r>
    </w:p>
    <w:p w14:paraId="4B440CD7">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《安全防范工程技术规范》GB 50348-2018</w:t>
      </w:r>
    </w:p>
    <w:p w14:paraId="11BFEB8D">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《综合布线系统工程设计规范》GB 50311-2016</w:t>
      </w:r>
    </w:p>
    <w:p w14:paraId="6B46AF06">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《通信建筑工程设计规范》YD 5003-2014</w:t>
      </w:r>
    </w:p>
    <w:p w14:paraId="3668A85D">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《民用建筑电气设计标准》GB51348-2019</w:t>
      </w:r>
    </w:p>
    <w:p w14:paraId="1E95F173">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 其他标准</w:t>
      </w:r>
    </w:p>
    <w:p w14:paraId="1D8D0922">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《通信工程设计文件编制规定》(YDT 5211-2014)；</w:t>
      </w:r>
    </w:p>
    <w:p w14:paraId="14BD2EA3">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《多模态网络总体技术要求》T/ZGTXXH 027-2022；</w:t>
      </w:r>
    </w:p>
    <w:p w14:paraId="1AA3ACED">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《多模态网络智能资源管理编排技术要求》T/ZGTXXH 028-2022；</w:t>
      </w:r>
    </w:p>
    <w:p w14:paraId="46DEC122">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《多模态网元技术要求》T/ZGTXXH 029-2022；</w:t>
      </w:r>
    </w:p>
    <w:p w14:paraId="24402FAD">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《网络模态管理控制通用要求》T/ZGTXXH 030-2022；</w:t>
      </w:r>
    </w:p>
    <w:p w14:paraId="336B870E">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《多模态网络控制面与数据面间通信协议规范》T/ZGTXXH 031-2022；</w:t>
      </w:r>
    </w:p>
    <w:p w14:paraId="3A8E5011">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《多模态网络面向标识的传输层协议规范》T/ZGTXXH 032-2022；</w:t>
      </w:r>
    </w:p>
    <w:p w14:paraId="006CCD6F">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《面向多模态网络的数据面可编程技术规范》T/ZGTXXH 033-2022；</w:t>
      </w:r>
    </w:p>
    <w:p w14:paraId="0BE55570">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《多模态网络标识解析系统技术规范》（征求意见稿）；</w:t>
      </w:r>
    </w:p>
    <w:p w14:paraId="7E6170A2">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与科研相关的嵩山实验室内部要求或标准。</w:t>
      </w:r>
    </w:p>
    <w:p w14:paraId="3A15C97E">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需执行的国家相关标准、行业标准、地方标准或其他标准、规范含但不限于上述文件，上述文件如有更新则以最新版本为准。</w:t>
      </w:r>
    </w:p>
    <w:p w14:paraId="02916E9A">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上所列的主要技术标准和规范（不限于以上标准和规范），如未能达到国际或国内最新版本时，供货方应使系统的设计、施工及选用的设备符合最新颁布的国际、国内标准，并提供采用的国际、国内标准、规范和所应用的最新版本的有关技术依据资料。</w:t>
      </w:r>
    </w:p>
    <w:p w14:paraId="3C6B9634">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四、系统概述</w:t>
      </w:r>
    </w:p>
    <w:p w14:paraId="3D4D8D0A">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项目实施目标为搭建多模态智慧网络实验环境，建设具有多模态网络环境的智慧园区。在统一的网络基础设施上，以多模态网络环境技术构建多模态网络环境底座，以应用场景需求为驱动，在多模态网络环境底座上生成互相隔离的、不同的模态网络，多个应用系统在各自的模态网络上独立运行，支撑专网、办公网、园区信息化网、科研网、试验网等多种应用业务需求，构建多模态网络环境与安全技术试验场。</w:t>
      </w:r>
    </w:p>
    <w:p w14:paraId="25E7030A">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建设多模态网络环境、并与其他基础设施层互联，承载办公科研等业务。</w:t>
      </w:r>
    </w:p>
    <w:p w14:paraId="50CDF67A">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协同内生安全云原生平台、云网一体控制、共同构建内生安全的多模态云网一体环境底座，支撑各研究中心办公、科研的存算网资源需求，承载实验室各类信息系统上云，构建运管一体，运测一体的智慧管理平台。</w:t>
      </w:r>
    </w:p>
    <w:p w14:paraId="66D68445">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本项目主要包括整个园区的多模态网络系统、综合布线系统的技术方案编制，设备、系统线缆、保护管材及其配件、主辅材供货及安装、敷设、分系统调试、系统联调、试运行、技术培训等全套服务。</w:t>
      </w:r>
    </w:p>
    <w:p w14:paraId="5FA94FC9">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各系统本着技术先进、安全可靠、操作简单、运维方便、扩展性强等基本原则进行设计，集成单位应根据建设单位需求，结合用户需求、设备特点、园区基础条件等因素进行深化设计、编制施工技术方案及施工组织方案，保证各系统的如期上线并流畅可靠运行。</w:t>
      </w:r>
    </w:p>
    <w:p w14:paraId="02804E70">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各系统应满足使用方相关要求，系统并可向第三方系统或设备提供开放接口，提供标准以太网连接、TCP/IP协议、多模态协议、RS232、RS485等协议。</w:t>
      </w:r>
    </w:p>
    <w:p w14:paraId="4F9252BA">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各系统应自成系统，独立工作，系统不应受其他系统故障影响。</w:t>
      </w:r>
    </w:p>
    <w:p w14:paraId="3BEEDDD4">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本工程作为园区的网络底座，各系统设备应满足安装现场的温度、湿度等环境要求，现场设备应具备与环境相适应的防护等级，在满足以上条件的前提下，尽量采用与周边环境相协调的美观的设备。</w:t>
      </w:r>
    </w:p>
    <w:p w14:paraId="7DA1F277">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次招标为整体解决方案招标，因此投标人应提供满足本技术要求和建设实际需求的一套整体解决方案，包括与本项目强相关的在建项目或已有分系统的互通与联调联试，（包括但不限于安全防护系统、云平台、园区信息化各子系统等）。投标人应对招标人项目的整体方案和主要设备配置进行确认，并应予以补充满足使用所必须的其他设备和材料。</w:t>
      </w:r>
    </w:p>
    <w:p w14:paraId="798DEBAD">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五、解释与修订</w:t>
      </w:r>
    </w:p>
    <w:p w14:paraId="34CEBE7E">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招标方保留对本文件的解释和修改权。招标方有权在合同正式签订前修改本文件。</w:t>
      </w:r>
    </w:p>
    <w:p w14:paraId="642FA56D">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p>
    <w:p w14:paraId="75DE0747">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第二章</w:t>
      </w:r>
      <w:r>
        <w:rPr>
          <w:rFonts w:hint="eastAsia" w:cs="宋体"/>
          <w:b/>
          <w:bCs w:val="0"/>
          <w:sz w:val="24"/>
          <w:szCs w:val="24"/>
          <w:lang w:val="en-US" w:eastAsia="zh-CN"/>
        </w:rPr>
        <w:t xml:space="preserve">  </w:t>
      </w:r>
      <w:r>
        <w:rPr>
          <w:rFonts w:hint="eastAsia" w:ascii="宋体" w:hAnsi="宋体" w:eastAsia="宋体" w:cs="宋体"/>
          <w:b/>
          <w:bCs w:val="0"/>
          <w:sz w:val="24"/>
          <w:szCs w:val="24"/>
          <w:lang w:val="en-US" w:eastAsia="zh-CN"/>
        </w:rPr>
        <w:t>系统及设备技术要求</w:t>
      </w:r>
    </w:p>
    <w:p w14:paraId="39BE2741">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一．多模态网络底座</w:t>
      </w:r>
    </w:p>
    <w:p w14:paraId="662D6B77">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1.多模态网络底座总体技术要求</w:t>
      </w:r>
    </w:p>
    <w:p w14:paraId="6BEB5EDB">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基于多模态网元设备及传统网络设备、多级组网拓扑、多模态网络环境组网要求，实现园区网络的组网构建；</w:t>
      </w:r>
    </w:p>
    <w:p w14:paraId="59E289D4">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承载多种功能网络运行。支持同一底座设施对园区所需多种功能网络(包括但不限于：办公网、智慧园区网园区信息化网、各中心科研网、各中心实验网、财务专网、机要专网、涉密专网等)的统一承载与运行。能满足各功能网络访问互联网受控程度的要求，如：各功能网络依据访问互联网受控程度，将各子网分为4级：1级(物理隔离，禁止访问互联网)、2级(逻辑隔离，禁止访问互联网)、3级(选择性逻辑隔离，受限访问互联网)、4级(完全访问互联网)；</w:t>
      </w:r>
    </w:p>
    <w:p w14:paraId="0ACDAC62">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多业务功能支持。支持园区智慧安防、智慧通行、智慧办公、智慧节能、智慧物管、智慧生活、智慧保密等业务系统的网络能力需求。</w:t>
      </w:r>
    </w:p>
    <w:p w14:paraId="65EE25E4">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与多模态运营商城域网平行网络互通。多模态平行网络的网络边界设备作为多模态平行网络的跨域互连节点及园区用户接入场点，需要负责平行网络相关设备的集成安装并与运营商多模态城域平行网络的对接与互联互通。满足试点用户业务的接入需求。</w:t>
      </w:r>
    </w:p>
    <w:p w14:paraId="3EBD44E1">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负责支撑多模态网络创新环境项目的场景与资源需求。</w:t>
      </w:r>
    </w:p>
    <w:p w14:paraId="03AB90F1">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提供高可用性能力、可持续发展能力。本项目中所采用的设备应具备高可靠性、耐用性、易维护性。</w:t>
      </w:r>
    </w:p>
    <w:p w14:paraId="431BB455">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项目要从规、建、维、优等方面综合考虑，按照项目全生命周期管理模式进行建设，从建设各阶段方面就要充分考虑后期运维等工作，根据需求充分论证初期投资规模，实现网络设备及综合布线的依据工程进度按需部署，避免固定资产的闲置浪费。</w:t>
      </w:r>
    </w:p>
    <w:p w14:paraId="6329674C">
      <w:pPr>
        <w:keepNext w:val="0"/>
        <w:keepLines w:val="0"/>
        <w:pageBreakBefore w:val="0"/>
        <w:widowControl w:val="0"/>
        <w:kinsoku/>
        <w:wordWrap/>
        <w:overflowPunct/>
        <w:topLinePunct w:val="0"/>
        <w:autoSpaceDE/>
        <w:autoSpaceDN/>
        <w:bidi w:val="0"/>
        <w:adjustRightInd/>
        <w:snapToGrid/>
        <w:ind w:firstLine="412"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bCs/>
          <w:spacing w:val="-2"/>
          <w:sz w:val="21"/>
          <w:szCs w:val="21"/>
          <w:lang w:val="en-US" w:eastAsia="zh-CN"/>
        </w:rPr>
        <w:t>应能积极借鉴国内外类似项目的经验及现有的新技术和新产品，重点考虑工艺条件、节能减排、新技术等方面，以建设在同类项目中具备比较优势的网络底座，满足低成本高效运营要求</w:t>
      </w:r>
      <w:r>
        <w:rPr>
          <w:rFonts w:hint="eastAsia" w:ascii="宋体" w:hAnsi="宋体" w:eastAsia="宋体" w:cs="宋体"/>
          <w:sz w:val="21"/>
          <w:szCs w:val="21"/>
          <w:lang w:val="en-US" w:eastAsia="zh-CN"/>
        </w:rPr>
        <w:t>。</w:t>
      </w:r>
    </w:p>
    <w:p w14:paraId="0320D8C3">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需要考虑设备安装空间的需求与办公环境的美观的统一。</w:t>
      </w:r>
    </w:p>
    <w:p w14:paraId="071443B5">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多模态网络底座主设备厂家需提供与多模态设备混合组网的技术支持服务。</w:t>
      </w:r>
    </w:p>
    <w:p w14:paraId="733DD24D">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多模态网络底座主要集成内容包含但不限于如下内容：一、本期新购主设备的集成（新购设备数量见下表）；二、多模态汇聚及核心交换机、利旧设备、部署在园区机房的平行网络项目设设备等内容的集成（具体设备数量见“第四章 项目说明和采购需求”中的“四、施工服务范围及内容”）。</w:t>
      </w:r>
    </w:p>
    <w:p w14:paraId="196B7FE9">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cs="宋体"/>
          <w:sz w:val="21"/>
          <w:szCs w:val="21"/>
          <w:lang w:val="en-US" w:eastAsia="zh-CN"/>
        </w:rPr>
        <w:t>2.</w:t>
      </w:r>
      <w:r>
        <w:rPr>
          <w:rFonts w:hint="eastAsia" w:ascii="宋体" w:hAnsi="宋体" w:eastAsia="宋体" w:cs="宋体"/>
          <w:sz w:val="21"/>
          <w:szCs w:val="21"/>
          <w:lang w:val="en-US" w:eastAsia="zh-CN"/>
        </w:rPr>
        <w:t>多模态网络底座主设备技术要求</w:t>
      </w:r>
    </w:p>
    <w:tbl>
      <w:tblPr>
        <w:tblStyle w:val="23"/>
        <w:tblW w:w="96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9"/>
        <w:gridCol w:w="716"/>
        <w:gridCol w:w="6723"/>
        <w:gridCol w:w="830"/>
        <w:gridCol w:w="790"/>
      </w:tblGrid>
      <w:tr w14:paraId="6CB9B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BA9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序号</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E07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设备名称</w:t>
            </w:r>
          </w:p>
        </w:tc>
        <w:tc>
          <w:tcPr>
            <w:tcW w:w="6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4AF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主要参数</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25E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单位</w:t>
            </w: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3C1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数量</w:t>
            </w:r>
          </w:p>
        </w:tc>
      </w:tr>
      <w:tr w14:paraId="12400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84F2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C5B4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lang w:val="en-US"/>
              </w:rPr>
            </w:pPr>
            <w:r>
              <w:rPr>
                <w:rFonts w:hint="eastAsia" w:ascii="宋体" w:hAnsi="宋体" w:eastAsia="宋体" w:cs="宋体"/>
                <w:bCs/>
                <w:i w:val="0"/>
                <w:iCs w:val="0"/>
                <w:color w:val="000000"/>
                <w:kern w:val="0"/>
                <w:sz w:val="20"/>
                <w:szCs w:val="20"/>
                <w:u w:val="none"/>
                <w:lang w:val="en-US" w:eastAsia="zh-CN" w:bidi="ar"/>
              </w:rPr>
              <w:t>接入交换机1</w:t>
            </w:r>
          </w:p>
        </w:tc>
        <w:tc>
          <w:tcPr>
            <w:tcW w:w="67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703CA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1.交换容量≥670Gbps，转发性能≥100Mpps，以官网最小的值为准；</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2.★8个10/100/1000BASE-T以太网端口,≥4个万兆SFP+；万兆单模模块2个，交流电源供电。</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3.▲CPU和转发芯片要求国产化，提供具有CNAS标识或者中国泰尔实验室出具的检测报告扫描件，并加盖厂商印章；</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4.设备采用自然散热；支持静态、动态、黑洞MAC表项；支持4K VLAN；支持1：1，N：1 VLAN mapping；支持端口VLAN，协议VLAN，IP子网VLAN；支持Voice VLAN。</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5.▲支持MAC地址≥32K，提供具有CNAS标识或者中国泰尔实验室出具的检测报告扫描件，并加盖厂商印章；</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6.支持静态路由，支持RIP、RIPng、OSPF、OSPFv3协议；支持IGMP v1/v2/v3 Snooping；支持VLAN内组播转发和组播多VLAN复制；支持捆绑端口的组播负载分担；支持可控组播；基于端口的组播流量统计。支持基于第二层、第三层和第四层的ACL；支持DHCP Snooping、DHCP Relay、DHCP Server；支持802.1X； 支持AAA认证，支持Radius；支持SNMP v1/v2/v3、Telnet、RMON、SSHv2；</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7.为了方便后期维护，要求设备支持外置复位按钮，可在忘记密码或清空配置时使用，使设备快速回复出厂配置。</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8.提供原厂维保服务。</w:t>
            </w: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2B33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台</w:t>
            </w:r>
          </w:p>
        </w:tc>
        <w:tc>
          <w:tcPr>
            <w:tcW w:w="79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245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26</w:t>
            </w:r>
          </w:p>
        </w:tc>
      </w:tr>
      <w:tr w14:paraId="5E5E7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334B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71DA4A">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CCC20C">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AD513">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5A1D0">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2CFE7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0C85F">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731F1">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07BAF">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8B24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2CA73">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4C39E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AABAF">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4F33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17412">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9B4C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76B38">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7E007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166E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616E4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37889">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2BE31">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4CDB2">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38BC0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0DC13">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8F14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59AD7">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95D5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91A8E">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47281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DCD90">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6315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B68A5E">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8AF3C">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B550D">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3CCC0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2BD5C">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B284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0E2B62">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AF428">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723F4">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483EC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9890D">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66780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7B8D16">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0C291">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11B81">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7C375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5AA58">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C545C">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4E019">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C6C2F">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FE84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4B03C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C363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4D15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931311">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555CF">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E56E8">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359CC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902DA">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4C7A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05DF8">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E878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486C4">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73577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FC32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D8B5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92CEC">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A212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0678F">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3F666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47B7F">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68C7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471D9">
            <w:pPr>
              <w:keepNext w:val="0"/>
              <w:keepLines w:val="0"/>
              <w:pageBreakBefore w:val="0"/>
              <w:widowControl/>
              <w:kinsoku/>
              <w:wordWrap/>
              <w:overflowPunct/>
              <w:topLinePunct w:val="0"/>
              <w:autoSpaceDE/>
              <w:autoSpaceDN/>
              <w:bidi w:val="0"/>
              <w:adjustRightInd/>
              <w:snapToGrid/>
              <w:spacing w:line="240" w:lineRule="auto"/>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5000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57B7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0237F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30F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2</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5D2B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接入交换机2（核心产品）</w:t>
            </w:r>
          </w:p>
        </w:tc>
        <w:tc>
          <w:tcPr>
            <w:tcW w:w="6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69E0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w:t>
            </w:r>
            <w:r>
              <w:rPr>
                <w:rFonts w:hint="eastAsia" w:ascii="宋体" w:hAnsi="宋体" w:eastAsia="宋体" w:cs="宋体"/>
                <w:color w:val="000000"/>
                <w:kern w:val="0"/>
                <w:sz w:val="20"/>
                <w:szCs w:val="20"/>
                <w:lang w:bidi="ar"/>
              </w:rPr>
              <w:t>▲</w:t>
            </w:r>
            <w:r>
              <w:rPr>
                <w:rFonts w:hint="eastAsia" w:ascii="宋体" w:hAnsi="宋体" w:eastAsia="宋体" w:cs="宋体"/>
                <w:bCs/>
                <w:i w:val="0"/>
                <w:iCs w:val="0"/>
                <w:color w:val="000000"/>
                <w:kern w:val="0"/>
                <w:sz w:val="20"/>
                <w:szCs w:val="20"/>
                <w:u w:val="none"/>
                <w:lang w:val="en-US" w:eastAsia="zh-CN" w:bidi="ar"/>
              </w:rPr>
              <w:t>交换容量≥670Gbps，转发性能≥110Mpps，以官网最小的值为准；</w:t>
            </w:r>
            <w:r>
              <w:rPr>
                <w:rFonts w:hint="eastAsia" w:ascii="宋体" w:hAnsi="宋体" w:eastAsia="宋体" w:cs="宋体"/>
                <w:color w:val="000000"/>
                <w:kern w:val="0"/>
                <w:sz w:val="20"/>
                <w:szCs w:val="20"/>
                <w:lang w:bidi="ar"/>
              </w:rPr>
              <w:t>提供产品说明书或官网截图。</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2.★16个10/100/1000BASE-T以太网端口,≥4个万兆SFP+；万兆单模模块2个，交流电源供电。</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3.要求设备采用国产化CPU；</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4.设备采用自然散热；支持静态、动态、黑洞MAC表项；支持4K VLAN；支持1：1，N：1 VLAN mapping；支持端口VLAN，协议VLAN，IP子网VLAN；支持Voice VLAN。</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5.支持MAC地址≥32K ；</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6.支持静态路由，支持RIP、RIPng、OSPF、OSPFv3协议；支持IGMP v1/v2/v3 Snooping；支持VLAN内组播转发和组播多VLAN复制；支持捆绑端口的组播负载分担；支持可控组播；基于端口的组播流量统计。支持基于第二层、第三层和第四层的ACL；支持DHCP Snooping、DHCP Relay、DHCP Server；支持802.1X； 支持AAA认证，支持Radius；支持SNMP v1/v2/v3、Telnet、RMON、SSHv2；</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7.为了方便后期维护，要求设备支持外置复位按钮，可在忘记密码或清空配置时使用，使设备快速回复出厂配置；</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8.提供原厂维保服务。</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9F2F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台</w:t>
            </w: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49D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205</w:t>
            </w:r>
          </w:p>
        </w:tc>
      </w:tr>
      <w:tr w14:paraId="67971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3D7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3</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E5FD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lang w:val="en-US"/>
              </w:rPr>
            </w:pPr>
            <w:r>
              <w:rPr>
                <w:rFonts w:hint="eastAsia" w:ascii="宋体" w:hAnsi="宋体" w:eastAsia="宋体" w:cs="宋体"/>
                <w:bCs/>
                <w:i w:val="0"/>
                <w:iCs w:val="0"/>
                <w:color w:val="000000"/>
                <w:kern w:val="0"/>
                <w:sz w:val="20"/>
                <w:szCs w:val="20"/>
                <w:u w:val="none"/>
                <w:lang w:val="en-US" w:eastAsia="zh-CN" w:bidi="ar"/>
              </w:rPr>
              <w:t>接入交换机3</w:t>
            </w:r>
          </w:p>
        </w:tc>
        <w:tc>
          <w:tcPr>
            <w:tcW w:w="6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3F26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1.交换容量≥670Gbps，转发性能≥170Mpps，以官网最小的值为准；</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2.★24个10/100/1000BASE-T以太网端口,≥6个万兆SFP+；万兆单模模块2个，交流电源供电。</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3.▲CPU和转发芯片要求国产化，提供具有CNAS标识或者中国泰尔实验室出具的检测报告扫描件，并加盖厂商印章；</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4.支持静态、动态、黑洞MAC表项；支持4K VLAN；支持1：1，N：1 VLAN mapping；支持端口VLAN，协议VLAN，IP子网VLAN；支持Voice VLAN。支持MAC地址≥32K；支持静态路由，支持RIP、RIPng、OSPF、OSPFv3协议；支持IGMP v1/v2/v3 Snooping；支持VLAN内组播转发和组播多VLAN复制；支持捆绑端口的组播负载分担；支持可控组播；基于端口的组播流量统计。支持基于第二层、第三层和第四层的ACL；支持DHCP Snooping、DHCP Relay、DHCP Server；支持802.1X； 支持AAA认证，支持Radius；支持SNMP v1/v2/v3、Telnet、RMON、SSHv2；</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5.▲为了方便后期维护，要求设备支持外置复位按钮，可在忘记密码或清空配置时使用，使设备快速回复出厂配置；需提供投标产品照片并指明接口位置，并加盖厂商印章。</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6.提供原厂维保服务。</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F08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台</w:t>
            </w: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4A0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28</w:t>
            </w:r>
          </w:p>
        </w:tc>
      </w:tr>
      <w:tr w14:paraId="19ECF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1A4E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4</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EC9C9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lang w:val="en-US"/>
              </w:rPr>
            </w:pPr>
            <w:r>
              <w:rPr>
                <w:rFonts w:hint="eastAsia" w:ascii="宋体" w:hAnsi="宋体" w:eastAsia="宋体" w:cs="宋体"/>
                <w:bCs/>
                <w:i w:val="0"/>
                <w:iCs w:val="0"/>
                <w:color w:val="000000"/>
                <w:kern w:val="0"/>
                <w:sz w:val="20"/>
                <w:szCs w:val="20"/>
                <w:u w:val="none"/>
                <w:lang w:val="en-US" w:eastAsia="zh-CN" w:bidi="ar"/>
              </w:rPr>
              <w:t>接入交换机4</w:t>
            </w:r>
          </w:p>
        </w:tc>
        <w:tc>
          <w:tcPr>
            <w:tcW w:w="67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5EEA6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1.交换容量≥670Gbps，转发性能≥200Mpps，以官网最小的值为准；</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2.★48个10/100/1000BASE-T以太网端口,≥6个万兆SFP+；万兆单模模块2个，交流电源供电。</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3.CPU和转发芯片要求国产化；</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4.支持静态、动态、黑洞MAC表项；支持4K VLAN；支持1：1，N：1 VLAN mapping；支持端口VLAN，协议VLAN，IP子网VLAN；支持Voice VLAN。支持MAC地址≥32K；支持静态路由，支持RIP、RIPng、OSPF、OSPFv3协议；支持IGMP v1/v2/v3 Snooping；支持VLAN内组播转发和组播多VLAN复制；支持捆绑端口的组播负载分担；支持可控组播；基于端口的组播流量统计。支持基于第二层、第三层和第四层的ACL；支持DHCP Snooping、DHCP Relay、DHCP Server；支持802.1X； 支持AAA认证，支持Radius；支持SNMP v1/v2/v3、Telnet、RMON、SSHv2；</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5.▲为了方便后期维护，要求设备支持外置复位按钮，可在忘记密码或清空配置时使用，使设备快速回复出厂配置；需提供投标产品照片并指明接口位置，并加盖厂商印章。</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6.▲提供原厂维保服务，需提供原厂售后服务承诺函盖章件。</w:t>
            </w: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EFD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台</w:t>
            </w:r>
          </w:p>
        </w:tc>
        <w:tc>
          <w:tcPr>
            <w:tcW w:w="79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B239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6</w:t>
            </w:r>
          </w:p>
        </w:tc>
      </w:tr>
      <w:tr w14:paraId="690CC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33993">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FC5DC">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6011C">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907E0">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BE4D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6C6E9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6D248">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13DE39">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D714F2">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34F24">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90F98">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4436F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D6F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5</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809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Style w:val="43"/>
                <w:rFonts w:hint="eastAsia" w:ascii="宋体" w:hAnsi="宋体" w:eastAsia="宋体" w:cs="宋体"/>
                <w:bCs/>
                <w:sz w:val="20"/>
                <w:szCs w:val="20"/>
                <w:lang w:val="en-US" w:eastAsia="zh-CN" w:bidi="ar"/>
              </w:rPr>
              <w:t>汇聚交换机</w:t>
            </w:r>
            <w:r>
              <w:rPr>
                <w:rStyle w:val="44"/>
                <w:rFonts w:hint="eastAsia" w:ascii="宋体" w:hAnsi="宋体" w:eastAsia="宋体" w:cs="宋体"/>
                <w:bCs/>
                <w:sz w:val="20"/>
                <w:szCs w:val="20"/>
                <w:lang w:val="en-US" w:eastAsia="zh-CN" w:bidi="ar"/>
              </w:rPr>
              <w:t xml:space="preserve"> </w:t>
            </w:r>
          </w:p>
        </w:tc>
        <w:tc>
          <w:tcPr>
            <w:tcW w:w="6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3CBC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1.交换容量≥4.8Tbps；转发性能≥2000Mpps，以官网最小的值为准；主备冗余交流电源。</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2.★ ≥48个万兆SFP+光口,≥6个40GE 光口（可升级为100G接口），万兆单模模块48个，40G单模模块4个。</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3.支持前后风道，独立风扇框≥4个。MAC地址≥380K；支持静态、动态、黑洞MAC表项；支持DHCP Client, DHCP Server，DHCP Relay，支持Option 82；支持4K VLAN；支持1：1，N：1 VLAN mapping；支持端口VLAN，协议VLAN，IP子网VLAN；支持Super VLAN；支持Voice VLAN；支持组播VLAN；支持IEEE 802.1d(STP), 802.w(RSTP), 802.1s(MSTP)；支持VLAN内端口隔离；支持Smart link；支持LLDP；支持VCT，端口环路检测。支持静态路由、RIP v1/v2、OSPF、BGP，ISIS；RIPng，OSPFv3，ISISv6，BGP4+；支持实际业务流的实时检测技术，实现对IP网络的精确丢包监控和快速故障定界能力，支持设备级、链路级和网络级丢包监测，其中网络级支持端到端、逐跳或区域的丢包监测；支持IGMP v1/v2/v3、PIM-SM、PIM-DM、PIM-SSM；支持IGMP snooping、MLD snooping；</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4.▲CPU和转发芯片要求国产化，提供具有CIAS标识或者中国泰尔实验室出具的检测报告扫描件，并加盖厂商印章；</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5.支持VxLAN功能，支持BGP EVPN，支持分布式 Anycast 网关，支持VxLAN的自动化部署；设备支持CRC校验、签名校验及其他方式，确保交换机从合法镜像启动；</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color w:val="000000"/>
                <w:kern w:val="0"/>
                <w:sz w:val="20"/>
                <w:szCs w:val="20"/>
                <w:lang w:bidi="ar"/>
              </w:rPr>
              <w:t>6.▲为了方便后期维护，要求设备支持外置复位按钮，可在忘记密码或清空配置时使用，使设备快速回复出厂配置；需提供投标产品照片并指明接口位置，并加盖厂商印章。</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7.▲提供原厂维保服务，需提供原厂售后服务承诺函盖章件。</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879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台</w:t>
            </w: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BEE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w:t>
            </w:r>
          </w:p>
        </w:tc>
      </w:tr>
      <w:tr w14:paraId="0B077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105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6</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42C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Style w:val="43"/>
                <w:rFonts w:hint="eastAsia" w:ascii="宋体" w:hAnsi="宋体" w:eastAsia="宋体" w:cs="宋体"/>
                <w:bCs/>
                <w:sz w:val="20"/>
                <w:szCs w:val="20"/>
                <w:lang w:val="en-US" w:eastAsia="zh-CN" w:bidi="ar"/>
              </w:rPr>
              <w:t>S7703扩容</w:t>
            </w:r>
          </w:p>
        </w:tc>
        <w:tc>
          <w:tcPr>
            <w:tcW w:w="6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4AE3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1.▲48端口万兆以太网光接口板，满配万兆单模光模块，提供产品说明书或官网截图</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190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块</w:t>
            </w: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1A2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w:t>
            </w:r>
          </w:p>
        </w:tc>
      </w:tr>
      <w:tr w14:paraId="7509A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685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7</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0C580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管理交换机</w:t>
            </w:r>
          </w:p>
        </w:tc>
        <w:tc>
          <w:tcPr>
            <w:tcW w:w="67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AD464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1.交换容量≥670Gbps，转发性能≥170Mpps，以官网最小的值为准；</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2.★24个10/100/1000BASE-T以太网端口,≥6个万兆SFP+；万兆单模模块2个，交流电源供电。</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3.▲CPU和转发芯片要求国产化，提供具有CNAS标识或者中国泰尔实验室出具的检测报告扫描件，并加盖厂商印章；</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4.支持静态、动态、黑洞MAC表项；支持4K VLAN；支持1：1，N：1 VLAN mapping；支持端口VLAN，协议VLAN，IP子网VLAN；支持Voice VLAN。</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5.▲支持MAC地址≥32K ，提供具有CNAS标识或者中国泰尔实验室出具的检测报告扫描件，并加盖厂商印章；</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6.支持静态路由，支持RIP、RIPng、OSPF、OSPFv3协议；支持IGMP v1/v2/v3 Snooping；支持VLAN内组播转发和组播多VLAN复制；支持捆绑端口的组播负载分担；支持可控组播；基于端口的组播流量统计。支持基于第二层、第三层和第四层的ACL；支持DHCP Snooping、DHCP Relay、DHCP Server；支持802.1X； 支持AAA认证，支持Radius；支持SNMP v1/v2/v3、Telnet、RMON、SSHv2；</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7.为了方便后期维护，要求设备支持外置复位按钮，可在忘记密码或清空配置时使用，使设备快速回复出厂配置。</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8.提供原厂维保服务。</w:t>
            </w: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FCC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台</w:t>
            </w:r>
          </w:p>
        </w:tc>
        <w:tc>
          <w:tcPr>
            <w:tcW w:w="79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829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4</w:t>
            </w:r>
          </w:p>
        </w:tc>
      </w:tr>
      <w:tr w14:paraId="4DC82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8D069">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B957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1F5651">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2F37E">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D63E2">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34B90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A0093">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04EDA">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D22E6">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15C1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2B27A">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3C216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2E00D">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891AE">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382CC2">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CF38F">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36C3D">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36DC4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DA2B3">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B91120">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8C64FC">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3A319">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981A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68359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3FC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8</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0A8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管理交换机</w:t>
            </w:r>
          </w:p>
        </w:tc>
        <w:tc>
          <w:tcPr>
            <w:tcW w:w="6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C8A7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Cs/>
                <w:i w:val="0"/>
                <w:iCs w:val="0"/>
                <w:color w:val="000000"/>
                <w:kern w:val="0"/>
                <w:sz w:val="20"/>
                <w:szCs w:val="20"/>
                <w:u w:val="none"/>
                <w:lang w:val="en-US" w:eastAsia="zh-CN" w:bidi="ar"/>
              </w:rPr>
            </w:pPr>
            <w:r>
              <w:rPr>
                <w:rFonts w:hint="eastAsia" w:ascii="宋体" w:hAnsi="宋体" w:eastAsia="宋体" w:cs="宋体"/>
                <w:bCs/>
                <w:i w:val="0"/>
                <w:iCs w:val="0"/>
                <w:color w:val="000000"/>
                <w:kern w:val="0"/>
                <w:sz w:val="20"/>
                <w:szCs w:val="20"/>
                <w:u w:val="none"/>
                <w:lang w:val="en-US" w:eastAsia="zh-CN" w:bidi="ar"/>
              </w:rPr>
              <w:t>1.交换容量≥670Gbps，转发性能≥170Mpps，以官网最小的值为准；</w:t>
            </w:r>
          </w:p>
          <w:p w14:paraId="49EF859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2.★24个10/100/1000BASE-T以太网端口,≥6个万兆SFP+；万兆单模模块2个，主备冗余交流电源。</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3.▲CPU和转发芯片要求国产化，提供具有CNAS标识或者中国泰尔实验室出具的检测报告扫描件，并加盖厂商印章；</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4.支持静态、动态、黑洞MAC表项；支持4K VLAN；支持1：1，N：1 VLAN mapping；支持端口VLAN，协议VLAN，IP子网VLAN；支持Voice VLAN。支持MAC地址≥32K ；支持静态路由，支持RIP、RIPng、OSPF、OSPFv3协议；支持IGMP v1/v2/v3 Snooping；支持VLAN内组播转发和组播多VLAN复制；支持捆绑端口的组播负载分担；支持可控组播；基于端口的组播流量统计。支持基于第二层、第三层和第四层的ACL；支持DHCP Snooping、DHCP Relay、DHCP Server；支持802.1X； 支持AAA认证，支持Radius；支持SNMP v1/v2/v3、Telnet、RMON、SSHv2；</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5.▲为了方便后期维护，要求设备支持外置复位按钮，可在忘记密码或清空配置时使用，使设备快速回复出厂配置；需提供投标产品照片并指明接口位置，并加盖厂商印章。</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6.提供原厂维保服务。</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E40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台</w:t>
            </w: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F56F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2</w:t>
            </w:r>
          </w:p>
        </w:tc>
      </w:tr>
      <w:tr w14:paraId="40918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683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9</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4037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专网交换机</w:t>
            </w:r>
          </w:p>
        </w:tc>
        <w:tc>
          <w:tcPr>
            <w:tcW w:w="67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008E9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1.交换容量≥670Gbps，转发性能≥170Mpps，以官网最小的值为准；</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2.★24个10/100/1000BASE-T以太网端口,≥6个万兆SFP+；万兆单模模块2个，交流电源供电。</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3.▲CPU和转发芯片要求国产化，提供具有CNAS标识或者中国泰尔实验室出具的检测报告扫描件，并加盖厂商印章；</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4.支持静态、动态、黑洞MAC表项；支持4K VLAN；支持1：1，N：1 VLAN mapping；支持端口VLAN，协议VLAN，IP子网VLAN；支持Voice VLAN。支持MAC地址≥32K；支持静态路由，支持RIP、RIPng、OSPF、OSPFv3协议；支持IGMP v1/v2/v3 Snooping；支持VLAN内组播转发和组播多VLAN复制；支持捆绑端口的组播负载分担；支持可控组播；基于端口的组播流量统计。支持基于第二层、第三层和第四层的ACL；支持DHCP Snooping、DHCP Relay、DHCP Server；支持802.1X； 支持AAA认证，支持Radius；支持SNMP v1/v2/v3、Telnet、RMON、SSHv2；</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5.为了方便后期维护，要求设备支持外置复位按钮，可在忘记密码或清空配置时使用，使设备快速回复出厂配置。</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6.▲提供原厂维保服务，需提供原厂售后服务承诺函盖章件。</w:t>
            </w: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B14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台</w:t>
            </w:r>
          </w:p>
        </w:tc>
        <w:tc>
          <w:tcPr>
            <w:tcW w:w="79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E6C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2</w:t>
            </w:r>
          </w:p>
        </w:tc>
      </w:tr>
      <w:tr w14:paraId="7BC34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3C2BF">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1C2B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2F48C">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E5DB1">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75AAD">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1D88D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8B9E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FC29D">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6F8A4">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F6838">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34E6C">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0F6DE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4DE6F">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3E77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70759E">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208DA">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C979A">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6E1EF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1232">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EAA11">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FAAD65">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B7E73">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5D644">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7BDD4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D3CBE">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2F1B8">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F17C28">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9E4F4">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8040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7BE00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3B8D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961C8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37BEBD">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115D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0D6F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735A8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F6B0E">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9F4D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EF8A0">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6DA9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07FB0">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1C31D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6C14D">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767A82">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A0C8A7">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727B9">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2EE0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41C60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39D9F">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A5699">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53B81">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8C311">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89308">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2EB68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1997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5FD81">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96BEF">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DFFB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5BE6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3FBAB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DB84E">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59C13">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F95597">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6D75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628AC">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5777C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2E7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10</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108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POE交换机</w:t>
            </w:r>
          </w:p>
        </w:tc>
        <w:tc>
          <w:tcPr>
            <w:tcW w:w="6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F6F4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1.交换容量≥670Gbps，转发性能≥170Mpps，以官网最小的值为准；</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2.★24个10/100/1000BASE-T以太网端口,支持POE+，POE最大输出功率≥400W，≥6个万兆SFP+；万兆单模模块2个，交流电源供电。</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3.▲CPU和转发芯片要求国产化，提供具有CNAS标识或者中国泰尔实验室出具的检测报告扫描件，并加盖厂商印章；</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4.支持静态、动态、黑洞MAC表项；支持4K VLAN；支持1：1，N：1 VLAN mapping；支持端口VLAN，协议VLAN，IP子网VLAN；支持Voice VLAN。支持MAC地址≥32K ；支持静态路由，支持RIP、RIPng、OSPF、OSPFv3协议；支持IGMP v1/v2/v3 Snooping；支持VLAN内组播转发和组播多VLAN复制；支持捆绑端口的组播负载分担；支持可控组播；基于端口的组播流量统计。支持基于第二层、第三层和第四层的ACL；支持DHCP Snooping、DHCP Relay、DHCP Server；支持802.1X； 支持AAA认证，支持Radius；支持SNMP v1/v2/v3、Telnet、RMON、SSHv2；</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5.▲为了方便后期维护，要求设备支持外置复位按钮，可在忘记密码或清空配置时使用，使设备快速回复出厂配置；需提供投标产品照片并指明接口位置，并加盖厂商印章。</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6.提供原厂维保服务。</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553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台</w:t>
            </w: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AEA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16</w:t>
            </w:r>
          </w:p>
        </w:tc>
      </w:tr>
      <w:tr w14:paraId="7FD2D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138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11</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646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光模块</w:t>
            </w:r>
          </w:p>
        </w:tc>
        <w:tc>
          <w:tcPr>
            <w:tcW w:w="6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A714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000000"/>
                <w:sz w:val="20"/>
                <w:szCs w:val="20"/>
                <w:u w:val="none"/>
              </w:rPr>
            </w:pPr>
            <w:r>
              <w:rPr>
                <w:rStyle w:val="43"/>
                <w:rFonts w:hint="eastAsia" w:ascii="宋体" w:hAnsi="宋体" w:eastAsia="宋体" w:cs="宋体"/>
                <w:bCs/>
                <w:sz w:val="20"/>
                <w:szCs w:val="20"/>
                <w:lang w:val="en-US" w:eastAsia="zh-CN" w:bidi="ar"/>
              </w:rPr>
              <w:t>1.光模块-SFP+-10G-单模模块(1310nm,10km,LC)，适配多模态设备</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A39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084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461</w:t>
            </w:r>
          </w:p>
        </w:tc>
      </w:tr>
      <w:tr w14:paraId="1412B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268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12</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FBC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光模块</w:t>
            </w:r>
          </w:p>
        </w:tc>
        <w:tc>
          <w:tcPr>
            <w:tcW w:w="6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66F7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000000"/>
                <w:sz w:val="20"/>
                <w:szCs w:val="20"/>
                <w:u w:val="none"/>
              </w:rPr>
            </w:pPr>
            <w:r>
              <w:rPr>
                <w:rStyle w:val="43"/>
                <w:rFonts w:hint="eastAsia" w:ascii="宋体" w:hAnsi="宋体" w:eastAsia="宋体" w:cs="宋体"/>
                <w:bCs/>
                <w:sz w:val="20"/>
                <w:szCs w:val="20"/>
                <w:lang w:val="en-US" w:eastAsia="zh-CN" w:bidi="ar"/>
              </w:rPr>
              <w:t>1.光模块-SFP+-10G-多模模块(850nm,0.3km,LC)，适配多模态设备</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C7D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B9A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48</w:t>
            </w:r>
          </w:p>
        </w:tc>
      </w:tr>
      <w:tr w14:paraId="4BD35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0B9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13</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031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光模块</w:t>
            </w:r>
          </w:p>
        </w:tc>
        <w:tc>
          <w:tcPr>
            <w:tcW w:w="6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21AE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000000"/>
                <w:sz w:val="20"/>
                <w:szCs w:val="20"/>
                <w:u w:val="none"/>
              </w:rPr>
            </w:pPr>
            <w:r>
              <w:rPr>
                <w:rStyle w:val="43"/>
                <w:rFonts w:hint="eastAsia" w:ascii="宋体" w:hAnsi="宋体" w:eastAsia="宋体" w:cs="宋体"/>
                <w:bCs/>
                <w:sz w:val="20"/>
                <w:szCs w:val="20"/>
                <w:lang w:val="en-US" w:eastAsia="zh-CN" w:bidi="ar"/>
              </w:rPr>
              <w:t>1.QSFP28光模块 单模模块(1310nm,10km,LC)，适配多模态设备</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34DD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863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16</w:t>
            </w:r>
          </w:p>
        </w:tc>
      </w:tr>
      <w:tr w14:paraId="39B06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C0D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14</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D54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光模块</w:t>
            </w:r>
          </w:p>
        </w:tc>
        <w:tc>
          <w:tcPr>
            <w:tcW w:w="6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3A86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 xml:space="preserve">1.QSFP28光模块 多模模块(850nm,0.3km,MPO/LC)，适配多模态设备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E44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71D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16</w:t>
            </w:r>
          </w:p>
        </w:tc>
      </w:tr>
      <w:tr w14:paraId="54574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80BF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15</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9C8D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光模块</w:t>
            </w:r>
          </w:p>
        </w:tc>
        <w:tc>
          <w:tcPr>
            <w:tcW w:w="6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ACF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000000"/>
                <w:sz w:val="20"/>
                <w:szCs w:val="20"/>
                <w:u w:val="none"/>
              </w:rPr>
            </w:pPr>
            <w:r>
              <w:rPr>
                <w:rStyle w:val="43"/>
                <w:rFonts w:hint="eastAsia" w:ascii="宋体" w:hAnsi="宋体" w:eastAsia="宋体" w:cs="宋体"/>
                <w:bCs/>
                <w:sz w:val="20"/>
                <w:szCs w:val="20"/>
                <w:lang w:val="en-US" w:eastAsia="zh-CN" w:bidi="ar"/>
              </w:rPr>
              <w:t>1.光模块-QSFP28-100G-多模模块(850nm,0.1km,MPO/LC)，适配多模态设备</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473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EA1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16</w:t>
            </w:r>
          </w:p>
        </w:tc>
      </w:tr>
      <w:tr w14:paraId="0B2BA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0776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16</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853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光模块</w:t>
            </w:r>
          </w:p>
        </w:tc>
        <w:tc>
          <w:tcPr>
            <w:tcW w:w="6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AF81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000000"/>
                <w:sz w:val="20"/>
                <w:szCs w:val="20"/>
                <w:u w:val="none"/>
              </w:rPr>
            </w:pPr>
            <w:r>
              <w:rPr>
                <w:rStyle w:val="43"/>
                <w:rFonts w:hint="eastAsia" w:ascii="宋体" w:hAnsi="宋体" w:eastAsia="宋体" w:cs="宋体"/>
                <w:bCs/>
                <w:sz w:val="20"/>
                <w:szCs w:val="20"/>
                <w:lang w:val="en-US" w:eastAsia="zh-CN" w:bidi="ar"/>
              </w:rPr>
              <w:t>1.光模块-QSFP28-100G-单模模块(1310nm,10km,LC)，适配多模态设备</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DC3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2AA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16</w:t>
            </w:r>
          </w:p>
        </w:tc>
      </w:tr>
      <w:tr w14:paraId="3A712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293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17</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BE68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Style w:val="43"/>
                <w:rFonts w:hint="eastAsia" w:ascii="宋体" w:hAnsi="宋体" w:eastAsia="宋体" w:cs="宋体"/>
                <w:bCs/>
                <w:sz w:val="20"/>
                <w:szCs w:val="20"/>
                <w:lang w:val="en-US" w:eastAsia="zh-CN" w:bidi="ar"/>
              </w:rPr>
              <w:t>放装型AP</w:t>
            </w:r>
          </w:p>
        </w:tc>
        <w:tc>
          <w:tcPr>
            <w:tcW w:w="67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2E809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1.支持802.11be，兼容802.11a/n/ac/ac wave2/ax协议标准，支持2.4GHz/5GHz双频段同时工作；支持POE供电；总空间流数≥4条，整机速率≥3.5Gbps，2.5GE电接口≥1个（支持POE输入)，千兆电口≥1个（支持POE输出）；USB 3.0接口≥1个,防盗锁孔≥1个；</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2.▲要求AP单终端远距离覆盖性能≥1.2Gbps，距离≥20米，提供具有CNAS标识或者中国泰尔实验室出具的检测报告扫描件，并加盖厂商印章；</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3.▲为了保障单位视频场景的正常应用，要求所投设备在多用户（终端）场景下同时在线观看高清视频情况下，画面无卡顿，且要求并发用户（终端）数量≥40路，提供具有CNAS标识或者中国泰尔实验室出具的检测报告扫描件，并加盖厂商印章；</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4.内置蓝牙5.0及以上技术,支持蓝牙串口远距无线运维；支持AP本地转发（又称直接转发）时，应用识别和QOS分类，针对业界常用的Skypes、QQ、微信等应用，能显著提升语音质量；支持AP零配置，AP可以通过DHCP、DNS方式自动注册到无线控制器AC。</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5.▲要求所投设备所有频段，即2.4G频段和5G频段均支持802.11be，提供具有CNAS标识或者中国泰尔实验室出具的检测报告扫描件，并加盖厂商印章。</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6.提供原厂维保服务，提供与多模态设备混合组网的技术支持服务。</w:t>
            </w: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6CAF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个</w:t>
            </w:r>
          </w:p>
        </w:tc>
        <w:tc>
          <w:tcPr>
            <w:tcW w:w="79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3273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60</w:t>
            </w:r>
          </w:p>
        </w:tc>
      </w:tr>
      <w:tr w14:paraId="61623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CE14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ADBEAA">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14044">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DA2E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0ADBE">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48F5D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E6009">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DC9BA0">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2C6AD">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9A541">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96A7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3F50D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92AC0">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9D46E">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376B1D">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2B441">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EF418">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0E205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AB2CD">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C19AD0">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0F96FA">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2F953">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0644A">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556FD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5730D">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4256E">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D8A0F">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C449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9AB93">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3C82C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CAC40">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D3188">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A415F">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83972">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D5903">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73419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CFD8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02AF0">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9C1101">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97FD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006A2">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5134D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FD55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BF8221">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5B042">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64A2A">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0CA4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5538C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814BE">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0C8158">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8665FF">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541B9">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3570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70F03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31B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18</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652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Style w:val="43"/>
                <w:rFonts w:hint="eastAsia" w:ascii="宋体" w:hAnsi="宋体" w:eastAsia="宋体" w:cs="宋体"/>
                <w:bCs/>
                <w:sz w:val="20"/>
                <w:szCs w:val="20"/>
                <w:lang w:val="en-US" w:eastAsia="zh-CN" w:bidi="ar"/>
              </w:rPr>
              <w:t>高密度AP</w:t>
            </w:r>
          </w:p>
        </w:tc>
        <w:tc>
          <w:tcPr>
            <w:tcW w:w="6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9EE3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1.支持802.11be，兼容802.11a/n/ac/ac wave2/ax协议标准，支持2.4GHz/5GHz双频段同时工作；支持POE供电</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2.▲总空间流数≥8条，整机速率≥9.3Gbps，支持千兆电口≥1个，5GE电接口≥1个；需提供官网链接及截图证明；</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3.USB 3.0接口≥1个,防盗锁孔≥1个；</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4.▲要求AP整机接入用户上线数≥1800个，提供具有CNAS标识或者中国泰尔实验室出具的检测报告扫描件，并加盖厂商印章；</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5.为了保障单位视频场景的正常应用，要求所投设备在多用户（终端）场景下同时在线观看高清视频情况下，画面无卡顿，且要求并发用户（终端）数量≥120路；内置蓝牙5.0及以上技术,支持蓝牙串口远距无线运维；支持AP本地转发（又称直接转发）时，应用识别和QOS分类，针对业界常用的Skypes、QQ、微信等应用，能显著提升语音质量；支持AP零配置，AP可以通过DHCP、DNS方式自动注册到无线控制器AC。要求所投设备所有频段，即2.4G频段和5G频段均支持802.11be。</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6.▲提供原厂维保服务，需提供原厂售后服务承诺函盖章件。</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E96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6A8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58</w:t>
            </w:r>
          </w:p>
        </w:tc>
      </w:tr>
      <w:tr w14:paraId="11272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421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19</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106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无线控制器</w:t>
            </w:r>
          </w:p>
        </w:tc>
        <w:tc>
          <w:tcPr>
            <w:tcW w:w="6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A0D2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1.支持无线协议802.11 a/b/g/n/ac/ac wave2/ax/be；</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2.★支持最大管理AP数量≥512个；并配置无线AP管理授权≥512个；</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3.接口配置要求：千兆电口≥10个，万兆光口≥2个；主备冗余交流电源；</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4.内置portal服务器，可为用户提供portal认证服务；</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5.▲支持内置特征库，提供应用不少于6000种应用，提供具有CNAS标识或者中国泰尔实验室出具的检测报告扫描件，并加盖厂商印章；</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6.▲支持智能诊断，实现端到端可视化诊断，对用户/AP/AC深入故障处理，提供具有CNAS标识或者中国泰尔实验室出具的检测报告扫描件，并加盖厂商印章；</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7.为了管理的方便，厂商具有专业的WLAN规划工具，能够根据现场情况进行详细的规划。规划工具要求能够模拟不同材质的衰减，比如水泥墙、玻璃墙，现场区域类型，传播模式等模拟现场环境；规划结果实现按楼层规划，以及数据规划清单、AP清单，并能形成仿真图。</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8.▲提供原厂维保服务，需提供原厂售后服务承诺函盖章件。提供与多模态设备混合组网的技术支持服务。</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200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748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w:t>
            </w:r>
          </w:p>
        </w:tc>
      </w:tr>
      <w:tr w14:paraId="3AC8A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1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DB0A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20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CF061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智能运维管理平台</w:t>
            </w:r>
          </w:p>
        </w:tc>
        <w:tc>
          <w:tcPr>
            <w:tcW w:w="67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23A22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1.▲考虑到设备兼容性和易维护性，要求与无线控制器为同一品牌；</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2.系统利用云计算、SDN网络、大数据分析等技术，支持SDN协议（NetConf/YANG协议）实现大规模的网络设备配置自动化、支持Telemetry协议实现设备性能/告警数据/用户数据统计分析。支持单机、最小集群、分布式集群等部署形态，满足不同场景按需部署，所有形态支持主备容灾方案。</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支持系统管理员-MSP-租户三级的分层管理。支持分权分域，可在租户管理员内自定义区域管理员，对网络的部署和运维分区域管理，减轻运维工作量。</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提供APP扫码开局、DHCP 开局、注册查询中心开局、邮件极简开局等网络设备即插即用方式，适应不同的网络场景；图形化界面实现网络规划和部署，分钟级网络发放。支持多种认证数据源，包括本地账号密码、对接用户身份系统（如MS AD/LDAP系统）、内置CA服务器等，支持用户与角色映射，单账号支持绑定多个角色，可基于用户角色进行网络准入授权管理。提供访客全生命周期管理，定制访客帐号策略，按需推送portal定制页面，满足访客免注册，自注册、管理员审批、访客短信验证码，社交媒体（微信，QQ）等访客准入认证。系统支持双因子认证，包括AD+RSA，帐号密码+SMS，帐号密码+RSA，SSL VPN的双因子认证、TACACS的双因子认证。支持基于用户+应用双重条件HQOS流量调度，满足VIP用户视频、语音等关键应用的体验保障。</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3.▲支持用户业务随行，将用户和IP解耦，帐号即用户，根据用户登录条件（5W1H）授权安全组，基于UCL的策略矩阵，实现用户权限互访限制，满足随时随地接入网络业务权限一致。需提供产品功能界面截图证明，加盖厂商印章。</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4.★配置要求：网络设备管理授权（含多模态网络设备、网络安全设备，服务器设备等）≥500个，无线AP管理授权≥300个，用户认证授权≥500个；</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5.配置软件系统安装所用的服务器、国产操作系统和国产数据库等。服务器配置不低于：CPU≥2*CPU 2.6GHz 32核，内存≥128G，硬盘≥4*1900GB SSD，千兆电口≥8个，25G光口≥6个（兼容10G）。</w:t>
            </w: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65C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套</w:t>
            </w:r>
          </w:p>
        </w:tc>
        <w:tc>
          <w:tcPr>
            <w:tcW w:w="79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247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w:t>
            </w:r>
          </w:p>
        </w:tc>
      </w:tr>
      <w:tr w14:paraId="509D5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1CD7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C82DD">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9FA14">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1DA3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F2B84">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4489B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732CF">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E304F">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C89FD">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4ABDA">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266F3">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4243E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F688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8F475">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EBFD5">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B113F">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2E6F8">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420C5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A50E4">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CD4E6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B70F6">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E348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C29AE">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19AD4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F6FB4">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20C74">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93B44">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1D579">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380F4">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4FFEF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E0544">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CD69AF">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4B604">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2F67F">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6E06A">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2057B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BCDA0">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95F57A">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C7BB15">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059C9">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CCA70">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r w14:paraId="6A344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7FF0B">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34158">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6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8125E">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0"/>
                <w:szCs w:val="20"/>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E596C">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3AB8D">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20"/>
                <w:szCs w:val="20"/>
                <w:u w:val="none"/>
              </w:rPr>
            </w:pPr>
          </w:p>
        </w:tc>
      </w:tr>
    </w:tbl>
    <w:p w14:paraId="20966D5C">
      <w:pPr>
        <w:jc w:val="both"/>
        <w:rPr>
          <w:rFonts w:hint="eastAsia" w:ascii="宋体" w:hAnsi="宋体" w:eastAsia="宋体" w:cs="宋体"/>
          <w:sz w:val="21"/>
          <w:szCs w:val="21"/>
          <w:lang w:val="en-US" w:eastAsia="zh-CN"/>
        </w:rPr>
      </w:pPr>
    </w:p>
    <w:p w14:paraId="7504A484">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二．综合布线系统</w:t>
      </w:r>
    </w:p>
    <w:p w14:paraId="21B75799">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1.综合布线系统总体技术要求</w:t>
      </w:r>
    </w:p>
    <w:p w14:paraId="6C6CFC06">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所选产品端到端</w:t>
      </w:r>
      <w:r>
        <w:rPr>
          <w:rFonts w:hint="eastAsia" w:cs="宋体"/>
          <w:sz w:val="21"/>
          <w:szCs w:val="21"/>
          <w:lang w:val="en-US" w:eastAsia="zh-CN"/>
        </w:rPr>
        <w:t>均为原厂系列</w:t>
      </w:r>
      <w:r>
        <w:rPr>
          <w:rFonts w:hint="eastAsia" w:ascii="宋体" w:hAnsi="宋体" w:eastAsia="宋体" w:cs="宋体"/>
          <w:sz w:val="21"/>
          <w:szCs w:val="21"/>
          <w:lang w:val="en-US" w:eastAsia="zh-CN"/>
        </w:rPr>
        <w:t>产品，包括各种线缆（禁止采用任何形式的非原厂工程线缆）、配线架、跳线、连接器、信息箱、机柜/机架等。机柜/机架的颜色、样式、外观等需要由建设单位确定。</w:t>
      </w:r>
    </w:p>
    <w:p w14:paraId="3AFE5190">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综合布线系统的所有线缆在敷设过程中必须一根线缆敷设到位，中间不得有断点。所有机架/机柜内各配线架的摆放及线缆的走向必须合理，接插件、模块及跳线的标志齐全，线缆终端必须有编号和颜色标签，以标明线号、线位、区号和房号。</w:t>
      </w:r>
    </w:p>
    <w:p w14:paraId="5D7DC927">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综合布线系统要求采用标准模块化的接插件，均采用快接式，以便今后的管理和使用。</w:t>
      </w:r>
    </w:p>
    <w:p w14:paraId="41D16EFE">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所选厂商具有ISO9001认证，能提供良好的质保和培训。</w:t>
      </w:r>
    </w:p>
    <w:p w14:paraId="39DAFF37">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实施后的智能化布线系统，主要应具备以下特点：</w:t>
      </w:r>
    </w:p>
    <w:p w14:paraId="7D19F474">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实用性：实施后的综合布线系统，将能够在现在和将来适应技术的发展，满足高速大容量信息传输的要求，支持各种网络设备、通信协议、实现语音、数据、视频等多媒体信息的传输；</w:t>
      </w:r>
    </w:p>
    <w:p w14:paraId="13B4F567">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先进性：综合布线具有技术的超前性，能充分适应通信和计算机网络技术的发展，为系统集成综合管理及办公自动化打下坚实的基础。</w:t>
      </w:r>
    </w:p>
    <w:p w14:paraId="0B533D26">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扩充性：布线系统尽可能一次性考虑投资到位，但不排除是可扩充的，将来有更大的发展时，很容易将设备进行扩展。</w:t>
      </w:r>
    </w:p>
    <w:p w14:paraId="1F703E42">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模块化：综合布线系统中出去水平、垂直主干线缆外，其余所有接插件跳线都是采用模块化积木式的标准件，方便使用管理和扩充。</w:t>
      </w:r>
    </w:p>
    <w:p w14:paraId="7DC0C451">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经济性：在满足应用要求的基础上,尽可能降低造价，以合理的投入实现最大功能的应用。</w:t>
      </w:r>
    </w:p>
    <w:p w14:paraId="516E0285">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灵活性：信息点能方便地与多种类型设备（如电话、传真、计算机、检测器件以及其他数据设备等）进行连接。所有设备的开通及更改均不需改变系统布线，只需作必要的跳线管理即可；系统组网也可灵活多样，各部门即可独立组网又可方便地互连，为合理组织信息流提供了必要条件。</w:t>
      </w:r>
    </w:p>
    <w:p w14:paraId="27FC7EEE">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可靠性：在网络主干线的传输介质上提供容错功能，保证信息系统的可靠运行。每条信息通道都采用专用仪器测试以保证其电气性能，系统布线全部采用物理星型拓扑，点到点端接，任何一条线路故障均不影响其它线路的运行。 </w:t>
      </w:r>
    </w:p>
    <w:p w14:paraId="2340A18F">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开放性：布线厂家产品应支持不同厂商设备的不同传输介质，通过双绞线传输话音，数据，图象，视频信号；采用光纤可远程高速传输数据，高清晰度图象信号，支持目前所有数据及话音设备厂商的系统。</w:t>
      </w:r>
    </w:p>
    <w:p w14:paraId="4873EA30">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管理性：布线厂家的产品应具有良好的管理功能，有良好的扩充性和美观效果，支持彩色编码管理。</w:t>
      </w:r>
    </w:p>
    <w:p w14:paraId="17958F3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综合布线主要施工内容包含但不限于如下内容：一、线缆施工，包括线缆布放、光缆成端、机柜、箱等综合布线设备安装、二次施工后现场装修环境修复等,含水平子系统2芯光缆熔纤及网线成端。二、插座工程，包括地毯下引接电源、防静电地板下引接电源、插座安装、电源线穿管布放等，具体见下表。</w:t>
      </w:r>
    </w:p>
    <w:tbl>
      <w:tblPr>
        <w:tblStyle w:val="23"/>
        <w:tblW w:w="9686" w:type="dxa"/>
        <w:jc w:val="center"/>
        <w:tblLayout w:type="fixed"/>
        <w:tblCellMar>
          <w:top w:w="0" w:type="dxa"/>
          <w:left w:w="108" w:type="dxa"/>
          <w:bottom w:w="0" w:type="dxa"/>
          <w:right w:w="108" w:type="dxa"/>
        </w:tblCellMar>
      </w:tblPr>
      <w:tblGrid>
        <w:gridCol w:w="900"/>
        <w:gridCol w:w="1816"/>
        <w:gridCol w:w="5110"/>
        <w:gridCol w:w="945"/>
        <w:gridCol w:w="915"/>
      </w:tblGrid>
      <w:tr w14:paraId="253C548E">
        <w:tblPrEx>
          <w:tblCellMar>
            <w:top w:w="0" w:type="dxa"/>
            <w:left w:w="108" w:type="dxa"/>
            <w:bottom w:w="0" w:type="dxa"/>
            <w:right w:w="108" w:type="dxa"/>
          </w:tblCellMar>
        </w:tblPrEx>
        <w:trPr>
          <w:trHeight w:val="51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C88CA">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sz w:val="20"/>
                <w:szCs w:val="20"/>
              </w:rPr>
              <w:t>序号</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8DBD7">
            <w:pPr>
              <w:widowControl/>
              <w:spacing w:line="240" w:lineRule="auto"/>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施工名称</w:t>
            </w:r>
          </w:p>
        </w:tc>
        <w:tc>
          <w:tcPr>
            <w:tcW w:w="5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7535A">
            <w:pPr>
              <w:widowControl/>
              <w:spacing w:line="240" w:lineRule="auto"/>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施工内容</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940D1">
            <w:pPr>
              <w:widowControl/>
              <w:spacing w:line="240" w:lineRule="auto"/>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单位</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84C15">
            <w:pPr>
              <w:widowControl/>
              <w:spacing w:line="240" w:lineRule="auto"/>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数量</w:t>
            </w:r>
          </w:p>
        </w:tc>
      </w:tr>
      <w:tr w14:paraId="1F6F3F29">
        <w:tblPrEx>
          <w:tblCellMar>
            <w:top w:w="0" w:type="dxa"/>
            <w:left w:w="108" w:type="dxa"/>
            <w:bottom w:w="0" w:type="dxa"/>
            <w:right w:w="108" w:type="dxa"/>
          </w:tblCellMar>
        </w:tblPrEx>
        <w:trPr>
          <w:trHeight w:val="51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59FE6">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sz w:val="20"/>
                <w:szCs w:val="20"/>
              </w:rPr>
              <w:t>一</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45772">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线缆施工</w:t>
            </w:r>
          </w:p>
        </w:tc>
        <w:tc>
          <w:tcPr>
            <w:tcW w:w="5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5353E">
            <w:pPr>
              <w:widowControl/>
              <w:spacing w:line="240" w:lineRule="auto"/>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线缆布放、光缆成端、机柜、箱等综合布线设备安装、二次施工后现场装修环境修复等,含水平子系统2芯光缆熔纤及网线成端</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D487A">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项</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93DD7">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r>
      <w:tr w14:paraId="50ACE0EB">
        <w:tblPrEx>
          <w:tblCellMar>
            <w:top w:w="0" w:type="dxa"/>
            <w:left w:w="108" w:type="dxa"/>
            <w:bottom w:w="0" w:type="dxa"/>
            <w:right w:w="108" w:type="dxa"/>
          </w:tblCellMar>
        </w:tblPrEx>
        <w:trPr>
          <w:trHeight w:val="51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6D5BC">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sz w:val="20"/>
                <w:szCs w:val="20"/>
              </w:rPr>
              <w:t>二</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C4C1A">
            <w:pPr>
              <w:widowControl/>
              <w:spacing w:line="240" w:lineRule="auto"/>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插座工程</w:t>
            </w:r>
          </w:p>
        </w:tc>
        <w:tc>
          <w:tcPr>
            <w:tcW w:w="5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6A2B1">
            <w:pPr>
              <w:widowControl/>
              <w:spacing w:line="240" w:lineRule="auto"/>
              <w:jc w:val="left"/>
              <w:textAlignment w:val="center"/>
              <w:rPr>
                <w:rFonts w:hint="eastAsia" w:ascii="宋体" w:hAnsi="宋体" w:eastAsia="宋体" w:cs="宋体"/>
                <w:color w:val="000000"/>
                <w:kern w:val="0"/>
                <w:sz w:val="20"/>
                <w:szCs w:val="20"/>
                <w:highlight w:val="yellow"/>
                <w:lang w:bidi="ar"/>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F0729">
            <w:pPr>
              <w:widowControl/>
              <w:spacing w:line="240" w:lineRule="auto"/>
              <w:jc w:val="center"/>
              <w:textAlignment w:val="center"/>
              <w:rPr>
                <w:rFonts w:hint="eastAsia" w:ascii="宋体" w:hAnsi="宋体" w:eastAsia="宋体" w:cs="宋体"/>
                <w:color w:val="000000"/>
                <w:kern w:val="0"/>
                <w:sz w:val="20"/>
                <w:szCs w:val="20"/>
                <w:highlight w:val="yellow"/>
                <w:lang w:bidi="ar"/>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783F9">
            <w:pPr>
              <w:widowControl/>
              <w:spacing w:line="240" w:lineRule="auto"/>
              <w:jc w:val="center"/>
              <w:textAlignment w:val="center"/>
              <w:rPr>
                <w:rFonts w:hint="eastAsia" w:ascii="宋体" w:hAnsi="宋体" w:eastAsia="宋体" w:cs="宋体"/>
                <w:color w:val="000000"/>
                <w:kern w:val="0"/>
                <w:sz w:val="20"/>
                <w:szCs w:val="20"/>
                <w:highlight w:val="yellow"/>
                <w:lang w:bidi="ar"/>
              </w:rPr>
            </w:pPr>
          </w:p>
        </w:tc>
      </w:tr>
      <w:tr w14:paraId="75918C60">
        <w:tblPrEx>
          <w:tblCellMar>
            <w:top w:w="0" w:type="dxa"/>
            <w:left w:w="108" w:type="dxa"/>
            <w:bottom w:w="0" w:type="dxa"/>
            <w:right w:w="108" w:type="dxa"/>
          </w:tblCellMar>
        </w:tblPrEx>
        <w:trPr>
          <w:trHeight w:val="51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0432D">
            <w:pPr>
              <w:widowControl/>
              <w:spacing w:line="240" w:lineRule="auto"/>
              <w:jc w:val="center"/>
              <w:textAlignment w:val="center"/>
              <w:rPr>
                <w:rFonts w:hint="eastAsia" w:ascii="宋体" w:hAnsi="宋体" w:eastAsia="宋体" w:cs="宋体"/>
                <w:color w:val="000000"/>
                <w:kern w:val="0"/>
                <w:sz w:val="20"/>
                <w:szCs w:val="20"/>
                <w:lang w:bidi="ar"/>
              </w:rPr>
            </w:pP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45C84">
            <w:pPr>
              <w:widowControl/>
              <w:spacing w:line="240" w:lineRule="auto"/>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5#楼</w:t>
            </w:r>
          </w:p>
        </w:tc>
        <w:tc>
          <w:tcPr>
            <w:tcW w:w="5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17640">
            <w:pPr>
              <w:widowControl/>
              <w:spacing w:line="240" w:lineRule="auto"/>
              <w:jc w:val="left"/>
              <w:textAlignment w:val="center"/>
              <w:rPr>
                <w:rFonts w:hint="eastAsia" w:ascii="宋体" w:hAnsi="宋体" w:eastAsia="宋体" w:cs="宋体"/>
                <w:color w:val="000000"/>
                <w:kern w:val="0"/>
                <w:sz w:val="20"/>
                <w:szCs w:val="20"/>
                <w:highlight w:val="yellow"/>
                <w:lang w:bidi="ar"/>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4362F">
            <w:pPr>
              <w:widowControl/>
              <w:spacing w:line="240" w:lineRule="auto"/>
              <w:jc w:val="center"/>
              <w:textAlignment w:val="center"/>
              <w:rPr>
                <w:rFonts w:hint="eastAsia" w:ascii="宋体" w:hAnsi="宋体" w:eastAsia="宋体" w:cs="宋体"/>
                <w:color w:val="000000"/>
                <w:kern w:val="0"/>
                <w:sz w:val="20"/>
                <w:szCs w:val="20"/>
                <w:highlight w:val="yellow"/>
                <w:lang w:bidi="ar"/>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333D4">
            <w:pPr>
              <w:widowControl/>
              <w:spacing w:line="240" w:lineRule="auto"/>
              <w:jc w:val="center"/>
              <w:textAlignment w:val="center"/>
              <w:rPr>
                <w:rFonts w:hint="eastAsia" w:ascii="宋体" w:hAnsi="宋体" w:eastAsia="宋体" w:cs="宋体"/>
                <w:color w:val="000000"/>
                <w:kern w:val="0"/>
                <w:sz w:val="20"/>
                <w:szCs w:val="20"/>
                <w:highlight w:val="yellow"/>
                <w:lang w:bidi="ar"/>
              </w:rPr>
            </w:pPr>
          </w:p>
        </w:tc>
      </w:tr>
      <w:tr w14:paraId="24E693C5">
        <w:tblPrEx>
          <w:tblCellMar>
            <w:top w:w="0" w:type="dxa"/>
            <w:left w:w="108" w:type="dxa"/>
            <w:bottom w:w="0" w:type="dxa"/>
            <w:right w:w="108" w:type="dxa"/>
          </w:tblCellMar>
        </w:tblPrEx>
        <w:trPr>
          <w:trHeight w:val="51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F4468">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sz w:val="20"/>
                <w:szCs w:val="20"/>
              </w:rPr>
              <w:t>1</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C0E5C">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地毯下引接电源</w:t>
            </w:r>
          </w:p>
        </w:tc>
        <w:tc>
          <w:tcPr>
            <w:tcW w:w="5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824DF">
            <w:pPr>
              <w:widowControl/>
              <w:spacing w:line="240" w:lineRule="auto"/>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现场施工，需拆除地板及地毯，打孔并与将新放电源线与预留电源电缆进行引接及保护，引接完成后对现场进行防护及修复（含除胶或更换新地毯及地板费用)，地毯修复工艺要求：（1）环保性：挥发性有机物含量（VOC）应符合国家相关规定，保证其环保性能。（2）强度：剪切强度、拉伸强度等应符合国家相关标准，确保其粘合强度。（3）黏着性：黏结时间、黏结强度等指标应符合国家相关规定，确保其黏着性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2E40D">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处</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ADE7F">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186</w:t>
            </w:r>
          </w:p>
        </w:tc>
      </w:tr>
      <w:tr w14:paraId="7585EFAC">
        <w:tblPrEx>
          <w:tblCellMar>
            <w:top w:w="0" w:type="dxa"/>
            <w:left w:w="108" w:type="dxa"/>
            <w:bottom w:w="0" w:type="dxa"/>
            <w:right w:w="108" w:type="dxa"/>
          </w:tblCellMar>
        </w:tblPrEx>
        <w:trPr>
          <w:trHeight w:val="51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9EB4B">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sz w:val="20"/>
                <w:szCs w:val="20"/>
              </w:rPr>
              <w:t>2</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5583C">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地板下引接电源点</w:t>
            </w:r>
          </w:p>
        </w:tc>
        <w:tc>
          <w:tcPr>
            <w:tcW w:w="5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E8595">
            <w:pPr>
              <w:widowControl/>
              <w:spacing w:line="240" w:lineRule="auto"/>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现场施工，需拆除地板，打孔并与将新放电源线与预留电源电缆进行引接及保护，引接完成后对现场进行防护及修复（含防护修复材料或更换地板费用)</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511B5">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处</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F7C51">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100</w:t>
            </w:r>
          </w:p>
        </w:tc>
      </w:tr>
      <w:tr w14:paraId="31B33F25">
        <w:tblPrEx>
          <w:tblCellMar>
            <w:top w:w="0" w:type="dxa"/>
            <w:left w:w="108" w:type="dxa"/>
            <w:bottom w:w="0" w:type="dxa"/>
            <w:right w:w="108" w:type="dxa"/>
          </w:tblCellMar>
        </w:tblPrEx>
        <w:trPr>
          <w:trHeight w:val="51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17CE8">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sz w:val="20"/>
                <w:szCs w:val="20"/>
              </w:rPr>
              <w:t>3</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54D5C">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插座安装</w:t>
            </w:r>
          </w:p>
        </w:tc>
        <w:tc>
          <w:tcPr>
            <w:tcW w:w="5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A016F">
            <w:pPr>
              <w:widowControl/>
              <w:spacing w:line="240" w:lineRule="auto"/>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现场施工，包含利旧插座的拆除及移位、端接等内容。</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1E3E6">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DE8ED">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2104</w:t>
            </w:r>
          </w:p>
        </w:tc>
      </w:tr>
      <w:tr w14:paraId="7DB4BE34">
        <w:tblPrEx>
          <w:tblCellMar>
            <w:top w:w="0" w:type="dxa"/>
            <w:left w:w="108" w:type="dxa"/>
            <w:bottom w:w="0" w:type="dxa"/>
            <w:right w:w="108" w:type="dxa"/>
          </w:tblCellMar>
        </w:tblPrEx>
        <w:trPr>
          <w:trHeight w:val="51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1A64E">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sz w:val="20"/>
                <w:szCs w:val="20"/>
              </w:rPr>
              <w:t>4</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4DE90">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电源线穿管布放</w:t>
            </w:r>
          </w:p>
        </w:tc>
        <w:tc>
          <w:tcPr>
            <w:tcW w:w="5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96803">
            <w:pPr>
              <w:widowControl/>
              <w:spacing w:line="240" w:lineRule="auto"/>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现场施工，包含镀锌铁管材料费及施工费、及电源线的穿管布放保护等。</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6437A">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米</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04D0C">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12870</w:t>
            </w:r>
          </w:p>
        </w:tc>
      </w:tr>
      <w:tr w14:paraId="284E4D70">
        <w:tblPrEx>
          <w:tblCellMar>
            <w:top w:w="0" w:type="dxa"/>
            <w:left w:w="108" w:type="dxa"/>
            <w:bottom w:w="0" w:type="dxa"/>
            <w:right w:w="108" w:type="dxa"/>
          </w:tblCellMar>
        </w:tblPrEx>
        <w:trPr>
          <w:trHeight w:val="51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A1C8D">
            <w:pPr>
              <w:widowControl/>
              <w:spacing w:line="240" w:lineRule="auto"/>
              <w:jc w:val="center"/>
              <w:textAlignment w:val="center"/>
              <w:rPr>
                <w:rFonts w:hint="eastAsia" w:ascii="宋体" w:hAnsi="宋体" w:eastAsia="宋体" w:cs="宋体"/>
                <w:color w:val="000000"/>
                <w:kern w:val="0"/>
                <w:sz w:val="20"/>
                <w:szCs w:val="20"/>
                <w:highlight w:val="yellow"/>
                <w:lang w:bidi="ar"/>
              </w:rPr>
            </w:pP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67434">
            <w:pPr>
              <w:widowControl/>
              <w:spacing w:line="240" w:lineRule="auto"/>
              <w:jc w:val="center"/>
              <w:textAlignment w:val="center"/>
              <w:rPr>
                <w:rFonts w:hint="eastAsia" w:ascii="宋体" w:hAnsi="宋体" w:eastAsia="宋体" w:cs="宋体"/>
                <w:color w:val="000000"/>
                <w:kern w:val="0"/>
                <w:sz w:val="20"/>
                <w:szCs w:val="20"/>
                <w:highlight w:val="yellow"/>
                <w:lang w:bidi="ar"/>
              </w:rPr>
            </w:pPr>
            <w:r>
              <w:rPr>
                <w:rFonts w:hint="eastAsia" w:ascii="宋体" w:hAnsi="宋体" w:eastAsia="宋体" w:cs="宋体"/>
                <w:color w:val="000000"/>
                <w:kern w:val="0"/>
                <w:sz w:val="20"/>
                <w:szCs w:val="20"/>
                <w:lang w:bidi="ar"/>
              </w:rPr>
              <w:t>2#楼</w:t>
            </w:r>
          </w:p>
        </w:tc>
        <w:tc>
          <w:tcPr>
            <w:tcW w:w="5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955C4">
            <w:pPr>
              <w:widowControl/>
              <w:spacing w:line="240" w:lineRule="auto"/>
              <w:jc w:val="left"/>
              <w:textAlignment w:val="center"/>
              <w:rPr>
                <w:rFonts w:hint="eastAsia" w:ascii="宋体" w:hAnsi="宋体" w:eastAsia="宋体" w:cs="宋体"/>
                <w:color w:val="000000"/>
                <w:kern w:val="0"/>
                <w:sz w:val="20"/>
                <w:szCs w:val="20"/>
                <w:highlight w:val="yellow"/>
                <w:lang w:bidi="ar"/>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77A7B">
            <w:pPr>
              <w:widowControl/>
              <w:spacing w:line="240" w:lineRule="auto"/>
              <w:jc w:val="center"/>
              <w:textAlignment w:val="center"/>
              <w:rPr>
                <w:rFonts w:hint="eastAsia" w:ascii="宋体" w:hAnsi="宋体" w:eastAsia="宋体" w:cs="宋体"/>
                <w:color w:val="000000"/>
                <w:kern w:val="0"/>
                <w:sz w:val="20"/>
                <w:szCs w:val="20"/>
                <w:highlight w:val="yellow"/>
                <w:lang w:bidi="ar"/>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5EAE8">
            <w:pPr>
              <w:widowControl/>
              <w:spacing w:line="240" w:lineRule="auto"/>
              <w:jc w:val="center"/>
              <w:textAlignment w:val="center"/>
              <w:rPr>
                <w:rFonts w:hint="eastAsia" w:ascii="宋体" w:hAnsi="宋体" w:eastAsia="宋体" w:cs="宋体"/>
                <w:color w:val="000000"/>
                <w:kern w:val="0"/>
                <w:sz w:val="20"/>
                <w:szCs w:val="20"/>
                <w:highlight w:val="yellow"/>
                <w:lang w:bidi="ar"/>
              </w:rPr>
            </w:pPr>
          </w:p>
        </w:tc>
      </w:tr>
      <w:tr w14:paraId="669ED2B7">
        <w:tblPrEx>
          <w:tblCellMar>
            <w:top w:w="0" w:type="dxa"/>
            <w:left w:w="108" w:type="dxa"/>
            <w:bottom w:w="0" w:type="dxa"/>
            <w:right w:w="108" w:type="dxa"/>
          </w:tblCellMar>
        </w:tblPrEx>
        <w:trPr>
          <w:trHeight w:val="51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0D342">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sz w:val="20"/>
                <w:szCs w:val="20"/>
              </w:rPr>
              <w:t>5</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4F44F">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地毯下引接电源</w:t>
            </w:r>
          </w:p>
        </w:tc>
        <w:tc>
          <w:tcPr>
            <w:tcW w:w="5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0B9E6">
            <w:pPr>
              <w:widowControl/>
              <w:spacing w:line="240" w:lineRule="auto"/>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现场施工，需拆除地板及地毯，打孔并与将新放电源线与预留电源电缆进行引接及保护，引接完成后对现场进行防护及修复（含除胶或更换新地毯及地板费用)，地毯修复工艺要求：（1）环保性：挥发性有机物含量（VOC）应符合国家相关规定，保证其环保性能。（2）强度：剪切强度、拉伸强度等应符合国家相关标准，确保其粘合强度。（3）黏着性：黏结时间、黏结强度等指标应符合国家相关规定，确保其黏着性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21939">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处</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D0528">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125</w:t>
            </w:r>
          </w:p>
        </w:tc>
      </w:tr>
      <w:tr w14:paraId="5E84D5F1">
        <w:tblPrEx>
          <w:tblCellMar>
            <w:top w:w="0" w:type="dxa"/>
            <w:left w:w="108" w:type="dxa"/>
            <w:bottom w:w="0" w:type="dxa"/>
            <w:right w:w="108" w:type="dxa"/>
          </w:tblCellMar>
        </w:tblPrEx>
        <w:trPr>
          <w:trHeight w:val="51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F72C4">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sz w:val="20"/>
                <w:szCs w:val="20"/>
              </w:rPr>
              <w:t>6</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EFAF8">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防静电地板下引接电源点</w:t>
            </w:r>
          </w:p>
        </w:tc>
        <w:tc>
          <w:tcPr>
            <w:tcW w:w="5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F9512">
            <w:pPr>
              <w:widowControl/>
              <w:spacing w:line="240" w:lineRule="auto"/>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现场施工，需拆除地板，打孔并与将新放电源线与预留电源电缆进行引接及保护，引接完成后对现场进行防护及修复（含防护修复材料或更换地板费用)</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84054">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处</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876C7">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60</w:t>
            </w:r>
          </w:p>
        </w:tc>
      </w:tr>
      <w:tr w14:paraId="6FFAA9C9">
        <w:tblPrEx>
          <w:tblCellMar>
            <w:top w:w="0" w:type="dxa"/>
            <w:left w:w="108" w:type="dxa"/>
            <w:bottom w:w="0" w:type="dxa"/>
            <w:right w:w="108" w:type="dxa"/>
          </w:tblCellMar>
        </w:tblPrEx>
        <w:trPr>
          <w:trHeight w:val="510" w:hRule="atLeast"/>
          <w:jc w:val="center"/>
        </w:trPr>
        <w:tc>
          <w:tcPr>
            <w:tcW w:w="90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CCD33A8">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sz w:val="20"/>
                <w:szCs w:val="20"/>
              </w:rPr>
              <w:t>7</w:t>
            </w:r>
          </w:p>
        </w:tc>
        <w:tc>
          <w:tcPr>
            <w:tcW w:w="1816" w:type="dxa"/>
            <w:tcBorders>
              <w:top w:val="single" w:color="000000" w:sz="4" w:space="0"/>
              <w:left w:val="single" w:color="000000" w:sz="4" w:space="0"/>
              <w:bottom w:val="single" w:color="auto" w:sz="4" w:space="0"/>
              <w:right w:val="single" w:color="000000" w:sz="4" w:space="0"/>
            </w:tcBorders>
            <w:shd w:val="clear" w:color="auto" w:fill="auto"/>
            <w:vAlign w:val="center"/>
          </w:tcPr>
          <w:p w14:paraId="7B17C4BD">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插座安装</w:t>
            </w:r>
          </w:p>
        </w:tc>
        <w:tc>
          <w:tcPr>
            <w:tcW w:w="511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3C4206F">
            <w:pPr>
              <w:widowControl/>
              <w:spacing w:line="240" w:lineRule="auto"/>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现场施工，包含利旧插座的拆除及移位、端接等内容。</w:t>
            </w:r>
          </w:p>
        </w:tc>
        <w:tc>
          <w:tcPr>
            <w:tcW w:w="94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A11D129">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91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5C4EDC4">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2220</w:t>
            </w:r>
          </w:p>
        </w:tc>
      </w:tr>
      <w:tr w14:paraId="2A27069C">
        <w:tblPrEx>
          <w:tblCellMar>
            <w:top w:w="0" w:type="dxa"/>
            <w:left w:w="108" w:type="dxa"/>
            <w:bottom w:w="0" w:type="dxa"/>
            <w:right w:w="108" w:type="dxa"/>
          </w:tblCellMar>
        </w:tblPrEx>
        <w:trPr>
          <w:trHeight w:val="510" w:hRule="atLeast"/>
          <w:jc w:val="center"/>
        </w:trPr>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8F26B36">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sz w:val="20"/>
                <w:szCs w:val="20"/>
              </w:rPr>
              <w:t>8</w:t>
            </w:r>
          </w:p>
        </w:tc>
        <w:tc>
          <w:tcPr>
            <w:tcW w:w="1816" w:type="dxa"/>
            <w:tcBorders>
              <w:top w:val="single" w:color="auto" w:sz="4" w:space="0"/>
              <w:left w:val="single" w:color="auto" w:sz="4" w:space="0"/>
              <w:bottom w:val="single" w:color="auto" w:sz="4" w:space="0"/>
              <w:right w:val="single" w:color="auto" w:sz="4" w:space="0"/>
            </w:tcBorders>
            <w:shd w:val="clear" w:color="auto" w:fill="auto"/>
            <w:vAlign w:val="center"/>
          </w:tcPr>
          <w:p w14:paraId="5283CA1C">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电源线穿管布放</w:t>
            </w:r>
          </w:p>
        </w:tc>
        <w:tc>
          <w:tcPr>
            <w:tcW w:w="5110" w:type="dxa"/>
            <w:tcBorders>
              <w:top w:val="single" w:color="auto" w:sz="4" w:space="0"/>
              <w:left w:val="single" w:color="auto" w:sz="4" w:space="0"/>
              <w:bottom w:val="single" w:color="auto" w:sz="4" w:space="0"/>
              <w:right w:val="single" w:color="auto" w:sz="4" w:space="0"/>
            </w:tcBorders>
            <w:shd w:val="clear" w:color="auto" w:fill="auto"/>
            <w:vAlign w:val="center"/>
          </w:tcPr>
          <w:p w14:paraId="14AAD4C3">
            <w:pPr>
              <w:widowControl/>
              <w:spacing w:line="240" w:lineRule="auto"/>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现场施工，包含镀锌铁管材料费及施工费、及电源线的穿管布放保护等。</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14:paraId="3085A620">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米</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409818DF">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8325</w:t>
            </w:r>
          </w:p>
        </w:tc>
      </w:tr>
      <w:tr w14:paraId="45332984">
        <w:tblPrEx>
          <w:tblCellMar>
            <w:top w:w="0" w:type="dxa"/>
            <w:left w:w="108" w:type="dxa"/>
            <w:bottom w:w="0" w:type="dxa"/>
            <w:right w:w="108" w:type="dxa"/>
          </w:tblCellMar>
        </w:tblPrEx>
        <w:trPr>
          <w:trHeight w:val="510" w:hRule="atLeast"/>
          <w:jc w:val="center"/>
        </w:trPr>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3854060B">
            <w:pPr>
              <w:widowControl/>
              <w:spacing w:line="240" w:lineRule="auto"/>
              <w:jc w:val="center"/>
              <w:textAlignment w:val="center"/>
              <w:rPr>
                <w:rFonts w:hint="eastAsia" w:ascii="宋体" w:hAnsi="宋体" w:eastAsia="宋体" w:cs="宋体"/>
                <w:color w:val="000000"/>
                <w:kern w:val="0"/>
                <w:sz w:val="20"/>
                <w:szCs w:val="20"/>
                <w:lang w:bidi="ar"/>
              </w:rPr>
            </w:pPr>
          </w:p>
        </w:tc>
        <w:tc>
          <w:tcPr>
            <w:tcW w:w="1816" w:type="dxa"/>
            <w:tcBorders>
              <w:top w:val="single" w:color="auto" w:sz="4" w:space="0"/>
              <w:left w:val="single" w:color="auto" w:sz="4" w:space="0"/>
              <w:bottom w:val="single" w:color="auto" w:sz="4" w:space="0"/>
              <w:right w:val="single" w:color="auto" w:sz="4" w:space="0"/>
            </w:tcBorders>
            <w:shd w:val="clear" w:color="auto" w:fill="auto"/>
            <w:vAlign w:val="center"/>
          </w:tcPr>
          <w:p w14:paraId="260474B1">
            <w:pPr>
              <w:widowControl/>
              <w:spacing w:line="240" w:lineRule="auto"/>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3#楼</w:t>
            </w:r>
          </w:p>
        </w:tc>
        <w:tc>
          <w:tcPr>
            <w:tcW w:w="5110" w:type="dxa"/>
            <w:tcBorders>
              <w:top w:val="single" w:color="auto" w:sz="4" w:space="0"/>
              <w:left w:val="single" w:color="auto" w:sz="4" w:space="0"/>
              <w:bottom w:val="single" w:color="auto" w:sz="4" w:space="0"/>
              <w:right w:val="single" w:color="auto" w:sz="4" w:space="0"/>
            </w:tcBorders>
            <w:shd w:val="clear" w:color="auto" w:fill="auto"/>
            <w:vAlign w:val="center"/>
          </w:tcPr>
          <w:p w14:paraId="431E8CAD">
            <w:pPr>
              <w:widowControl/>
              <w:spacing w:line="240" w:lineRule="auto"/>
              <w:jc w:val="left"/>
              <w:textAlignment w:val="center"/>
              <w:rPr>
                <w:rFonts w:hint="eastAsia" w:ascii="宋体" w:hAnsi="宋体" w:eastAsia="宋体" w:cs="宋体"/>
                <w:color w:val="000000"/>
                <w:kern w:val="0"/>
                <w:sz w:val="20"/>
                <w:szCs w:val="20"/>
                <w:lang w:bidi="ar"/>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14:paraId="5986618B">
            <w:pPr>
              <w:widowControl/>
              <w:spacing w:line="240" w:lineRule="auto"/>
              <w:jc w:val="center"/>
              <w:textAlignment w:val="center"/>
              <w:rPr>
                <w:rFonts w:hint="eastAsia" w:ascii="宋体" w:hAnsi="宋体" w:eastAsia="宋体" w:cs="宋体"/>
                <w:color w:val="000000"/>
                <w:kern w:val="0"/>
                <w:sz w:val="20"/>
                <w:szCs w:val="20"/>
                <w:lang w:bidi="ar"/>
              </w:rPr>
            </w:pP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49272A95">
            <w:pPr>
              <w:widowControl/>
              <w:spacing w:line="240" w:lineRule="auto"/>
              <w:jc w:val="center"/>
              <w:textAlignment w:val="center"/>
              <w:rPr>
                <w:rFonts w:hint="eastAsia" w:ascii="宋体" w:hAnsi="宋体" w:eastAsia="宋体" w:cs="宋体"/>
                <w:color w:val="000000"/>
                <w:kern w:val="0"/>
                <w:sz w:val="20"/>
                <w:szCs w:val="20"/>
                <w:lang w:bidi="ar"/>
              </w:rPr>
            </w:pPr>
          </w:p>
        </w:tc>
      </w:tr>
      <w:tr w14:paraId="1D40044D">
        <w:tblPrEx>
          <w:tblCellMar>
            <w:top w:w="0" w:type="dxa"/>
            <w:left w:w="108" w:type="dxa"/>
            <w:bottom w:w="0" w:type="dxa"/>
            <w:right w:w="108" w:type="dxa"/>
          </w:tblCellMar>
        </w:tblPrEx>
        <w:trPr>
          <w:trHeight w:val="510" w:hRule="atLeast"/>
          <w:jc w:val="center"/>
        </w:trPr>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6CE3B30E">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sz w:val="20"/>
                <w:szCs w:val="20"/>
              </w:rPr>
              <w:t>9</w:t>
            </w:r>
          </w:p>
        </w:tc>
        <w:tc>
          <w:tcPr>
            <w:tcW w:w="1816" w:type="dxa"/>
            <w:tcBorders>
              <w:top w:val="single" w:color="auto" w:sz="4" w:space="0"/>
              <w:left w:val="single" w:color="auto" w:sz="4" w:space="0"/>
              <w:bottom w:val="single" w:color="auto" w:sz="4" w:space="0"/>
              <w:right w:val="single" w:color="auto" w:sz="4" w:space="0"/>
            </w:tcBorders>
            <w:shd w:val="clear" w:color="auto" w:fill="auto"/>
            <w:vAlign w:val="center"/>
          </w:tcPr>
          <w:p w14:paraId="3516695D">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地毯下引接电源</w:t>
            </w:r>
          </w:p>
        </w:tc>
        <w:tc>
          <w:tcPr>
            <w:tcW w:w="5110" w:type="dxa"/>
            <w:tcBorders>
              <w:top w:val="single" w:color="auto" w:sz="4" w:space="0"/>
              <w:left w:val="single" w:color="auto" w:sz="4" w:space="0"/>
              <w:bottom w:val="single" w:color="auto" w:sz="4" w:space="0"/>
              <w:right w:val="single" w:color="auto" w:sz="4" w:space="0"/>
            </w:tcBorders>
            <w:shd w:val="clear" w:color="auto" w:fill="auto"/>
            <w:vAlign w:val="center"/>
          </w:tcPr>
          <w:p w14:paraId="1BFDA42D">
            <w:pPr>
              <w:widowControl/>
              <w:spacing w:line="240" w:lineRule="auto"/>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现场施工，需拆除地板及地毯，打孔并与将新放电源线与预留电源电缆进行引接及保护，引接完成后对现场进行防护及修复（含除胶或更换新地毯及地板费用)，地毯修复工艺要求：（1）环保性：挥发性有机物含量（VOC）应符合国家相关规定，保证其环保性能。（2）强度：剪切强度、拉伸强度等应符合国家相关标准，确保其粘合强度。（3）黏着性：黏结时间、黏结强度等指标应符合国家相关规定，确保其黏着性能。</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14:paraId="7115C60B">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处</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6DA127FA">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134</w:t>
            </w:r>
          </w:p>
        </w:tc>
      </w:tr>
      <w:tr w14:paraId="3F5A4B60">
        <w:tblPrEx>
          <w:tblCellMar>
            <w:top w:w="0" w:type="dxa"/>
            <w:left w:w="108" w:type="dxa"/>
            <w:bottom w:w="0" w:type="dxa"/>
            <w:right w:w="108" w:type="dxa"/>
          </w:tblCellMar>
        </w:tblPrEx>
        <w:trPr>
          <w:trHeight w:val="510" w:hRule="atLeast"/>
          <w:jc w:val="center"/>
        </w:trPr>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99E48D8">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sz w:val="20"/>
                <w:szCs w:val="20"/>
              </w:rPr>
              <w:t>10</w:t>
            </w:r>
          </w:p>
        </w:tc>
        <w:tc>
          <w:tcPr>
            <w:tcW w:w="1816" w:type="dxa"/>
            <w:tcBorders>
              <w:top w:val="single" w:color="auto" w:sz="4" w:space="0"/>
              <w:left w:val="single" w:color="auto" w:sz="4" w:space="0"/>
              <w:bottom w:val="single" w:color="auto" w:sz="4" w:space="0"/>
              <w:right w:val="single" w:color="auto" w:sz="4" w:space="0"/>
            </w:tcBorders>
            <w:shd w:val="clear" w:color="auto" w:fill="auto"/>
            <w:vAlign w:val="center"/>
          </w:tcPr>
          <w:p w14:paraId="42B1FB68">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防静电地板下引接电源点</w:t>
            </w:r>
          </w:p>
        </w:tc>
        <w:tc>
          <w:tcPr>
            <w:tcW w:w="5110" w:type="dxa"/>
            <w:tcBorders>
              <w:top w:val="single" w:color="auto" w:sz="4" w:space="0"/>
              <w:left w:val="single" w:color="auto" w:sz="4" w:space="0"/>
              <w:bottom w:val="single" w:color="auto" w:sz="4" w:space="0"/>
              <w:right w:val="single" w:color="auto" w:sz="4" w:space="0"/>
            </w:tcBorders>
            <w:shd w:val="clear" w:color="auto" w:fill="auto"/>
            <w:vAlign w:val="center"/>
          </w:tcPr>
          <w:p w14:paraId="65E73DFE">
            <w:pPr>
              <w:widowControl/>
              <w:spacing w:line="240" w:lineRule="auto"/>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现场施工，需拆除地板，打孔并与将新放电源线与预留电源电缆进行引接及保护，引接完成后对现场进行防护及修复（含防护修复材料或更换地板费用)</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14:paraId="0CFC92CF">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处</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4983674E">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70</w:t>
            </w:r>
          </w:p>
        </w:tc>
      </w:tr>
      <w:tr w14:paraId="0BFBB964">
        <w:tblPrEx>
          <w:tblCellMar>
            <w:top w:w="0" w:type="dxa"/>
            <w:left w:w="108" w:type="dxa"/>
            <w:bottom w:w="0" w:type="dxa"/>
            <w:right w:w="108" w:type="dxa"/>
          </w:tblCellMar>
        </w:tblPrEx>
        <w:trPr>
          <w:trHeight w:val="510" w:hRule="atLeast"/>
          <w:jc w:val="center"/>
        </w:trPr>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0CB5A0F1">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sz w:val="20"/>
                <w:szCs w:val="20"/>
              </w:rPr>
              <w:t>11</w:t>
            </w:r>
          </w:p>
        </w:tc>
        <w:tc>
          <w:tcPr>
            <w:tcW w:w="1816" w:type="dxa"/>
            <w:tcBorders>
              <w:top w:val="single" w:color="auto" w:sz="4" w:space="0"/>
              <w:left w:val="single" w:color="auto" w:sz="4" w:space="0"/>
              <w:bottom w:val="single" w:color="auto" w:sz="4" w:space="0"/>
              <w:right w:val="single" w:color="auto" w:sz="4" w:space="0"/>
            </w:tcBorders>
            <w:shd w:val="clear" w:color="auto" w:fill="auto"/>
            <w:vAlign w:val="center"/>
          </w:tcPr>
          <w:p w14:paraId="5904EC25">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插座安装</w:t>
            </w:r>
          </w:p>
        </w:tc>
        <w:tc>
          <w:tcPr>
            <w:tcW w:w="5110" w:type="dxa"/>
            <w:tcBorders>
              <w:top w:val="single" w:color="auto" w:sz="4" w:space="0"/>
              <w:left w:val="single" w:color="auto" w:sz="4" w:space="0"/>
              <w:bottom w:val="single" w:color="auto" w:sz="4" w:space="0"/>
              <w:right w:val="single" w:color="auto" w:sz="4" w:space="0"/>
            </w:tcBorders>
            <w:shd w:val="clear" w:color="auto" w:fill="auto"/>
            <w:vAlign w:val="center"/>
          </w:tcPr>
          <w:p w14:paraId="47EB40B9">
            <w:pPr>
              <w:widowControl/>
              <w:spacing w:line="240" w:lineRule="auto"/>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现场施工，包含利旧插座的拆除及移位、端接等内容。</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14:paraId="3DC4DEDF">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4939608C">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2496</w:t>
            </w:r>
          </w:p>
        </w:tc>
      </w:tr>
      <w:tr w14:paraId="4EFB25CF">
        <w:tblPrEx>
          <w:tblCellMar>
            <w:top w:w="0" w:type="dxa"/>
            <w:left w:w="108" w:type="dxa"/>
            <w:bottom w:w="0" w:type="dxa"/>
            <w:right w:w="108" w:type="dxa"/>
          </w:tblCellMar>
        </w:tblPrEx>
        <w:trPr>
          <w:trHeight w:val="510" w:hRule="atLeast"/>
          <w:jc w:val="center"/>
        </w:trPr>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EE8E602">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sz w:val="20"/>
                <w:szCs w:val="20"/>
              </w:rPr>
              <w:t>12</w:t>
            </w:r>
          </w:p>
        </w:tc>
        <w:tc>
          <w:tcPr>
            <w:tcW w:w="1816" w:type="dxa"/>
            <w:tcBorders>
              <w:top w:val="single" w:color="auto" w:sz="4" w:space="0"/>
              <w:left w:val="single" w:color="auto" w:sz="4" w:space="0"/>
              <w:bottom w:val="single" w:color="auto" w:sz="4" w:space="0"/>
              <w:right w:val="single" w:color="auto" w:sz="4" w:space="0"/>
            </w:tcBorders>
            <w:shd w:val="clear" w:color="auto" w:fill="auto"/>
            <w:vAlign w:val="center"/>
          </w:tcPr>
          <w:p w14:paraId="0FE1D4BF">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电源线穿管布放</w:t>
            </w:r>
          </w:p>
        </w:tc>
        <w:tc>
          <w:tcPr>
            <w:tcW w:w="5110" w:type="dxa"/>
            <w:tcBorders>
              <w:top w:val="single" w:color="auto" w:sz="4" w:space="0"/>
              <w:left w:val="single" w:color="auto" w:sz="4" w:space="0"/>
              <w:bottom w:val="single" w:color="auto" w:sz="4" w:space="0"/>
              <w:right w:val="single" w:color="auto" w:sz="4" w:space="0"/>
            </w:tcBorders>
            <w:shd w:val="clear" w:color="auto" w:fill="auto"/>
            <w:vAlign w:val="center"/>
          </w:tcPr>
          <w:p w14:paraId="0C039FBC">
            <w:pPr>
              <w:widowControl/>
              <w:spacing w:line="240" w:lineRule="auto"/>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现场施工，包含镀锌铁管材料费及施工费、及电源线的穿管布放保护等。</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14:paraId="770F3BA7">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米</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426D8178">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9180</w:t>
            </w:r>
          </w:p>
        </w:tc>
      </w:tr>
      <w:tr w14:paraId="66EF8A63">
        <w:tblPrEx>
          <w:tblCellMar>
            <w:top w:w="0" w:type="dxa"/>
            <w:left w:w="108" w:type="dxa"/>
            <w:bottom w:w="0" w:type="dxa"/>
            <w:right w:w="108" w:type="dxa"/>
          </w:tblCellMar>
        </w:tblPrEx>
        <w:trPr>
          <w:trHeight w:val="510" w:hRule="atLeast"/>
          <w:jc w:val="center"/>
        </w:trPr>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70CCF43">
            <w:pPr>
              <w:widowControl/>
              <w:spacing w:line="240" w:lineRule="auto"/>
              <w:jc w:val="center"/>
              <w:textAlignment w:val="center"/>
              <w:rPr>
                <w:rFonts w:hint="eastAsia" w:ascii="宋体" w:hAnsi="宋体" w:eastAsia="宋体" w:cs="宋体"/>
                <w:color w:val="000000"/>
                <w:kern w:val="0"/>
                <w:sz w:val="20"/>
                <w:szCs w:val="20"/>
                <w:lang w:bidi="ar"/>
              </w:rPr>
            </w:pPr>
          </w:p>
        </w:tc>
        <w:tc>
          <w:tcPr>
            <w:tcW w:w="1816" w:type="dxa"/>
            <w:tcBorders>
              <w:top w:val="single" w:color="auto" w:sz="4" w:space="0"/>
              <w:left w:val="single" w:color="auto" w:sz="4" w:space="0"/>
              <w:bottom w:val="single" w:color="auto" w:sz="4" w:space="0"/>
              <w:right w:val="single" w:color="auto" w:sz="4" w:space="0"/>
            </w:tcBorders>
            <w:shd w:val="clear" w:color="auto" w:fill="auto"/>
            <w:vAlign w:val="center"/>
          </w:tcPr>
          <w:p w14:paraId="16F62BE9">
            <w:pPr>
              <w:widowControl/>
              <w:spacing w:line="240" w:lineRule="auto"/>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1#楼</w:t>
            </w:r>
          </w:p>
        </w:tc>
        <w:tc>
          <w:tcPr>
            <w:tcW w:w="5110" w:type="dxa"/>
            <w:tcBorders>
              <w:top w:val="single" w:color="auto" w:sz="4" w:space="0"/>
              <w:left w:val="single" w:color="auto" w:sz="4" w:space="0"/>
              <w:bottom w:val="single" w:color="auto" w:sz="4" w:space="0"/>
              <w:right w:val="single" w:color="auto" w:sz="4" w:space="0"/>
            </w:tcBorders>
            <w:shd w:val="clear" w:color="auto" w:fill="auto"/>
            <w:vAlign w:val="center"/>
          </w:tcPr>
          <w:p w14:paraId="3917F400">
            <w:pPr>
              <w:widowControl/>
              <w:spacing w:line="240" w:lineRule="auto"/>
              <w:jc w:val="left"/>
              <w:textAlignment w:val="center"/>
              <w:rPr>
                <w:rFonts w:hint="eastAsia" w:ascii="宋体" w:hAnsi="宋体" w:eastAsia="宋体" w:cs="宋体"/>
                <w:color w:val="000000"/>
                <w:kern w:val="0"/>
                <w:sz w:val="20"/>
                <w:szCs w:val="20"/>
                <w:lang w:bidi="ar"/>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14:paraId="35AD9228">
            <w:pPr>
              <w:widowControl/>
              <w:spacing w:line="240" w:lineRule="auto"/>
              <w:jc w:val="center"/>
              <w:textAlignment w:val="center"/>
              <w:rPr>
                <w:rFonts w:hint="eastAsia" w:ascii="宋体" w:hAnsi="宋体" w:eastAsia="宋体" w:cs="宋体"/>
                <w:color w:val="000000"/>
                <w:kern w:val="0"/>
                <w:sz w:val="20"/>
                <w:szCs w:val="20"/>
                <w:lang w:bidi="ar"/>
              </w:rPr>
            </w:pP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2BB752DC">
            <w:pPr>
              <w:widowControl/>
              <w:spacing w:line="240" w:lineRule="auto"/>
              <w:jc w:val="center"/>
              <w:textAlignment w:val="center"/>
              <w:rPr>
                <w:rFonts w:hint="eastAsia" w:ascii="宋体" w:hAnsi="宋体" w:eastAsia="宋体" w:cs="宋体"/>
                <w:color w:val="000000"/>
                <w:kern w:val="0"/>
                <w:sz w:val="20"/>
                <w:szCs w:val="20"/>
                <w:lang w:bidi="ar"/>
              </w:rPr>
            </w:pPr>
          </w:p>
        </w:tc>
      </w:tr>
      <w:tr w14:paraId="5AFA3873">
        <w:tblPrEx>
          <w:tblCellMar>
            <w:top w:w="0" w:type="dxa"/>
            <w:left w:w="108" w:type="dxa"/>
            <w:bottom w:w="0" w:type="dxa"/>
            <w:right w:w="108" w:type="dxa"/>
          </w:tblCellMar>
        </w:tblPrEx>
        <w:trPr>
          <w:trHeight w:val="510" w:hRule="atLeast"/>
          <w:jc w:val="center"/>
        </w:trPr>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306B1C29">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13</w:t>
            </w:r>
          </w:p>
        </w:tc>
        <w:tc>
          <w:tcPr>
            <w:tcW w:w="1816" w:type="dxa"/>
            <w:tcBorders>
              <w:top w:val="single" w:color="auto" w:sz="4" w:space="0"/>
              <w:left w:val="single" w:color="auto" w:sz="4" w:space="0"/>
              <w:bottom w:val="single" w:color="auto" w:sz="4" w:space="0"/>
              <w:right w:val="single" w:color="auto" w:sz="4" w:space="0"/>
            </w:tcBorders>
            <w:shd w:val="clear" w:color="auto" w:fill="auto"/>
            <w:vAlign w:val="center"/>
          </w:tcPr>
          <w:p w14:paraId="0B6C5B73">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地毯下引接电源</w:t>
            </w:r>
          </w:p>
        </w:tc>
        <w:tc>
          <w:tcPr>
            <w:tcW w:w="5110" w:type="dxa"/>
            <w:tcBorders>
              <w:top w:val="single" w:color="auto" w:sz="4" w:space="0"/>
              <w:left w:val="single" w:color="auto" w:sz="4" w:space="0"/>
              <w:bottom w:val="single" w:color="auto" w:sz="4" w:space="0"/>
              <w:right w:val="single" w:color="auto" w:sz="4" w:space="0"/>
            </w:tcBorders>
            <w:shd w:val="clear" w:color="auto" w:fill="auto"/>
            <w:vAlign w:val="center"/>
          </w:tcPr>
          <w:p w14:paraId="7B42DD55">
            <w:pPr>
              <w:widowControl/>
              <w:spacing w:line="240" w:lineRule="auto"/>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现场施工，需拆除地板及地毯，打孔并与将新放电源线与预留电源电缆进行引接及保护，引接完成后对现场进行防护及修复（含除胶或更换新地毯及地板费用)</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14:paraId="21DC75A5">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处</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5AFC4EB5">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125</w:t>
            </w:r>
          </w:p>
        </w:tc>
      </w:tr>
      <w:tr w14:paraId="7DFAA5A3">
        <w:tblPrEx>
          <w:tblCellMar>
            <w:top w:w="0" w:type="dxa"/>
            <w:left w:w="108" w:type="dxa"/>
            <w:bottom w:w="0" w:type="dxa"/>
            <w:right w:w="108" w:type="dxa"/>
          </w:tblCellMar>
        </w:tblPrEx>
        <w:trPr>
          <w:trHeight w:val="510" w:hRule="atLeast"/>
          <w:jc w:val="center"/>
        </w:trPr>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22C3FEF4">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14</w:t>
            </w:r>
          </w:p>
        </w:tc>
        <w:tc>
          <w:tcPr>
            <w:tcW w:w="1816" w:type="dxa"/>
            <w:tcBorders>
              <w:top w:val="single" w:color="auto" w:sz="4" w:space="0"/>
              <w:left w:val="single" w:color="auto" w:sz="4" w:space="0"/>
              <w:bottom w:val="single" w:color="auto" w:sz="4" w:space="0"/>
              <w:right w:val="single" w:color="auto" w:sz="4" w:space="0"/>
            </w:tcBorders>
            <w:shd w:val="clear" w:color="auto" w:fill="auto"/>
            <w:vAlign w:val="center"/>
          </w:tcPr>
          <w:p w14:paraId="36458144">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防静电地板下引接电源点</w:t>
            </w:r>
          </w:p>
        </w:tc>
        <w:tc>
          <w:tcPr>
            <w:tcW w:w="5110" w:type="dxa"/>
            <w:tcBorders>
              <w:top w:val="single" w:color="auto" w:sz="4" w:space="0"/>
              <w:left w:val="single" w:color="auto" w:sz="4" w:space="0"/>
              <w:bottom w:val="single" w:color="auto" w:sz="4" w:space="0"/>
              <w:right w:val="single" w:color="auto" w:sz="4" w:space="0"/>
            </w:tcBorders>
            <w:shd w:val="clear" w:color="auto" w:fill="auto"/>
            <w:vAlign w:val="center"/>
          </w:tcPr>
          <w:p w14:paraId="67BA0DCD">
            <w:pPr>
              <w:widowControl/>
              <w:spacing w:line="240" w:lineRule="auto"/>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现场施工，需拆除地板，打孔并与将新放电源线与预留电源电缆进行引接及保护，引接完成后对现场进行防护及修复（含防护修复材料或更换地板费用)，地毯修复工艺要求：（1）环保性：挥发性有机物含量（VOC）应符合国家相关规定，保证其环保性能。（2）强度：剪切强度、拉伸强度等应符合国家相关标准，确保其粘合强度。（3）黏着性：黏结时间、黏结强度等指标应符合国家相关规定，确保其黏着性能。</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14:paraId="629D06A0">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处</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08A7D51F">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60</w:t>
            </w:r>
          </w:p>
        </w:tc>
      </w:tr>
      <w:tr w14:paraId="0B06F777">
        <w:tblPrEx>
          <w:tblCellMar>
            <w:top w:w="0" w:type="dxa"/>
            <w:left w:w="108" w:type="dxa"/>
            <w:bottom w:w="0" w:type="dxa"/>
            <w:right w:w="108" w:type="dxa"/>
          </w:tblCellMar>
        </w:tblPrEx>
        <w:trPr>
          <w:trHeight w:val="510" w:hRule="atLeast"/>
          <w:jc w:val="center"/>
        </w:trPr>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341B45E5">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15</w:t>
            </w:r>
          </w:p>
        </w:tc>
        <w:tc>
          <w:tcPr>
            <w:tcW w:w="1816" w:type="dxa"/>
            <w:tcBorders>
              <w:top w:val="single" w:color="auto" w:sz="4" w:space="0"/>
              <w:left w:val="single" w:color="auto" w:sz="4" w:space="0"/>
              <w:bottom w:val="single" w:color="auto" w:sz="4" w:space="0"/>
              <w:right w:val="single" w:color="auto" w:sz="4" w:space="0"/>
            </w:tcBorders>
            <w:shd w:val="clear" w:color="auto" w:fill="auto"/>
            <w:vAlign w:val="center"/>
          </w:tcPr>
          <w:p w14:paraId="2EA62C57">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插座安装</w:t>
            </w:r>
          </w:p>
        </w:tc>
        <w:tc>
          <w:tcPr>
            <w:tcW w:w="5110" w:type="dxa"/>
            <w:tcBorders>
              <w:top w:val="single" w:color="auto" w:sz="4" w:space="0"/>
              <w:left w:val="single" w:color="auto" w:sz="4" w:space="0"/>
              <w:bottom w:val="single" w:color="auto" w:sz="4" w:space="0"/>
              <w:right w:val="single" w:color="auto" w:sz="4" w:space="0"/>
            </w:tcBorders>
            <w:shd w:val="clear" w:color="auto" w:fill="auto"/>
            <w:vAlign w:val="center"/>
          </w:tcPr>
          <w:p w14:paraId="0D788B97">
            <w:pPr>
              <w:widowControl/>
              <w:spacing w:line="240" w:lineRule="auto"/>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现场施工，包含利旧插座的拆除及移位、端接等内容。</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14:paraId="41DF52DF">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个</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79AC15A1">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2220</w:t>
            </w:r>
          </w:p>
        </w:tc>
      </w:tr>
      <w:tr w14:paraId="16056242">
        <w:tblPrEx>
          <w:tblCellMar>
            <w:top w:w="0" w:type="dxa"/>
            <w:left w:w="108" w:type="dxa"/>
            <w:bottom w:w="0" w:type="dxa"/>
            <w:right w:w="108" w:type="dxa"/>
          </w:tblCellMar>
        </w:tblPrEx>
        <w:trPr>
          <w:trHeight w:val="510" w:hRule="atLeast"/>
          <w:jc w:val="center"/>
        </w:trPr>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E9D092D">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16</w:t>
            </w:r>
          </w:p>
        </w:tc>
        <w:tc>
          <w:tcPr>
            <w:tcW w:w="1816" w:type="dxa"/>
            <w:tcBorders>
              <w:top w:val="single" w:color="auto" w:sz="4" w:space="0"/>
              <w:left w:val="single" w:color="auto" w:sz="4" w:space="0"/>
              <w:bottom w:val="single" w:color="auto" w:sz="4" w:space="0"/>
              <w:right w:val="single" w:color="auto" w:sz="4" w:space="0"/>
            </w:tcBorders>
            <w:shd w:val="clear" w:color="auto" w:fill="auto"/>
            <w:vAlign w:val="center"/>
          </w:tcPr>
          <w:p w14:paraId="115C0FE5">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电源线穿管布放</w:t>
            </w:r>
          </w:p>
        </w:tc>
        <w:tc>
          <w:tcPr>
            <w:tcW w:w="5110" w:type="dxa"/>
            <w:tcBorders>
              <w:top w:val="single" w:color="auto" w:sz="4" w:space="0"/>
              <w:left w:val="single" w:color="auto" w:sz="4" w:space="0"/>
              <w:bottom w:val="single" w:color="auto" w:sz="4" w:space="0"/>
              <w:right w:val="single" w:color="auto" w:sz="4" w:space="0"/>
            </w:tcBorders>
            <w:shd w:val="clear" w:color="auto" w:fill="auto"/>
            <w:vAlign w:val="center"/>
          </w:tcPr>
          <w:p w14:paraId="53180E6A">
            <w:pPr>
              <w:widowControl/>
              <w:spacing w:line="240" w:lineRule="auto"/>
              <w:jc w:val="left"/>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现场施工，包含镀锌铁管材料费及施工费、及电源线的穿管布放保护等。</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14:paraId="7E7D3B9D">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米</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3DA01EDA">
            <w:pPr>
              <w:widowControl/>
              <w:spacing w:line="240" w:lineRule="auto"/>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8325</w:t>
            </w:r>
          </w:p>
        </w:tc>
      </w:tr>
    </w:tbl>
    <w:p w14:paraId="4D9837A7">
      <w:pPr>
        <w:keepNext w:val="0"/>
        <w:keepLines w:val="0"/>
        <w:pageBreakBefore w:val="0"/>
        <w:widowControl w:val="0"/>
        <w:kinsoku/>
        <w:wordWrap/>
        <w:overflowPunct/>
        <w:topLinePunct w:val="0"/>
        <w:autoSpaceDE/>
        <w:autoSpaceDN/>
        <w:bidi w:val="0"/>
        <w:adjustRightInd/>
        <w:snapToGrid/>
        <w:spacing w:before="313" w:beforeLines="100"/>
        <w:ind w:firstLine="420" w:firstLineChars="200"/>
        <w:jc w:val="both"/>
        <w:textAlignment w:val="auto"/>
        <w:rPr>
          <w:rFonts w:hint="eastAsia" w:ascii="宋体" w:hAnsi="宋体" w:eastAsia="宋体" w:cs="宋体"/>
          <w:sz w:val="21"/>
          <w:szCs w:val="21"/>
          <w:lang w:val="en-US" w:eastAsia="zh-CN"/>
        </w:rPr>
      </w:pPr>
      <w:r>
        <w:rPr>
          <w:rFonts w:hint="eastAsia" w:cs="宋体"/>
          <w:sz w:val="21"/>
          <w:szCs w:val="21"/>
          <w:lang w:val="en-US" w:eastAsia="zh-CN"/>
        </w:rPr>
        <w:t>2.</w:t>
      </w:r>
      <w:r>
        <w:rPr>
          <w:rFonts w:hint="eastAsia" w:ascii="宋体" w:hAnsi="宋体" w:eastAsia="宋体" w:cs="宋体"/>
          <w:sz w:val="21"/>
          <w:szCs w:val="21"/>
          <w:lang w:val="en-US" w:eastAsia="zh-CN"/>
        </w:rPr>
        <w:t>综合布线系统主要设备技术要求</w:t>
      </w:r>
    </w:p>
    <w:tbl>
      <w:tblPr>
        <w:tblStyle w:val="23"/>
        <w:tblW w:w="968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00"/>
        <w:gridCol w:w="1816"/>
        <w:gridCol w:w="5110"/>
        <w:gridCol w:w="945"/>
        <w:gridCol w:w="915"/>
      </w:tblGrid>
      <w:tr w14:paraId="31B73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5B2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序号</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452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设备类别及名称</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C7CD1">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主要参数</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1EAA4">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单位</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8494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数量</w:t>
            </w:r>
          </w:p>
        </w:tc>
      </w:tr>
      <w:tr w14:paraId="2FB9D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CCB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一</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6B0C1">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综合布线工程</w:t>
            </w:r>
          </w:p>
        </w:tc>
        <w:tc>
          <w:tcPr>
            <w:tcW w:w="5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141E8">
            <w:pPr>
              <w:spacing w:line="240" w:lineRule="auto"/>
              <w:jc w:val="center"/>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C0AFE">
            <w:pPr>
              <w:spacing w:line="240" w:lineRule="auto"/>
              <w:jc w:val="center"/>
              <w:rPr>
                <w:rFonts w:hint="eastAsia" w:ascii="宋体" w:hAnsi="宋体" w:eastAsia="宋体" w:cs="宋体"/>
                <w:i w:val="0"/>
                <w:iCs w:val="0"/>
                <w:color w:val="000000"/>
                <w:sz w:val="20"/>
                <w:szCs w:val="20"/>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B4B24">
            <w:pPr>
              <w:spacing w:line="240" w:lineRule="auto"/>
              <w:jc w:val="center"/>
              <w:rPr>
                <w:rFonts w:hint="eastAsia" w:ascii="宋体" w:hAnsi="宋体" w:eastAsia="宋体" w:cs="宋体"/>
                <w:i w:val="0"/>
                <w:iCs w:val="0"/>
                <w:color w:val="000000"/>
                <w:sz w:val="20"/>
                <w:szCs w:val="20"/>
                <w:u w:val="none"/>
              </w:rPr>
            </w:pPr>
          </w:p>
        </w:tc>
      </w:tr>
      <w:tr w14:paraId="09564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190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706D1">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标准六类非屏蔽网线</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4E711">
            <w:pPr>
              <w:keepNext w:val="0"/>
              <w:keepLines w:val="0"/>
              <w:widowControl/>
              <w:suppressLineNumbers w:val="0"/>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产品参照标准：ULSubject444,ETA/TIA568B.2-1&amp;ISO/IEC11801,IEC61163；带中心十字隔离骨架及屏蔽层，可有效防止因线对之间绞距变化带来的性能下降；线规：23AWG，线径≥0.57mm±0.02外径≥6.2mm；250mHZ带宽、典型应用速率1000Mbps，LSZH护套，防火级别达到UL-CmR等级；单根导体直流电阻：≤9.5Ω/100m；线对直流电阻不平衡：≤2%；导体间介电强度（DC）：1000V,1min 无击穿；传播延迟偏差：≤45ns/100m；绝缘电阻:≥5000mΩ/km+20℃DC(100-500)；工作温度：-20°C~70°C；                                                             ▲2、符合行业TIA/ISO标准，需提供第三方检测机构出具的信道链路和永久链路检验报告；                                                             3、须与六类模块同一品牌。</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E4C1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m</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70FA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39600</w:t>
            </w:r>
          </w:p>
        </w:tc>
      </w:tr>
      <w:tr w14:paraId="4ACF7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F799B">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2</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0F31E">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盒式24芯ODF子框</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46BCB">
            <w:pPr>
              <w:keepNext w:val="0"/>
              <w:keepLines w:val="0"/>
              <w:widowControl/>
              <w:suppressLineNumbers w:val="0"/>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1.名称:24芯，含熔接尾纤、适配器、耦合器等（LC）</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2、</w:t>
            </w:r>
            <w:r>
              <w:rPr>
                <w:rFonts w:hint="eastAsia" w:ascii="宋体" w:hAnsi="宋体" w:eastAsia="宋体" w:cs="宋体"/>
                <w:bCs/>
                <w:i w:val="0"/>
                <w:iCs w:val="0"/>
                <w:color w:val="000000"/>
                <w:spacing w:val="-2"/>
                <w:kern w:val="0"/>
                <w:sz w:val="20"/>
                <w:szCs w:val="20"/>
                <w:u w:val="none"/>
                <w:lang w:val="en-US" w:eastAsia="zh-CN" w:bidi="ar"/>
              </w:rPr>
              <w:t>ODF体板材材质：加厚镀锌钝化处理冷轧钢板+黑色喷塑；冷轧板厚度：1.0mm；法兰架材质：优质塑料；可熔光纤数量：≤24芯；安装高度：不大于2U；耦合器安装方式：直接卡接于法兰架上；进出线方式：ODF箱体左右两侧各有孔用于进出线；开启方式：抽屉式开启；安装方式：使用标配安装支架安装固定于19英寸机架式设备上</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3、安装温度：-10～50℃；储存温度：-20～70℃；湿度：≤85%（温度85℃±3℃）</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813F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框</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64F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208</w:t>
            </w:r>
          </w:p>
        </w:tc>
      </w:tr>
      <w:tr w14:paraId="5F61B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FitText/>
            <w:vAlign w:val="center"/>
          </w:tcPr>
          <w:p w14:paraId="343DB454">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3</w:t>
            </w:r>
          </w:p>
        </w:tc>
        <w:tc>
          <w:tcPr>
            <w:tcW w:w="1816" w:type="dxa"/>
            <w:tcBorders>
              <w:top w:val="single" w:color="000000" w:sz="4" w:space="0"/>
              <w:left w:val="single" w:color="000000" w:sz="4" w:space="0"/>
              <w:bottom w:val="single" w:color="000000" w:sz="4" w:space="0"/>
              <w:right w:val="single" w:color="000000" w:sz="4" w:space="0"/>
            </w:tcBorders>
            <w:shd w:val="clear" w:color="auto" w:fill="auto"/>
            <w:tcFitText/>
            <w:vAlign w:val="center"/>
          </w:tcPr>
          <w:p w14:paraId="372374D0">
            <w:pPr>
              <w:keepNext w:val="0"/>
              <w:keepLines w:val="0"/>
              <w:widowControl/>
              <w:suppressLineNumbers w:val="0"/>
              <w:spacing w:line="240" w:lineRule="auto"/>
              <w:jc w:val="center"/>
              <w:textAlignment w:val="center"/>
              <w:rPr>
                <w:rFonts w:hint="eastAsia" w:ascii="宋体" w:hAnsi="宋体" w:eastAsia="宋体" w:cs="宋体"/>
                <w:bCs/>
                <w:i w:val="0"/>
                <w:iCs w:val="0"/>
                <w:color w:val="000000"/>
                <w:spacing w:val="0"/>
                <w:kern w:val="0"/>
                <w:sz w:val="20"/>
                <w:szCs w:val="20"/>
                <w:u w:val="none"/>
                <w:lang w:val="en-US" w:eastAsia="zh-CN" w:bidi="ar"/>
              </w:rPr>
            </w:pPr>
            <w:r>
              <w:rPr>
                <w:rFonts w:hint="eastAsia" w:ascii="宋体" w:hAnsi="宋体" w:eastAsia="宋体" w:cs="宋体"/>
                <w:bCs/>
                <w:i w:val="0"/>
                <w:iCs w:val="0"/>
                <w:color w:val="000000"/>
                <w:w w:val="93"/>
                <w:kern w:val="0"/>
                <w:sz w:val="20"/>
                <w:szCs w:val="20"/>
                <w:u w:val="none"/>
                <w:lang w:val="en-US" w:eastAsia="zh-CN" w:bidi="ar"/>
              </w:rPr>
              <w:t>盒式48芯ODF子框</w:t>
            </w:r>
          </w:p>
        </w:tc>
        <w:tc>
          <w:tcPr>
            <w:tcW w:w="5110" w:type="dxa"/>
            <w:tcBorders>
              <w:top w:val="single" w:color="000000" w:sz="4" w:space="0"/>
              <w:left w:val="single" w:color="000000" w:sz="4" w:space="0"/>
              <w:bottom w:val="single" w:color="000000" w:sz="4" w:space="0"/>
              <w:right w:val="single" w:color="000000" w:sz="4" w:space="0"/>
            </w:tcBorders>
            <w:shd w:val="clear" w:color="auto" w:fill="auto"/>
            <w:tcFitText/>
            <w:vAlign w:val="center"/>
          </w:tcPr>
          <w:p w14:paraId="350F5734">
            <w:pPr>
              <w:widowControl/>
              <w:spacing w:line="240" w:lineRule="auto"/>
              <w:jc w:val="left"/>
              <w:textAlignment w:val="center"/>
              <w:rPr>
                <w:rFonts w:hint="eastAsia" w:ascii="宋体" w:hAnsi="宋体" w:eastAsia="宋体" w:cs="宋体"/>
                <w:color w:val="000000"/>
                <w:spacing w:val="0"/>
                <w:kern w:val="0"/>
                <w:sz w:val="20"/>
                <w:szCs w:val="20"/>
                <w:lang w:bidi="ar"/>
              </w:rPr>
            </w:pPr>
            <w:r>
              <w:rPr>
                <w:rFonts w:hint="eastAsia" w:ascii="宋体" w:hAnsi="宋体" w:eastAsia="宋体" w:cs="宋体"/>
                <w:color w:val="000000"/>
                <w:spacing w:val="2"/>
                <w:kern w:val="0"/>
                <w:sz w:val="20"/>
                <w:szCs w:val="20"/>
                <w:lang w:val="en-US" w:eastAsia="zh-CN" w:bidi="ar"/>
              </w:rPr>
              <w:t>1.名称:48芯，含熔接尾纤、适配器、耦合器等（LC</w:t>
            </w:r>
            <w:r>
              <w:rPr>
                <w:rFonts w:hint="eastAsia" w:ascii="宋体" w:hAnsi="宋体" w:eastAsia="宋体" w:cs="宋体"/>
                <w:color w:val="000000"/>
                <w:spacing w:val="0"/>
                <w:kern w:val="0"/>
                <w:sz w:val="20"/>
                <w:szCs w:val="20"/>
                <w:lang w:val="en-US" w:eastAsia="zh-CN" w:bidi="ar"/>
              </w:rPr>
              <w:t>）</w:t>
            </w:r>
            <w:r>
              <w:rPr>
                <w:rFonts w:hint="eastAsia" w:ascii="宋体" w:hAnsi="宋体" w:eastAsia="宋体" w:cs="宋体"/>
                <w:color w:val="000000"/>
                <w:spacing w:val="0"/>
                <w:kern w:val="0"/>
                <w:sz w:val="20"/>
                <w:szCs w:val="20"/>
                <w:lang w:val="en-US" w:eastAsia="zh-CN" w:bidi="ar"/>
              </w:rPr>
              <w:br w:type="textWrapping"/>
            </w:r>
            <w:r>
              <w:rPr>
                <w:rFonts w:hint="eastAsia" w:ascii="宋体" w:hAnsi="宋体" w:eastAsia="宋体" w:cs="宋体"/>
                <w:color w:val="000000"/>
                <w:spacing w:val="0"/>
                <w:kern w:val="0"/>
                <w:sz w:val="20"/>
                <w:szCs w:val="20"/>
                <w:lang w:val="en-US" w:eastAsia="zh-CN" w:bidi="ar"/>
              </w:rPr>
              <w:t>2、ODF体板材材质：加厚镀锌钝化处理冷轧钢板+黑色喷塑；冷轧板厚度：1.0mm；法兰架材质：优质塑料；可熔光纤数量：≤48芯；安装高度：不大于3U；耦合器安装方式：直接卡接于法兰架上；进出线方式：ODF箱体左右两侧各有孔用于进出线；开启方式：抽屉式开启；安装方式：使用标配安装支架安装固定于19英寸机架式设备上</w:t>
            </w:r>
            <w:r>
              <w:rPr>
                <w:rFonts w:hint="eastAsia" w:ascii="宋体" w:hAnsi="宋体" w:eastAsia="宋体" w:cs="宋体"/>
                <w:color w:val="000000"/>
                <w:spacing w:val="0"/>
                <w:kern w:val="0"/>
                <w:sz w:val="20"/>
                <w:szCs w:val="20"/>
                <w:lang w:val="en-US" w:eastAsia="zh-CN" w:bidi="ar"/>
              </w:rPr>
              <w:br w:type="textWrapping"/>
            </w:r>
            <w:r>
              <w:rPr>
                <w:rFonts w:hint="eastAsia" w:ascii="宋体" w:hAnsi="宋体" w:eastAsia="宋体" w:cs="宋体"/>
                <w:color w:val="000000"/>
                <w:spacing w:val="0"/>
                <w:kern w:val="0"/>
                <w:sz w:val="20"/>
                <w:szCs w:val="20"/>
                <w:lang w:val="en-US" w:eastAsia="zh-CN" w:bidi="ar"/>
              </w:rPr>
              <w:t>3、安装温度：-10～50℃；储存温度：-20～70℃；湿度：≤85%（温度85℃±3℃）</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FitText/>
            <w:vAlign w:val="center"/>
          </w:tcPr>
          <w:p w14:paraId="7F3D84CE">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框</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FitText/>
            <w:vAlign w:val="center"/>
          </w:tcPr>
          <w:p w14:paraId="40CB8A65">
            <w:pPr>
              <w:keepNext w:val="0"/>
              <w:keepLines w:val="0"/>
              <w:widowControl/>
              <w:suppressLineNumbers w:val="0"/>
              <w:spacing w:line="240" w:lineRule="auto"/>
              <w:jc w:val="center"/>
              <w:textAlignment w:val="center"/>
              <w:rPr>
                <w:rFonts w:hint="eastAsia" w:ascii="宋体" w:hAnsi="宋体" w:eastAsia="宋体" w:cs="宋体"/>
                <w:bCs/>
                <w:i w:val="0"/>
                <w:iCs w:val="0"/>
                <w:color w:val="000000"/>
                <w:spacing w:val="0"/>
                <w:kern w:val="0"/>
                <w:sz w:val="20"/>
                <w:szCs w:val="20"/>
                <w:u w:val="none"/>
                <w:lang w:val="en-US" w:eastAsia="zh-CN" w:bidi="ar"/>
              </w:rPr>
            </w:pPr>
            <w:r>
              <w:rPr>
                <w:rFonts w:hint="eastAsia" w:cs="宋体"/>
                <w:bCs/>
                <w:i w:val="0"/>
                <w:iCs w:val="0"/>
                <w:color w:val="000000"/>
                <w:kern w:val="0"/>
                <w:sz w:val="20"/>
                <w:szCs w:val="20"/>
                <w:u w:val="none"/>
                <w:lang w:val="en-US" w:eastAsia="zh-CN" w:bidi="ar"/>
              </w:rPr>
              <w:t>7</w:t>
            </w:r>
            <w:r>
              <w:rPr>
                <w:rFonts w:hint="eastAsia" w:ascii="宋体" w:hAnsi="宋体" w:eastAsia="宋体" w:cs="宋体"/>
                <w:bCs/>
                <w:i w:val="0"/>
                <w:iCs w:val="0"/>
                <w:color w:val="000000"/>
                <w:kern w:val="0"/>
                <w:sz w:val="20"/>
                <w:szCs w:val="20"/>
                <w:u w:val="none"/>
                <w:lang w:val="en-US" w:eastAsia="zh-CN" w:bidi="ar"/>
              </w:rPr>
              <w:t>2</w:t>
            </w:r>
          </w:p>
        </w:tc>
      </w:tr>
      <w:tr w14:paraId="07FF4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34994">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4</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83F1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48芯ODF子框 机架式</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A8A57">
            <w:pPr>
              <w:keepNext w:val="0"/>
              <w:keepLines w:val="0"/>
              <w:widowControl/>
              <w:suppressLineNumbers w:val="0"/>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1.名称:48芯，含熔接尾纤、适配器、耦合器等（SC）</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2、ODF体板材材质：加厚镀锌钝化处理冷轧钢板+白色喷塑；冷轧板厚度：1.0mm；法兰架材质：优质塑料；可熔光纤数量：≤48芯；安装高度：不大于3U；耦合器安装方式：直接卡接于法兰架上；进出线方式：ODF箱体左右两侧各有孔用于进出线；开启方式：抽屉式开启；安装方式：使用标配安装支架安装固定于机架式ODF架</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3、安装温度：-10～50℃；储存温度：-20～70℃；湿度：≤85%（温度85℃±3℃）</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19B3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框</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B584B">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15</w:t>
            </w:r>
          </w:p>
        </w:tc>
      </w:tr>
      <w:tr w14:paraId="3B4C8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1C2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5</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5BF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6类24口网络配线架</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AA19D">
            <w:pPr>
              <w:keepNext w:val="0"/>
              <w:keepLines w:val="0"/>
              <w:widowControl/>
              <w:suppressLineNumbers w:val="0"/>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名称:全钢架结构+黑色喷塑；PBT工程塑料、PC聚碳酸酯、ABS工程塑料；IDC打线端子：磷青铜镀镍；镀金层厚度：50µm；配线架模块类型：6口一体式模块*4组，,支持Cat.5e，Cat.6，Cat.6a，Cat.7，Cat7a模块混配；支持屏蔽/非屏蔽模块混配；支持光铜混配；RJ45端口：可连接1-24根跳线；接线端子类型：IDC与110双用端子，可卡接导体为0.4～0.6mm；19英寸标准机架式设备；配线架背部含1*24金属理线板；后维护；安装高度：1U；频率范围：0～250MHz；工作电压：125V；耐压：750V；插入损耗：0.4dB@100MHz；绝缘电阻：初始值≥100MΩ，恒定湿热试验后≥100MΩ；插入力：≤20N；拔出力：≥20N；连接器链接效果：50N 60±5s；RJ45卡接次数：≥750次；接线端子卡接次数：≥250次；使用温度：-40～70℃；湿度：85%（温度85℃±3℃）。</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C83F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架</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598B1">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39</w:t>
            </w:r>
          </w:p>
        </w:tc>
      </w:tr>
      <w:tr w14:paraId="0E3A5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5F0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6</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2F9B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理线架 1U</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93643">
            <w:pPr>
              <w:keepNext w:val="0"/>
              <w:keepLines w:val="0"/>
              <w:widowControl/>
              <w:suppressLineNumbers w:val="0"/>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1.名称:理线器整体材质：钢架+黑色喷塑；工作电压：125V；耐压：750V；安装高度：1U；安装方式：机柜螺丝安装；使用温度： -40～70℃ ；湿度：85%（温度85℃±3℃）</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E1A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架</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B73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39</w:t>
            </w:r>
          </w:p>
        </w:tc>
      </w:tr>
      <w:tr w14:paraId="3D48C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4E11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7</w:t>
            </w:r>
          </w:p>
        </w:tc>
        <w:tc>
          <w:tcPr>
            <w:tcW w:w="18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C8A73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48芯单模光缆</w:t>
            </w:r>
          </w:p>
        </w:tc>
        <w:tc>
          <w:tcPr>
            <w:tcW w:w="5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0CE1C2">
            <w:pPr>
              <w:keepNext w:val="0"/>
              <w:keepLines w:val="0"/>
              <w:widowControl/>
              <w:suppressLineNumbers w:val="0"/>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1.名称:单模室外光缆-GYFTY-48B1.3</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外护套材料：中密度聚乙烯</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光缆外径：11.2-11.8mm</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光缆重量：95-105kg/KM</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光缆加强件：高强度磷化钢丝</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加强件直径：2.5mm</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缆芯：油膏填充</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松套管材质： PBT</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松套管外径：2.5mm</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纤芯颜色：蓝、橙、绿、棕、灰、本、红、黑、黄、紫、粉红、青绿</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光纤类型：G652D单模光纤</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敷设方式：穿管、桥架敷设适用，槽道可用</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敷设最小弯曲半径：动态弯曲半径≥20倍光缆外径</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静态弯曲半径≥10倍光缆外径</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敷设拉力：建议敷设时短期拉力≤1500N</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使用拉力：建议使用时长期拉力≤600N</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敷设压扁力：建议敷设时短期压扁力≤1000N</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使用压扁力：建议使用时长期压扁力≤300N</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依据标准：YD/T901-2018</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 xml:space="preserve">2.▲符合行业TIA/ISO标准，需提供第三方检测机构出具的单模光缆信道检测报告  </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43F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m</w:t>
            </w:r>
          </w:p>
        </w:tc>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3F9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10000</w:t>
            </w:r>
          </w:p>
        </w:tc>
      </w:tr>
      <w:tr w14:paraId="60B52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0ECCE">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7EBF3">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95FA5">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74934">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A0E54">
            <w:pPr>
              <w:spacing w:line="240" w:lineRule="auto"/>
              <w:jc w:val="center"/>
              <w:rPr>
                <w:rFonts w:hint="eastAsia" w:ascii="宋体" w:hAnsi="宋体" w:eastAsia="宋体" w:cs="宋体"/>
                <w:i w:val="0"/>
                <w:iCs w:val="0"/>
                <w:color w:val="000000"/>
                <w:sz w:val="20"/>
                <w:szCs w:val="20"/>
                <w:u w:val="none"/>
              </w:rPr>
            </w:pPr>
          </w:p>
        </w:tc>
      </w:tr>
      <w:tr w14:paraId="54121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47581">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B36CC">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40D7A">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36FE6">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34CE6">
            <w:pPr>
              <w:spacing w:line="240" w:lineRule="auto"/>
              <w:jc w:val="center"/>
              <w:rPr>
                <w:rFonts w:hint="eastAsia" w:ascii="宋体" w:hAnsi="宋体" w:eastAsia="宋体" w:cs="宋体"/>
                <w:i w:val="0"/>
                <w:iCs w:val="0"/>
                <w:color w:val="000000"/>
                <w:sz w:val="20"/>
                <w:szCs w:val="20"/>
                <w:u w:val="none"/>
              </w:rPr>
            </w:pPr>
          </w:p>
        </w:tc>
      </w:tr>
      <w:tr w14:paraId="440E8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B438D">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E02431">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9C10E">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B1D8F">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617A6">
            <w:pPr>
              <w:spacing w:line="240" w:lineRule="auto"/>
              <w:jc w:val="center"/>
              <w:rPr>
                <w:rFonts w:hint="eastAsia" w:ascii="宋体" w:hAnsi="宋体" w:eastAsia="宋体" w:cs="宋体"/>
                <w:i w:val="0"/>
                <w:iCs w:val="0"/>
                <w:color w:val="000000"/>
                <w:sz w:val="20"/>
                <w:szCs w:val="20"/>
                <w:u w:val="none"/>
              </w:rPr>
            </w:pPr>
          </w:p>
        </w:tc>
      </w:tr>
      <w:tr w14:paraId="7A6F0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3214D">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BDA6C">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41D54">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1D807">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54324">
            <w:pPr>
              <w:spacing w:line="240" w:lineRule="auto"/>
              <w:jc w:val="center"/>
              <w:rPr>
                <w:rFonts w:hint="eastAsia" w:ascii="宋体" w:hAnsi="宋体" w:eastAsia="宋体" w:cs="宋体"/>
                <w:i w:val="0"/>
                <w:iCs w:val="0"/>
                <w:color w:val="000000"/>
                <w:sz w:val="20"/>
                <w:szCs w:val="20"/>
                <w:u w:val="none"/>
              </w:rPr>
            </w:pPr>
          </w:p>
        </w:tc>
      </w:tr>
      <w:tr w14:paraId="24766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B489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8</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9E9C1">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双芯皮线光缆</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E0E06">
            <w:pPr>
              <w:keepNext w:val="0"/>
              <w:keepLines w:val="0"/>
              <w:widowControl/>
              <w:suppressLineNumbers w:val="0"/>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1.标准:YD/T1997-2009 GB/T9771-2008</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室内型2芯皮线光缆、低烟无卤聚乙烯护套 G.657A光纤</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 xml:space="preserve"> 工作波长(nm)：1310/1550 最大衰减值(dB/km):0.4/0.3</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允许拉力:长期(N)100</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允许压力:长期(N/10cm)1000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9C5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m</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AAC8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3168</w:t>
            </w:r>
          </w:p>
        </w:tc>
      </w:tr>
      <w:tr w14:paraId="4A609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3857A">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9</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05904">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信息箱</w:t>
            </w:r>
          </w:p>
        </w:tc>
        <w:tc>
          <w:tcPr>
            <w:tcW w:w="5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E12F5">
            <w:pPr>
              <w:keepNext w:val="0"/>
              <w:keepLines w:val="0"/>
              <w:widowControl/>
              <w:suppressLineNumbers w:val="0"/>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1.定制，结合现场环境定制，保证与办公环境的美观和统一</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0BC0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个</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A396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154</w:t>
            </w:r>
          </w:p>
        </w:tc>
      </w:tr>
      <w:tr w14:paraId="0B74E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B6AB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10</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D57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信息柜（600*800*1200）</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BBB20">
            <w:pPr>
              <w:keepNext w:val="0"/>
              <w:keepLines w:val="0"/>
              <w:widowControl/>
              <w:suppressLineNumbers w:val="0"/>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1.容量22U；标准符合ANSI/EIA RS-310-D、IEC297-2、DIN41491; PART1、DIN41494; PART7、 GB/T3047.2- 92标准;兼容ETSI标准.六角网孔前后门；SPCC优质冷扎钢板制作；厚度：方孔条2.0mm，安装梁1.5mm，其它1.2mm。</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附加功能前后为圆形通风孔的上下框;</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2.外观参数</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高度≥1200mm</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宽度≥600mm</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深度≥800mm</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3.产品特性</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可选配安装底座，达到固定机柜、底部过线、底部送冷风、防鼠的要求;</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前后门配高级弹力锁;</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齐全的可选配件.</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承载:静载不低于400KG(带支架)，包含2路PDU（含电源线及安装 单个PDU输入32A，输出16A大于4个、10A大于4个）</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83FC8">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个</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FF9B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66</w:t>
            </w:r>
          </w:p>
        </w:tc>
      </w:tr>
      <w:tr w14:paraId="1E8C2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4CC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11</w:t>
            </w:r>
          </w:p>
        </w:tc>
        <w:tc>
          <w:tcPr>
            <w:tcW w:w="18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2F195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机柜（600*800*2200）</w:t>
            </w:r>
          </w:p>
        </w:tc>
        <w:tc>
          <w:tcPr>
            <w:tcW w:w="5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BF6EDC">
            <w:pPr>
              <w:keepNext w:val="0"/>
              <w:keepLines w:val="0"/>
              <w:widowControl/>
              <w:suppressLineNumbers w:val="0"/>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1、容量47U； 标准符合ANSI/EIA RS-310-D、IEC297-2、DIN41491; PART1、DIN41494; PART7、 GB/T3047.2- 92标准;兼容ETSI标准；六角网孔前后门；SPCC优质冷扎钢板制作；厚度：方孔条2.0mm，安装梁1.5mm，其它1.2mm。</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附加功能前后为圆形通风孔的上下框;</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2、外观参数高度≥2200mm</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宽度≥600mm</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深度≥800mm</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3、产品特性</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可选配安装底座，达到固定机柜、底部过线、底部送冷风、防鼠的要求;</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前后门配高级弹力锁;</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齐全的可选配件.</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承载:静载不低于800KG(带支架)，包含2路PDU（含电源线及安装 单个PDU输入32A，输出16A大于4个、10A大于4个）</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FF88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个</w:t>
            </w:r>
          </w:p>
        </w:tc>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FD2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30</w:t>
            </w:r>
          </w:p>
        </w:tc>
      </w:tr>
      <w:tr w14:paraId="1C929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18089">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9900F">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A28464">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A4F4C">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B65BB">
            <w:pPr>
              <w:spacing w:line="240" w:lineRule="auto"/>
              <w:jc w:val="center"/>
              <w:rPr>
                <w:rFonts w:hint="eastAsia" w:ascii="宋体" w:hAnsi="宋体" w:eastAsia="宋体" w:cs="宋体"/>
                <w:i w:val="0"/>
                <w:iCs w:val="0"/>
                <w:color w:val="000000"/>
                <w:sz w:val="20"/>
                <w:szCs w:val="20"/>
                <w:u w:val="none"/>
              </w:rPr>
            </w:pPr>
          </w:p>
        </w:tc>
      </w:tr>
      <w:tr w14:paraId="14025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9761F">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A8932">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40650">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95342">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8367C">
            <w:pPr>
              <w:spacing w:line="240" w:lineRule="auto"/>
              <w:jc w:val="center"/>
              <w:rPr>
                <w:rFonts w:hint="eastAsia" w:ascii="宋体" w:hAnsi="宋体" w:eastAsia="宋体" w:cs="宋体"/>
                <w:i w:val="0"/>
                <w:iCs w:val="0"/>
                <w:color w:val="000000"/>
                <w:sz w:val="20"/>
                <w:szCs w:val="20"/>
                <w:u w:val="none"/>
              </w:rPr>
            </w:pPr>
          </w:p>
        </w:tc>
      </w:tr>
      <w:tr w14:paraId="1228A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93CA4">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12</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FA56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ODF机柜</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38151">
            <w:pPr>
              <w:keepNext w:val="0"/>
              <w:keepLines w:val="0"/>
              <w:widowControl/>
              <w:suppressLineNumbers w:val="0"/>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1、容量47U； 标准符合ANSI/EIA RS-310-D、IEC297-2、DIN41491; PART1、DIN41494; PART7、 GB/T3047.2- 92标准;兼容ETSI标准；六角网孔前后门；SPCC优质冷扎钢板制作；厚度：方孔条2.0mm，安装梁1.5mm，其它1.2mm。</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附加功能前后为圆形通风孔的上下框;</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2、外观参数高度≥2200mm</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宽度≥600mm</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深度≥800mm</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3、产品特性</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可选配安装底座，达到固定机柜、底部过线、底部送冷风、防鼠的要求;</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前后门配高级弹力锁;</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齐全的可选配件.</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承载:静载不低于800KG(带支架).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C7B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个</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5385B">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4</w:t>
            </w:r>
          </w:p>
        </w:tc>
      </w:tr>
      <w:tr w14:paraId="345C0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D081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13</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5D3F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弱电井/间柜内光跳纤</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6B868">
            <w:pPr>
              <w:keepNext w:val="0"/>
              <w:keepLines w:val="0"/>
              <w:widowControl/>
              <w:suppressLineNumbers w:val="0"/>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1.定制，LC-SC，LC-LC、SC-SC ；长度3-5米；规格：弯曲不敏感纤芯；最小弯曲半径7.5mm；护套： 低烟无卤(LSZH)；</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2、插入损耗：</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多模：插入损耗：≤0.25dB，回波损耗：≥35dB；</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单模：插入损耗：≤0.25dB，回波损耗：≥55dB；</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3、传输性能标准：需满足ISO/IEC 11801:2002和 EIA/TIA 568 C.3的标准；</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4、▲认证报告：需提供第三方检测机构出具的7.5mm抗弯曲光纤跳线独立测试报告，并提供详细证明文件。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16EA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条</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7CDE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1510</w:t>
            </w:r>
          </w:p>
        </w:tc>
      </w:tr>
      <w:tr w14:paraId="69E25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E57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14</w:t>
            </w:r>
          </w:p>
        </w:tc>
        <w:tc>
          <w:tcPr>
            <w:tcW w:w="18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725E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网线跳线</w:t>
            </w:r>
          </w:p>
        </w:tc>
        <w:tc>
          <w:tcPr>
            <w:tcW w:w="5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416CBF">
            <w:pPr>
              <w:keepNext w:val="0"/>
              <w:keepLines w:val="0"/>
              <w:widowControl/>
              <w:suppressLineNumbers w:val="0"/>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1.长度根据现场情况定制，要求各个系统颜色区分</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水晶头塑料材质：低烟无卤(LSZH)；</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跳线接头类型：注塑RJ45端子-注塑RJ45端子</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跳线线缆类型：4*2*7/0.18mm对绞芯线</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跳线线缆护套材质：LSZH护套</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跳线线缆外径：6.2±0.2mm</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跳线线缆阻抗类型：100±15Ω</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 xml:space="preserve">连接方式：RJ45端插接RJ45配线架 </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跳线弯曲半径：≥2D(D：跳线外径)</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适用信号：六类屏蔽信道</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使用温度：-20～70℃</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 xml:space="preserve">湿度：85%（温度85℃±3℃）                                                          </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F71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条</w:t>
            </w:r>
          </w:p>
        </w:tc>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47C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376</w:t>
            </w:r>
          </w:p>
        </w:tc>
      </w:tr>
      <w:tr w14:paraId="15859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0DEA1">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E47DB">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F24FB">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1E12C">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418B4">
            <w:pPr>
              <w:spacing w:line="240" w:lineRule="auto"/>
              <w:jc w:val="center"/>
              <w:rPr>
                <w:rFonts w:hint="eastAsia" w:ascii="宋体" w:hAnsi="宋体" w:eastAsia="宋体" w:cs="宋体"/>
                <w:i w:val="0"/>
                <w:iCs w:val="0"/>
                <w:color w:val="000000"/>
                <w:sz w:val="20"/>
                <w:szCs w:val="20"/>
                <w:u w:val="none"/>
              </w:rPr>
            </w:pPr>
          </w:p>
        </w:tc>
      </w:tr>
      <w:tr w14:paraId="1E59D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E0560">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DD816">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8939F">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0CF15">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E2753">
            <w:pPr>
              <w:spacing w:line="240" w:lineRule="auto"/>
              <w:jc w:val="center"/>
              <w:rPr>
                <w:rFonts w:hint="eastAsia" w:ascii="宋体" w:hAnsi="宋体" w:eastAsia="宋体" w:cs="宋体"/>
                <w:i w:val="0"/>
                <w:iCs w:val="0"/>
                <w:color w:val="000000"/>
                <w:sz w:val="20"/>
                <w:szCs w:val="20"/>
                <w:u w:val="none"/>
              </w:rPr>
            </w:pPr>
          </w:p>
        </w:tc>
      </w:tr>
      <w:tr w14:paraId="68C9D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2E9C1">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36DFF6">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D7CC3">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EF627">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3BABF">
            <w:pPr>
              <w:spacing w:line="240" w:lineRule="auto"/>
              <w:jc w:val="center"/>
              <w:rPr>
                <w:rFonts w:hint="eastAsia" w:ascii="宋体" w:hAnsi="宋体" w:eastAsia="宋体" w:cs="宋体"/>
                <w:i w:val="0"/>
                <w:iCs w:val="0"/>
                <w:color w:val="000000"/>
                <w:sz w:val="20"/>
                <w:szCs w:val="20"/>
                <w:u w:val="none"/>
              </w:rPr>
            </w:pPr>
          </w:p>
        </w:tc>
      </w:tr>
      <w:tr w14:paraId="731C2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B5E32">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C7C47">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06B2A">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4707E">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CED72">
            <w:pPr>
              <w:spacing w:line="240" w:lineRule="auto"/>
              <w:jc w:val="center"/>
              <w:rPr>
                <w:rFonts w:hint="eastAsia" w:ascii="宋体" w:hAnsi="宋体" w:eastAsia="宋体" w:cs="宋体"/>
                <w:i w:val="0"/>
                <w:iCs w:val="0"/>
                <w:color w:val="000000"/>
                <w:sz w:val="20"/>
                <w:szCs w:val="20"/>
                <w:u w:val="none"/>
              </w:rPr>
            </w:pPr>
          </w:p>
        </w:tc>
      </w:tr>
      <w:tr w14:paraId="47B0E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C366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15</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731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2/4/6芯皮线光缆分线盒</w:t>
            </w:r>
          </w:p>
        </w:tc>
        <w:tc>
          <w:tcPr>
            <w:tcW w:w="5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E7B17">
            <w:pPr>
              <w:keepNext w:val="0"/>
              <w:keepLines w:val="0"/>
              <w:widowControl/>
              <w:suppressLineNumbers w:val="0"/>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1.用于信息点位前皮线光缆的成端及固定、颜色与办公桌等家具统一</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8F3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套</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7ED9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154</w:t>
            </w:r>
          </w:p>
        </w:tc>
      </w:tr>
      <w:tr w14:paraId="53751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CCB8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16</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1DB91">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光纤耦合器</w:t>
            </w:r>
          </w:p>
        </w:tc>
        <w:tc>
          <w:tcPr>
            <w:tcW w:w="5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17109">
            <w:pPr>
              <w:keepNext w:val="0"/>
              <w:keepLines w:val="0"/>
              <w:widowControl/>
              <w:suppressLineNumbers w:val="0"/>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1.LC-LC单模光纤耦合器</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FA8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个</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3C1DA">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924</w:t>
            </w:r>
          </w:p>
        </w:tc>
      </w:tr>
      <w:tr w14:paraId="722D9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D302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17</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6A56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用户终端侧光跳纤</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66CF5">
            <w:pPr>
              <w:keepNext w:val="0"/>
              <w:keepLines w:val="0"/>
              <w:widowControl/>
              <w:suppressLineNumbers w:val="0"/>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1.定制，LC-SC，LC-LC、SC-SC</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 xml:space="preserve">长度1-3米规格：                                                                       </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弯曲不敏感纤芯；最小弯曲半径7.5mm；</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护套： 低烟无卤(LSZH)；</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插入损耗：</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多模：插入损耗：≤0.25dB，回波损耗：≥35dB；</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单模：插入损耗：≤0.25dB，回波损耗：≥55dB；</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传输性能标准：需满足ISO/IEC 11801:2002和 EIA/TIA 568 C.3的标准；</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197D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条</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DD5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2468</w:t>
            </w:r>
          </w:p>
        </w:tc>
      </w:tr>
      <w:tr w14:paraId="7D6F3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F44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18</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473F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插排</w:t>
            </w:r>
          </w:p>
        </w:tc>
        <w:tc>
          <w:tcPr>
            <w:tcW w:w="5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493DA">
            <w:pPr>
              <w:keepNext w:val="0"/>
              <w:keepLines w:val="0"/>
              <w:widowControl/>
              <w:suppressLineNumbers w:val="0"/>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1.信息箱使用,五孔插头不低于3个，含电源线及安装</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DEF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套</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1F9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154</w:t>
            </w:r>
          </w:p>
        </w:tc>
      </w:tr>
      <w:tr w14:paraId="30048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FA70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19</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41F54">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辅材费</w:t>
            </w:r>
          </w:p>
        </w:tc>
        <w:tc>
          <w:tcPr>
            <w:tcW w:w="5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71BD3">
            <w:pPr>
              <w:keepNext w:val="0"/>
              <w:keepLines w:val="0"/>
              <w:widowControl/>
              <w:suppressLineNumbers w:val="0"/>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1.施工所需要的各类胶带、水晶头、扎带、标签等辅材材料</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7F54A">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套</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DC86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w:t>
            </w:r>
          </w:p>
        </w:tc>
      </w:tr>
      <w:tr w14:paraId="0E6CA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075F4">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二</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44F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插座工程</w:t>
            </w:r>
          </w:p>
        </w:tc>
        <w:tc>
          <w:tcPr>
            <w:tcW w:w="5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16016">
            <w:pPr>
              <w:spacing w:line="240" w:lineRule="auto"/>
              <w:jc w:val="lef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6331">
            <w:pPr>
              <w:spacing w:line="240" w:lineRule="auto"/>
              <w:jc w:val="center"/>
              <w:rPr>
                <w:rFonts w:hint="eastAsia" w:ascii="宋体" w:hAnsi="宋体" w:eastAsia="宋体" w:cs="宋体"/>
                <w:i w:val="0"/>
                <w:iCs w:val="0"/>
                <w:color w:val="000000"/>
                <w:sz w:val="20"/>
                <w:szCs w:val="20"/>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9692F">
            <w:pPr>
              <w:spacing w:line="240" w:lineRule="auto"/>
              <w:jc w:val="center"/>
              <w:rPr>
                <w:rFonts w:hint="eastAsia" w:ascii="宋体" w:hAnsi="宋体" w:eastAsia="宋体" w:cs="宋体"/>
                <w:i w:val="0"/>
                <w:iCs w:val="0"/>
                <w:color w:val="000000"/>
                <w:sz w:val="20"/>
                <w:szCs w:val="20"/>
                <w:u w:val="none"/>
              </w:rPr>
            </w:pPr>
          </w:p>
        </w:tc>
      </w:tr>
      <w:tr w14:paraId="67096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D5F8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(一)</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7B341">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5#楼</w:t>
            </w:r>
          </w:p>
        </w:tc>
        <w:tc>
          <w:tcPr>
            <w:tcW w:w="5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75C97">
            <w:pPr>
              <w:spacing w:line="240" w:lineRule="auto"/>
              <w:jc w:val="lef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051FB">
            <w:pPr>
              <w:spacing w:line="240" w:lineRule="auto"/>
              <w:jc w:val="center"/>
              <w:rPr>
                <w:rFonts w:hint="eastAsia" w:ascii="宋体" w:hAnsi="宋体" w:eastAsia="宋体" w:cs="宋体"/>
                <w:i w:val="0"/>
                <w:iCs w:val="0"/>
                <w:color w:val="000000"/>
                <w:sz w:val="20"/>
                <w:szCs w:val="20"/>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8066E">
            <w:pPr>
              <w:spacing w:line="240" w:lineRule="auto"/>
              <w:jc w:val="center"/>
              <w:rPr>
                <w:rFonts w:hint="eastAsia" w:ascii="宋体" w:hAnsi="宋体" w:eastAsia="宋体" w:cs="宋体"/>
                <w:i w:val="0"/>
                <w:iCs w:val="0"/>
                <w:color w:val="000000"/>
                <w:sz w:val="20"/>
                <w:szCs w:val="20"/>
                <w:u w:val="none"/>
              </w:rPr>
            </w:pPr>
          </w:p>
        </w:tc>
      </w:tr>
      <w:tr w14:paraId="43C8F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9CA9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D1A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蛇形走线管</w:t>
            </w:r>
          </w:p>
        </w:tc>
        <w:tc>
          <w:tcPr>
            <w:tcW w:w="5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3342A">
            <w:pPr>
              <w:keepNext w:val="0"/>
              <w:keepLines w:val="0"/>
              <w:widowControl/>
              <w:suppressLineNumbers w:val="0"/>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1、长度及颜色根据办公桌定制；材质：加厚ABS。适配场景：各类办公桌、会议桌等</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95F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根</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B88E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286</w:t>
            </w:r>
          </w:p>
        </w:tc>
      </w:tr>
      <w:tr w14:paraId="67796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014B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2</w:t>
            </w:r>
          </w:p>
        </w:tc>
        <w:tc>
          <w:tcPr>
            <w:tcW w:w="18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2F4AD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电源线</w:t>
            </w:r>
          </w:p>
        </w:tc>
        <w:tc>
          <w:tcPr>
            <w:tcW w:w="5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267D62">
            <w:pPr>
              <w:keepNext w:val="0"/>
              <w:keepLines w:val="0"/>
              <w:widowControl/>
              <w:suppressLineNumbers w:val="0"/>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 xml:space="preserve">1.★4平方低烟无卤阻燃聚氯乙烯绝缘电缆：WDZ-BYJ-1*4 </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2.ZA-RVV-0.6/1kV电力电缆：铜芯聚氯乙烯绝缘聚氯乙烯护套A类阻燃型软电缆，额定电压为 0.6/1kV。</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3.使用特性</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电缆额定电压： 0.6/1kV</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频率:50Hz</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电缆导体的工作温度：RVV≤70℃</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4.技术要求</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（1）导体</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导体结构及直流电阻符合GB/T 3956-2008及GB/T 12706.1-2020的规定，导体采用GB/T3956-2008中第1种或第2种导体结构。</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导体表面光洁，无损伤绝缘的毛刺，锐边，以及凸起或断裂的单线。</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（2）绝缘</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绝缘材料选用阻燃聚氯乙烯，绝缘紧密挤包在导体上，且容易剥离而不损伤导体；绝缘表面平整，色泽均匀。</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绝缘的标称厚度应符合GB/T12706.1-2020表6的规定。</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绝缘层的横断面上无目力可见的气泡和砂眼等缺陷。</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绝缘线芯的识别标志符合GB6995.5-2008的规定。</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（3）缆芯及填充物</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电缆线芯成缆后线芯间的间隙用非吸湿性柔软材料填充，缆芯以非吸湿性扎带扎紧</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（4）内衬层、铠装</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铠装电缆成缆线芯上绕包内衬层，内衬层的工作温度与电缆的工作温度相适应，内衬层的厚度符合GB/T12706.1-2008的规定。</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单芯电缆采用不锈钢带铠装，多芯电缆采用镀锌钢带铠装，钢带厚度及规格符合GB/T12706.1-2008的规定。</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双层钢带间隙绕包，绕包间隙不大于钢带宽度的50%，铠装层表面平整、无皱边、凸起等缺陷。</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（5）电缆外护套</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1）电缆护套材料采用聚氯乙烯混和物，护套表面平整、色泽均匀。</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2）护套厚度及性能符合GB/T12706.1-2020的规定。</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6E96A">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米</w:t>
            </w:r>
          </w:p>
        </w:tc>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0830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12870</w:t>
            </w:r>
          </w:p>
        </w:tc>
      </w:tr>
      <w:tr w14:paraId="2AEAA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4640C">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D451CB">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670F4">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EB2FB">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C0D85">
            <w:pPr>
              <w:spacing w:line="240" w:lineRule="auto"/>
              <w:jc w:val="center"/>
              <w:rPr>
                <w:rFonts w:hint="eastAsia" w:ascii="宋体" w:hAnsi="宋体" w:eastAsia="宋体" w:cs="宋体"/>
                <w:i w:val="0"/>
                <w:iCs w:val="0"/>
                <w:color w:val="000000"/>
                <w:sz w:val="20"/>
                <w:szCs w:val="20"/>
                <w:u w:val="none"/>
              </w:rPr>
            </w:pPr>
          </w:p>
        </w:tc>
      </w:tr>
      <w:tr w14:paraId="63AE8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BF540">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78BE5">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737409">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EEB86">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F799E">
            <w:pPr>
              <w:spacing w:line="240" w:lineRule="auto"/>
              <w:jc w:val="center"/>
              <w:rPr>
                <w:rFonts w:hint="eastAsia" w:ascii="宋体" w:hAnsi="宋体" w:eastAsia="宋体" w:cs="宋体"/>
                <w:i w:val="0"/>
                <w:iCs w:val="0"/>
                <w:color w:val="000000"/>
                <w:sz w:val="20"/>
                <w:szCs w:val="20"/>
                <w:u w:val="none"/>
              </w:rPr>
            </w:pPr>
          </w:p>
        </w:tc>
      </w:tr>
      <w:tr w14:paraId="094CD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FF858">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F617E">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E221A">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F705E">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61EBA">
            <w:pPr>
              <w:spacing w:line="240" w:lineRule="auto"/>
              <w:jc w:val="center"/>
              <w:rPr>
                <w:rFonts w:hint="eastAsia" w:ascii="宋体" w:hAnsi="宋体" w:eastAsia="宋体" w:cs="宋体"/>
                <w:i w:val="0"/>
                <w:iCs w:val="0"/>
                <w:color w:val="000000"/>
                <w:sz w:val="20"/>
                <w:szCs w:val="20"/>
                <w:u w:val="none"/>
              </w:rPr>
            </w:pPr>
          </w:p>
        </w:tc>
      </w:tr>
      <w:tr w14:paraId="288AC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643BB">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4ACB0">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878AE">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083C2">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06AE7">
            <w:pPr>
              <w:spacing w:line="240" w:lineRule="auto"/>
              <w:jc w:val="center"/>
              <w:rPr>
                <w:rFonts w:hint="eastAsia" w:ascii="宋体" w:hAnsi="宋体" w:eastAsia="宋体" w:cs="宋体"/>
                <w:i w:val="0"/>
                <w:iCs w:val="0"/>
                <w:color w:val="000000"/>
                <w:sz w:val="20"/>
                <w:szCs w:val="20"/>
                <w:u w:val="none"/>
              </w:rPr>
            </w:pPr>
          </w:p>
        </w:tc>
      </w:tr>
      <w:tr w14:paraId="51AD7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CC7C1">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225C6">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CC749">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605AC">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E329D">
            <w:pPr>
              <w:spacing w:line="240" w:lineRule="auto"/>
              <w:jc w:val="center"/>
              <w:rPr>
                <w:rFonts w:hint="eastAsia" w:ascii="宋体" w:hAnsi="宋体" w:eastAsia="宋体" w:cs="宋体"/>
                <w:i w:val="0"/>
                <w:iCs w:val="0"/>
                <w:color w:val="000000"/>
                <w:sz w:val="20"/>
                <w:szCs w:val="20"/>
                <w:u w:val="none"/>
              </w:rPr>
            </w:pPr>
          </w:p>
        </w:tc>
      </w:tr>
      <w:tr w14:paraId="7EA29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94CA8">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7B905">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AFC529">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EB87D">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68B03">
            <w:pPr>
              <w:spacing w:line="240" w:lineRule="auto"/>
              <w:jc w:val="center"/>
              <w:rPr>
                <w:rFonts w:hint="eastAsia" w:ascii="宋体" w:hAnsi="宋体" w:eastAsia="宋体" w:cs="宋体"/>
                <w:i w:val="0"/>
                <w:iCs w:val="0"/>
                <w:color w:val="000000"/>
                <w:sz w:val="20"/>
                <w:szCs w:val="20"/>
                <w:u w:val="none"/>
              </w:rPr>
            </w:pPr>
          </w:p>
        </w:tc>
      </w:tr>
      <w:tr w14:paraId="3CB7E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2B84C">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EB849">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F86B24">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EB4A7">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56902">
            <w:pPr>
              <w:spacing w:line="240" w:lineRule="auto"/>
              <w:jc w:val="center"/>
              <w:rPr>
                <w:rFonts w:hint="eastAsia" w:ascii="宋体" w:hAnsi="宋体" w:eastAsia="宋体" w:cs="宋体"/>
                <w:i w:val="0"/>
                <w:iCs w:val="0"/>
                <w:color w:val="000000"/>
                <w:sz w:val="20"/>
                <w:szCs w:val="20"/>
                <w:u w:val="none"/>
              </w:rPr>
            </w:pPr>
          </w:p>
        </w:tc>
      </w:tr>
      <w:tr w14:paraId="1E7CF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14238">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EBA0D2">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40B06">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1AC74">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A38DD">
            <w:pPr>
              <w:spacing w:line="240" w:lineRule="auto"/>
              <w:jc w:val="center"/>
              <w:rPr>
                <w:rFonts w:hint="eastAsia" w:ascii="宋体" w:hAnsi="宋体" w:eastAsia="宋体" w:cs="宋体"/>
                <w:i w:val="0"/>
                <w:iCs w:val="0"/>
                <w:color w:val="000000"/>
                <w:sz w:val="20"/>
                <w:szCs w:val="20"/>
                <w:u w:val="none"/>
              </w:rPr>
            </w:pPr>
          </w:p>
        </w:tc>
      </w:tr>
      <w:tr w14:paraId="564DE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8B3F1">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7F78E">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2764C">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E82A9">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2EBA3">
            <w:pPr>
              <w:spacing w:line="240" w:lineRule="auto"/>
              <w:jc w:val="center"/>
              <w:rPr>
                <w:rFonts w:hint="eastAsia" w:ascii="宋体" w:hAnsi="宋体" w:eastAsia="宋体" w:cs="宋体"/>
                <w:i w:val="0"/>
                <w:iCs w:val="0"/>
                <w:color w:val="000000"/>
                <w:sz w:val="20"/>
                <w:szCs w:val="20"/>
                <w:u w:val="none"/>
              </w:rPr>
            </w:pPr>
          </w:p>
        </w:tc>
      </w:tr>
      <w:tr w14:paraId="3A528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3C3A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3</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43A9E">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辅材</w:t>
            </w:r>
          </w:p>
        </w:tc>
        <w:tc>
          <w:tcPr>
            <w:tcW w:w="5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2A21F">
            <w:pPr>
              <w:keepNext w:val="0"/>
              <w:keepLines w:val="0"/>
              <w:widowControl/>
              <w:suppressLineNumbers w:val="0"/>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1.包括但不限于（胶带、端子、扎带、防护材料等)现场施能用到的材料</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6478E">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项</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DC2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w:t>
            </w:r>
          </w:p>
        </w:tc>
      </w:tr>
      <w:tr w14:paraId="14BAE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FAED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(二)</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BE7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2#楼</w:t>
            </w:r>
          </w:p>
        </w:tc>
        <w:tc>
          <w:tcPr>
            <w:tcW w:w="5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4783C">
            <w:pPr>
              <w:spacing w:line="240" w:lineRule="auto"/>
              <w:jc w:val="lef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6A0D8">
            <w:pPr>
              <w:spacing w:line="240" w:lineRule="auto"/>
              <w:jc w:val="center"/>
              <w:rPr>
                <w:rFonts w:hint="eastAsia" w:ascii="宋体" w:hAnsi="宋体" w:eastAsia="宋体" w:cs="宋体"/>
                <w:i w:val="0"/>
                <w:iCs w:val="0"/>
                <w:color w:val="000000"/>
                <w:sz w:val="20"/>
                <w:szCs w:val="20"/>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69D5A">
            <w:pPr>
              <w:spacing w:line="240" w:lineRule="auto"/>
              <w:jc w:val="center"/>
              <w:rPr>
                <w:rFonts w:hint="eastAsia" w:ascii="宋体" w:hAnsi="宋体" w:eastAsia="宋体" w:cs="宋体"/>
                <w:i w:val="0"/>
                <w:iCs w:val="0"/>
                <w:color w:val="000000"/>
                <w:sz w:val="20"/>
                <w:szCs w:val="20"/>
                <w:u w:val="none"/>
              </w:rPr>
            </w:pPr>
          </w:p>
        </w:tc>
      </w:tr>
      <w:tr w14:paraId="4F8D9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58BCE">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621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蛇形走线管</w:t>
            </w:r>
          </w:p>
        </w:tc>
        <w:tc>
          <w:tcPr>
            <w:tcW w:w="5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58E88">
            <w:pPr>
              <w:keepNext w:val="0"/>
              <w:keepLines w:val="0"/>
              <w:widowControl/>
              <w:suppressLineNumbers w:val="0"/>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1、长度及颜色根据办公桌定制；材质：加厚ABS。适配场景：各类办公桌、会议桌等</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4DC4A">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根</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AF30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185</w:t>
            </w:r>
          </w:p>
        </w:tc>
      </w:tr>
      <w:tr w14:paraId="1A34D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D248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2</w:t>
            </w:r>
          </w:p>
        </w:tc>
        <w:tc>
          <w:tcPr>
            <w:tcW w:w="18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BBE0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电源线</w:t>
            </w:r>
          </w:p>
        </w:tc>
        <w:tc>
          <w:tcPr>
            <w:tcW w:w="5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60A3DE">
            <w:pPr>
              <w:keepNext w:val="0"/>
              <w:keepLines w:val="0"/>
              <w:widowControl/>
              <w:suppressLineNumbers w:val="0"/>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 xml:space="preserve">1.★4平方低烟无卤阻燃聚氯乙烯绝缘电缆：WDZ-BYJ-1*4 </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2.ZA-RVV-0.6/1kV电力电缆：铜芯聚氯乙烯绝缘聚氯乙烯护套A类阻燃型软电缆，额定电压为 0.6/1kV。</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3.使用特性</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电缆额定电压： 0.6/1kV</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频率:50Hz</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电缆导体的工作温度：RVV≤70℃</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4.技术要求</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（1）导体</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导体结构及直流电阻符合GB/T 3956-2008及GB/T 12706.1-2020的规定，导体采用GB/T3956-2008中第1种或第2种导体结构。</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导体表面光洁，无损伤绝缘的毛刺，锐边，以及凸起或断裂的单线。</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（2）绝缘</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绝缘材料选用阻燃聚氯乙烯，绝缘紧密挤包在导体上，且容易剥离而不损伤导体；绝缘表面平整，色泽均匀。</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绝缘的标称厚度应符合GB/T12706.1-2020表6的规定。</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绝缘层的横断面上无目力可见的气泡和砂眼等缺陷。</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绝缘线芯的识别标志符合GB6995.5-2008的规定。</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（3）缆芯及填充物</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电缆线芯成缆后线芯间的间隙用非吸湿性柔软材料填充，缆芯以非吸湿性扎带扎紧</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（4）内衬层、铠装</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铠装电缆成缆线芯上绕包内衬层，内衬层的工作温度与电缆的工作温度相适应，内衬层的厚度符合GB/T12706.1-2008的规定。</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单芯电缆采用不锈钢带铠装，多芯电缆采用镀锌钢带铠装，钢带厚度及规格符合GB/T12706.1-2008的规定。</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双层钢带间隙绕包，绕包间隙不大于钢带宽度的50%，铠装层表面平整、无皱边、凸起等缺陷。</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（5）电缆外护套</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1）电缆护套材料采用聚氯乙烯混和物，护套表面平整、色泽均匀。</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2）护套厚度及性能符合GB/T12706.1-2020的规定。</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B5C9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米</w:t>
            </w:r>
          </w:p>
        </w:tc>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CDE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8325</w:t>
            </w:r>
          </w:p>
        </w:tc>
      </w:tr>
      <w:tr w14:paraId="54FFA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6FFD6">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F7873">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CB7AC4">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2B5F3">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E5FFB">
            <w:pPr>
              <w:spacing w:line="240" w:lineRule="auto"/>
              <w:jc w:val="center"/>
              <w:rPr>
                <w:rFonts w:hint="eastAsia" w:ascii="宋体" w:hAnsi="宋体" w:eastAsia="宋体" w:cs="宋体"/>
                <w:i w:val="0"/>
                <w:iCs w:val="0"/>
                <w:color w:val="000000"/>
                <w:sz w:val="20"/>
                <w:szCs w:val="20"/>
                <w:u w:val="none"/>
              </w:rPr>
            </w:pPr>
          </w:p>
        </w:tc>
      </w:tr>
      <w:tr w14:paraId="18CDD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CC356">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C5F606">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43622B">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51BD0">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92558">
            <w:pPr>
              <w:spacing w:line="240" w:lineRule="auto"/>
              <w:jc w:val="center"/>
              <w:rPr>
                <w:rFonts w:hint="eastAsia" w:ascii="宋体" w:hAnsi="宋体" w:eastAsia="宋体" w:cs="宋体"/>
                <w:i w:val="0"/>
                <w:iCs w:val="0"/>
                <w:color w:val="000000"/>
                <w:sz w:val="20"/>
                <w:szCs w:val="20"/>
                <w:u w:val="none"/>
              </w:rPr>
            </w:pPr>
          </w:p>
        </w:tc>
      </w:tr>
      <w:tr w14:paraId="1C399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3CEE4">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33BBFC">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F5325">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68C19">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2A8FB">
            <w:pPr>
              <w:spacing w:line="240" w:lineRule="auto"/>
              <w:jc w:val="center"/>
              <w:rPr>
                <w:rFonts w:hint="eastAsia" w:ascii="宋体" w:hAnsi="宋体" w:eastAsia="宋体" w:cs="宋体"/>
                <w:i w:val="0"/>
                <w:iCs w:val="0"/>
                <w:color w:val="000000"/>
                <w:sz w:val="20"/>
                <w:szCs w:val="20"/>
                <w:u w:val="none"/>
              </w:rPr>
            </w:pPr>
          </w:p>
        </w:tc>
      </w:tr>
      <w:tr w14:paraId="6A360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0FB2C">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B0940">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E863B">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3AF87">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A6A38">
            <w:pPr>
              <w:spacing w:line="240" w:lineRule="auto"/>
              <w:jc w:val="center"/>
              <w:rPr>
                <w:rFonts w:hint="eastAsia" w:ascii="宋体" w:hAnsi="宋体" w:eastAsia="宋体" w:cs="宋体"/>
                <w:i w:val="0"/>
                <w:iCs w:val="0"/>
                <w:color w:val="000000"/>
                <w:sz w:val="20"/>
                <w:szCs w:val="20"/>
                <w:u w:val="none"/>
              </w:rPr>
            </w:pPr>
          </w:p>
        </w:tc>
      </w:tr>
      <w:tr w14:paraId="33422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9F9EA">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70F85">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645C95">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D367A">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7326B">
            <w:pPr>
              <w:spacing w:line="240" w:lineRule="auto"/>
              <w:jc w:val="center"/>
              <w:rPr>
                <w:rFonts w:hint="eastAsia" w:ascii="宋体" w:hAnsi="宋体" w:eastAsia="宋体" w:cs="宋体"/>
                <w:i w:val="0"/>
                <w:iCs w:val="0"/>
                <w:color w:val="000000"/>
                <w:sz w:val="20"/>
                <w:szCs w:val="20"/>
                <w:u w:val="none"/>
              </w:rPr>
            </w:pPr>
          </w:p>
        </w:tc>
      </w:tr>
      <w:tr w14:paraId="2EC24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2A12B">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275E1B">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5EBC38">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BE54E">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72D18">
            <w:pPr>
              <w:spacing w:line="240" w:lineRule="auto"/>
              <w:jc w:val="center"/>
              <w:rPr>
                <w:rFonts w:hint="eastAsia" w:ascii="宋体" w:hAnsi="宋体" w:eastAsia="宋体" w:cs="宋体"/>
                <w:i w:val="0"/>
                <w:iCs w:val="0"/>
                <w:color w:val="000000"/>
                <w:sz w:val="20"/>
                <w:szCs w:val="20"/>
                <w:u w:val="none"/>
              </w:rPr>
            </w:pPr>
          </w:p>
        </w:tc>
      </w:tr>
      <w:tr w14:paraId="4FAB9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BBAE1">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3913F">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6BD46">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AB154">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063A3">
            <w:pPr>
              <w:spacing w:line="240" w:lineRule="auto"/>
              <w:jc w:val="center"/>
              <w:rPr>
                <w:rFonts w:hint="eastAsia" w:ascii="宋体" w:hAnsi="宋体" w:eastAsia="宋体" w:cs="宋体"/>
                <w:i w:val="0"/>
                <w:iCs w:val="0"/>
                <w:color w:val="000000"/>
                <w:sz w:val="20"/>
                <w:szCs w:val="20"/>
                <w:u w:val="none"/>
              </w:rPr>
            </w:pPr>
          </w:p>
        </w:tc>
      </w:tr>
      <w:tr w14:paraId="1C151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2E952">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66E32">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F4E8F0">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0CB89">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9D58F">
            <w:pPr>
              <w:spacing w:line="240" w:lineRule="auto"/>
              <w:jc w:val="center"/>
              <w:rPr>
                <w:rFonts w:hint="eastAsia" w:ascii="宋体" w:hAnsi="宋体" w:eastAsia="宋体" w:cs="宋体"/>
                <w:i w:val="0"/>
                <w:iCs w:val="0"/>
                <w:color w:val="000000"/>
                <w:sz w:val="20"/>
                <w:szCs w:val="20"/>
                <w:u w:val="none"/>
              </w:rPr>
            </w:pPr>
          </w:p>
        </w:tc>
      </w:tr>
      <w:tr w14:paraId="4D3ED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AD6C7">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F7F44">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26274">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19B92">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31DCE">
            <w:pPr>
              <w:spacing w:line="240" w:lineRule="auto"/>
              <w:jc w:val="center"/>
              <w:rPr>
                <w:rFonts w:hint="eastAsia" w:ascii="宋体" w:hAnsi="宋体" w:eastAsia="宋体" w:cs="宋体"/>
                <w:i w:val="0"/>
                <w:iCs w:val="0"/>
                <w:color w:val="000000"/>
                <w:sz w:val="20"/>
                <w:szCs w:val="20"/>
                <w:u w:val="none"/>
              </w:rPr>
            </w:pPr>
          </w:p>
        </w:tc>
      </w:tr>
      <w:tr w14:paraId="51708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25C74">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ED0B84">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4E137">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F7296">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EBD74">
            <w:pPr>
              <w:spacing w:line="240" w:lineRule="auto"/>
              <w:jc w:val="center"/>
              <w:rPr>
                <w:rFonts w:hint="eastAsia" w:ascii="宋体" w:hAnsi="宋体" w:eastAsia="宋体" w:cs="宋体"/>
                <w:i w:val="0"/>
                <w:iCs w:val="0"/>
                <w:color w:val="000000"/>
                <w:sz w:val="20"/>
                <w:szCs w:val="20"/>
                <w:u w:val="none"/>
              </w:rPr>
            </w:pPr>
          </w:p>
        </w:tc>
      </w:tr>
      <w:tr w14:paraId="23CF7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4AA7A">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3</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46961">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辅材</w:t>
            </w:r>
          </w:p>
        </w:tc>
        <w:tc>
          <w:tcPr>
            <w:tcW w:w="5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93CD5">
            <w:pPr>
              <w:keepNext w:val="0"/>
              <w:keepLines w:val="0"/>
              <w:widowControl/>
              <w:suppressLineNumbers w:val="0"/>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1.包括但不限于（胶带、端子、扎带、防护材料等)现场施能用到的材料</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E69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项</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B355C">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w:t>
            </w:r>
          </w:p>
        </w:tc>
      </w:tr>
      <w:tr w14:paraId="3B7AD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D900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(三)</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D586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3#楼</w:t>
            </w:r>
          </w:p>
        </w:tc>
        <w:tc>
          <w:tcPr>
            <w:tcW w:w="5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FFBDD">
            <w:pPr>
              <w:spacing w:line="240" w:lineRule="auto"/>
              <w:jc w:val="lef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91104">
            <w:pPr>
              <w:spacing w:line="240" w:lineRule="auto"/>
              <w:jc w:val="center"/>
              <w:rPr>
                <w:rFonts w:hint="eastAsia" w:ascii="宋体" w:hAnsi="宋体" w:eastAsia="宋体" w:cs="宋体"/>
                <w:i w:val="0"/>
                <w:iCs w:val="0"/>
                <w:color w:val="000000"/>
                <w:sz w:val="20"/>
                <w:szCs w:val="20"/>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A9072">
            <w:pPr>
              <w:spacing w:line="240" w:lineRule="auto"/>
              <w:jc w:val="center"/>
              <w:rPr>
                <w:rFonts w:hint="eastAsia" w:ascii="宋体" w:hAnsi="宋体" w:eastAsia="宋体" w:cs="宋体"/>
                <w:i w:val="0"/>
                <w:iCs w:val="0"/>
                <w:color w:val="000000"/>
                <w:sz w:val="20"/>
                <w:szCs w:val="20"/>
                <w:u w:val="none"/>
              </w:rPr>
            </w:pPr>
          </w:p>
        </w:tc>
      </w:tr>
      <w:tr w14:paraId="48546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D72D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4FACA">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蛇形走线管</w:t>
            </w:r>
          </w:p>
        </w:tc>
        <w:tc>
          <w:tcPr>
            <w:tcW w:w="5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F647D">
            <w:pPr>
              <w:keepNext w:val="0"/>
              <w:keepLines w:val="0"/>
              <w:widowControl/>
              <w:suppressLineNumbers w:val="0"/>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1、长度及颜色根据办公桌定制；材质：加厚ABS。适配场景：各类办公桌、会议桌等</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43D1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根</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A0E7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204</w:t>
            </w:r>
          </w:p>
        </w:tc>
      </w:tr>
      <w:tr w14:paraId="4A415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D0A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2</w:t>
            </w:r>
          </w:p>
        </w:tc>
        <w:tc>
          <w:tcPr>
            <w:tcW w:w="18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1E8A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电源线</w:t>
            </w:r>
          </w:p>
        </w:tc>
        <w:tc>
          <w:tcPr>
            <w:tcW w:w="5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9CB838">
            <w:pPr>
              <w:keepNext w:val="0"/>
              <w:keepLines w:val="0"/>
              <w:widowControl/>
              <w:suppressLineNumbers w:val="0"/>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 xml:space="preserve">1.★4平方低烟无卤阻燃聚氯乙烯绝缘电缆：WDZ-BYJ-1*4 </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2.ZA-RVV-0.6/1kV电力电缆：铜芯聚氯乙烯绝缘聚氯乙烯护套A类阻燃型软电缆，额定电压为 0.6/1kV。</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3.使用特性</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电缆额定电压： 0.6/1kV</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频率:50Hz</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电缆导体的工作温度：RVV≤70℃</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4.技术要求</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（1）导体</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导体结构及直流电阻符合GB/T 3956-2008及GB/T 12706.1-2020的规定，导体采用GB/T3956-2008中第1种或第2种导体结构。</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导体表面光洁，无损伤绝缘的毛刺，锐边，以及凸起或断裂的单线。</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（2）绝缘</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绝缘材料选用阻燃聚氯乙烯，绝缘紧密挤包在导体上，且容易剥离而不损伤导体；绝缘表面平整，色泽均匀。</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绝缘的标称厚度应符合GB/T12706.1-2020表6的规定。</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绝缘层的横断面上无目力可见的气泡和砂眼等缺陷。</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绝缘线芯的识别标志符合GB6995.5-2008的规定。</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（3）缆芯及填充物</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电缆线芯成缆后线芯间的间隙用非吸湿性柔软材料填充，缆芯以非吸湿性扎带扎紧</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（4）内衬层、铠装</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铠装电缆成缆线芯上绕包内衬层，内衬层的工作温度与电缆的工作温度相适应，内衬层的厚度符合GB/T12706.1-2008的规定。</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单芯电缆采用不锈钢带铠装，多芯电缆采用镀锌钢带铠装，钢带厚度及规格符合GB/T12706.1-2008的规定。</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双层钢带间隙绕包，绕包间隙不大于钢带宽度的50%，铠装层表面平整、无皱边、凸起等缺陷。</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（5）电缆外护套</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1）电缆护套材料采用聚氯乙烯混和物，护套表面平整、色泽均匀。</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2）护套厚度及性能符合GB/T12706.1-2020的规定。</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810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米</w:t>
            </w:r>
          </w:p>
        </w:tc>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7E3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9180</w:t>
            </w:r>
          </w:p>
        </w:tc>
      </w:tr>
      <w:tr w14:paraId="15D4E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4F1F7">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DF954">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C57764">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03ED2">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AB720">
            <w:pPr>
              <w:spacing w:line="240" w:lineRule="auto"/>
              <w:jc w:val="center"/>
              <w:rPr>
                <w:rFonts w:hint="eastAsia" w:ascii="宋体" w:hAnsi="宋体" w:eastAsia="宋体" w:cs="宋体"/>
                <w:i w:val="0"/>
                <w:iCs w:val="0"/>
                <w:color w:val="000000"/>
                <w:sz w:val="20"/>
                <w:szCs w:val="20"/>
                <w:u w:val="none"/>
              </w:rPr>
            </w:pPr>
          </w:p>
        </w:tc>
      </w:tr>
      <w:tr w14:paraId="54178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310E5">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6B662">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1785E">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A5637">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9351B">
            <w:pPr>
              <w:spacing w:line="240" w:lineRule="auto"/>
              <w:jc w:val="center"/>
              <w:rPr>
                <w:rFonts w:hint="eastAsia" w:ascii="宋体" w:hAnsi="宋体" w:eastAsia="宋体" w:cs="宋体"/>
                <w:i w:val="0"/>
                <w:iCs w:val="0"/>
                <w:color w:val="000000"/>
                <w:sz w:val="20"/>
                <w:szCs w:val="20"/>
                <w:u w:val="none"/>
              </w:rPr>
            </w:pPr>
          </w:p>
        </w:tc>
      </w:tr>
      <w:tr w14:paraId="4FDD6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66F49">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A22989">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46AB70">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A8A10">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14D33">
            <w:pPr>
              <w:spacing w:line="240" w:lineRule="auto"/>
              <w:jc w:val="center"/>
              <w:rPr>
                <w:rFonts w:hint="eastAsia" w:ascii="宋体" w:hAnsi="宋体" w:eastAsia="宋体" w:cs="宋体"/>
                <w:i w:val="0"/>
                <w:iCs w:val="0"/>
                <w:color w:val="000000"/>
                <w:sz w:val="20"/>
                <w:szCs w:val="20"/>
                <w:u w:val="none"/>
              </w:rPr>
            </w:pPr>
          </w:p>
        </w:tc>
      </w:tr>
      <w:tr w14:paraId="43C02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E3476">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72214B">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55EA24">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7D496">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2DC28">
            <w:pPr>
              <w:spacing w:line="240" w:lineRule="auto"/>
              <w:jc w:val="center"/>
              <w:rPr>
                <w:rFonts w:hint="eastAsia" w:ascii="宋体" w:hAnsi="宋体" w:eastAsia="宋体" w:cs="宋体"/>
                <w:i w:val="0"/>
                <w:iCs w:val="0"/>
                <w:color w:val="000000"/>
                <w:sz w:val="20"/>
                <w:szCs w:val="20"/>
                <w:u w:val="none"/>
              </w:rPr>
            </w:pPr>
          </w:p>
        </w:tc>
      </w:tr>
      <w:tr w14:paraId="16633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EF98E">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1DB6D4">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A4DE4">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49A71">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1A192">
            <w:pPr>
              <w:spacing w:line="240" w:lineRule="auto"/>
              <w:jc w:val="center"/>
              <w:rPr>
                <w:rFonts w:hint="eastAsia" w:ascii="宋体" w:hAnsi="宋体" w:eastAsia="宋体" w:cs="宋体"/>
                <w:i w:val="0"/>
                <w:iCs w:val="0"/>
                <w:color w:val="000000"/>
                <w:sz w:val="20"/>
                <w:szCs w:val="20"/>
                <w:u w:val="none"/>
              </w:rPr>
            </w:pPr>
          </w:p>
        </w:tc>
      </w:tr>
      <w:tr w14:paraId="319A5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EF64F">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3F493">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D042D">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B6F82">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4FC3F">
            <w:pPr>
              <w:spacing w:line="240" w:lineRule="auto"/>
              <w:jc w:val="center"/>
              <w:rPr>
                <w:rFonts w:hint="eastAsia" w:ascii="宋体" w:hAnsi="宋体" w:eastAsia="宋体" w:cs="宋体"/>
                <w:i w:val="0"/>
                <w:iCs w:val="0"/>
                <w:color w:val="000000"/>
                <w:sz w:val="20"/>
                <w:szCs w:val="20"/>
                <w:u w:val="none"/>
              </w:rPr>
            </w:pPr>
          </w:p>
        </w:tc>
      </w:tr>
      <w:tr w14:paraId="42043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5BB4D">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81DEA">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0E7C04">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BFD04">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A7319">
            <w:pPr>
              <w:spacing w:line="240" w:lineRule="auto"/>
              <w:jc w:val="center"/>
              <w:rPr>
                <w:rFonts w:hint="eastAsia" w:ascii="宋体" w:hAnsi="宋体" w:eastAsia="宋体" w:cs="宋体"/>
                <w:i w:val="0"/>
                <w:iCs w:val="0"/>
                <w:color w:val="000000"/>
                <w:sz w:val="20"/>
                <w:szCs w:val="20"/>
                <w:u w:val="none"/>
              </w:rPr>
            </w:pPr>
          </w:p>
        </w:tc>
      </w:tr>
      <w:tr w14:paraId="7569A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07AEE">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330606">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81C52">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3B45A">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B3B4F">
            <w:pPr>
              <w:spacing w:line="240" w:lineRule="auto"/>
              <w:jc w:val="center"/>
              <w:rPr>
                <w:rFonts w:hint="eastAsia" w:ascii="宋体" w:hAnsi="宋体" w:eastAsia="宋体" w:cs="宋体"/>
                <w:i w:val="0"/>
                <w:iCs w:val="0"/>
                <w:color w:val="000000"/>
                <w:sz w:val="20"/>
                <w:szCs w:val="20"/>
                <w:u w:val="none"/>
              </w:rPr>
            </w:pPr>
          </w:p>
        </w:tc>
      </w:tr>
      <w:tr w14:paraId="1DD81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6455E">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AD78C">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341AFB">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50062">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7D3C0">
            <w:pPr>
              <w:spacing w:line="240" w:lineRule="auto"/>
              <w:jc w:val="center"/>
              <w:rPr>
                <w:rFonts w:hint="eastAsia" w:ascii="宋体" w:hAnsi="宋体" w:eastAsia="宋体" w:cs="宋体"/>
                <w:i w:val="0"/>
                <w:iCs w:val="0"/>
                <w:color w:val="000000"/>
                <w:sz w:val="20"/>
                <w:szCs w:val="20"/>
                <w:u w:val="none"/>
              </w:rPr>
            </w:pPr>
          </w:p>
        </w:tc>
      </w:tr>
      <w:tr w14:paraId="3EAC0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6B12">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2A0E8">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9CEC76">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8D466">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BF6DD">
            <w:pPr>
              <w:spacing w:line="240" w:lineRule="auto"/>
              <w:jc w:val="center"/>
              <w:rPr>
                <w:rFonts w:hint="eastAsia" w:ascii="宋体" w:hAnsi="宋体" w:eastAsia="宋体" w:cs="宋体"/>
                <w:i w:val="0"/>
                <w:iCs w:val="0"/>
                <w:color w:val="000000"/>
                <w:sz w:val="20"/>
                <w:szCs w:val="20"/>
                <w:u w:val="none"/>
              </w:rPr>
            </w:pPr>
          </w:p>
        </w:tc>
      </w:tr>
      <w:tr w14:paraId="40901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BD445">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51F41">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36ED00">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9F23D">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249BF">
            <w:pPr>
              <w:spacing w:line="240" w:lineRule="auto"/>
              <w:jc w:val="center"/>
              <w:rPr>
                <w:rFonts w:hint="eastAsia" w:ascii="宋体" w:hAnsi="宋体" w:eastAsia="宋体" w:cs="宋体"/>
                <w:i w:val="0"/>
                <w:iCs w:val="0"/>
                <w:color w:val="000000"/>
                <w:sz w:val="20"/>
                <w:szCs w:val="20"/>
                <w:u w:val="none"/>
              </w:rPr>
            </w:pPr>
          </w:p>
        </w:tc>
      </w:tr>
      <w:tr w14:paraId="334F3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9D07B">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3</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0DE8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辅材</w:t>
            </w:r>
          </w:p>
        </w:tc>
        <w:tc>
          <w:tcPr>
            <w:tcW w:w="5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06FA9">
            <w:pPr>
              <w:keepNext w:val="0"/>
              <w:keepLines w:val="0"/>
              <w:widowControl/>
              <w:suppressLineNumbers w:val="0"/>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1.包括但不限于（胶带、端子、扎带、防护材料等)现场施能用到的材料</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66C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项</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A52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w:t>
            </w:r>
          </w:p>
        </w:tc>
      </w:tr>
      <w:tr w14:paraId="55E22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D38EB">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(四)</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8FB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1#楼</w:t>
            </w:r>
          </w:p>
        </w:tc>
        <w:tc>
          <w:tcPr>
            <w:tcW w:w="5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570AE">
            <w:pPr>
              <w:spacing w:line="240" w:lineRule="auto"/>
              <w:jc w:val="lef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5C489">
            <w:pPr>
              <w:spacing w:line="240" w:lineRule="auto"/>
              <w:jc w:val="center"/>
              <w:rPr>
                <w:rFonts w:hint="eastAsia" w:ascii="宋体" w:hAnsi="宋体" w:eastAsia="宋体" w:cs="宋体"/>
                <w:i w:val="0"/>
                <w:iCs w:val="0"/>
                <w:color w:val="000000"/>
                <w:sz w:val="20"/>
                <w:szCs w:val="20"/>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11060">
            <w:pPr>
              <w:spacing w:line="240" w:lineRule="auto"/>
              <w:jc w:val="center"/>
              <w:rPr>
                <w:rFonts w:hint="eastAsia" w:ascii="宋体" w:hAnsi="宋体" w:eastAsia="宋体" w:cs="宋体"/>
                <w:i w:val="0"/>
                <w:iCs w:val="0"/>
                <w:color w:val="000000"/>
                <w:sz w:val="20"/>
                <w:szCs w:val="20"/>
                <w:u w:val="none"/>
              </w:rPr>
            </w:pPr>
          </w:p>
        </w:tc>
      </w:tr>
      <w:tr w14:paraId="7CAB4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13EE8">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44DC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蛇形走线管</w:t>
            </w:r>
          </w:p>
        </w:tc>
        <w:tc>
          <w:tcPr>
            <w:tcW w:w="5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47192">
            <w:pPr>
              <w:keepNext w:val="0"/>
              <w:keepLines w:val="0"/>
              <w:widowControl/>
              <w:suppressLineNumbers w:val="0"/>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1、长度及颜色根据办公桌定制；材质：加厚ABS。适配场景：各类办公桌、会议桌等</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E16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根</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6B1C1">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185</w:t>
            </w:r>
          </w:p>
        </w:tc>
      </w:tr>
      <w:tr w14:paraId="55772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4EA5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2</w:t>
            </w:r>
          </w:p>
        </w:tc>
        <w:tc>
          <w:tcPr>
            <w:tcW w:w="18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2CB2E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电源线</w:t>
            </w:r>
          </w:p>
        </w:tc>
        <w:tc>
          <w:tcPr>
            <w:tcW w:w="5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C86864">
            <w:pPr>
              <w:keepNext w:val="0"/>
              <w:keepLines w:val="0"/>
              <w:widowControl/>
              <w:suppressLineNumbers w:val="0"/>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 xml:space="preserve">1.★4平方低烟无卤阻燃聚氯乙烯绝缘电缆：WDZ-BYJ-1*4 </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2.ZA-RVV-0.6/1kV电力电缆：铜芯聚氯乙烯绝缘聚氯乙烯护套A类阻燃型软电缆，额定电压为 0.6/1kV。</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3.使用特性</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电缆额定电压： 0.6/1kV</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频率:50Hz</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电缆导体的工作温度：RVV≤70℃</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4.技术要求</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（1）导体</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导体结构及直流电阻符合GB/T 3956-2008及GB/T 12706.1-2020的规定，导体采用GB/T3956-2008中第1种或第2种导体结构。</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导体表面光洁，无损伤绝缘的毛刺，锐边，以及凸起或断裂的单线。</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（2）绝缘</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绝缘材料选用阻燃聚氯乙烯，绝缘紧密挤包在导体上，且容易剥离而不损伤导体；绝缘表面平整，色泽均匀。</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绝缘的标称厚度应符合GB/T12706.1-2020表6的规定。</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绝缘层的横断面上无目力可见的气泡和砂眼等缺陷。</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绝缘线芯的识别标志符合GB6995.5-2008的规定。</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（3）缆芯及填充物</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电缆线芯成缆后线芯间的间隙用非吸湿性柔软材料填充，缆芯以非吸湿性扎带扎紧</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（4）内衬层、铠装</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铠装电缆成缆线芯上绕包内衬层，内衬层的工作温度与电缆的工作温度相适应，内衬层的厚度符合GB/T12706.1-2008的规定。</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单芯电缆采用不锈钢带铠装，多芯电缆采用镀锌钢带铠装，钢带厚度及规格符合GB/T12706.1-2008的规定。</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双层钢带间隙绕包，绕包间隙不大于钢带宽度的50%，铠装层表面平整、无皱边、凸起等缺陷。</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（5）电缆外护套</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1）电缆护套材料采用聚氯乙烯混和物，护套表面平整、色泽均匀。</w:t>
            </w:r>
            <w:r>
              <w:rPr>
                <w:rFonts w:hint="eastAsia" w:ascii="宋体" w:hAnsi="宋体" w:eastAsia="宋体" w:cs="宋体"/>
                <w:bCs/>
                <w:i w:val="0"/>
                <w:iCs w:val="0"/>
                <w:color w:val="000000"/>
                <w:kern w:val="0"/>
                <w:sz w:val="20"/>
                <w:szCs w:val="20"/>
                <w:u w:val="none"/>
                <w:lang w:val="en-US" w:eastAsia="zh-CN" w:bidi="ar"/>
              </w:rPr>
              <w:br w:type="textWrapping"/>
            </w:r>
            <w:r>
              <w:rPr>
                <w:rFonts w:hint="eastAsia" w:ascii="宋体" w:hAnsi="宋体" w:eastAsia="宋体" w:cs="宋体"/>
                <w:bCs/>
                <w:i w:val="0"/>
                <w:iCs w:val="0"/>
                <w:color w:val="000000"/>
                <w:kern w:val="0"/>
                <w:sz w:val="20"/>
                <w:szCs w:val="20"/>
                <w:u w:val="none"/>
                <w:lang w:val="en-US" w:eastAsia="zh-CN" w:bidi="ar"/>
              </w:rPr>
              <w:t>2）护套厚度及性能符合GB/T12706.1-2020的规定。</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EF64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米</w:t>
            </w:r>
          </w:p>
        </w:tc>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C312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8325</w:t>
            </w:r>
          </w:p>
        </w:tc>
      </w:tr>
      <w:tr w14:paraId="09923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4F562">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0C58E1">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908D2">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89689">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360E1">
            <w:pPr>
              <w:spacing w:line="240" w:lineRule="auto"/>
              <w:jc w:val="center"/>
              <w:rPr>
                <w:rFonts w:hint="eastAsia" w:ascii="宋体" w:hAnsi="宋体" w:eastAsia="宋体" w:cs="宋体"/>
                <w:i w:val="0"/>
                <w:iCs w:val="0"/>
                <w:color w:val="000000"/>
                <w:sz w:val="20"/>
                <w:szCs w:val="20"/>
                <w:u w:val="none"/>
              </w:rPr>
            </w:pPr>
          </w:p>
        </w:tc>
      </w:tr>
      <w:tr w14:paraId="4E1D6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701B3">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DC5BA">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137B6">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87E01">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E8BE3">
            <w:pPr>
              <w:spacing w:line="240" w:lineRule="auto"/>
              <w:jc w:val="center"/>
              <w:rPr>
                <w:rFonts w:hint="eastAsia" w:ascii="宋体" w:hAnsi="宋体" w:eastAsia="宋体" w:cs="宋体"/>
                <w:i w:val="0"/>
                <w:iCs w:val="0"/>
                <w:color w:val="000000"/>
                <w:sz w:val="20"/>
                <w:szCs w:val="20"/>
                <w:u w:val="none"/>
              </w:rPr>
            </w:pPr>
          </w:p>
        </w:tc>
      </w:tr>
      <w:tr w14:paraId="6DDF6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8A302">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B37564">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2B177">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2CA61">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E35BE">
            <w:pPr>
              <w:spacing w:line="240" w:lineRule="auto"/>
              <w:jc w:val="center"/>
              <w:rPr>
                <w:rFonts w:hint="eastAsia" w:ascii="宋体" w:hAnsi="宋体" w:eastAsia="宋体" w:cs="宋体"/>
                <w:i w:val="0"/>
                <w:iCs w:val="0"/>
                <w:color w:val="000000"/>
                <w:sz w:val="20"/>
                <w:szCs w:val="20"/>
                <w:u w:val="none"/>
              </w:rPr>
            </w:pPr>
          </w:p>
        </w:tc>
      </w:tr>
      <w:tr w14:paraId="6DF80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D8599">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49BE06">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F4BC56">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C627E">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48F8B">
            <w:pPr>
              <w:spacing w:line="240" w:lineRule="auto"/>
              <w:jc w:val="center"/>
              <w:rPr>
                <w:rFonts w:hint="eastAsia" w:ascii="宋体" w:hAnsi="宋体" w:eastAsia="宋体" w:cs="宋体"/>
                <w:i w:val="0"/>
                <w:iCs w:val="0"/>
                <w:color w:val="000000"/>
                <w:sz w:val="20"/>
                <w:szCs w:val="20"/>
                <w:u w:val="none"/>
              </w:rPr>
            </w:pPr>
          </w:p>
        </w:tc>
      </w:tr>
      <w:tr w14:paraId="15BD7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6EEE7">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6128B2">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03DB97">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4BD1B">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71450">
            <w:pPr>
              <w:spacing w:line="240" w:lineRule="auto"/>
              <w:jc w:val="center"/>
              <w:rPr>
                <w:rFonts w:hint="eastAsia" w:ascii="宋体" w:hAnsi="宋体" w:eastAsia="宋体" w:cs="宋体"/>
                <w:i w:val="0"/>
                <w:iCs w:val="0"/>
                <w:color w:val="000000"/>
                <w:sz w:val="20"/>
                <w:szCs w:val="20"/>
                <w:u w:val="none"/>
              </w:rPr>
            </w:pPr>
          </w:p>
        </w:tc>
      </w:tr>
      <w:tr w14:paraId="151C1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BBB84">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5DEC36">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05D44">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0D36D">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59B6E">
            <w:pPr>
              <w:spacing w:line="240" w:lineRule="auto"/>
              <w:jc w:val="center"/>
              <w:rPr>
                <w:rFonts w:hint="eastAsia" w:ascii="宋体" w:hAnsi="宋体" w:eastAsia="宋体" w:cs="宋体"/>
                <w:i w:val="0"/>
                <w:iCs w:val="0"/>
                <w:color w:val="000000"/>
                <w:sz w:val="20"/>
                <w:szCs w:val="20"/>
                <w:u w:val="none"/>
              </w:rPr>
            </w:pPr>
          </w:p>
        </w:tc>
      </w:tr>
      <w:tr w14:paraId="56A55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5866B">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D27FE0">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1F8BE">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60F41">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3013B">
            <w:pPr>
              <w:spacing w:line="240" w:lineRule="auto"/>
              <w:jc w:val="center"/>
              <w:rPr>
                <w:rFonts w:hint="eastAsia" w:ascii="宋体" w:hAnsi="宋体" w:eastAsia="宋体" w:cs="宋体"/>
                <w:i w:val="0"/>
                <w:iCs w:val="0"/>
                <w:color w:val="000000"/>
                <w:sz w:val="20"/>
                <w:szCs w:val="20"/>
                <w:u w:val="none"/>
              </w:rPr>
            </w:pPr>
          </w:p>
        </w:tc>
      </w:tr>
      <w:tr w14:paraId="21D02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CE3CF">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CFB815">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B0EFB8">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99506">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0637C">
            <w:pPr>
              <w:spacing w:line="240" w:lineRule="auto"/>
              <w:jc w:val="center"/>
              <w:rPr>
                <w:rFonts w:hint="eastAsia" w:ascii="宋体" w:hAnsi="宋体" w:eastAsia="宋体" w:cs="宋体"/>
                <w:i w:val="0"/>
                <w:iCs w:val="0"/>
                <w:color w:val="000000"/>
                <w:sz w:val="20"/>
                <w:szCs w:val="20"/>
                <w:u w:val="none"/>
              </w:rPr>
            </w:pPr>
          </w:p>
        </w:tc>
      </w:tr>
      <w:tr w14:paraId="77B66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D3BA1">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7C2455">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981EC">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EA5D0">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0557B">
            <w:pPr>
              <w:spacing w:line="240" w:lineRule="auto"/>
              <w:jc w:val="center"/>
              <w:rPr>
                <w:rFonts w:hint="eastAsia" w:ascii="宋体" w:hAnsi="宋体" w:eastAsia="宋体" w:cs="宋体"/>
                <w:i w:val="0"/>
                <w:iCs w:val="0"/>
                <w:color w:val="000000"/>
                <w:sz w:val="20"/>
                <w:szCs w:val="20"/>
                <w:u w:val="none"/>
              </w:rPr>
            </w:pPr>
          </w:p>
        </w:tc>
      </w:tr>
      <w:tr w14:paraId="5FD4D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2269C">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444C4">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6971B3">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75C94">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98652">
            <w:pPr>
              <w:spacing w:line="240" w:lineRule="auto"/>
              <w:jc w:val="center"/>
              <w:rPr>
                <w:rFonts w:hint="eastAsia" w:ascii="宋体" w:hAnsi="宋体" w:eastAsia="宋体" w:cs="宋体"/>
                <w:i w:val="0"/>
                <w:iCs w:val="0"/>
                <w:color w:val="000000"/>
                <w:sz w:val="20"/>
                <w:szCs w:val="20"/>
                <w:u w:val="none"/>
              </w:rPr>
            </w:pPr>
          </w:p>
        </w:tc>
      </w:tr>
      <w:tr w14:paraId="61E2F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DB957">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123CE0">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E17D3">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3857A">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BCFED">
            <w:pPr>
              <w:spacing w:line="240" w:lineRule="auto"/>
              <w:jc w:val="center"/>
              <w:rPr>
                <w:rFonts w:hint="eastAsia" w:ascii="宋体" w:hAnsi="宋体" w:eastAsia="宋体" w:cs="宋体"/>
                <w:i w:val="0"/>
                <w:iCs w:val="0"/>
                <w:color w:val="000000"/>
                <w:sz w:val="20"/>
                <w:szCs w:val="20"/>
                <w:u w:val="none"/>
              </w:rPr>
            </w:pPr>
          </w:p>
        </w:tc>
      </w:tr>
      <w:tr w14:paraId="122F7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BE839">
            <w:pPr>
              <w:spacing w:line="240" w:lineRule="auto"/>
              <w:jc w:val="center"/>
              <w:rPr>
                <w:rFonts w:hint="eastAsia" w:ascii="宋体" w:hAnsi="宋体" w:eastAsia="宋体" w:cs="宋体"/>
                <w:i w:val="0"/>
                <w:iCs w:val="0"/>
                <w:color w:val="000000"/>
                <w:sz w:val="20"/>
                <w:szCs w:val="20"/>
                <w:u w:val="none"/>
              </w:rPr>
            </w:pPr>
          </w:p>
        </w:tc>
        <w:tc>
          <w:tcPr>
            <w:tcW w:w="1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35D270">
            <w:pPr>
              <w:spacing w:line="240" w:lineRule="auto"/>
              <w:jc w:val="center"/>
              <w:rPr>
                <w:rFonts w:hint="eastAsia" w:ascii="宋体" w:hAnsi="宋体" w:eastAsia="宋体" w:cs="宋体"/>
                <w:i w:val="0"/>
                <w:iCs w:val="0"/>
                <w:color w:val="000000"/>
                <w:sz w:val="20"/>
                <w:szCs w:val="20"/>
                <w:u w:val="none"/>
              </w:rPr>
            </w:pPr>
          </w:p>
        </w:tc>
        <w:tc>
          <w:tcPr>
            <w:tcW w:w="5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247F9">
            <w:pPr>
              <w:spacing w:line="240" w:lineRule="auto"/>
              <w:jc w:val="left"/>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A127B">
            <w:pPr>
              <w:spacing w:line="240" w:lineRule="auto"/>
              <w:jc w:val="center"/>
              <w:rPr>
                <w:rFonts w:hint="eastAsia" w:ascii="宋体" w:hAnsi="宋体" w:eastAsia="宋体" w:cs="宋体"/>
                <w:i w:val="0"/>
                <w:iCs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A29DB">
            <w:pPr>
              <w:spacing w:line="240" w:lineRule="auto"/>
              <w:jc w:val="center"/>
              <w:rPr>
                <w:rFonts w:hint="eastAsia" w:ascii="宋体" w:hAnsi="宋体" w:eastAsia="宋体" w:cs="宋体"/>
                <w:i w:val="0"/>
                <w:iCs w:val="0"/>
                <w:color w:val="000000"/>
                <w:sz w:val="20"/>
                <w:szCs w:val="20"/>
                <w:u w:val="none"/>
              </w:rPr>
            </w:pPr>
          </w:p>
        </w:tc>
      </w:tr>
      <w:tr w14:paraId="1265B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FE341">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3</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C71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辅材</w:t>
            </w:r>
          </w:p>
        </w:tc>
        <w:tc>
          <w:tcPr>
            <w:tcW w:w="5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C9D83">
            <w:pPr>
              <w:keepNext w:val="0"/>
              <w:keepLines w:val="0"/>
              <w:widowControl/>
              <w:suppressLineNumbers w:val="0"/>
              <w:spacing w:line="24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1.包括但不限于（胶带、端子、扎带、防护材料等)现场施能用到的材料</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C7081">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项</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1D9E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Cs/>
                <w:i w:val="0"/>
                <w:iCs w:val="0"/>
                <w:color w:val="000000"/>
                <w:kern w:val="0"/>
                <w:sz w:val="20"/>
                <w:szCs w:val="20"/>
                <w:u w:val="none"/>
                <w:lang w:val="en-US" w:eastAsia="zh-CN" w:bidi="ar"/>
              </w:rPr>
              <w:t>1</w:t>
            </w:r>
          </w:p>
        </w:tc>
      </w:tr>
    </w:tbl>
    <w:p w14:paraId="2E7FF3D4">
      <w:pPr>
        <w:jc w:val="both"/>
        <w:rPr>
          <w:rFonts w:hint="eastAsia" w:ascii="宋体" w:hAnsi="宋体" w:eastAsia="宋体" w:cs="宋体"/>
          <w:sz w:val="21"/>
          <w:szCs w:val="21"/>
          <w:lang w:val="en-US" w:eastAsia="zh-CN"/>
        </w:rPr>
      </w:pPr>
    </w:p>
    <w:p w14:paraId="282A00CA">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eastAsia" w:ascii="宋体" w:hAnsi="宋体" w:eastAsia="宋体" w:cs="宋体"/>
          <w:sz w:val="21"/>
          <w:szCs w:val="21"/>
          <w:lang w:val="en-US" w:eastAsia="zh-CN"/>
        </w:rPr>
        <w:t>注：投标供应商应对除本章“多模态网络底座主设备技术要求”和“综合布线系统主要设备技术要求”外的所有内容进行响应，否则由其造成的不利影响自行承担。</w:t>
      </w:r>
    </w:p>
    <w:p w14:paraId="790EE03A">
      <w:p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br w:type="page"/>
      </w:r>
    </w:p>
    <w:p w14:paraId="29054677">
      <w:pPr>
        <w:pStyle w:val="4"/>
        <w:bidi w:val="0"/>
        <w:rPr>
          <w:rFonts w:hint="eastAsia" w:ascii="宋体" w:hAnsi="宋体" w:eastAsia="宋体" w:cs="宋体"/>
          <w:lang w:val="en-US" w:eastAsia="zh-CN"/>
        </w:rPr>
      </w:pPr>
      <w:bookmarkStart w:id="244" w:name="_Toc3922"/>
      <w:r>
        <w:rPr>
          <w:rFonts w:hint="eastAsia" w:ascii="宋体" w:hAnsi="宋体" w:eastAsia="宋体" w:cs="宋体"/>
          <w:lang w:val="en-US" w:eastAsia="zh-CN"/>
        </w:rPr>
        <w:t>第五章  评标方法和标准</w:t>
      </w:r>
      <w:bookmarkEnd w:id="244"/>
    </w:p>
    <w:p w14:paraId="59D35E3F">
      <w:pPr>
        <w:pStyle w:val="9"/>
        <w:keepNext w:val="0"/>
        <w:keepLines w:val="0"/>
        <w:pageBreakBefore w:val="0"/>
        <w:widowControl w:val="0"/>
        <w:kinsoku/>
        <w:wordWrap/>
        <w:overflowPunct/>
        <w:topLinePunct w:val="0"/>
        <w:autoSpaceDE/>
        <w:autoSpaceDN/>
        <w:bidi w:val="0"/>
        <w:adjustRightInd/>
        <w:snapToGrid/>
        <w:spacing w:line="396" w:lineRule="auto"/>
        <w:ind w:left="0" w:leftChars="0" w:firstLine="0" w:firstLineChars="0"/>
        <w:textAlignment w:val="auto"/>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一、评审依据</w:t>
      </w:r>
    </w:p>
    <w:p w14:paraId="746D352E">
      <w:pPr>
        <w:pStyle w:val="9"/>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1.《中华人民共和国政府采购法》；</w:t>
      </w:r>
    </w:p>
    <w:p w14:paraId="41720FCE">
      <w:pPr>
        <w:pStyle w:val="9"/>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2.《中华人民共和国政府采购法实施条例》；</w:t>
      </w:r>
    </w:p>
    <w:p w14:paraId="02BBD91A">
      <w:pPr>
        <w:pStyle w:val="9"/>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3.《政府采购货物和服务招标投标管理办法》 中华人民共和国财政部令第87 号；</w:t>
      </w:r>
    </w:p>
    <w:p w14:paraId="646E428B">
      <w:pPr>
        <w:pStyle w:val="9"/>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4.《评审委员和评审方法暂行规定》；</w:t>
      </w:r>
    </w:p>
    <w:p w14:paraId="57AFC1B3">
      <w:pPr>
        <w:pStyle w:val="9"/>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5．本项目招标文件。</w:t>
      </w:r>
    </w:p>
    <w:p w14:paraId="2AEAE8E2">
      <w:pPr>
        <w:pStyle w:val="9"/>
        <w:keepNext w:val="0"/>
        <w:keepLines w:val="0"/>
        <w:pageBreakBefore w:val="0"/>
        <w:widowControl w:val="0"/>
        <w:kinsoku/>
        <w:wordWrap/>
        <w:overflowPunct/>
        <w:topLinePunct w:val="0"/>
        <w:autoSpaceDE/>
        <w:autoSpaceDN/>
        <w:bidi w:val="0"/>
        <w:adjustRightInd/>
        <w:snapToGrid/>
        <w:spacing w:line="396" w:lineRule="auto"/>
        <w:ind w:left="0" w:leftChars="0" w:firstLine="0" w:firstLineChars="0"/>
        <w:textAlignment w:val="auto"/>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二、评审原则和评审办法</w:t>
      </w:r>
    </w:p>
    <w:p w14:paraId="5835E1B0">
      <w:pPr>
        <w:pStyle w:val="9"/>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textAlignment w:val="auto"/>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（一）评审原则</w:t>
      </w:r>
    </w:p>
    <w:p w14:paraId="0B554419">
      <w:pPr>
        <w:pStyle w:val="9"/>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“公平、公正、择优、效益”为本次评审的基本原则，评标委员会按照这一原则的要求，公正、平等地对待各供应商。同时，在评审过程中恪守以下原则：</w:t>
      </w:r>
    </w:p>
    <w:p w14:paraId="3D929F90">
      <w:pPr>
        <w:pStyle w:val="9"/>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1.统一性原则：评标委员会将按照统一的评审原则和评审方法，用同一标准进行评审。</w:t>
      </w:r>
    </w:p>
    <w:p w14:paraId="69ADA1B5">
      <w:pPr>
        <w:pStyle w:val="9"/>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2.独立性原则：评标委员会成员根据招标文件规定的评审程序、评审方法和评审标准进行独立评审。未实质性响应招标文件的投标文件按无效响应处理，评标委员会应当告知提交投标文件的供应商。</w:t>
      </w:r>
    </w:p>
    <w:p w14:paraId="380091EB">
      <w:pPr>
        <w:pStyle w:val="9"/>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3.保密性原则：采购人应当采取必要的措施，保证评审在严格保密的情况下进行。</w:t>
      </w:r>
    </w:p>
    <w:p w14:paraId="5BC14081">
      <w:pPr>
        <w:pStyle w:val="9"/>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.综合评估原则：由评标委员会采用综合评分法对提交投标文件和通过初步评审的供应商进行综合评分。投标文件满足招标文件全部实质性要求且按评审因素的量化指标评审得分由高到低推荐 3 名中标候选人。</w:t>
      </w:r>
    </w:p>
    <w:p w14:paraId="16335FAB">
      <w:pPr>
        <w:pStyle w:val="9"/>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textAlignment w:val="auto"/>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（二）评审办法</w:t>
      </w:r>
    </w:p>
    <w:p w14:paraId="518D08EB">
      <w:pPr>
        <w:pStyle w:val="9"/>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本次采用综合评分法：是指投标文件满足招标文件全部实质性要求且按评审因素的量化指标评审得分最高的供应商为中标候选人的评审方法。</w:t>
      </w:r>
    </w:p>
    <w:p w14:paraId="263AEA61">
      <w:pPr>
        <w:pStyle w:val="9"/>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textAlignment w:val="auto"/>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1. 初步审查</w:t>
      </w:r>
    </w:p>
    <w:p w14:paraId="165DEEC0">
      <w:pPr>
        <w:pStyle w:val="9"/>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textAlignment w:val="auto"/>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1.1 资格审查</w:t>
      </w:r>
    </w:p>
    <w:p w14:paraId="1EA55589">
      <w:pPr>
        <w:pStyle w:val="9"/>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采购项目开标结束后，依据政府采购相关法律法规规定，由采购人代表或代理机构对投标文件中的资格证明文件进行审查。资格性审查未通过的供应商，不得进入评审环节。资格审查资料表如下：</w:t>
      </w:r>
    </w:p>
    <w:tbl>
      <w:tblPr>
        <w:tblStyle w:val="23"/>
        <w:tblW w:w="949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4"/>
        <w:gridCol w:w="2425"/>
        <w:gridCol w:w="5647"/>
        <w:gridCol w:w="685"/>
      </w:tblGrid>
      <w:tr w14:paraId="7F720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34" w:type="dxa"/>
            <w:vAlign w:val="center"/>
          </w:tcPr>
          <w:p w14:paraId="631DC86D">
            <w:pPr>
              <w:autoSpaceDE w:val="0"/>
              <w:autoSpaceDN w:val="0"/>
              <w:adjustRightInd w:val="0"/>
              <w:spacing w:line="276" w:lineRule="auto"/>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序号</w:t>
            </w:r>
          </w:p>
        </w:tc>
        <w:tc>
          <w:tcPr>
            <w:tcW w:w="2425" w:type="dxa"/>
            <w:vAlign w:val="center"/>
          </w:tcPr>
          <w:p w14:paraId="32C321D4">
            <w:pPr>
              <w:autoSpaceDE w:val="0"/>
              <w:autoSpaceDN w:val="0"/>
              <w:adjustRightInd w:val="0"/>
              <w:spacing w:line="276" w:lineRule="auto"/>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资格审查标准</w:t>
            </w:r>
          </w:p>
        </w:tc>
        <w:tc>
          <w:tcPr>
            <w:tcW w:w="5647" w:type="dxa"/>
            <w:vAlign w:val="center"/>
          </w:tcPr>
          <w:p w14:paraId="13C7BF7A">
            <w:pPr>
              <w:autoSpaceDE w:val="0"/>
              <w:autoSpaceDN w:val="0"/>
              <w:adjustRightInd w:val="0"/>
              <w:spacing w:line="276" w:lineRule="auto"/>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资格审查内容及要求</w:t>
            </w:r>
          </w:p>
        </w:tc>
        <w:tc>
          <w:tcPr>
            <w:tcW w:w="685" w:type="dxa"/>
            <w:vAlign w:val="center"/>
          </w:tcPr>
          <w:p w14:paraId="5DEAF4BD">
            <w:pPr>
              <w:autoSpaceDE w:val="0"/>
              <w:autoSpaceDN w:val="0"/>
              <w:adjustRightInd w:val="0"/>
              <w:spacing w:line="276" w:lineRule="auto"/>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审查结果</w:t>
            </w:r>
          </w:p>
        </w:tc>
      </w:tr>
      <w:tr w14:paraId="5B61A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34" w:type="dxa"/>
            <w:vAlign w:val="center"/>
          </w:tcPr>
          <w:p w14:paraId="6811D95D">
            <w:pPr>
              <w:autoSpaceDE w:val="0"/>
              <w:autoSpaceDN w:val="0"/>
              <w:adjustRightInd w:val="0"/>
              <w:spacing w:line="276"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2425" w:type="dxa"/>
            <w:vAlign w:val="center"/>
          </w:tcPr>
          <w:p w14:paraId="6C6BB3E4">
            <w:pPr>
              <w:autoSpaceDE w:val="0"/>
              <w:autoSpaceDN w:val="0"/>
              <w:adjustRightInd w:val="0"/>
              <w:spacing w:line="276"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具有独立承担民事责任的能力</w:t>
            </w:r>
          </w:p>
        </w:tc>
        <w:tc>
          <w:tcPr>
            <w:tcW w:w="5647" w:type="dxa"/>
            <w:vAlign w:val="center"/>
          </w:tcPr>
          <w:p w14:paraId="06965782">
            <w:pPr>
              <w:autoSpaceDE w:val="0"/>
              <w:autoSpaceDN w:val="0"/>
              <w:adjustRightInd w:val="0"/>
              <w:spacing w:line="276" w:lineRule="auto"/>
              <w:rPr>
                <w:rFonts w:hint="eastAsia" w:ascii="宋体" w:hAnsi="宋体" w:eastAsia="宋体" w:cs="宋体"/>
                <w:kern w:val="0"/>
                <w:sz w:val="21"/>
                <w:szCs w:val="21"/>
              </w:rPr>
            </w:pPr>
            <w:r>
              <w:rPr>
                <w:rFonts w:hint="eastAsia" w:ascii="宋体" w:hAnsi="宋体" w:eastAsia="宋体" w:cs="宋体"/>
                <w:kern w:val="0"/>
                <w:sz w:val="21"/>
                <w:szCs w:val="21"/>
              </w:rPr>
              <w:t>供应商是企业（包括合伙企业），应提供在工商部门注册的有效“企业法人营业执照”或“营业执照”；供应商是事业单位，应提供有效的“事业单位法人证书”；供应商是非企业专业服务机构的，应提供执业许可证等证明文件；供应商是个体工商户，应提供有效的“个体工商户营业执照”；供应商是自然人，应提供有效的自然人身份证明。</w:t>
            </w:r>
          </w:p>
        </w:tc>
        <w:tc>
          <w:tcPr>
            <w:tcW w:w="685" w:type="dxa"/>
            <w:vAlign w:val="center"/>
          </w:tcPr>
          <w:p w14:paraId="2012A650">
            <w:pPr>
              <w:autoSpaceDE w:val="0"/>
              <w:autoSpaceDN w:val="0"/>
              <w:adjustRightInd w:val="0"/>
              <w:spacing w:line="276" w:lineRule="auto"/>
              <w:jc w:val="center"/>
              <w:rPr>
                <w:rFonts w:hint="eastAsia" w:ascii="宋体" w:hAnsi="宋体" w:eastAsia="宋体" w:cs="宋体"/>
                <w:kern w:val="0"/>
                <w:sz w:val="21"/>
                <w:szCs w:val="21"/>
              </w:rPr>
            </w:pPr>
          </w:p>
        </w:tc>
      </w:tr>
      <w:tr w14:paraId="3CD69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34" w:type="dxa"/>
            <w:vAlign w:val="center"/>
          </w:tcPr>
          <w:p w14:paraId="75A312AE">
            <w:pPr>
              <w:autoSpaceDE w:val="0"/>
              <w:autoSpaceDN w:val="0"/>
              <w:adjustRightInd w:val="0"/>
              <w:spacing w:line="276"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2425" w:type="dxa"/>
            <w:vAlign w:val="center"/>
          </w:tcPr>
          <w:p w14:paraId="7D12E660">
            <w:pPr>
              <w:autoSpaceDE w:val="0"/>
              <w:autoSpaceDN w:val="0"/>
              <w:adjustRightInd w:val="0"/>
              <w:spacing w:line="276"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具有良好的商业信誉和健全的财务会计制度</w:t>
            </w:r>
          </w:p>
        </w:tc>
        <w:tc>
          <w:tcPr>
            <w:tcW w:w="5647" w:type="dxa"/>
            <w:vAlign w:val="center"/>
          </w:tcPr>
          <w:p w14:paraId="4979A6F6">
            <w:pPr>
              <w:autoSpaceDE w:val="0"/>
              <w:autoSpaceDN w:val="0"/>
              <w:adjustRightInd w:val="0"/>
              <w:spacing w:line="276" w:lineRule="auto"/>
              <w:rPr>
                <w:rFonts w:hint="eastAsia" w:ascii="宋体" w:hAnsi="宋体" w:eastAsia="宋体" w:cs="宋体"/>
                <w:kern w:val="0"/>
                <w:sz w:val="21"/>
                <w:szCs w:val="21"/>
              </w:rPr>
            </w:pPr>
            <w:r>
              <w:rPr>
                <w:rFonts w:hint="eastAsia" w:ascii="宋体" w:hAnsi="宋体" w:eastAsia="宋体" w:cs="宋体"/>
                <w:kern w:val="0"/>
                <w:sz w:val="21"/>
                <w:szCs w:val="21"/>
              </w:rPr>
              <w:t>提供202</w:t>
            </w:r>
            <w:r>
              <w:rPr>
                <w:rFonts w:hint="eastAsia" w:ascii="宋体" w:hAnsi="宋体" w:eastAsia="宋体" w:cs="宋体"/>
                <w:kern w:val="0"/>
                <w:sz w:val="21"/>
                <w:szCs w:val="21"/>
                <w:lang w:val="en-US" w:eastAsia="zh-CN"/>
              </w:rPr>
              <w:t>3</w:t>
            </w:r>
            <w:r>
              <w:rPr>
                <w:rFonts w:hint="eastAsia" w:ascii="宋体" w:hAnsi="宋体" w:eastAsia="宋体" w:cs="宋体"/>
                <w:kern w:val="0"/>
                <w:sz w:val="21"/>
                <w:szCs w:val="21"/>
              </w:rPr>
              <w:t>年度经审计的财务报告或基本开户银行出具的资信证明或财政部门认可的政府采购专业担保机构出具的投标担保函。如供应商提供财务报告的，</w:t>
            </w:r>
            <w:r>
              <w:rPr>
                <w:rFonts w:hint="eastAsia" w:ascii="宋体" w:hAnsi="宋体" w:eastAsia="宋体" w:cs="宋体"/>
                <w:sz w:val="21"/>
                <w:szCs w:val="21"/>
                <w:u w:val="none"/>
                <w:lang w:val="en-US" w:eastAsia="zh-CN"/>
              </w:rPr>
              <w:t>财务报告应包括“四表一注”</w:t>
            </w:r>
            <w:r>
              <w:rPr>
                <w:rFonts w:hint="eastAsia" w:cs="宋体"/>
                <w:sz w:val="21"/>
                <w:szCs w:val="21"/>
                <w:u w:val="none"/>
                <w:lang w:val="en-US" w:eastAsia="zh-CN"/>
              </w:rPr>
              <w:t>或</w:t>
            </w:r>
            <w:r>
              <w:rPr>
                <w:rFonts w:hint="eastAsia" w:ascii="宋体" w:hAnsi="宋体" w:eastAsia="宋体" w:cs="宋体"/>
                <w:sz w:val="21"/>
                <w:szCs w:val="21"/>
                <w:u w:val="none"/>
                <w:lang w:val="en-US" w:eastAsia="zh-CN"/>
              </w:rPr>
              <w:t>“</w:t>
            </w:r>
            <w:r>
              <w:rPr>
                <w:rFonts w:hint="eastAsia" w:cs="宋体"/>
                <w:sz w:val="21"/>
                <w:szCs w:val="21"/>
                <w:u w:val="none"/>
                <w:lang w:val="en-US" w:eastAsia="zh-CN"/>
              </w:rPr>
              <w:t>三</w:t>
            </w:r>
            <w:r>
              <w:rPr>
                <w:rFonts w:hint="eastAsia" w:ascii="宋体" w:hAnsi="宋体" w:eastAsia="宋体" w:cs="宋体"/>
                <w:sz w:val="21"/>
                <w:szCs w:val="21"/>
                <w:u w:val="none"/>
                <w:lang w:val="en-US" w:eastAsia="zh-CN"/>
              </w:rPr>
              <w:t>表一注”，即资产负债表、利润表、现金流量表、所有者权益变动表</w:t>
            </w:r>
            <w:r>
              <w:rPr>
                <w:rFonts w:hint="eastAsia" w:cs="宋体"/>
                <w:sz w:val="21"/>
                <w:szCs w:val="21"/>
                <w:u w:val="none"/>
                <w:lang w:val="en-US" w:eastAsia="zh-CN"/>
              </w:rPr>
              <w:t>（如有）</w:t>
            </w:r>
            <w:r>
              <w:rPr>
                <w:rFonts w:hint="eastAsia" w:ascii="宋体" w:hAnsi="宋体" w:eastAsia="宋体" w:cs="宋体"/>
                <w:sz w:val="21"/>
                <w:szCs w:val="21"/>
                <w:u w:val="none"/>
                <w:lang w:val="en-US" w:eastAsia="zh-CN"/>
              </w:rPr>
              <w:t>及其附注</w:t>
            </w:r>
            <w:r>
              <w:rPr>
                <w:rFonts w:hint="eastAsia" w:ascii="宋体" w:hAnsi="宋体" w:eastAsia="宋体" w:cs="宋体"/>
                <w:kern w:val="0"/>
                <w:sz w:val="21"/>
                <w:szCs w:val="21"/>
              </w:rPr>
              <w:t>。</w:t>
            </w:r>
          </w:p>
        </w:tc>
        <w:tc>
          <w:tcPr>
            <w:tcW w:w="685" w:type="dxa"/>
            <w:vAlign w:val="center"/>
          </w:tcPr>
          <w:p w14:paraId="389EFC7D">
            <w:pPr>
              <w:autoSpaceDE w:val="0"/>
              <w:autoSpaceDN w:val="0"/>
              <w:adjustRightInd w:val="0"/>
              <w:spacing w:line="276" w:lineRule="auto"/>
              <w:jc w:val="center"/>
              <w:rPr>
                <w:rFonts w:hint="eastAsia" w:ascii="宋体" w:hAnsi="宋体" w:eastAsia="宋体" w:cs="宋体"/>
                <w:kern w:val="0"/>
                <w:sz w:val="21"/>
                <w:szCs w:val="21"/>
              </w:rPr>
            </w:pPr>
          </w:p>
        </w:tc>
      </w:tr>
      <w:tr w14:paraId="202F6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34" w:type="dxa"/>
            <w:vAlign w:val="center"/>
          </w:tcPr>
          <w:p w14:paraId="0798457A">
            <w:pPr>
              <w:autoSpaceDE w:val="0"/>
              <w:autoSpaceDN w:val="0"/>
              <w:adjustRightInd w:val="0"/>
              <w:spacing w:line="276"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3</w:t>
            </w:r>
          </w:p>
        </w:tc>
        <w:tc>
          <w:tcPr>
            <w:tcW w:w="2425" w:type="dxa"/>
            <w:vAlign w:val="center"/>
          </w:tcPr>
          <w:p w14:paraId="502AFF78">
            <w:pPr>
              <w:autoSpaceDE w:val="0"/>
              <w:autoSpaceDN w:val="0"/>
              <w:adjustRightInd w:val="0"/>
              <w:spacing w:line="276"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具有履行合同所必需的设备和专业技术能力</w:t>
            </w:r>
          </w:p>
        </w:tc>
        <w:tc>
          <w:tcPr>
            <w:tcW w:w="5647" w:type="dxa"/>
            <w:vAlign w:val="center"/>
          </w:tcPr>
          <w:p w14:paraId="658BC46A">
            <w:pPr>
              <w:autoSpaceDE w:val="0"/>
              <w:autoSpaceDN w:val="0"/>
              <w:adjustRightInd w:val="0"/>
              <w:spacing w:line="276" w:lineRule="auto"/>
              <w:rPr>
                <w:rFonts w:hint="eastAsia" w:ascii="宋体" w:hAnsi="宋体" w:eastAsia="宋体" w:cs="宋体"/>
                <w:sz w:val="21"/>
                <w:szCs w:val="21"/>
              </w:rPr>
            </w:pPr>
            <w:r>
              <w:rPr>
                <w:rFonts w:hint="eastAsia" w:ascii="宋体" w:hAnsi="宋体" w:eastAsia="宋体" w:cs="宋体"/>
                <w:sz w:val="21"/>
                <w:szCs w:val="21"/>
              </w:rPr>
              <w:t>附相关承诺或设备证明及人员证件</w:t>
            </w:r>
          </w:p>
        </w:tc>
        <w:tc>
          <w:tcPr>
            <w:tcW w:w="685" w:type="dxa"/>
            <w:vAlign w:val="center"/>
          </w:tcPr>
          <w:p w14:paraId="08AF2E61">
            <w:pPr>
              <w:autoSpaceDE w:val="0"/>
              <w:autoSpaceDN w:val="0"/>
              <w:adjustRightInd w:val="0"/>
              <w:spacing w:line="276" w:lineRule="auto"/>
              <w:jc w:val="center"/>
              <w:rPr>
                <w:rFonts w:hint="eastAsia" w:ascii="宋体" w:hAnsi="宋体" w:eastAsia="宋体" w:cs="宋体"/>
                <w:kern w:val="0"/>
                <w:sz w:val="21"/>
                <w:szCs w:val="21"/>
              </w:rPr>
            </w:pPr>
          </w:p>
        </w:tc>
      </w:tr>
      <w:tr w14:paraId="03A07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34" w:type="dxa"/>
            <w:vAlign w:val="center"/>
          </w:tcPr>
          <w:p w14:paraId="5913AC55">
            <w:pPr>
              <w:autoSpaceDE w:val="0"/>
              <w:autoSpaceDN w:val="0"/>
              <w:adjustRightInd w:val="0"/>
              <w:spacing w:line="276"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4</w:t>
            </w:r>
          </w:p>
        </w:tc>
        <w:tc>
          <w:tcPr>
            <w:tcW w:w="2425" w:type="dxa"/>
            <w:vAlign w:val="center"/>
          </w:tcPr>
          <w:p w14:paraId="47382987">
            <w:pPr>
              <w:autoSpaceDE w:val="0"/>
              <w:autoSpaceDN w:val="0"/>
              <w:adjustRightInd w:val="0"/>
              <w:spacing w:line="276"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有依法缴纳税收和社会保障资金的良好记录</w:t>
            </w:r>
          </w:p>
        </w:tc>
        <w:tc>
          <w:tcPr>
            <w:tcW w:w="5647" w:type="dxa"/>
            <w:vAlign w:val="center"/>
          </w:tcPr>
          <w:p w14:paraId="626B9574">
            <w:pPr>
              <w:autoSpaceDE w:val="0"/>
              <w:autoSpaceDN w:val="0"/>
              <w:adjustRightInd w:val="0"/>
              <w:spacing w:line="276" w:lineRule="auto"/>
              <w:rPr>
                <w:rFonts w:hint="eastAsia" w:ascii="宋体" w:hAnsi="宋体" w:eastAsia="宋体" w:cs="宋体"/>
                <w:kern w:val="0"/>
                <w:sz w:val="21"/>
                <w:szCs w:val="21"/>
              </w:rPr>
            </w:pPr>
            <w:r>
              <w:rPr>
                <w:rFonts w:hint="eastAsia" w:ascii="宋体" w:hAnsi="宋体" w:eastAsia="宋体" w:cs="宋体"/>
                <w:sz w:val="21"/>
                <w:szCs w:val="21"/>
              </w:rPr>
              <w:t>202</w:t>
            </w:r>
            <w:r>
              <w:rPr>
                <w:rFonts w:hint="eastAsia" w:cs="宋体"/>
                <w:sz w:val="21"/>
                <w:szCs w:val="21"/>
                <w:lang w:val="en-US" w:eastAsia="zh-CN"/>
              </w:rPr>
              <w:t>4</w:t>
            </w:r>
            <w:r>
              <w:rPr>
                <w:rFonts w:hint="eastAsia" w:ascii="宋体" w:hAnsi="宋体" w:eastAsia="宋体" w:cs="宋体"/>
                <w:sz w:val="21"/>
                <w:szCs w:val="21"/>
              </w:rPr>
              <w:t>年</w:t>
            </w:r>
            <w:r>
              <w:rPr>
                <w:rFonts w:hint="eastAsia" w:cs="宋体"/>
                <w:sz w:val="21"/>
                <w:szCs w:val="21"/>
                <w:lang w:val="en-US" w:eastAsia="zh-CN"/>
              </w:rPr>
              <w:t>10</w:t>
            </w:r>
            <w:r>
              <w:rPr>
                <w:rFonts w:hint="eastAsia" w:ascii="宋体" w:hAnsi="宋体" w:eastAsia="宋体" w:cs="宋体"/>
                <w:sz w:val="21"/>
                <w:szCs w:val="21"/>
              </w:rPr>
              <w:t>月1日以来任意1个月的依法缴纳税收和社会保障资金的证明材料，依法免税或不需要缴纳税收、缴纳社会保障资金，须出具有效证明文件</w:t>
            </w:r>
          </w:p>
        </w:tc>
        <w:tc>
          <w:tcPr>
            <w:tcW w:w="685" w:type="dxa"/>
            <w:vAlign w:val="center"/>
          </w:tcPr>
          <w:p w14:paraId="70625260">
            <w:pPr>
              <w:autoSpaceDE w:val="0"/>
              <w:autoSpaceDN w:val="0"/>
              <w:adjustRightInd w:val="0"/>
              <w:spacing w:line="276" w:lineRule="auto"/>
              <w:jc w:val="center"/>
              <w:rPr>
                <w:rFonts w:hint="eastAsia" w:ascii="宋体" w:hAnsi="宋体" w:eastAsia="宋体" w:cs="宋体"/>
                <w:kern w:val="0"/>
                <w:sz w:val="21"/>
                <w:szCs w:val="21"/>
              </w:rPr>
            </w:pPr>
          </w:p>
        </w:tc>
      </w:tr>
      <w:tr w14:paraId="06CB5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34" w:type="dxa"/>
            <w:vAlign w:val="center"/>
          </w:tcPr>
          <w:p w14:paraId="7B684A40">
            <w:pPr>
              <w:autoSpaceDE w:val="0"/>
              <w:autoSpaceDN w:val="0"/>
              <w:adjustRightInd w:val="0"/>
              <w:spacing w:line="276"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5</w:t>
            </w:r>
          </w:p>
        </w:tc>
        <w:tc>
          <w:tcPr>
            <w:tcW w:w="2425" w:type="dxa"/>
            <w:vAlign w:val="center"/>
          </w:tcPr>
          <w:p w14:paraId="5578B51D">
            <w:pPr>
              <w:autoSpaceDE w:val="0"/>
              <w:autoSpaceDN w:val="0"/>
              <w:adjustRightInd w:val="0"/>
              <w:spacing w:line="276"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参加政府采购活动前三年内，在经营活动中没有重大违法记录</w:t>
            </w:r>
          </w:p>
        </w:tc>
        <w:tc>
          <w:tcPr>
            <w:tcW w:w="5647" w:type="dxa"/>
            <w:vAlign w:val="center"/>
          </w:tcPr>
          <w:p w14:paraId="321CF74C">
            <w:pPr>
              <w:autoSpaceDE w:val="0"/>
              <w:autoSpaceDN w:val="0"/>
              <w:adjustRightInd w:val="0"/>
              <w:spacing w:line="276" w:lineRule="auto"/>
              <w:rPr>
                <w:rFonts w:hint="eastAsia" w:ascii="宋体" w:hAnsi="宋体" w:eastAsia="宋体" w:cs="宋体"/>
                <w:kern w:val="0"/>
                <w:sz w:val="21"/>
                <w:szCs w:val="21"/>
              </w:rPr>
            </w:pPr>
            <w:r>
              <w:rPr>
                <w:rFonts w:hint="eastAsia" w:ascii="宋体" w:hAnsi="宋体" w:eastAsia="宋体" w:cs="宋体"/>
                <w:kern w:val="0"/>
                <w:sz w:val="21"/>
                <w:szCs w:val="21"/>
              </w:rPr>
              <w:t>投标文件中附供应商参加政府采购活动前三年内，在经营活动中没有重大违法记录的书面声明</w:t>
            </w:r>
          </w:p>
        </w:tc>
        <w:tc>
          <w:tcPr>
            <w:tcW w:w="685" w:type="dxa"/>
            <w:vAlign w:val="center"/>
          </w:tcPr>
          <w:p w14:paraId="3DCAA5AC">
            <w:pPr>
              <w:autoSpaceDE w:val="0"/>
              <w:autoSpaceDN w:val="0"/>
              <w:adjustRightInd w:val="0"/>
              <w:spacing w:line="276" w:lineRule="auto"/>
              <w:jc w:val="center"/>
              <w:rPr>
                <w:rFonts w:hint="eastAsia" w:ascii="宋体" w:hAnsi="宋体" w:eastAsia="宋体" w:cs="宋体"/>
                <w:kern w:val="0"/>
                <w:sz w:val="21"/>
                <w:szCs w:val="21"/>
              </w:rPr>
            </w:pPr>
          </w:p>
        </w:tc>
      </w:tr>
      <w:tr w14:paraId="6F53F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34" w:type="dxa"/>
            <w:vAlign w:val="center"/>
          </w:tcPr>
          <w:p w14:paraId="69896570">
            <w:pPr>
              <w:autoSpaceDE w:val="0"/>
              <w:autoSpaceDN w:val="0"/>
              <w:adjustRightInd w:val="0"/>
              <w:spacing w:line="276"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6</w:t>
            </w:r>
          </w:p>
        </w:tc>
        <w:tc>
          <w:tcPr>
            <w:tcW w:w="2425" w:type="dxa"/>
            <w:vAlign w:val="center"/>
          </w:tcPr>
          <w:p w14:paraId="0B2D7396">
            <w:pPr>
              <w:autoSpaceDE w:val="0"/>
              <w:autoSpaceDN w:val="0"/>
              <w:adjustRightInd w:val="0"/>
              <w:spacing w:line="276"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单位负责人为同一人或者存在直接控股、管理关系的不同供应商，不得参加同一合同项下的政府采购活动</w:t>
            </w:r>
          </w:p>
        </w:tc>
        <w:tc>
          <w:tcPr>
            <w:tcW w:w="5647" w:type="dxa"/>
            <w:vAlign w:val="center"/>
          </w:tcPr>
          <w:p w14:paraId="1F7B33AB">
            <w:pPr>
              <w:autoSpaceDE w:val="0"/>
              <w:autoSpaceDN w:val="0"/>
              <w:adjustRightInd w:val="0"/>
              <w:spacing w:line="276" w:lineRule="auto"/>
              <w:rPr>
                <w:rFonts w:hint="eastAsia" w:ascii="宋体" w:hAnsi="宋体" w:eastAsia="宋体" w:cs="宋体"/>
                <w:kern w:val="0"/>
                <w:sz w:val="21"/>
                <w:szCs w:val="21"/>
              </w:rPr>
            </w:pPr>
            <w:r>
              <w:rPr>
                <w:rFonts w:hint="eastAsia" w:ascii="宋体" w:hAnsi="宋体" w:eastAsia="宋体" w:cs="宋体"/>
                <w:kern w:val="0"/>
                <w:sz w:val="21"/>
                <w:szCs w:val="21"/>
              </w:rPr>
              <w:t>提供公司章程或“全国企业信用信息公示系统”中公示的公司信息、股东或投资人信息，或单位负责人为同一人或者不存在直接控股、管理关系的承诺。</w:t>
            </w:r>
          </w:p>
        </w:tc>
        <w:tc>
          <w:tcPr>
            <w:tcW w:w="685" w:type="dxa"/>
            <w:vAlign w:val="center"/>
          </w:tcPr>
          <w:p w14:paraId="542D3AD7">
            <w:pPr>
              <w:autoSpaceDE w:val="0"/>
              <w:autoSpaceDN w:val="0"/>
              <w:adjustRightInd w:val="0"/>
              <w:spacing w:line="276" w:lineRule="auto"/>
              <w:jc w:val="center"/>
              <w:rPr>
                <w:rFonts w:hint="eastAsia" w:ascii="宋体" w:hAnsi="宋体" w:eastAsia="宋体" w:cs="宋体"/>
                <w:kern w:val="0"/>
                <w:sz w:val="21"/>
                <w:szCs w:val="21"/>
              </w:rPr>
            </w:pPr>
          </w:p>
        </w:tc>
      </w:tr>
      <w:tr w14:paraId="34AA9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34" w:type="dxa"/>
            <w:vAlign w:val="center"/>
          </w:tcPr>
          <w:p w14:paraId="7FBBCA1F">
            <w:pPr>
              <w:autoSpaceDE w:val="0"/>
              <w:autoSpaceDN w:val="0"/>
              <w:adjustRightInd w:val="0"/>
              <w:spacing w:line="276"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7</w:t>
            </w:r>
          </w:p>
        </w:tc>
        <w:tc>
          <w:tcPr>
            <w:tcW w:w="2425" w:type="dxa"/>
            <w:vAlign w:val="center"/>
          </w:tcPr>
          <w:p w14:paraId="5982FC35">
            <w:pPr>
              <w:autoSpaceDE w:val="0"/>
              <w:autoSpaceDN w:val="0"/>
              <w:adjustRightInd w:val="0"/>
              <w:spacing w:line="276"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信用记录</w:t>
            </w:r>
          </w:p>
        </w:tc>
        <w:tc>
          <w:tcPr>
            <w:tcW w:w="5647" w:type="dxa"/>
            <w:vAlign w:val="center"/>
          </w:tcPr>
          <w:p w14:paraId="17D78144">
            <w:pPr>
              <w:autoSpaceDE w:val="0"/>
              <w:autoSpaceDN w:val="0"/>
              <w:adjustRightInd w:val="0"/>
              <w:spacing w:line="276" w:lineRule="auto"/>
              <w:rPr>
                <w:rFonts w:hint="eastAsia" w:ascii="宋体" w:hAnsi="宋体" w:eastAsia="宋体" w:cs="宋体"/>
                <w:kern w:val="0"/>
                <w:sz w:val="21"/>
                <w:szCs w:val="21"/>
              </w:rPr>
            </w:pPr>
            <w:r>
              <w:rPr>
                <w:rFonts w:hint="eastAsia" w:ascii="宋体" w:hAnsi="宋体" w:eastAsia="宋体" w:cs="宋体"/>
                <w:spacing w:val="-2"/>
                <w:sz w:val="21"/>
                <w:szCs w:val="21"/>
              </w:rPr>
              <w:t>采购人或采购代理机构在开标时将对所有参与本项目投标的供应商的信用情况（失信被执行人、重大税收违法失信主体、政府采购严重违法失信行为记录名单）进行查询、打印留存。（若在开标当天查询到供应商有相关负面信息的，则该供应商为无效供应商，信用信息查询记录及相关证据与招标文件一并保存。查询时间：递交投标截止时间止至资格审查工作结束前）；</w:t>
            </w:r>
          </w:p>
        </w:tc>
        <w:tc>
          <w:tcPr>
            <w:tcW w:w="685" w:type="dxa"/>
            <w:vAlign w:val="center"/>
          </w:tcPr>
          <w:p w14:paraId="22AAFF4F">
            <w:pPr>
              <w:autoSpaceDE w:val="0"/>
              <w:autoSpaceDN w:val="0"/>
              <w:adjustRightInd w:val="0"/>
              <w:spacing w:line="276" w:lineRule="auto"/>
              <w:jc w:val="center"/>
              <w:rPr>
                <w:rFonts w:hint="eastAsia" w:ascii="宋体" w:hAnsi="宋体" w:eastAsia="宋体" w:cs="宋体"/>
                <w:kern w:val="0"/>
                <w:sz w:val="21"/>
                <w:szCs w:val="21"/>
              </w:rPr>
            </w:pPr>
          </w:p>
        </w:tc>
      </w:tr>
    </w:tbl>
    <w:p w14:paraId="36AAF45D">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br w:type="page"/>
      </w:r>
    </w:p>
    <w:p w14:paraId="4EC5A28B">
      <w:pPr>
        <w:pStyle w:val="9"/>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textAlignment w:val="auto"/>
        <w:rPr>
          <w:rFonts w:hint="eastAsia" w:ascii="宋体" w:hAnsi="宋体" w:eastAsia="宋体" w:cs="宋体"/>
          <w:b/>
          <w:bCs w:val="0"/>
          <w:sz w:val="21"/>
          <w:szCs w:val="21"/>
          <w:lang w:val="en-US" w:eastAsia="zh-CN"/>
        </w:rPr>
      </w:pPr>
      <w:r>
        <w:rPr>
          <w:rFonts w:hint="eastAsia" w:ascii="宋体" w:hAnsi="宋体" w:eastAsia="宋体" w:cs="宋体"/>
          <w:b/>
          <w:bCs w:val="0"/>
          <w:sz w:val="21"/>
          <w:szCs w:val="21"/>
          <w:lang w:val="en-US" w:eastAsia="zh-CN"/>
        </w:rPr>
        <w:t>1.2 形式审查和符合性审查</w:t>
      </w:r>
    </w:p>
    <w:p w14:paraId="1F42286A">
      <w:pPr>
        <w:pStyle w:val="9"/>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评标委员会对通过资格审查的供应商进行形式审查和符合性审查。依据招标文件的规定，从投标文件的有效性、完整性和对招标文件的响应程度进行审查，以确定是否对招标文件的实质性要求做出响应。</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2550"/>
        <w:gridCol w:w="5655"/>
      </w:tblGrid>
      <w:tr w14:paraId="49D1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43" w:type="dxa"/>
            <w:vMerge w:val="restart"/>
            <w:vAlign w:val="center"/>
          </w:tcPr>
          <w:p w14:paraId="301E59E6">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形</w:t>
            </w:r>
          </w:p>
          <w:p w14:paraId="5C8FBF3A">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式</w:t>
            </w:r>
          </w:p>
          <w:p w14:paraId="2D1AA815">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评</w:t>
            </w:r>
          </w:p>
          <w:p w14:paraId="2073D729">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审</w:t>
            </w:r>
          </w:p>
        </w:tc>
        <w:tc>
          <w:tcPr>
            <w:tcW w:w="2550" w:type="dxa"/>
            <w:vAlign w:val="center"/>
          </w:tcPr>
          <w:p w14:paraId="53ADEBC5">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宋体" w:hAnsi="宋体" w:eastAsia="宋体" w:cs="宋体"/>
                <w:sz w:val="21"/>
                <w:szCs w:val="21"/>
                <w:vertAlign w:val="baseline"/>
                <w:lang w:val="en-US" w:eastAsia="zh-CN"/>
              </w:rPr>
            </w:pPr>
            <w:r>
              <w:rPr>
                <w:rFonts w:hint="eastAsia" w:cs="宋体"/>
                <w:sz w:val="21"/>
                <w:szCs w:val="21"/>
                <w:vertAlign w:val="baseline"/>
                <w:lang w:val="en-US" w:eastAsia="zh-CN"/>
              </w:rPr>
              <w:t>审查因素</w:t>
            </w:r>
          </w:p>
        </w:tc>
        <w:tc>
          <w:tcPr>
            <w:tcW w:w="5655" w:type="dxa"/>
            <w:vAlign w:val="center"/>
          </w:tcPr>
          <w:p w14:paraId="688923A7">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宋体" w:hAnsi="宋体" w:eastAsia="宋体" w:cs="宋体"/>
                <w:sz w:val="21"/>
                <w:szCs w:val="21"/>
                <w:vertAlign w:val="baseline"/>
                <w:lang w:val="en-US" w:eastAsia="zh-CN"/>
              </w:rPr>
            </w:pPr>
            <w:r>
              <w:rPr>
                <w:rFonts w:hint="eastAsia" w:cs="宋体"/>
                <w:sz w:val="21"/>
                <w:szCs w:val="21"/>
                <w:vertAlign w:val="baseline"/>
                <w:lang w:val="en-US" w:eastAsia="zh-CN"/>
              </w:rPr>
              <w:t>审查标准</w:t>
            </w:r>
          </w:p>
        </w:tc>
      </w:tr>
      <w:tr w14:paraId="0A0C1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43" w:type="dxa"/>
            <w:vMerge w:val="continue"/>
            <w:vAlign w:val="center"/>
          </w:tcPr>
          <w:p w14:paraId="011BA7B6">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sz w:val="21"/>
                <w:szCs w:val="21"/>
                <w:vertAlign w:val="baseline"/>
                <w:lang w:val="en-US" w:eastAsia="zh-CN"/>
              </w:rPr>
            </w:pPr>
          </w:p>
        </w:tc>
        <w:tc>
          <w:tcPr>
            <w:tcW w:w="2550" w:type="dxa"/>
            <w:vAlign w:val="center"/>
          </w:tcPr>
          <w:p w14:paraId="4BACE396">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投标报价</w:t>
            </w:r>
          </w:p>
        </w:tc>
        <w:tc>
          <w:tcPr>
            <w:tcW w:w="5655" w:type="dxa"/>
            <w:vAlign w:val="center"/>
          </w:tcPr>
          <w:p w14:paraId="610829B3">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投标文件中未出现两个</w:t>
            </w:r>
            <w:r>
              <w:rPr>
                <w:rFonts w:hint="eastAsia" w:cs="宋体"/>
                <w:sz w:val="21"/>
                <w:szCs w:val="21"/>
                <w:vertAlign w:val="baseline"/>
                <w:lang w:val="en-US" w:eastAsia="zh-CN"/>
              </w:rPr>
              <w:t>及</w:t>
            </w:r>
            <w:r>
              <w:rPr>
                <w:rFonts w:hint="eastAsia" w:ascii="宋体" w:hAnsi="宋体" w:eastAsia="宋体" w:cs="宋体"/>
                <w:sz w:val="21"/>
                <w:szCs w:val="21"/>
                <w:vertAlign w:val="baseline"/>
                <w:lang w:val="en-US" w:eastAsia="zh-CN"/>
              </w:rPr>
              <w:t>以上不同报价，且未超过最高限价</w:t>
            </w:r>
          </w:p>
        </w:tc>
      </w:tr>
      <w:tr w14:paraId="381DC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43" w:type="dxa"/>
            <w:vMerge w:val="continue"/>
            <w:vAlign w:val="center"/>
          </w:tcPr>
          <w:p w14:paraId="6C583651">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sz w:val="21"/>
                <w:szCs w:val="21"/>
                <w:vertAlign w:val="baseline"/>
                <w:lang w:val="en-US" w:eastAsia="zh-CN"/>
              </w:rPr>
            </w:pPr>
          </w:p>
        </w:tc>
        <w:tc>
          <w:tcPr>
            <w:tcW w:w="2550" w:type="dxa"/>
            <w:vAlign w:val="center"/>
          </w:tcPr>
          <w:p w14:paraId="20B45ACA">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投标人承诺函</w:t>
            </w:r>
          </w:p>
        </w:tc>
        <w:tc>
          <w:tcPr>
            <w:tcW w:w="5655" w:type="dxa"/>
            <w:vAlign w:val="center"/>
          </w:tcPr>
          <w:p w14:paraId="3A0D4453">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在投标文件中按招标文件格式提供承诺函</w:t>
            </w:r>
          </w:p>
        </w:tc>
      </w:tr>
      <w:tr w14:paraId="464BA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43" w:type="dxa"/>
            <w:vMerge w:val="continue"/>
            <w:vAlign w:val="center"/>
          </w:tcPr>
          <w:p w14:paraId="3CF9CCA5">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sz w:val="21"/>
                <w:szCs w:val="21"/>
                <w:vertAlign w:val="baseline"/>
                <w:lang w:val="en-US" w:eastAsia="zh-CN"/>
              </w:rPr>
            </w:pPr>
          </w:p>
        </w:tc>
        <w:tc>
          <w:tcPr>
            <w:tcW w:w="2550" w:type="dxa"/>
            <w:vAlign w:val="center"/>
          </w:tcPr>
          <w:p w14:paraId="295AB9C7">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投标文件签字</w:t>
            </w:r>
            <w:r>
              <w:rPr>
                <w:rFonts w:hint="eastAsia" w:cs="宋体"/>
                <w:sz w:val="21"/>
                <w:szCs w:val="21"/>
                <w:vertAlign w:val="baseline"/>
                <w:lang w:val="en-US" w:eastAsia="zh-CN"/>
              </w:rPr>
              <w:t>(</w:t>
            </w:r>
            <w:r>
              <w:rPr>
                <w:rFonts w:hint="eastAsia" w:ascii="宋体" w:hAnsi="宋体" w:eastAsia="宋体" w:cs="宋体"/>
                <w:sz w:val="21"/>
                <w:szCs w:val="21"/>
                <w:vertAlign w:val="baseline"/>
                <w:lang w:val="en-US" w:eastAsia="zh-CN"/>
              </w:rPr>
              <w:t>或盖章</w:t>
            </w:r>
            <w:r>
              <w:rPr>
                <w:rFonts w:hint="eastAsia" w:cs="宋体"/>
                <w:sz w:val="21"/>
                <w:szCs w:val="21"/>
                <w:vertAlign w:val="baseline"/>
                <w:lang w:val="en-US" w:eastAsia="zh-CN"/>
              </w:rPr>
              <w:t>)</w:t>
            </w:r>
          </w:p>
        </w:tc>
        <w:tc>
          <w:tcPr>
            <w:tcW w:w="5655" w:type="dxa"/>
            <w:vAlign w:val="center"/>
          </w:tcPr>
          <w:p w14:paraId="6AF68C0B">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投标文件签字（或盖章）符合招标文件要求</w:t>
            </w:r>
          </w:p>
        </w:tc>
      </w:tr>
      <w:tr w14:paraId="02386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43" w:type="dxa"/>
            <w:vMerge w:val="restart"/>
            <w:vAlign w:val="center"/>
          </w:tcPr>
          <w:p w14:paraId="74CCBA07">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符</w:t>
            </w:r>
          </w:p>
          <w:p w14:paraId="056A875E">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合</w:t>
            </w:r>
          </w:p>
          <w:p w14:paraId="56DA9FC0">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性</w:t>
            </w:r>
          </w:p>
          <w:p w14:paraId="61AC3258">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评</w:t>
            </w:r>
          </w:p>
          <w:p w14:paraId="294A63CC">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审</w:t>
            </w:r>
          </w:p>
        </w:tc>
        <w:tc>
          <w:tcPr>
            <w:tcW w:w="2550" w:type="dxa"/>
            <w:vAlign w:val="center"/>
          </w:tcPr>
          <w:p w14:paraId="7F0A7B7C">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标书雷同性分析</w:t>
            </w:r>
          </w:p>
        </w:tc>
        <w:tc>
          <w:tcPr>
            <w:tcW w:w="5655" w:type="dxa"/>
            <w:vAlign w:val="center"/>
          </w:tcPr>
          <w:p w14:paraId="46C576CA">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投标（响应）文件制作机器码不能一致</w:t>
            </w:r>
            <w:bookmarkStart w:id="468" w:name="_GoBack"/>
            <w:bookmarkEnd w:id="468"/>
          </w:p>
        </w:tc>
      </w:tr>
      <w:tr w14:paraId="5FDAF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43" w:type="dxa"/>
            <w:vMerge w:val="continue"/>
            <w:tcBorders/>
            <w:vAlign w:val="center"/>
          </w:tcPr>
          <w:p w14:paraId="7FC85873">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sz w:val="21"/>
                <w:szCs w:val="21"/>
                <w:vertAlign w:val="baseline"/>
                <w:lang w:val="en-US" w:eastAsia="zh-CN"/>
              </w:rPr>
            </w:pPr>
          </w:p>
        </w:tc>
        <w:tc>
          <w:tcPr>
            <w:tcW w:w="2550" w:type="dxa"/>
            <w:vAlign w:val="center"/>
          </w:tcPr>
          <w:p w14:paraId="69B38415">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投标有效期</w:t>
            </w:r>
          </w:p>
        </w:tc>
        <w:tc>
          <w:tcPr>
            <w:tcW w:w="5655" w:type="dxa"/>
            <w:vAlign w:val="center"/>
          </w:tcPr>
          <w:p w14:paraId="6BDAED22">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符合招标文件要求</w:t>
            </w:r>
          </w:p>
        </w:tc>
      </w:tr>
      <w:tr w14:paraId="53B8A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43" w:type="dxa"/>
            <w:vMerge w:val="continue"/>
            <w:tcBorders/>
            <w:vAlign w:val="center"/>
          </w:tcPr>
          <w:p w14:paraId="7557AA4F">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sz w:val="21"/>
                <w:szCs w:val="21"/>
                <w:vertAlign w:val="baseline"/>
                <w:lang w:val="en-US" w:eastAsia="zh-CN"/>
              </w:rPr>
            </w:pPr>
          </w:p>
        </w:tc>
        <w:tc>
          <w:tcPr>
            <w:tcW w:w="2550" w:type="dxa"/>
            <w:vAlign w:val="center"/>
          </w:tcPr>
          <w:p w14:paraId="673DE512">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宋体" w:hAnsi="宋体" w:eastAsia="宋体" w:cs="宋体"/>
                <w:sz w:val="21"/>
                <w:szCs w:val="21"/>
                <w:vertAlign w:val="baseline"/>
                <w:lang w:val="en-US" w:eastAsia="zh-CN"/>
              </w:rPr>
            </w:pPr>
            <w:r>
              <w:rPr>
                <w:rFonts w:hint="default" w:ascii="宋体" w:hAnsi="宋体" w:eastAsia="宋体" w:cs="宋体"/>
                <w:sz w:val="21"/>
                <w:szCs w:val="21"/>
                <w:vertAlign w:val="baseline"/>
                <w:lang w:val="en-US" w:eastAsia="zh-CN"/>
              </w:rPr>
              <w:t>交付（完工）时间</w:t>
            </w:r>
          </w:p>
        </w:tc>
        <w:tc>
          <w:tcPr>
            <w:tcW w:w="5655" w:type="dxa"/>
            <w:vAlign w:val="center"/>
          </w:tcPr>
          <w:p w14:paraId="2B146F79">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符合招标文件要求</w:t>
            </w:r>
          </w:p>
        </w:tc>
      </w:tr>
      <w:tr w14:paraId="7970A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43" w:type="dxa"/>
            <w:vMerge w:val="continue"/>
            <w:tcBorders/>
            <w:vAlign w:val="center"/>
          </w:tcPr>
          <w:p w14:paraId="068C3669">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sz w:val="21"/>
                <w:szCs w:val="21"/>
                <w:vertAlign w:val="baseline"/>
                <w:lang w:val="en-US" w:eastAsia="zh-CN"/>
              </w:rPr>
            </w:pPr>
          </w:p>
        </w:tc>
        <w:tc>
          <w:tcPr>
            <w:tcW w:w="2550" w:type="dxa"/>
            <w:vAlign w:val="center"/>
          </w:tcPr>
          <w:p w14:paraId="23F870B8">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投标质量</w:t>
            </w:r>
          </w:p>
        </w:tc>
        <w:tc>
          <w:tcPr>
            <w:tcW w:w="5655" w:type="dxa"/>
            <w:vAlign w:val="center"/>
          </w:tcPr>
          <w:p w14:paraId="7A0A37A6">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符合招标文件要求</w:t>
            </w:r>
          </w:p>
        </w:tc>
      </w:tr>
      <w:tr w14:paraId="47FAA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43" w:type="dxa"/>
            <w:vMerge w:val="continue"/>
            <w:tcBorders/>
            <w:vAlign w:val="center"/>
          </w:tcPr>
          <w:p w14:paraId="04AE9496">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sz w:val="21"/>
                <w:szCs w:val="21"/>
                <w:vertAlign w:val="baseline"/>
                <w:lang w:val="en-US" w:eastAsia="zh-CN"/>
              </w:rPr>
            </w:pPr>
          </w:p>
        </w:tc>
        <w:tc>
          <w:tcPr>
            <w:tcW w:w="2550" w:type="dxa"/>
            <w:vAlign w:val="center"/>
          </w:tcPr>
          <w:p w14:paraId="2AAF8FBD">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其它要求</w:t>
            </w:r>
          </w:p>
        </w:tc>
        <w:tc>
          <w:tcPr>
            <w:tcW w:w="5655" w:type="dxa"/>
            <w:vAlign w:val="center"/>
          </w:tcPr>
          <w:p w14:paraId="769A3B72">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没有招标文件中规定被视为无效响应其他条款的</w:t>
            </w:r>
          </w:p>
        </w:tc>
      </w:tr>
    </w:tbl>
    <w:p w14:paraId="55305607">
      <w:pPr>
        <w:rPr>
          <w:rFonts w:hint="eastAsia" w:ascii="宋体" w:hAnsi="宋体" w:eastAsia="宋体" w:cs="宋体"/>
          <w:sz w:val="21"/>
          <w:szCs w:val="21"/>
          <w:lang w:val="en-US" w:eastAsia="zh-CN"/>
        </w:rPr>
      </w:pPr>
    </w:p>
    <w:p w14:paraId="0530FACB">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br w:type="page"/>
      </w:r>
    </w:p>
    <w:p w14:paraId="41EF7D7D">
      <w:pPr>
        <w:pStyle w:val="9"/>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textAlignment w:val="auto"/>
        <w:rPr>
          <w:rFonts w:hint="eastAsia" w:ascii="宋体" w:hAnsi="宋体" w:eastAsia="宋体" w:cs="宋体"/>
          <w:b/>
          <w:bCs w:val="0"/>
          <w:sz w:val="21"/>
          <w:szCs w:val="21"/>
          <w:lang w:val="en-US" w:eastAsia="zh-CN"/>
        </w:rPr>
      </w:pPr>
      <w:r>
        <w:rPr>
          <w:rFonts w:hint="eastAsia" w:ascii="宋体" w:hAnsi="宋体" w:eastAsia="宋体" w:cs="宋体"/>
          <w:b/>
          <w:bCs w:val="0"/>
          <w:sz w:val="21"/>
          <w:szCs w:val="21"/>
          <w:lang w:val="en-US" w:eastAsia="zh-CN"/>
        </w:rPr>
        <w:t xml:space="preserve">2.详细评审： </w:t>
      </w:r>
    </w:p>
    <w:tbl>
      <w:tblPr>
        <w:tblStyle w:val="23"/>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1311"/>
        <w:gridCol w:w="6795"/>
      </w:tblGrid>
      <w:tr w14:paraId="0EB54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8" w:type="dxa"/>
            <w:vAlign w:val="center"/>
          </w:tcPr>
          <w:p w14:paraId="2A7D0270">
            <w:pPr>
              <w:keepNext w:val="0"/>
              <w:keepLines w:val="0"/>
              <w:pageBreakBefore w:val="0"/>
              <w:overflowPunct/>
              <w:bidi w:val="0"/>
              <w:snapToGrid/>
              <w:spacing w:line="276" w:lineRule="auto"/>
              <w:jc w:val="center"/>
              <w:textAlignment w:val="auto"/>
              <w:rPr>
                <w:sz w:val="21"/>
                <w:szCs w:val="21"/>
              </w:rPr>
            </w:pPr>
            <w:r>
              <w:rPr>
                <w:rFonts w:hint="eastAsia"/>
                <w:kern w:val="0"/>
                <w:sz w:val="21"/>
                <w:szCs w:val="21"/>
              </w:rPr>
              <w:t>名称</w:t>
            </w:r>
          </w:p>
        </w:tc>
        <w:tc>
          <w:tcPr>
            <w:tcW w:w="1300" w:type="dxa"/>
            <w:vAlign w:val="center"/>
          </w:tcPr>
          <w:p w14:paraId="2AC54616">
            <w:pPr>
              <w:keepNext w:val="0"/>
              <w:keepLines w:val="0"/>
              <w:pageBreakBefore w:val="0"/>
              <w:overflowPunct/>
              <w:bidi w:val="0"/>
              <w:snapToGrid/>
              <w:spacing w:line="276" w:lineRule="auto"/>
              <w:jc w:val="center"/>
              <w:textAlignment w:val="auto"/>
              <w:rPr>
                <w:sz w:val="21"/>
                <w:szCs w:val="21"/>
              </w:rPr>
            </w:pPr>
            <w:r>
              <w:rPr>
                <w:rFonts w:hint="eastAsia"/>
                <w:kern w:val="0"/>
                <w:sz w:val="21"/>
                <w:szCs w:val="21"/>
              </w:rPr>
              <w:t>评审因素</w:t>
            </w:r>
          </w:p>
        </w:tc>
        <w:tc>
          <w:tcPr>
            <w:tcW w:w="6741" w:type="dxa"/>
            <w:vAlign w:val="center"/>
          </w:tcPr>
          <w:p w14:paraId="42BE60FA">
            <w:pPr>
              <w:keepNext w:val="0"/>
              <w:keepLines w:val="0"/>
              <w:pageBreakBefore w:val="0"/>
              <w:overflowPunct/>
              <w:bidi w:val="0"/>
              <w:snapToGrid/>
              <w:spacing w:line="276" w:lineRule="auto"/>
              <w:jc w:val="center"/>
              <w:textAlignment w:val="auto"/>
              <w:rPr>
                <w:sz w:val="21"/>
                <w:szCs w:val="21"/>
              </w:rPr>
            </w:pPr>
            <w:r>
              <w:rPr>
                <w:rFonts w:hint="eastAsia"/>
                <w:kern w:val="0"/>
                <w:sz w:val="21"/>
                <w:szCs w:val="21"/>
              </w:rPr>
              <w:t>评审标准</w:t>
            </w:r>
          </w:p>
        </w:tc>
      </w:tr>
      <w:tr w14:paraId="5678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8" w:type="dxa"/>
            <w:vAlign w:val="center"/>
          </w:tcPr>
          <w:p w14:paraId="525DA33E">
            <w:pPr>
              <w:keepNext w:val="0"/>
              <w:keepLines w:val="0"/>
              <w:pageBreakBefore w:val="0"/>
              <w:overflowPunct/>
              <w:bidi w:val="0"/>
              <w:snapToGrid/>
              <w:spacing w:line="276" w:lineRule="auto"/>
              <w:jc w:val="center"/>
              <w:textAlignment w:val="auto"/>
              <w:rPr>
                <w:sz w:val="21"/>
                <w:szCs w:val="21"/>
              </w:rPr>
            </w:pPr>
            <w:r>
              <w:rPr>
                <w:rFonts w:hint="eastAsia"/>
                <w:sz w:val="21"/>
                <w:szCs w:val="21"/>
              </w:rPr>
              <w:t>价格部分</w:t>
            </w:r>
          </w:p>
          <w:p w14:paraId="2C7F5BC3">
            <w:pPr>
              <w:keepNext w:val="0"/>
              <w:keepLines w:val="0"/>
              <w:pageBreakBefore w:val="0"/>
              <w:overflowPunct/>
              <w:bidi w:val="0"/>
              <w:snapToGrid/>
              <w:spacing w:line="276" w:lineRule="auto"/>
              <w:jc w:val="center"/>
              <w:textAlignment w:val="auto"/>
              <w:rPr>
                <w:sz w:val="21"/>
                <w:szCs w:val="21"/>
              </w:rPr>
            </w:pPr>
            <w:r>
              <w:rPr>
                <w:rFonts w:hint="eastAsia"/>
                <w:sz w:val="21"/>
                <w:szCs w:val="21"/>
              </w:rPr>
              <w:t>（3</w:t>
            </w:r>
            <w:r>
              <w:rPr>
                <w:sz w:val="21"/>
                <w:szCs w:val="21"/>
              </w:rPr>
              <w:t>0</w:t>
            </w:r>
            <w:r>
              <w:rPr>
                <w:rFonts w:hint="eastAsia"/>
                <w:sz w:val="21"/>
                <w:szCs w:val="21"/>
              </w:rPr>
              <w:t>分）</w:t>
            </w:r>
          </w:p>
        </w:tc>
        <w:tc>
          <w:tcPr>
            <w:tcW w:w="1300" w:type="dxa"/>
            <w:vAlign w:val="center"/>
          </w:tcPr>
          <w:p w14:paraId="3703E1A6">
            <w:pPr>
              <w:keepNext w:val="0"/>
              <w:keepLines w:val="0"/>
              <w:pageBreakBefore w:val="0"/>
              <w:overflowPunct/>
              <w:bidi w:val="0"/>
              <w:adjustRightInd w:val="0"/>
              <w:snapToGrid/>
              <w:spacing w:line="276" w:lineRule="auto"/>
              <w:jc w:val="center"/>
              <w:textAlignment w:val="auto"/>
              <w:rPr>
                <w:sz w:val="21"/>
                <w:szCs w:val="21"/>
              </w:rPr>
            </w:pPr>
            <w:r>
              <w:rPr>
                <w:rFonts w:hint="eastAsia"/>
                <w:sz w:val="21"/>
                <w:szCs w:val="21"/>
              </w:rPr>
              <w:t>价格评审</w:t>
            </w:r>
          </w:p>
          <w:p w14:paraId="3E3DDD4A">
            <w:pPr>
              <w:keepNext w:val="0"/>
              <w:keepLines w:val="0"/>
              <w:pageBreakBefore w:val="0"/>
              <w:tabs>
                <w:tab w:val="left" w:pos="0"/>
                <w:tab w:val="left" w:pos="360"/>
              </w:tabs>
              <w:overflowPunct/>
              <w:bidi w:val="0"/>
              <w:snapToGrid/>
              <w:spacing w:line="276" w:lineRule="auto"/>
              <w:jc w:val="center"/>
              <w:textAlignment w:val="auto"/>
              <w:rPr>
                <w:sz w:val="21"/>
                <w:szCs w:val="21"/>
              </w:rPr>
            </w:pPr>
            <w:r>
              <w:rPr>
                <w:rFonts w:hint="eastAsia"/>
                <w:sz w:val="21"/>
                <w:szCs w:val="21"/>
              </w:rPr>
              <w:t>（3</w:t>
            </w:r>
            <w:r>
              <w:rPr>
                <w:sz w:val="21"/>
                <w:szCs w:val="21"/>
              </w:rPr>
              <w:t>0</w:t>
            </w:r>
            <w:r>
              <w:rPr>
                <w:rFonts w:hint="eastAsia"/>
                <w:sz w:val="21"/>
                <w:szCs w:val="21"/>
              </w:rPr>
              <w:t>分）</w:t>
            </w:r>
          </w:p>
        </w:tc>
        <w:tc>
          <w:tcPr>
            <w:tcW w:w="6741" w:type="dxa"/>
            <w:vAlign w:val="center"/>
          </w:tcPr>
          <w:p w14:paraId="12219C2B">
            <w:pPr>
              <w:keepNext w:val="0"/>
              <w:keepLines w:val="0"/>
              <w:pageBreakBefore w:val="0"/>
              <w:tabs>
                <w:tab w:val="center" w:pos="4153"/>
                <w:tab w:val="right" w:pos="8306"/>
              </w:tabs>
              <w:overflowPunct/>
              <w:bidi w:val="0"/>
              <w:snapToGrid/>
              <w:spacing w:line="276" w:lineRule="auto"/>
              <w:jc w:val="left"/>
              <w:textAlignment w:val="auto"/>
              <w:rPr>
                <w:sz w:val="21"/>
                <w:szCs w:val="21"/>
              </w:rPr>
            </w:pPr>
            <w:r>
              <w:rPr>
                <w:rFonts w:hint="eastAsia"/>
                <w:sz w:val="21"/>
                <w:szCs w:val="21"/>
              </w:rPr>
              <w:t>1.价格分按低价优先法计算，其中：满足招标文件要求且投标价格最低的为评标基准价，其价格分为满分。其他投标人的价格分统一按照下列公式计算：投标报价得分=（评标基准价／投标报价）×投标报价满分分值。得分保留2位小数。</w:t>
            </w:r>
          </w:p>
          <w:p w14:paraId="0ED810EE">
            <w:pPr>
              <w:keepNext w:val="0"/>
              <w:keepLines w:val="0"/>
              <w:pageBreakBefore w:val="0"/>
              <w:tabs>
                <w:tab w:val="center" w:pos="4153"/>
                <w:tab w:val="right" w:pos="8306"/>
              </w:tabs>
              <w:overflowPunct/>
              <w:bidi w:val="0"/>
              <w:snapToGrid/>
              <w:spacing w:line="276" w:lineRule="auto"/>
              <w:jc w:val="left"/>
              <w:textAlignment w:val="auto"/>
              <w:rPr>
                <w:sz w:val="21"/>
                <w:szCs w:val="21"/>
              </w:rPr>
            </w:pPr>
            <w:r>
              <w:rPr>
                <w:rFonts w:hint="eastAsia"/>
                <w:sz w:val="21"/>
                <w:szCs w:val="21"/>
              </w:rPr>
              <w:t>2.价格折扣</w:t>
            </w:r>
          </w:p>
          <w:p w14:paraId="4DAA3020">
            <w:pPr>
              <w:keepNext w:val="0"/>
              <w:keepLines w:val="0"/>
              <w:pageBreakBefore w:val="0"/>
              <w:tabs>
                <w:tab w:val="center" w:pos="4153"/>
                <w:tab w:val="right" w:pos="8306"/>
              </w:tabs>
              <w:overflowPunct/>
              <w:bidi w:val="0"/>
              <w:snapToGrid/>
              <w:spacing w:line="276" w:lineRule="auto"/>
              <w:jc w:val="left"/>
              <w:textAlignment w:val="auto"/>
              <w:rPr>
                <w:sz w:val="21"/>
                <w:szCs w:val="21"/>
              </w:rPr>
            </w:pPr>
            <w:r>
              <w:rPr>
                <w:rFonts w:hint="eastAsia"/>
                <w:sz w:val="21"/>
                <w:szCs w:val="21"/>
              </w:rPr>
              <w:t>为贯彻落实政府采购促进中小企业发展管理办法（财库〔2020〕46号）、《财政部关于进一步加大政府采购支持中小企业力度的通知》（财库〔2022〕19号）、《财政部、司法部关于政府采购支持监狱企业发展有关问题的通知》（财库[2014]68号）、《财政部、民政部、中国残疾人联合会关于关于促进残疾人就业政府采购政策的通知》（财库〔2017〕141号）等规定，评审时给予小型或微型企业、监狱企业和残疾人福利性企业10%的价格扣除，用扣除后的价格参与评审。</w:t>
            </w:r>
          </w:p>
          <w:p w14:paraId="35B0656D">
            <w:pPr>
              <w:keepNext w:val="0"/>
              <w:keepLines w:val="0"/>
              <w:pageBreakBefore w:val="0"/>
              <w:tabs>
                <w:tab w:val="center" w:pos="4153"/>
                <w:tab w:val="right" w:pos="8306"/>
              </w:tabs>
              <w:overflowPunct/>
              <w:bidi w:val="0"/>
              <w:snapToGrid/>
              <w:spacing w:line="276" w:lineRule="auto"/>
              <w:jc w:val="left"/>
              <w:textAlignment w:val="auto"/>
              <w:rPr>
                <w:sz w:val="21"/>
                <w:szCs w:val="21"/>
              </w:rPr>
            </w:pPr>
            <w:r>
              <w:rPr>
                <w:rFonts w:hint="eastAsia"/>
                <w:sz w:val="21"/>
                <w:szCs w:val="21"/>
              </w:rPr>
              <w:t>（1）同一供应商，小微企业、监狱、残疾人福利企业产品价格扣除优惠只享受一次，不得重复享受。</w:t>
            </w:r>
          </w:p>
          <w:p w14:paraId="5EB775A3">
            <w:pPr>
              <w:keepNext w:val="0"/>
              <w:keepLines w:val="0"/>
              <w:pageBreakBefore w:val="0"/>
              <w:tabs>
                <w:tab w:val="center" w:pos="4153"/>
                <w:tab w:val="right" w:pos="8306"/>
              </w:tabs>
              <w:overflowPunct/>
              <w:bidi w:val="0"/>
              <w:snapToGrid/>
              <w:spacing w:line="276" w:lineRule="auto"/>
              <w:jc w:val="left"/>
              <w:textAlignment w:val="auto"/>
              <w:rPr>
                <w:sz w:val="21"/>
                <w:szCs w:val="21"/>
              </w:rPr>
            </w:pPr>
            <w:r>
              <w:rPr>
                <w:rFonts w:hint="eastAsia"/>
                <w:sz w:val="21"/>
                <w:szCs w:val="21"/>
              </w:rPr>
              <w:t>（2）供应商如为中小企业，应在投标文件中填写“中小企业声明函”，若不能提供，则价格不予扣除。</w:t>
            </w:r>
          </w:p>
          <w:p w14:paraId="41D30D2E">
            <w:pPr>
              <w:keepNext w:val="0"/>
              <w:keepLines w:val="0"/>
              <w:pageBreakBefore w:val="0"/>
              <w:overflowPunct/>
              <w:bidi w:val="0"/>
              <w:snapToGrid/>
              <w:spacing w:line="276" w:lineRule="auto"/>
              <w:textAlignment w:val="auto"/>
              <w:rPr>
                <w:sz w:val="21"/>
                <w:szCs w:val="21"/>
              </w:rPr>
            </w:pPr>
            <w:r>
              <w:rPr>
                <w:rFonts w:hint="eastAsia"/>
                <w:sz w:val="21"/>
                <w:szCs w:val="21"/>
              </w:rPr>
              <w:t>备注：评标委员会认为投标人的报价明显低于其他通过符合性审查投标人的报价，有可能影响产品质量或者不能诚信履约的，应当要求其在评标现场合理的时间内提供书面说明，并提交相关证明材料；投标人不能合理说明或不能提交有力证明材料证明其报价合理性的，评标委员会应当将其作为无效投标处理。</w:t>
            </w:r>
          </w:p>
        </w:tc>
      </w:tr>
      <w:tr w14:paraId="4DA5C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8" w:type="dxa"/>
            <w:vMerge w:val="restart"/>
            <w:vAlign w:val="center"/>
          </w:tcPr>
          <w:p w14:paraId="36126D86">
            <w:pPr>
              <w:keepNext w:val="0"/>
              <w:keepLines w:val="0"/>
              <w:pageBreakBefore w:val="0"/>
              <w:tabs>
                <w:tab w:val="left" w:pos="0"/>
                <w:tab w:val="left" w:pos="360"/>
              </w:tabs>
              <w:overflowPunct/>
              <w:bidi w:val="0"/>
              <w:snapToGrid/>
              <w:spacing w:line="276" w:lineRule="auto"/>
              <w:jc w:val="center"/>
              <w:textAlignment w:val="auto"/>
              <w:rPr>
                <w:sz w:val="21"/>
                <w:szCs w:val="21"/>
              </w:rPr>
            </w:pPr>
            <w:r>
              <w:rPr>
                <w:rFonts w:hint="eastAsia"/>
                <w:sz w:val="21"/>
                <w:szCs w:val="21"/>
              </w:rPr>
              <w:t>商务部分</w:t>
            </w:r>
          </w:p>
          <w:p w14:paraId="3CCF2A40">
            <w:pPr>
              <w:keepNext w:val="0"/>
              <w:keepLines w:val="0"/>
              <w:pageBreakBefore w:val="0"/>
              <w:overflowPunct/>
              <w:bidi w:val="0"/>
              <w:snapToGrid/>
              <w:spacing w:line="276" w:lineRule="auto"/>
              <w:jc w:val="center"/>
              <w:textAlignment w:val="auto"/>
              <w:rPr>
                <w:sz w:val="21"/>
                <w:szCs w:val="21"/>
              </w:rPr>
            </w:pPr>
            <w:r>
              <w:rPr>
                <w:rFonts w:hint="eastAsia"/>
                <w:sz w:val="21"/>
                <w:szCs w:val="21"/>
              </w:rPr>
              <w:t>（</w:t>
            </w:r>
            <w:r>
              <w:rPr>
                <w:rFonts w:hint="eastAsia"/>
                <w:sz w:val="21"/>
                <w:szCs w:val="21"/>
                <w:lang w:val="en-US" w:eastAsia="zh-CN"/>
              </w:rPr>
              <w:t>19</w:t>
            </w:r>
            <w:r>
              <w:rPr>
                <w:rFonts w:hint="eastAsia"/>
                <w:sz w:val="21"/>
                <w:szCs w:val="21"/>
              </w:rPr>
              <w:t>分）</w:t>
            </w:r>
          </w:p>
        </w:tc>
        <w:tc>
          <w:tcPr>
            <w:tcW w:w="1300" w:type="dxa"/>
            <w:vAlign w:val="center"/>
          </w:tcPr>
          <w:p w14:paraId="2A2E3433">
            <w:pPr>
              <w:keepNext w:val="0"/>
              <w:keepLines w:val="0"/>
              <w:pageBreakBefore w:val="0"/>
              <w:tabs>
                <w:tab w:val="left" w:pos="0"/>
                <w:tab w:val="left" w:pos="360"/>
              </w:tabs>
              <w:overflowPunct/>
              <w:bidi w:val="0"/>
              <w:snapToGrid/>
              <w:spacing w:line="276" w:lineRule="auto"/>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企业业绩</w:t>
            </w:r>
          </w:p>
          <w:p w14:paraId="69E26283">
            <w:pPr>
              <w:keepNext w:val="0"/>
              <w:keepLines w:val="0"/>
              <w:pageBreakBefore w:val="0"/>
              <w:tabs>
                <w:tab w:val="left" w:pos="0"/>
                <w:tab w:val="left" w:pos="360"/>
              </w:tabs>
              <w:overflowPunct/>
              <w:bidi w:val="0"/>
              <w:snapToGrid/>
              <w:spacing w:line="276" w:lineRule="auto"/>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4</w:t>
            </w:r>
            <w:r>
              <w:rPr>
                <w:rFonts w:hint="eastAsia"/>
                <w:color w:val="000000" w:themeColor="text1"/>
                <w:sz w:val="21"/>
                <w:szCs w:val="21"/>
                <w:highlight w:val="none"/>
                <w14:textFill>
                  <w14:solidFill>
                    <w14:schemeClr w14:val="tx1"/>
                  </w14:solidFill>
                </w14:textFill>
              </w:rPr>
              <w:t>分）</w:t>
            </w:r>
          </w:p>
        </w:tc>
        <w:tc>
          <w:tcPr>
            <w:tcW w:w="6741" w:type="dxa"/>
            <w:vAlign w:val="center"/>
          </w:tcPr>
          <w:p w14:paraId="30525F4F">
            <w:pPr>
              <w:keepNext w:val="0"/>
              <w:keepLines w:val="0"/>
              <w:pageBreakBefore w:val="0"/>
              <w:overflowPunct/>
              <w:bidi w:val="0"/>
              <w:snapToGrid/>
              <w:spacing w:line="276" w:lineRule="auto"/>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投标人自2021年1月1日（含）至今具有类似项目销售业绩的，以合同签订时间为准，提供中标（成交）通知书复印件、合同复印件，每提供一项得2分，最高得4分。</w:t>
            </w:r>
          </w:p>
        </w:tc>
      </w:tr>
      <w:tr w14:paraId="04996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8" w:type="dxa"/>
            <w:vMerge w:val="continue"/>
            <w:vAlign w:val="center"/>
          </w:tcPr>
          <w:p w14:paraId="691ADC87">
            <w:pPr>
              <w:keepNext w:val="0"/>
              <w:keepLines w:val="0"/>
              <w:pageBreakBefore w:val="0"/>
              <w:overflowPunct/>
              <w:bidi w:val="0"/>
              <w:snapToGrid/>
              <w:spacing w:line="276" w:lineRule="auto"/>
              <w:textAlignment w:val="auto"/>
            </w:pPr>
          </w:p>
        </w:tc>
        <w:tc>
          <w:tcPr>
            <w:tcW w:w="1300" w:type="dxa"/>
            <w:vAlign w:val="center"/>
          </w:tcPr>
          <w:p w14:paraId="382B01BA">
            <w:pPr>
              <w:keepNext w:val="0"/>
              <w:keepLines w:val="0"/>
              <w:pageBreakBefore w:val="0"/>
              <w:overflowPunct/>
              <w:bidi w:val="0"/>
              <w:snapToGrid/>
              <w:spacing w:line="276" w:lineRule="auto"/>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供应商综合能力（5分）</w:t>
            </w:r>
          </w:p>
        </w:tc>
        <w:tc>
          <w:tcPr>
            <w:tcW w:w="6741" w:type="dxa"/>
            <w:vAlign w:val="center"/>
          </w:tcPr>
          <w:p w14:paraId="1FE52840">
            <w:pPr>
              <w:keepNext w:val="0"/>
              <w:keepLines w:val="0"/>
              <w:pageBreakBefore w:val="0"/>
              <w:wordWrap w:val="0"/>
              <w:overflowPunct/>
              <w:bidi w:val="0"/>
              <w:snapToGrid/>
              <w:spacing w:line="276" w:lineRule="auto"/>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1、ISO9001质量管理体系认证，提供证书得0.5分。</w:t>
            </w:r>
          </w:p>
          <w:p w14:paraId="39110CB1">
            <w:pPr>
              <w:keepNext w:val="0"/>
              <w:keepLines w:val="0"/>
              <w:pageBreakBefore w:val="0"/>
              <w:wordWrap w:val="0"/>
              <w:overflowPunct/>
              <w:bidi w:val="0"/>
              <w:snapToGrid/>
              <w:spacing w:line="276" w:lineRule="auto"/>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r>
              <w:rPr>
                <w:rFonts w:hint="eastAsia"/>
                <w:color w:val="000000" w:themeColor="text1"/>
                <w:sz w:val="21"/>
                <w:szCs w:val="21"/>
                <w:highlight w:val="none"/>
                <w14:textFill>
                  <w14:solidFill>
                    <w14:schemeClr w14:val="tx1"/>
                  </w14:solidFill>
                </w14:textFill>
              </w:rPr>
              <w:t>、ISO14001环境管理体系认证，提供证书得0.5分。</w:t>
            </w:r>
          </w:p>
          <w:p w14:paraId="149BCCC9">
            <w:pPr>
              <w:keepNext w:val="0"/>
              <w:keepLines w:val="0"/>
              <w:pageBreakBefore w:val="0"/>
              <w:wordWrap w:val="0"/>
              <w:overflowPunct/>
              <w:bidi w:val="0"/>
              <w:snapToGrid/>
              <w:spacing w:line="276" w:lineRule="auto"/>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r>
              <w:rPr>
                <w:rFonts w:hint="eastAsia"/>
                <w:color w:val="000000" w:themeColor="text1"/>
                <w:sz w:val="21"/>
                <w:szCs w:val="21"/>
                <w:highlight w:val="none"/>
                <w14:textFill>
                  <w14:solidFill>
                    <w14:schemeClr w14:val="tx1"/>
                  </w14:solidFill>
                </w14:textFill>
              </w:rPr>
              <w:t>、ISO45001职业健康安全体系认证，提供证书得0.5分。</w:t>
            </w:r>
          </w:p>
          <w:p w14:paraId="6FE845E2">
            <w:pPr>
              <w:keepNext w:val="0"/>
              <w:keepLines w:val="0"/>
              <w:pageBreakBefore w:val="0"/>
              <w:wordWrap w:val="0"/>
              <w:overflowPunct/>
              <w:bidi w:val="0"/>
              <w:snapToGrid/>
              <w:spacing w:line="276" w:lineRule="auto"/>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w:t>
            </w:r>
            <w:r>
              <w:rPr>
                <w:rFonts w:hint="eastAsia"/>
                <w:color w:val="000000" w:themeColor="text1"/>
                <w:sz w:val="21"/>
                <w:szCs w:val="21"/>
                <w:highlight w:val="none"/>
                <w14:textFill>
                  <w14:solidFill>
                    <w14:schemeClr w14:val="tx1"/>
                  </w14:solidFill>
                </w14:textFill>
              </w:rPr>
              <w:t>、ISO/IEC27001信息安全管理体系认证，提供证书得0.5分。</w:t>
            </w:r>
          </w:p>
          <w:p w14:paraId="66CBA357">
            <w:pPr>
              <w:keepNext w:val="0"/>
              <w:keepLines w:val="0"/>
              <w:pageBreakBefore w:val="0"/>
              <w:wordWrap w:val="0"/>
              <w:overflowPunct/>
              <w:bidi w:val="0"/>
              <w:snapToGrid/>
              <w:spacing w:line="276" w:lineRule="auto"/>
              <w:textAlignment w:val="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5、具备通信工程施工总承包贰级及以上资质，提供证明材料得3分。</w:t>
            </w:r>
          </w:p>
        </w:tc>
      </w:tr>
      <w:tr w14:paraId="58CA8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8" w:type="dxa"/>
            <w:vMerge w:val="continue"/>
            <w:vAlign w:val="center"/>
          </w:tcPr>
          <w:p w14:paraId="7DDDD50D">
            <w:pPr>
              <w:keepNext w:val="0"/>
              <w:keepLines w:val="0"/>
              <w:pageBreakBefore w:val="0"/>
              <w:wordWrap w:val="0"/>
              <w:overflowPunct/>
              <w:bidi w:val="0"/>
              <w:snapToGrid/>
              <w:spacing w:line="276" w:lineRule="auto"/>
              <w:textAlignment w:val="auto"/>
            </w:pPr>
          </w:p>
        </w:tc>
        <w:tc>
          <w:tcPr>
            <w:tcW w:w="1300" w:type="dxa"/>
            <w:vAlign w:val="center"/>
          </w:tcPr>
          <w:p w14:paraId="37D78238">
            <w:pPr>
              <w:keepNext w:val="0"/>
              <w:keepLines w:val="0"/>
              <w:pageBreakBefore w:val="0"/>
              <w:wordWrap w:val="0"/>
              <w:overflowPunct/>
              <w:bidi w:val="0"/>
              <w:snapToGrid/>
              <w:spacing w:line="276" w:lineRule="auto"/>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项目经理（3分）</w:t>
            </w:r>
          </w:p>
        </w:tc>
        <w:tc>
          <w:tcPr>
            <w:tcW w:w="6741" w:type="dxa"/>
            <w:vAlign w:val="center"/>
          </w:tcPr>
          <w:p w14:paraId="1E6A5006">
            <w:pPr>
              <w:keepNext w:val="0"/>
              <w:keepLines w:val="0"/>
              <w:pageBreakBefore w:val="0"/>
              <w:wordWrap w:val="0"/>
              <w:overflowPunct/>
              <w:bidi w:val="0"/>
              <w:snapToGrid/>
              <w:spacing w:line="276" w:lineRule="auto"/>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r>
              <w:rPr>
                <w:rFonts w:hint="eastAsia"/>
                <w:color w:val="000000" w:themeColor="text1"/>
                <w:sz w:val="21"/>
                <w:szCs w:val="21"/>
                <w:highlight w:val="none"/>
                <w14:textFill>
                  <w14:solidFill>
                    <w14:schemeClr w14:val="tx1"/>
                  </w14:solidFill>
                </w14:textFill>
              </w:rPr>
              <w:t>拟任命的项目经理具备省级人民政府或人社部门颁发职称证书（专业：电子信息、网络、通信类、电子与智能化类相关专业），高级工程师及以上得</w:t>
            </w:r>
            <w:r>
              <w:rPr>
                <w:rFonts w:hint="eastAsia"/>
                <w:color w:val="000000" w:themeColor="text1"/>
                <w:sz w:val="21"/>
                <w:szCs w:val="21"/>
                <w:highlight w:val="none"/>
                <w:lang w:val="en-US" w:eastAsia="zh-CN"/>
                <w14:textFill>
                  <w14:solidFill>
                    <w14:schemeClr w14:val="tx1"/>
                  </w14:solidFill>
                </w14:textFill>
              </w:rPr>
              <w:t>1</w:t>
            </w:r>
            <w:r>
              <w:rPr>
                <w:rFonts w:hint="eastAsia"/>
                <w:color w:val="000000" w:themeColor="text1"/>
                <w:sz w:val="21"/>
                <w:szCs w:val="21"/>
                <w:highlight w:val="none"/>
                <w14:textFill>
                  <w14:solidFill>
                    <w14:schemeClr w14:val="tx1"/>
                  </w14:solidFill>
                </w14:textFill>
              </w:rPr>
              <w:t>分，中级得</w:t>
            </w:r>
            <w:r>
              <w:rPr>
                <w:rFonts w:hint="eastAsia"/>
                <w:color w:val="000000" w:themeColor="text1"/>
                <w:sz w:val="21"/>
                <w:szCs w:val="21"/>
                <w:highlight w:val="none"/>
                <w:lang w:val="en-US" w:eastAsia="zh-CN"/>
                <w14:textFill>
                  <w14:solidFill>
                    <w14:schemeClr w14:val="tx1"/>
                  </w14:solidFill>
                </w14:textFill>
              </w:rPr>
              <w:t>0.5</w:t>
            </w:r>
            <w:r>
              <w:rPr>
                <w:rFonts w:hint="eastAsia"/>
                <w:color w:val="000000" w:themeColor="text1"/>
                <w:sz w:val="21"/>
                <w:szCs w:val="21"/>
                <w:highlight w:val="none"/>
                <w14:textFill>
                  <w14:solidFill>
                    <w14:schemeClr w14:val="tx1"/>
                  </w14:solidFill>
                </w14:textFill>
              </w:rPr>
              <w:t>分，初级职称或无职称不得分（需提供证书复印件/扫描件和社保缴纳证明（投标前1个月）复印件/扫描件，否则不得分）</w:t>
            </w:r>
          </w:p>
          <w:p w14:paraId="106346C1">
            <w:pPr>
              <w:keepNext w:val="0"/>
              <w:keepLines w:val="0"/>
              <w:pageBreakBefore w:val="0"/>
              <w:wordWrap w:val="0"/>
              <w:overflowPunct/>
              <w:bidi w:val="0"/>
              <w:snapToGrid/>
              <w:spacing w:line="276" w:lineRule="auto"/>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拟任命的项目经理具备一级注册建造师证书（通信与广电工程）资格，具备有效的安全生产考核合格证书（B证），并提供本项目投标截止日前1年内任意三个月的缴纳社保证明或者劳动合同，且未有正在施工项目中担任项目经理（由投标人出具承诺书并加盖公章，格式自拟），提供证明材料满足以上条件的得2分，不能完全满足的不得分。</w:t>
            </w:r>
          </w:p>
        </w:tc>
      </w:tr>
      <w:tr w14:paraId="1267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8" w:type="dxa"/>
            <w:vMerge w:val="continue"/>
            <w:vAlign w:val="center"/>
          </w:tcPr>
          <w:p w14:paraId="4C63A6A9">
            <w:pPr>
              <w:keepNext w:val="0"/>
              <w:keepLines w:val="0"/>
              <w:pageBreakBefore w:val="0"/>
              <w:wordWrap w:val="0"/>
              <w:overflowPunct/>
              <w:bidi w:val="0"/>
              <w:snapToGrid/>
              <w:spacing w:line="276" w:lineRule="auto"/>
              <w:textAlignment w:val="auto"/>
            </w:pPr>
          </w:p>
        </w:tc>
        <w:tc>
          <w:tcPr>
            <w:tcW w:w="1300" w:type="dxa"/>
            <w:vAlign w:val="center"/>
          </w:tcPr>
          <w:p w14:paraId="476EA1A1">
            <w:pPr>
              <w:keepNext w:val="0"/>
              <w:keepLines w:val="0"/>
              <w:pageBreakBefore w:val="0"/>
              <w:wordWrap w:val="0"/>
              <w:overflowPunct/>
              <w:bidi w:val="0"/>
              <w:snapToGrid/>
              <w:spacing w:line="276" w:lineRule="auto"/>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项目组成员（5分）</w:t>
            </w:r>
          </w:p>
        </w:tc>
        <w:tc>
          <w:tcPr>
            <w:tcW w:w="6741" w:type="dxa"/>
            <w:vAlign w:val="center"/>
          </w:tcPr>
          <w:p w14:paraId="670AD151">
            <w:pPr>
              <w:pStyle w:val="42"/>
              <w:keepNext w:val="0"/>
              <w:keepLines w:val="0"/>
              <w:pageBreakBefore w:val="0"/>
              <w:widowControl w:val="0"/>
              <w:kinsoku/>
              <w:wordWrap/>
              <w:overflowPunct/>
              <w:topLinePunct w:val="0"/>
              <w:autoSpaceDE/>
              <w:autoSpaceDN/>
              <w:bidi w:val="0"/>
              <w:adjustRightInd/>
              <w:snapToGrid/>
              <w:spacing w:line="276" w:lineRule="auto"/>
              <w:ind w:left="0" w:right="0" w:firstLine="0"/>
              <w:jc w:val="left"/>
              <w:textAlignment w:val="auto"/>
              <w:rPr>
                <w:rFonts w:hint="eastAsia" w:ascii="宋体" w:hAnsi="宋体" w:eastAsia="宋体" w:cs="TimesNewRomanPSMT"/>
                <w:color w:val="000000" w:themeColor="text1"/>
                <w:kern w:val="0"/>
                <w:sz w:val="21"/>
                <w:szCs w:val="21"/>
                <w:highlight w:val="none"/>
                <w:lang w:val="en-US" w:eastAsia="zh-CN"/>
                <w14:textFill>
                  <w14:solidFill>
                    <w14:schemeClr w14:val="tx1"/>
                  </w14:solidFill>
                </w14:textFill>
              </w:rPr>
            </w:pPr>
            <w:r>
              <w:rPr>
                <w:rFonts w:hint="eastAsia" w:cs="TimesNewRomanPSMT"/>
                <w:color w:val="000000" w:themeColor="text1"/>
                <w:kern w:val="0"/>
                <w:sz w:val="21"/>
                <w:szCs w:val="21"/>
                <w:highlight w:val="none"/>
                <w:lang w:val="en-US" w:eastAsia="zh-CN"/>
                <w14:textFill>
                  <w14:solidFill>
                    <w14:schemeClr w14:val="tx1"/>
                  </w14:solidFill>
                </w14:textFill>
              </w:rPr>
              <w:t>1</w:t>
            </w:r>
            <w:r>
              <w:rPr>
                <w:rFonts w:hint="eastAsia" w:ascii="宋体" w:hAnsi="宋体" w:eastAsia="宋体" w:cs="TimesNewRomanPSMT"/>
                <w:color w:val="000000" w:themeColor="text1"/>
                <w:kern w:val="0"/>
                <w:sz w:val="21"/>
                <w:szCs w:val="21"/>
                <w:highlight w:val="none"/>
                <w:lang w:val="en-US" w:eastAsia="zh-CN"/>
                <w14:textFill>
                  <w14:solidFill>
                    <w14:schemeClr w14:val="tx1"/>
                  </w14:solidFill>
                </w14:textFill>
              </w:rPr>
              <w:t>、</w:t>
            </w:r>
            <w:r>
              <w:rPr>
                <w:rFonts w:hint="eastAsia" w:cs="TimesNewRomanPSMT"/>
                <w:color w:val="000000" w:themeColor="text1"/>
                <w:kern w:val="0"/>
                <w:sz w:val="21"/>
                <w:szCs w:val="21"/>
                <w:highlight w:val="none"/>
                <w:lang w:val="en-US" w:eastAsia="zh-CN"/>
                <w14:textFill>
                  <w14:solidFill>
                    <w14:schemeClr w14:val="tx1"/>
                  </w14:solidFill>
                </w14:textFill>
              </w:rPr>
              <w:t>除项目经理以外，</w:t>
            </w:r>
            <w:r>
              <w:rPr>
                <w:rFonts w:hint="eastAsia" w:ascii="宋体" w:hAnsi="宋体" w:eastAsia="宋体" w:cs="TimesNewRomanPSMT"/>
                <w:color w:val="000000" w:themeColor="text1"/>
                <w:kern w:val="0"/>
                <w:sz w:val="21"/>
                <w:szCs w:val="21"/>
                <w:highlight w:val="none"/>
                <w:lang w:val="en-US" w:eastAsia="zh-CN"/>
                <w14:textFill>
                  <w14:solidFill>
                    <w14:schemeClr w14:val="tx1"/>
                  </w14:solidFill>
                </w14:textFill>
              </w:rPr>
              <w:t>拟投入人员具有省级人民政府或人社部门颁发高级工程师职称证（专业：电子信息、网络、通信类、电子与智能化相关专业）的，每人得0.5分，满分2分；</w:t>
            </w:r>
          </w:p>
          <w:p w14:paraId="6B27993B">
            <w:pPr>
              <w:pStyle w:val="42"/>
              <w:keepNext w:val="0"/>
              <w:keepLines w:val="0"/>
              <w:pageBreakBefore w:val="0"/>
              <w:widowControl w:val="0"/>
              <w:kinsoku/>
              <w:wordWrap/>
              <w:overflowPunct/>
              <w:topLinePunct w:val="0"/>
              <w:autoSpaceDE/>
              <w:autoSpaceDN/>
              <w:bidi w:val="0"/>
              <w:adjustRightInd/>
              <w:snapToGrid/>
              <w:spacing w:line="276" w:lineRule="auto"/>
              <w:ind w:left="0" w:right="0" w:firstLine="0"/>
              <w:jc w:val="left"/>
              <w:textAlignment w:val="auto"/>
              <w:rPr>
                <w:rFonts w:hint="eastAsia" w:ascii="宋体" w:hAnsi="宋体" w:eastAsia="宋体" w:cs="TimesNewRomanPSMT"/>
                <w:color w:val="000000" w:themeColor="text1"/>
                <w:kern w:val="0"/>
                <w:sz w:val="21"/>
                <w:szCs w:val="21"/>
                <w:highlight w:val="none"/>
                <w:lang w:val="en-US" w:eastAsia="zh-CN"/>
                <w14:textFill>
                  <w14:solidFill>
                    <w14:schemeClr w14:val="tx1"/>
                  </w14:solidFill>
                </w14:textFill>
              </w:rPr>
            </w:pPr>
            <w:r>
              <w:rPr>
                <w:rFonts w:hint="eastAsia" w:cs="TimesNewRomanPSMT"/>
                <w:color w:val="000000" w:themeColor="text1"/>
                <w:kern w:val="0"/>
                <w:sz w:val="21"/>
                <w:szCs w:val="21"/>
                <w:highlight w:val="none"/>
                <w:lang w:val="en-US" w:eastAsia="zh-CN"/>
                <w14:textFill>
                  <w14:solidFill>
                    <w14:schemeClr w14:val="tx1"/>
                  </w14:solidFill>
                </w14:textFill>
              </w:rPr>
              <w:t>2</w:t>
            </w:r>
            <w:r>
              <w:rPr>
                <w:rFonts w:hint="eastAsia" w:ascii="宋体" w:hAnsi="宋体" w:eastAsia="宋体" w:cs="TimesNewRomanPSMT"/>
                <w:color w:val="000000" w:themeColor="text1"/>
                <w:kern w:val="0"/>
                <w:sz w:val="21"/>
                <w:szCs w:val="21"/>
                <w:highlight w:val="none"/>
                <w:lang w:val="en-US" w:eastAsia="zh-CN"/>
                <w14:textFill>
                  <w14:solidFill>
                    <w14:schemeClr w14:val="tx1"/>
                  </w14:solidFill>
                </w14:textFill>
              </w:rPr>
              <w:t>、拟投入人员具有一级注册造价师资格证书（安装工程）的，每人得0.5分，满分0.5分；</w:t>
            </w:r>
          </w:p>
          <w:p w14:paraId="1144FE91">
            <w:pPr>
              <w:pStyle w:val="42"/>
              <w:keepNext w:val="0"/>
              <w:keepLines w:val="0"/>
              <w:pageBreakBefore w:val="0"/>
              <w:widowControl w:val="0"/>
              <w:kinsoku/>
              <w:wordWrap/>
              <w:overflowPunct/>
              <w:topLinePunct w:val="0"/>
              <w:autoSpaceDE/>
              <w:autoSpaceDN/>
              <w:bidi w:val="0"/>
              <w:adjustRightInd/>
              <w:snapToGrid/>
              <w:spacing w:line="276" w:lineRule="auto"/>
              <w:ind w:left="0" w:right="0" w:firstLine="0"/>
              <w:jc w:val="left"/>
              <w:textAlignment w:val="auto"/>
              <w:rPr>
                <w:rFonts w:hint="eastAsia" w:ascii="宋体" w:hAnsi="宋体" w:eastAsia="宋体" w:cs="TimesNewRomanPSMT"/>
                <w:color w:val="000000" w:themeColor="text1"/>
                <w:kern w:val="0"/>
                <w:sz w:val="21"/>
                <w:szCs w:val="21"/>
                <w:highlight w:val="none"/>
                <w:lang w:val="en-US" w:eastAsia="zh-CN"/>
                <w14:textFill>
                  <w14:solidFill>
                    <w14:schemeClr w14:val="tx1"/>
                  </w14:solidFill>
                </w14:textFill>
              </w:rPr>
            </w:pPr>
            <w:r>
              <w:rPr>
                <w:rFonts w:hint="eastAsia" w:cs="TimesNewRomanPSMT"/>
                <w:color w:val="000000" w:themeColor="text1"/>
                <w:kern w:val="0"/>
                <w:sz w:val="21"/>
                <w:szCs w:val="21"/>
                <w:highlight w:val="none"/>
                <w:lang w:val="en-US" w:eastAsia="zh-CN"/>
                <w14:textFill>
                  <w14:solidFill>
                    <w14:schemeClr w14:val="tx1"/>
                  </w14:solidFill>
                </w14:textFill>
              </w:rPr>
              <w:t>3</w:t>
            </w:r>
            <w:r>
              <w:rPr>
                <w:rFonts w:hint="eastAsia" w:ascii="宋体" w:hAnsi="宋体" w:eastAsia="宋体" w:cs="TimesNewRomanPSMT"/>
                <w:color w:val="000000" w:themeColor="text1"/>
                <w:kern w:val="0"/>
                <w:sz w:val="21"/>
                <w:szCs w:val="21"/>
                <w:highlight w:val="none"/>
                <w:lang w:val="en-US" w:eastAsia="zh-CN"/>
                <w14:textFill>
                  <w14:solidFill>
                    <w14:schemeClr w14:val="tx1"/>
                  </w14:solidFill>
                </w14:textFill>
              </w:rPr>
              <w:t>、拟投入人员具有信息系统项目管理师证书的，每人得0.5分，满分0.5分。</w:t>
            </w:r>
          </w:p>
          <w:p w14:paraId="10F002F1">
            <w:pPr>
              <w:pStyle w:val="42"/>
              <w:keepNext w:val="0"/>
              <w:keepLines w:val="0"/>
              <w:pageBreakBefore w:val="0"/>
              <w:widowControl w:val="0"/>
              <w:kinsoku/>
              <w:wordWrap/>
              <w:overflowPunct/>
              <w:topLinePunct w:val="0"/>
              <w:autoSpaceDE/>
              <w:autoSpaceDN/>
              <w:bidi w:val="0"/>
              <w:adjustRightInd/>
              <w:snapToGrid/>
              <w:spacing w:line="276" w:lineRule="auto"/>
              <w:ind w:left="0" w:right="0" w:firstLine="0"/>
              <w:jc w:val="left"/>
              <w:textAlignment w:val="auto"/>
              <w:rPr>
                <w:rFonts w:hint="eastAsia" w:ascii="宋体" w:hAnsi="宋体" w:eastAsia="宋体" w:cs="TimesNewRomanPSMT"/>
                <w:color w:val="000000" w:themeColor="text1"/>
                <w:kern w:val="0"/>
                <w:sz w:val="21"/>
                <w:szCs w:val="21"/>
                <w:highlight w:val="none"/>
                <w:lang w:val="en-US" w:eastAsia="zh-CN"/>
                <w14:textFill>
                  <w14:solidFill>
                    <w14:schemeClr w14:val="tx1"/>
                  </w14:solidFill>
                </w14:textFill>
              </w:rPr>
            </w:pPr>
            <w:r>
              <w:rPr>
                <w:rFonts w:hint="eastAsia" w:cs="TimesNewRomanPSMT"/>
                <w:color w:val="000000" w:themeColor="text1"/>
                <w:kern w:val="0"/>
                <w:sz w:val="21"/>
                <w:szCs w:val="21"/>
                <w:highlight w:val="none"/>
                <w:lang w:val="en-US" w:eastAsia="zh-CN"/>
                <w14:textFill>
                  <w14:solidFill>
                    <w14:schemeClr w14:val="tx1"/>
                  </w14:solidFill>
                </w14:textFill>
              </w:rPr>
              <w:t>4</w:t>
            </w:r>
            <w:r>
              <w:rPr>
                <w:rFonts w:hint="eastAsia" w:ascii="宋体" w:hAnsi="宋体" w:eastAsia="宋体" w:cs="TimesNewRomanPSMT"/>
                <w:color w:val="000000" w:themeColor="text1"/>
                <w:kern w:val="0"/>
                <w:sz w:val="21"/>
                <w:szCs w:val="21"/>
                <w:highlight w:val="none"/>
                <w:lang w:val="en-US" w:eastAsia="zh-CN"/>
                <w14:textFill>
                  <w14:solidFill>
                    <w14:schemeClr w14:val="tx1"/>
                  </w14:solidFill>
                </w14:textFill>
              </w:rPr>
              <w:t>、拟投入人员具有</w:t>
            </w:r>
            <w:r>
              <w:rPr>
                <w:rFonts w:hint="eastAsia" w:cs="TimesNewRomanPSMT"/>
                <w:color w:val="000000" w:themeColor="text1"/>
                <w:kern w:val="0"/>
                <w:sz w:val="21"/>
                <w:szCs w:val="21"/>
                <w:highlight w:val="none"/>
                <w:lang w:val="en-US" w:eastAsia="zh-CN"/>
                <w14:textFill>
                  <w14:solidFill>
                    <w14:schemeClr w14:val="tx1"/>
                  </w14:solidFill>
                </w14:textFill>
              </w:rPr>
              <w:t>应急管理部</w:t>
            </w:r>
            <w:r>
              <w:rPr>
                <w:rFonts w:hint="eastAsia" w:ascii="宋体" w:hAnsi="宋体" w:eastAsia="宋体" w:cs="TimesNewRomanPSMT"/>
                <w:color w:val="000000" w:themeColor="text1"/>
                <w:kern w:val="0"/>
                <w:sz w:val="21"/>
                <w:szCs w:val="21"/>
                <w:highlight w:val="none"/>
                <w:lang w:val="en-US" w:eastAsia="zh-CN"/>
                <w14:textFill>
                  <w14:solidFill>
                    <w14:schemeClr w14:val="tx1"/>
                  </w14:solidFill>
                </w14:textFill>
              </w:rPr>
              <w:t>颁发的有效的注册安全工程师的，每人得</w:t>
            </w:r>
            <w:r>
              <w:rPr>
                <w:rFonts w:hint="eastAsia" w:cs="TimesNewRomanPSMT"/>
                <w:color w:val="000000" w:themeColor="text1"/>
                <w:kern w:val="0"/>
                <w:sz w:val="21"/>
                <w:szCs w:val="21"/>
                <w:highlight w:val="none"/>
                <w:lang w:val="en-US" w:eastAsia="zh-CN"/>
                <w14:textFill>
                  <w14:solidFill>
                    <w14:schemeClr w14:val="tx1"/>
                  </w14:solidFill>
                </w14:textFill>
              </w:rPr>
              <w:t>1</w:t>
            </w:r>
            <w:r>
              <w:rPr>
                <w:rFonts w:hint="eastAsia" w:ascii="宋体" w:hAnsi="宋体" w:eastAsia="宋体" w:cs="TimesNewRomanPSMT"/>
                <w:color w:val="000000" w:themeColor="text1"/>
                <w:kern w:val="0"/>
                <w:sz w:val="21"/>
                <w:szCs w:val="21"/>
                <w:highlight w:val="none"/>
                <w:lang w:val="en-US" w:eastAsia="zh-CN"/>
                <w14:textFill>
                  <w14:solidFill>
                    <w14:schemeClr w14:val="tx1"/>
                  </w14:solidFill>
                </w14:textFill>
              </w:rPr>
              <w:t>分，满分1分；</w:t>
            </w:r>
          </w:p>
          <w:p w14:paraId="10DFCA49">
            <w:pPr>
              <w:pStyle w:val="42"/>
              <w:keepNext w:val="0"/>
              <w:keepLines w:val="0"/>
              <w:pageBreakBefore w:val="0"/>
              <w:widowControl w:val="0"/>
              <w:kinsoku/>
              <w:wordWrap/>
              <w:overflowPunct/>
              <w:topLinePunct w:val="0"/>
              <w:autoSpaceDE/>
              <w:autoSpaceDN/>
              <w:bidi w:val="0"/>
              <w:adjustRightInd/>
              <w:snapToGrid/>
              <w:spacing w:line="276" w:lineRule="auto"/>
              <w:ind w:left="0" w:right="0" w:firstLine="0"/>
              <w:jc w:val="left"/>
              <w:textAlignment w:val="auto"/>
              <w:rPr>
                <w:rFonts w:hint="eastAsia" w:ascii="宋体" w:hAnsi="宋体" w:eastAsia="宋体" w:cs="TimesNewRomanPSMT"/>
                <w:color w:val="000000" w:themeColor="text1"/>
                <w:kern w:val="0"/>
                <w:sz w:val="21"/>
                <w:szCs w:val="21"/>
                <w:highlight w:val="none"/>
                <w:lang w:val="en-US" w:eastAsia="zh-CN"/>
                <w14:textFill>
                  <w14:solidFill>
                    <w14:schemeClr w14:val="tx1"/>
                  </w14:solidFill>
                </w14:textFill>
              </w:rPr>
            </w:pPr>
            <w:r>
              <w:rPr>
                <w:rFonts w:hint="eastAsia" w:cs="TimesNewRomanPSMT"/>
                <w:color w:val="000000" w:themeColor="text1"/>
                <w:kern w:val="0"/>
                <w:sz w:val="21"/>
                <w:szCs w:val="21"/>
                <w:highlight w:val="none"/>
                <w:lang w:val="en-US" w:eastAsia="zh-CN"/>
                <w14:textFill>
                  <w14:solidFill>
                    <w14:schemeClr w14:val="tx1"/>
                  </w14:solidFill>
                </w14:textFill>
              </w:rPr>
              <w:t>5</w:t>
            </w:r>
            <w:r>
              <w:rPr>
                <w:rFonts w:hint="eastAsia" w:ascii="宋体" w:hAnsi="宋体" w:eastAsia="宋体" w:cs="TimesNewRomanPSMT"/>
                <w:color w:val="000000" w:themeColor="text1"/>
                <w:kern w:val="0"/>
                <w:sz w:val="21"/>
                <w:szCs w:val="21"/>
                <w:highlight w:val="none"/>
                <w:lang w:val="en-US" w:eastAsia="zh-CN"/>
                <w14:textFill>
                  <w14:solidFill>
                    <w14:schemeClr w14:val="tx1"/>
                  </w14:solidFill>
                </w14:textFill>
              </w:rPr>
              <w:t>、拟投入人员具有应急管理部门监制的电工证、登高证等证书的（同时有电工证、登高证等证书人员不重复统计），每人得0.5分，满分1分；</w:t>
            </w:r>
          </w:p>
          <w:p w14:paraId="0493ECFC">
            <w:pPr>
              <w:keepNext w:val="0"/>
              <w:keepLines w:val="0"/>
              <w:pageBreakBefore w:val="0"/>
              <w:wordWrap w:val="0"/>
              <w:overflowPunct/>
              <w:bidi w:val="0"/>
              <w:snapToGrid/>
              <w:spacing w:line="276" w:lineRule="auto"/>
              <w:textAlignment w:val="auto"/>
              <w:rPr>
                <w:color w:val="000000" w:themeColor="text1"/>
                <w:highlight w:val="none"/>
                <w14:textFill>
                  <w14:solidFill>
                    <w14:schemeClr w14:val="tx1"/>
                  </w14:solidFill>
                </w14:textFill>
              </w:rPr>
            </w:pPr>
            <w:r>
              <w:rPr>
                <w:rFonts w:hint="eastAsia" w:ascii="宋体" w:hAnsi="宋体" w:eastAsia="宋体" w:cs="TimesNewRomanPSMT"/>
                <w:color w:val="000000" w:themeColor="text1"/>
                <w:kern w:val="0"/>
                <w:sz w:val="21"/>
                <w:szCs w:val="21"/>
                <w:highlight w:val="none"/>
                <w:lang w:val="en-US" w:eastAsia="zh-CN"/>
                <w14:textFill>
                  <w14:solidFill>
                    <w14:schemeClr w14:val="tx1"/>
                  </w14:solidFill>
                </w14:textFill>
              </w:rPr>
              <w:t>注：以上人员不可复用，需提供团队成员的证书复印件/扫描件和社保缴纳证明（投标前1个月）复印件/扫描件，否则不得分</w:t>
            </w:r>
          </w:p>
        </w:tc>
      </w:tr>
      <w:tr w14:paraId="2329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8" w:type="dxa"/>
            <w:vMerge w:val="continue"/>
            <w:vAlign w:val="center"/>
          </w:tcPr>
          <w:p w14:paraId="7C707B5A">
            <w:pPr>
              <w:keepNext w:val="0"/>
              <w:keepLines w:val="0"/>
              <w:pageBreakBefore w:val="0"/>
              <w:overflowPunct/>
              <w:bidi w:val="0"/>
              <w:snapToGrid/>
              <w:spacing w:line="276" w:lineRule="auto"/>
              <w:jc w:val="center"/>
              <w:textAlignment w:val="auto"/>
              <w:rPr>
                <w:sz w:val="21"/>
                <w:szCs w:val="21"/>
              </w:rPr>
            </w:pPr>
          </w:p>
        </w:tc>
        <w:tc>
          <w:tcPr>
            <w:tcW w:w="1300" w:type="dxa"/>
            <w:vAlign w:val="center"/>
          </w:tcPr>
          <w:p w14:paraId="4F957F65">
            <w:pPr>
              <w:keepNext w:val="0"/>
              <w:keepLines w:val="0"/>
              <w:pageBreakBefore w:val="0"/>
              <w:overflowPunct/>
              <w:bidi w:val="0"/>
              <w:snapToGrid/>
              <w:spacing w:line="276" w:lineRule="auto"/>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售后服务方案（</w:t>
            </w:r>
            <w:r>
              <w:rPr>
                <w:rFonts w:hint="eastAsia"/>
                <w:color w:val="000000" w:themeColor="text1"/>
                <w:sz w:val="21"/>
                <w:szCs w:val="21"/>
                <w:lang w:val="en-US" w:eastAsia="zh-CN"/>
                <w14:textFill>
                  <w14:solidFill>
                    <w14:schemeClr w14:val="tx1"/>
                  </w14:solidFill>
                </w14:textFill>
              </w:rPr>
              <w:t>2</w:t>
            </w:r>
            <w:r>
              <w:rPr>
                <w:rFonts w:hint="eastAsia"/>
                <w:color w:val="000000" w:themeColor="text1"/>
                <w:sz w:val="21"/>
                <w:szCs w:val="21"/>
                <w14:textFill>
                  <w14:solidFill>
                    <w14:schemeClr w14:val="tx1"/>
                  </w14:solidFill>
                </w14:textFill>
              </w:rPr>
              <w:t>分）</w:t>
            </w:r>
          </w:p>
        </w:tc>
        <w:tc>
          <w:tcPr>
            <w:tcW w:w="6741" w:type="dxa"/>
            <w:vAlign w:val="center"/>
          </w:tcPr>
          <w:p w14:paraId="4E7742D8">
            <w:pPr>
              <w:keepNext w:val="0"/>
              <w:keepLines w:val="0"/>
              <w:pageBreakBefore w:val="0"/>
              <w:overflowPunct/>
              <w:bidi w:val="0"/>
              <w:snapToGrid/>
              <w:spacing w:line="276" w:lineRule="auto"/>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投标人根据本项目需要，制定完善的售后服务方案。售后服务方案应包括但不限于：售后</w:t>
            </w:r>
            <w:r>
              <w:rPr>
                <w:rFonts w:hint="eastAsia" w:cs="TimesNewRomanPSMT"/>
                <w:color w:val="000000" w:themeColor="text1"/>
                <w:kern w:val="0"/>
                <w:sz w:val="21"/>
                <w:szCs w:val="21"/>
                <w14:textFill>
                  <w14:solidFill>
                    <w14:schemeClr w14:val="tx1"/>
                  </w14:solidFill>
                </w14:textFill>
              </w:rPr>
              <w:t>机构设置、人员配置、设备配置、</w:t>
            </w:r>
            <w:r>
              <w:rPr>
                <w:rFonts w:hint="eastAsia"/>
                <w:color w:val="000000" w:themeColor="text1"/>
                <w:sz w:val="21"/>
                <w:szCs w:val="21"/>
                <w14:textFill>
                  <w14:solidFill>
                    <w14:schemeClr w14:val="tx1"/>
                  </w14:solidFill>
                </w14:textFill>
              </w:rPr>
              <w:t>售后服务响应机制、质保期或保修期内的售后服务方案及服务承诺、质保期外售后服务的承诺和处理方法、免费维修、更换和保养等进行评审。</w:t>
            </w:r>
          </w:p>
          <w:p w14:paraId="33302D5F">
            <w:pPr>
              <w:keepNext w:val="0"/>
              <w:keepLines w:val="0"/>
              <w:pageBreakBefore w:val="0"/>
              <w:overflowPunct/>
              <w:bidi w:val="0"/>
              <w:snapToGrid/>
              <w:spacing w:line="276" w:lineRule="auto"/>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售后服务方案全面、科学、有效且采购人受益程度高的得</w:t>
            </w:r>
            <w:r>
              <w:rPr>
                <w:rFonts w:hint="eastAsia"/>
                <w:color w:val="000000" w:themeColor="text1"/>
                <w:sz w:val="21"/>
                <w:szCs w:val="21"/>
                <w:lang w:val="en-US" w:eastAsia="zh-CN"/>
                <w14:textFill>
                  <w14:solidFill>
                    <w14:schemeClr w14:val="tx1"/>
                  </w14:solidFill>
                </w14:textFill>
              </w:rPr>
              <w:t>2</w:t>
            </w:r>
            <w:r>
              <w:rPr>
                <w:rFonts w:hint="eastAsia"/>
                <w:color w:val="000000" w:themeColor="text1"/>
                <w:sz w:val="21"/>
                <w:szCs w:val="21"/>
                <w14:textFill>
                  <w14:solidFill>
                    <w14:schemeClr w14:val="tx1"/>
                  </w14:solidFill>
                </w14:textFill>
              </w:rPr>
              <w:t>分；</w:t>
            </w:r>
          </w:p>
          <w:p w14:paraId="4DAE88B0">
            <w:pPr>
              <w:keepNext w:val="0"/>
              <w:keepLines w:val="0"/>
              <w:pageBreakBefore w:val="0"/>
              <w:overflowPunct/>
              <w:bidi w:val="0"/>
              <w:snapToGrid/>
              <w:spacing w:line="276" w:lineRule="auto"/>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售后服务方案一般能满足需要，采购人受益程度较高的得</w:t>
            </w:r>
            <w:r>
              <w:rPr>
                <w:rFonts w:hint="eastAsia"/>
                <w:color w:val="000000" w:themeColor="text1"/>
                <w:sz w:val="21"/>
                <w:szCs w:val="21"/>
                <w:lang w:val="en-US" w:eastAsia="zh-CN"/>
                <w14:textFill>
                  <w14:solidFill>
                    <w14:schemeClr w14:val="tx1"/>
                  </w14:solidFill>
                </w14:textFill>
              </w:rPr>
              <w:t>1</w:t>
            </w:r>
            <w:r>
              <w:rPr>
                <w:rFonts w:hint="eastAsia"/>
                <w:color w:val="000000" w:themeColor="text1"/>
                <w:sz w:val="21"/>
                <w:szCs w:val="21"/>
                <w14:textFill>
                  <w14:solidFill>
                    <w14:schemeClr w14:val="tx1"/>
                  </w14:solidFill>
                </w14:textFill>
              </w:rPr>
              <w:t>分；</w:t>
            </w:r>
          </w:p>
          <w:p w14:paraId="5E3C14BA">
            <w:pPr>
              <w:keepNext w:val="0"/>
              <w:keepLines w:val="0"/>
              <w:pageBreakBefore w:val="0"/>
              <w:overflowPunct/>
              <w:bidi w:val="0"/>
              <w:snapToGrid/>
              <w:spacing w:line="276" w:lineRule="auto"/>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售后服务方案不完整但能基本满足需要，采购人受益程度低的得</w:t>
            </w:r>
            <w:r>
              <w:rPr>
                <w:rFonts w:hint="eastAsia"/>
                <w:color w:val="000000" w:themeColor="text1"/>
                <w:sz w:val="21"/>
                <w:szCs w:val="21"/>
                <w:lang w:val="en-US" w:eastAsia="zh-CN"/>
                <w14:textFill>
                  <w14:solidFill>
                    <w14:schemeClr w14:val="tx1"/>
                  </w14:solidFill>
                </w14:textFill>
              </w:rPr>
              <w:t>0.5</w:t>
            </w:r>
            <w:r>
              <w:rPr>
                <w:rFonts w:hint="eastAsia"/>
                <w:color w:val="000000" w:themeColor="text1"/>
                <w:sz w:val="21"/>
                <w:szCs w:val="21"/>
                <w14:textFill>
                  <w14:solidFill>
                    <w14:schemeClr w14:val="tx1"/>
                  </w14:solidFill>
                </w14:textFill>
              </w:rPr>
              <w:t>分；售后服务方案存在明显缺陷的或无方案的不得分。</w:t>
            </w:r>
          </w:p>
        </w:tc>
      </w:tr>
      <w:tr w14:paraId="1F1E4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8" w:type="dxa"/>
            <w:vMerge w:val="restart"/>
            <w:vAlign w:val="center"/>
          </w:tcPr>
          <w:p w14:paraId="0F3F26DA">
            <w:pPr>
              <w:keepNext w:val="0"/>
              <w:keepLines w:val="0"/>
              <w:pageBreakBefore w:val="0"/>
              <w:overflowPunct/>
              <w:bidi w:val="0"/>
              <w:snapToGrid/>
              <w:spacing w:line="276" w:lineRule="auto"/>
              <w:jc w:val="center"/>
              <w:textAlignment w:val="auto"/>
              <w:rPr>
                <w:sz w:val="21"/>
                <w:szCs w:val="21"/>
              </w:rPr>
            </w:pPr>
            <w:r>
              <w:rPr>
                <w:rFonts w:hint="eastAsia"/>
                <w:sz w:val="21"/>
                <w:szCs w:val="21"/>
              </w:rPr>
              <w:t>技术部分</w:t>
            </w:r>
          </w:p>
          <w:p w14:paraId="2EAC5E7F">
            <w:pPr>
              <w:keepNext w:val="0"/>
              <w:keepLines w:val="0"/>
              <w:pageBreakBefore w:val="0"/>
              <w:overflowPunct/>
              <w:bidi w:val="0"/>
              <w:snapToGrid/>
              <w:spacing w:line="276" w:lineRule="auto"/>
              <w:jc w:val="center"/>
              <w:textAlignment w:val="auto"/>
              <w:rPr>
                <w:sz w:val="21"/>
                <w:szCs w:val="21"/>
              </w:rPr>
            </w:pPr>
            <w:r>
              <w:rPr>
                <w:rFonts w:hint="eastAsia"/>
                <w:sz w:val="21"/>
                <w:szCs w:val="21"/>
              </w:rPr>
              <w:t>（</w:t>
            </w:r>
            <w:r>
              <w:rPr>
                <w:rFonts w:hint="eastAsia"/>
                <w:sz w:val="21"/>
                <w:szCs w:val="21"/>
                <w:lang w:val="en-US" w:eastAsia="zh-CN"/>
              </w:rPr>
              <w:t>51</w:t>
            </w:r>
            <w:r>
              <w:rPr>
                <w:rFonts w:hint="eastAsia"/>
                <w:sz w:val="21"/>
                <w:szCs w:val="21"/>
              </w:rPr>
              <w:t>分）</w:t>
            </w:r>
          </w:p>
        </w:tc>
        <w:tc>
          <w:tcPr>
            <w:tcW w:w="1300" w:type="dxa"/>
            <w:vAlign w:val="center"/>
          </w:tcPr>
          <w:p w14:paraId="78514B39">
            <w:pPr>
              <w:keepNext w:val="0"/>
              <w:keepLines w:val="0"/>
              <w:pageBreakBefore w:val="0"/>
              <w:overflowPunct/>
              <w:bidi w:val="0"/>
              <w:snapToGrid/>
              <w:spacing w:line="276" w:lineRule="auto"/>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产品、货物技术参数评审（</w:t>
            </w:r>
            <w:r>
              <w:rPr>
                <w:color w:val="000000" w:themeColor="text1"/>
                <w:sz w:val="21"/>
                <w:szCs w:val="21"/>
                <w:highlight w:val="none"/>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5</w:t>
            </w:r>
            <w:r>
              <w:rPr>
                <w:rFonts w:hint="eastAsia"/>
                <w:color w:val="000000" w:themeColor="text1"/>
                <w:sz w:val="21"/>
                <w:szCs w:val="21"/>
                <w:highlight w:val="none"/>
                <w14:textFill>
                  <w14:solidFill>
                    <w14:schemeClr w14:val="tx1"/>
                  </w14:solidFill>
                </w14:textFill>
              </w:rPr>
              <w:t>分）</w:t>
            </w:r>
          </w:p>
        </w:tc>
        <w:tc>
          <w:tcPr>
            <w:tcW w:w="6741" w:type="dxa"/>
            <w:vAlign w:val="center"/>
          </w:tcPr>
          <w:p w14:paraId="57A0E6F6">
            <w:pPr>
              <w:pStyle w:val="42"/>
              <w:keepNext w:val="0"/>
              <w:keepLines w:val="0"/>
              <w:pageBreakBefore w:val="0"/>
              <w:overflowPunct/>
              <w:bidi w:val="0"/>
              <w:snapToGrid/>
              <w:spacing w:line="276" w:lineRule="auto"/>
              <w:jc w:val="left"/>
              <w:textAlignment w:val="auto"/>
              <w:rPr>
                <w:rFonts w:hint="eastAsia"/>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1、第四章“项目说明和采购需求”中“</w:t>
            </w:r>
            <w:r>
              <w:rPr>
                <w:rFonts w:hint="eastAsia" w:cs="宋体"/>
                <w:b/>
                <w:bCs/>
                <w:sz w:val="21"/>
                <w:szCs w:val="21"/>
                <w:lang w:val="en-US" w:eastAsia="zh-CN"/>
              </w:rPr>
              <w:t>2.</w:t>
            </w:r>
            <w:r>
              <w:rPr>
                <w:rFonts w:hint="eastAsia" w:ascii="宋体" w:hAnsi="宋体" w:eastAsia="宋体" w:cs="宋体"/>
                <w:b/>
                <w:bCs/>
                <w:sz w:val="21"/>
                <w:szCs w:val="21"/>
                <w:lang w:val="en-US" w:eastAsia="zh-CN"/>
              </w:rPr>
              <w:t>多模态网络底座主设备技术要求</w:t>
            </w:r>
            <w:r>
              <w:rPr>
                <w:rFonts w:hint="eastAsia"/>
                <w:b/>
                <w:bCs/>
                <w:color w:val="000000" w:themeColor="text1"/>
                <w:sz w:val="21"/>
                <w:szCs w:val="21"/>
                <w:highlight w:val="none"/>
                <w:lang w:val="en-US" w:eastAsia="zh-CN"/>
                <w14:textFill>
                  <w14:solidFill>
                    <w14:schemeClr w14:val="tx1"/>
                  </w14:solidFill>
                </w14:textFill>
              </w:rPr>
              <w:t>”、“2.综合布线系统主要设备技术要求”标注为“★”条款有任一条不满足，其文件将按无效投标文件处理；</w:t>
            </w:r>
            <w:r>
              <w:rPr>
                <w:rFonts w:hint="eastAsia"/>
                <w:color w:val="000000" w:themeColor="text1"/>
                <w:sz w:val="21"/>
                <w:szCs w:val="21"/>
                <w:highlight w:val="none"/>
                <w:lang w:val="en-US" w:eastAsia="zh-CN"/>
                <w14:textFill>
                  <w14:solidFill>
                    <w14:schemeClr w14:val="tx1"/>
                  </w14:solidFill>
                </w14:textFill>
              </w:rPr>
              <w:t>（技术指标要求供应商需提供具有法律效力的详细描述所响应产品性能特点的产品宣传彩页或公开的官网产品截图或原始生产厂商出具的技术证明函或产品说明书或第三方测试报告等技术证明文件，以证明技术参数及性能的有效性，未提供技术证明文件的视为此参数不满足。</w:t>
            </w:r>
          </w:p>
          <w:p w14:paraId="6D72772E">
            <w:pPr>
              <w:pStyle w:val="42"/>
              <w:keepNext w:val="0"/>
              <w:keepLines w:val="0"/>
              <w:pageBreakBefore w:val="0"/>
              <w:overflowPunct/>
              <w:bidi w:val="0"/>
              <w:snapToGrid/>
              <w:spacing w:line="276" w:lineRule="auto"/>
              <w:jc w:val="left"/>
              <w:textAlignment w:val="auto"/>
              <w:rPr>
                <w:rFonts w:hint="eastAsia"/>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2、第四章“项目说明和采购需求”中“</w:t>
            </w:r>
            <w:r>
              <w:rPr>
                <w:rFonts w:hint="eastAsia" w:cs="宋体"/>
                <w:b/>
                <w:bCs/>
                <w:sz w:val="21"/>
                <w:szCs w:val="21"/>
                <w:lang w:val="en-US" w:eastAsia="zh-CN"/>
              </w:rPr>
              <w:t>2.</w:t>
            </w:r>
            <w:r>
              <w:rPr>
                <w:rFonts w:hint="eastAsia" w:ascii="宋体" w:hAnsi="宋体" w:eastAsia="宋体" w:cs="宋体"/>
                <w:b/>
                <w:bCs/>
                <w:sz w:val="21"/>
                <w:szCs w:val="21"/>
                <w:lang w:val="en-US" w:eastAsia="zh-CN"/>
              </w:rPr>
              <w:t>多模态网络底座主设备技术要求</w:t>
            </w:r>
            <w:r>
              <w:rPr>
                <w:rFonts w:hint="eastAsia"/>
                <w:b/>
                <w:bCs/>
                <w:color w:val="000000" w:themeColor="text1"/>
                <w:sz w:val="21"/>
                <w:szCs w:val="21"/>
                <w:highlight w:val="none"/>
                <w:lang w:val="en-US" w:eastAsia="zh-CN"/>
                <w14:textFill>
                  <w14:solidFill>
                    <w14:schemeClr w14:val="tx1"/>
                  </w14:solidFill>
                </w14:textFill>
              </w:rPr>
              <w:t>”、“2.综合布线系统主要设备技术要求”标注为“▲”条款为本项目重要参数共33项，存在负偏离扣1分/项，扣完为止；</w:t>
            </w:r>
            <w:r>
              <w:rPr>
                <w:rFonts w:hint="eastAsia"/>
                <w:color w:val="000000" w:themeColor="text1"/>
                <w:sz w:val="21"/>
                <w:szCs w:val="21"/>
                <w:highlight w:val="none"/>
                <w:lang w:val="en-US" w:eastAsia="zh-CN"/>
                <w14:textFill>
                  <w14:solidFill>
                    <w14:schemeClr w14:val="tx1"/>
                  </w14:solidFill>
                </w14:textFill>
              </w:rPr>
              <w:t>（按照技术参数要求提供证明材料，未提供证明材料的视为此参数不满足。）</w:t>
            </w:r>
          </w:p>
          <w:p w14:paraId="640950D5">
            <w:pPr>
              <w:pStyle w:val="42"/>
              <w:keepNext w:val="0"/>
              <w:keepLines w:val="0"/>
              <w:pageBreakBefore w:val="0"/>
              <w:overflowPunct/>
              <w:bidi w:val="0"/>
              <w:snapToGrid/>
              <w:spacing w:line="276" w:lineRule="auto"/>
              <w:jc w:val="left"/>
              <w:textAlignment w:val="auto"/>
              <w:rPr>
                <w:rFonts w:hint="eastAsia" w:cs="TimesNewRomanPSMT"/>
                <w:color w:val="000000" w:themeColor="text1"/>
                <w:kern w:val="0"/>
                <w:sz w:val="21"/>
                <w:szCs w:val="2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3.</w:t>
            </w:r>
            <w:r>
              <w:rPr>
                <w:rFonts w:hint="eastAsia"/>
                <w:b/>
                <w:bCs/>
                <w:color w:val="000000" w:themeColor="text1"/>
                <w:sz w:val="21"/>
                <w:szCs w:val="21"/>
                <w:highlight w:val="none"/>
                <w:lang w:val="en-US" w:eastAsia="zh-CN"/>
                <w14:textFill>
                  <w14:solidFill>
                    <w14:schemeClr w14:val="tx1"/>
                  </w14:solidFill>
                </w14:textFill>
              </w:rPr>
              <w:t>第四章“项目说明和采购需求”中“</w:t>
            </w:r>
            <w:r>
              <w:rPr>
                <w:rFonts w:hint="eastAsia" w:cs="宋体"/>
                <w:b/>
                <w:bCs/>
                <w:sz w:val="21"/>
                <w:szCs w:val="21"/>
                <w:lang w:val="en-US" w:eastAsia="zh-CN"/>
              </w:rPr>
              <w:t>2.</w:t>
            </w:r>
            <w:r>
              <w:rPr>
                <w:rFonts w:hint="eastAsia" w:ascii="宋体" w:hAnsi="宋体" w:eastAsia="宋体" w:cs="宋体"/>
                <w:b/>
                <w:bCs/>
                <w:sz w:val="21"/>
                <w:szCs w:val="21"/>
                <w:lang w:val="en-US" w:eastAsia="zh-CN"/>
              </w:rPr>
              <w:t>多模态网络底座主设备技术要求</w:t>
            </w:r>
            <w:r>
              <w:rPr>
                <w:rFonts w:hint="eastAsia"/>
                <w:b/>
                <w:bCs/>
                <w:color w:val="000000" w:themeColor="text1"/>
                <w:sz w:val="21"/>
                <w:szCs w:val="21"/>
                <w:highlight w:val="none"/>
                <w:lang w:val="en-US" w:eastAsia="zh-CN"/>
                <w14:textFill>
                  <w14:solidFill>
                    <w14:schemeClr w14:val="tx1"/>
                  </w14:solidFill>
                </w14:textFill>
              </w:rPr>
              <w:t>”、“2.综合布线系统主要设备技术要求”中</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非★和▲号的条款为一般技术指标共</w:t>
            </w:r>
            <w:r>
              <w:rPr>
                <w:rFonts w:hint="eastAsia" w:cs="宋体"/>
                <w:b/>
                <w:bCs/>
                <w:color w:val="000000" w:themeColor="text1"/>
                <w:sz w:val="21"/>
                <w:szCs w:val="21"/>
                <w:highlight w:val="none"/>
                <w:lang w:val="en-US" w:eastAsia="zh-CN"/>
                <w14:textFill>
                  <w14:solidFill>
                    <w14:schemeClr w14:val="tx1"/>
                  </w14:solidFill>
                </w14:textFill>
              </w:rPr>
              <w:t>106</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项，共</w:t>
            </w:r>
            <w:r>
              <w:rPr>
                <w:rFonts w:hint="eastAsia" w:cs="宋体"/>
                <w:b/>
                <w:bCs/>
                <w:color w:val="000000" w:themeColor="text1"/>
                <w:sz w:val="21"/>
                <w:szCs w:val="21"/>
                <w:highlight w:val="none"/>
                <w:lang w:val="en-US" w:eastAsia="zh-CN"/>
                <w14:textFill>
                  <w14:solidFill>
                    <w14:schemeClr w14:val="tx1"/>
                  </w14:solidFill>
                </w14:textFill>
              </w:rPr>
              <w:t>2</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分，每有1项不满足扣0.0</w:t>
            </w:r>
            <w:r>
              <w:rPr>
                <w:rFonts w:hint="eastAsia" w:cs="宋体"/>
                <w:b/>
                <w:bCs/>
                <w:color w:val="000000" w:themeColor="text1"/>
                <w:sz w:val="21"/>
                <w:szCs w:val="21"/>
                <w:highlight w:val="none"/>
                <w:lang w:val="en-US" w:eastAsia="zh-CN"/>
                <w14:textFill>
                  <w14:solidFill>
                    <w14:schemeClr w14:val="tx1"/>
                  </w14:solidFill>
                </w14:textFill>
              </w:rPr>
              <w:t>2</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分</w:t>
            </w:r>
            <w:r>
              <w:rPr>
                <w:rFonts w:hint="eastAsia" w:cs="宋体"/>
                <w:b/>
                <w:bCs/>
                <w:color w:val="000000" w:themeColor="text1"/>
                <w:sz w:val="21"/>
                <w:szCs w:val="21"/>
                <w:highlight w:val="none"/>
                <w:lang w:val="en-US" w:eastAsia="zh-CN"/>
                <w14:textFill>
                  <w14:solidFill>
                    <w14:schemeClr w14:val="tx1"/>
                  </w14:solidFill>
                </w14:textFill>
              </w:rPr>
              <w:t>，扣完为止</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w:t>
            </w:r>
          </w:p>
          <w:p w14:paraId="58C442F3">
            <w:pPr>
              <w:keepNext w:val="0"/>
              <w:keepLines w:val="0"/>
              <w:pageBreakBefore w:val="0"/>
              <w:overflowPunct/>
              <w:bidi w:val="0"/>
              <w:snapToGrid/>
              <w:spacing w:line="276" w:lineRule="auto"/>
              <w:textAlignment w:val="auto"/>
              <w:rPr>
                <w:rFonts w:hint="eastAsia"/>
                <w:color w:val="000000" w:themeColor="text1"/>
                <w:sz w:val="21"/>
                <w:szCs w:val="21"/>
                <w:highlight w:val="none"/>
                <w14:textFill>
                  <w14:solidFill>
                    <w14:schemeClr w14:val="tx1"/>
                  </w14:solidFill>
                </w14:textFill>
              </w:rPr>
            </w:pPr>
            <w:r>
              <w:rPr>
                <w:rFonts w:hint="eastAsia" w:cs="TimesNewRomanPSMT"/>
                <w:color w:val="000000" w:themeColor="text1"/>
                <w:kern w:val="0"/>
                <w:sz w:val="21"/>
                <w:szCs w:val="21"/>
                <w:highlight w:val="none"/>
                <w:lang w:val="en-US" w:eastAsia="zh-CN"/>
                <w14:textFill>
                  <w14:solidFill>
                    <w14:schemeClr w14:val="tx1"/>
                  </w14:solidFill>
                </w14:textFill>
              </w:rPr>
              <w:t>注：</w:t>
            </w:r>
            <w:r>
              <w:rPr>
                <w:rFonts w:hint="eastAsia" w:cs="TimesNewRomanPSMT"/>
                <w:color w:val="000000" w:themeColor="text1"/>
                <w:kern w:val="0"/>
                <w:sz w:val="21"/>
                <w:szCs w:val="21"/>
                <w:highlight w:val="none"/>
                <w14:textFill>
                  <w14:solidFill>
                    <w14:schemeClr w14:val="tx1"/>
                  </w14:solidFill>
                </w14:textFill>
              </w:rPr>
              <w:t>所有技术指标在响应文件的技术要求偏离表中逐项应答是否满足。漏报技术条款视为该条不满足。</w:t>
            </w:r>
          </w:p>
        </w:tc>
      </w:tr>
      <w:tr w14:paraId="22F9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8" w:type="dxa"/>
            <w:vMerge w:val="continue"/>
            <w:vAlign w:val="center"/>
          </w:tcPr>
          <w:p w14:paraId="39A934B5">
            <w:pPr>
              <w:keepNext w:val="0"/>
              <w:keepLines w:val="0"/>
              <w:pageBreakBefore w:val="0"/>
              <w:widowControl/>
              <w:overflowPunct/>
              <w:bidi w:val="0"/>
              <w:snapToGrid/>
              <w:spacing w:line="276" w:lineRule="auto"/>
              <w:jc w:val="left"/>
              <w:textAlignment w:val="auto"/>
              <w:rPr>
                <w:sz w:val="21"/>
                <w:szCs w:val="21"/>
              </w:rPr>
            </w:pPr>
          </w:p>
        </w:tc>
        <w:tc>
          <w:tcPr>
            <w:tcW w:w="1300" w:type="dxa"/>
            <w:vAlign w:val="center"/>
          </w:tcPr>
          <w:p w14:paraId="5401B67E">
            <w:pPr>
              <w:keepNext w:val="0"/>
              <w:keepLines w:val="0"/>
              <w:pageBreakBefore w:val="0"/>
              <w:overflowPunct/>
              <w:bidi w:val="0"/>
              <w:snapToGrid/>
              <w:spacing w:line="276" w:lineRule="auto"/>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项目实施方案（</w:t>
            </w:r>
            <w:r>
              <w:rPr>
                <w:rFonts w:hint="eastAsia"/>
                <w:color w:val="000000" w:themeColor="text1"/>
                <w:sz w:val="21"/>
                <w:szCs w:val="21"/>
                <w:highlight w:val="none"/>
                <w:lang w:val="en-US" w:eastAsia="zh-CN"/>
                <w14:textFill>
                  <w14:solidFill>
                    <w14:schemeClr w14:val="tx1"/>
                  </w14:solidFill>
                </w14:textFill>
              </w:rPr>
              <w:t>4</w:t>
            </w:r>
            <w:r>
              <w:rPr>
                <w:rFonts w:hint="eastAsia"/>
                <w:color w:val="000000" w:themeColor="text1"/>
                <w:sz w:val="21"/>
                <w:szCs w:val="21"/>
                <w:highlight w:val="none"/>
                <w14:textFill>
                  <w14:solidFill>
                    <w14:schemeClr w14:val="tx1"/>
                  </w14:solidFill>
                </w14:textFill>
              </w:rPr>
              <w:t>分）</w:t>
            </w:r>
          </w:p>
        </w:tc>
        <w:tc>
          <w:tcPr>
            <w:tcW w:w="6741" w:type="dxa"/>
            <w:vAlign w:val="center"/>
          </w:tcPr>
          <w:p w14:paraId="7E882F69">
            <w:pPr>
              <w:keepNext w:val="0"/>
              <w:keepLines w:val="0"/>
              <w:pageBreakBefore w:val="0"/>
              <w:overflowPunct/>
              <w:bidi w:val="0"/>
              <w:snapToGrid/>
              <w:spacing w:line="276" w:lineRule="auto"/>
              <w:textAlignment w:val="auto"/>
              <w:rPr>
                <w:rFonts w:cs="TimesNewRomanPSMT"/>
                <w:color w:val="000000" w:themeColor="text1"/>
                <w:kern w:val="0"/>
                <w:sz w:val="21"/>
                <w:szCs w:val="21"/>
                <w:highlight w:val="none"/>
                <w14:textFill>
                  <w14:solidFill>
                    <w14:schemeClr w14:val="tx1"/>
                  </w14:solidFill>
                </w14:textFill>
              </w:rPr>
            </w:pPr>
            <w:r>
              <w:rPr>
                <w:rFonts w:hint="eastAsia" w:cs="TimesNewRomanPSMT"/>
                <w:b/>
                <w:bCs w:val="0"/>
                <w:color w:val="000000" w:themeColor="text1"/>
                <w:kern w:val="0"/>
                <w:sz w:val="21"/>
                <w:szCs w:val="21"/>
                <w:highlight w:val="none"/>
                <w:lang w:val="en-US" w:eastAsia="zh-CN"/>
                <w14:textFill>
                  <w14:solidFill>
                    <w14:schemeClr w14:val="tx1"/>
                  </w14:solidFill>
                </w14:textFill>
              </w:rPr>
              <w:t>1</w:t>
            </w:r>
            <w:r>
              <w:rPr>
                <w:rFonts w:hint="eastAsia" w:cs="TimesNewRomanPSMT"/>
                <w:b/>
                <w:bCs w:val="0"/>
                <w:color w:val="000000" w:themeColor="text1"/>
                <w:kern w:val="0"/>
                <w:sz w:val="21"/>
                <w:szCs w:val="21"/>
                <w:highlight w:val="none"/>
                <w14:textFill>
                  <w14:solidFill>
                    <w14:schemeClr w14:val="tx1"/>
                  </w14:solidFill>
                </w14:textFill>
              </w:rPr>
              <w:t>、项目</w:t>
            </w:r>
            <w:r>
              <w:rPr>
                <w:rFonts w:hint="eastAsia" w:cs="TimesNewRomanPSMT"/>
                <w:b/>
                <w:color w:val="000000" w:themeColor="text1"/>
                <w:kern w:val="0"/>
                <w:sz w:val="21"/>
                <w:szCs w:val="21"/>
                <w:highlight w:val="none"/>
                <w14:textFill>
                  <w14:solidFill>
                    <w14:schemeClr w14:val="tx1"/>
                  </w14:solidFill>
                </w14:textFill>
              </w:rPr>
              <w:t>组织措施：</w:t>
            </w:r>
            <w:r>
              <w:rPr>
                <w:rFonts w:hint="eastAsia" w:cs="TimesNewRomanPSMT"/>
                <w:color w:val="000000" w:themeColor="text1"/>
                <w:kern w:val="0"/>
                <w:sz w:val="21"/>
                <w:szCs w:val="21"/>
                <w:highlight w:val="none"/>
                <w14:textFill>
                  <w14:solidFill>
                    <w14:schemeClr w14:val="tx1"/>
                  </w14:solidFill>
                </w14:textFill>
              </w:rPr>
              <w:t>各项主要内容的措施是否科学先进、计划是否合理可行、流水段的划分、各项交叉作业是否切合实际、合理可行等进行综合评分；（本项</w:t>
            </w:r>
            <w:r>
              <w:rPr>
                <w:rFonts w:cs="TimesNewRomanPSMT"/>
                <w:color w:val="000000" w:themeColor="text1"/>
                <w:kern w:val="0"/>
                <w:sz w:val="21"/>
                <w:szCs w:val="21"/>
                <w:highlight w:val="none"/>
                <w14:textFill>
                  <w14:solidFill>
                    <w14:schemeClr w14:val="tx1"/>
                  </w14:solidFill>
                </w14:textFill>
              </w:rPr>
              <w:t>1</w:t>
            </w:r>
            <w:r>
              <w:rPr>
                <w:rFonts w:hint="eastAsia" w:cs="TimesNewRomanPSMT"/>
                <w:color w:val="000000" w:themeColor="text1"/>
                <w:kern w:val="0"/>
                <w:sz w:val="21"/>
                <w:szCs w:val="21"/>
                <w:highlight w:val="none"/>
                <w14:textFill>
                  <w14:solidFill>
                    <w14:schemeClr w14:val="tx1"/>
                  </w14:solidFill>
                </w14:textFill>
              </w:rPr>
              <w:t>分）</w:t>
            </w:r>
          </w:p>
          <w:p w14:paraId="58CC63F8">
            <w:pPr>
              <w:pStyle w:val="42"/>
              <w:keepNext w:val="0"/>
              <w:keepLines w:val="0"/>
              <w:pageBreakBefore w:val="0"/>
              <w:overflowPunct/>
              <w:bidi w:val="0"/>
              <w:snapToGrid/>
              <w:spacing w:line="276" w:lineRule="auto"/>
              <w:jc w:val="left"/>
              <w:textAlignment w:val="auto"/>
              <w:rPr>
                <w:rFonts w:cs="TimesNewRomanPSMT"/>
                <w:color w:val="000000" w:themeColor="text1"/>
                <w:kern w:val="0"/>
                <w:sz w:val="21"/>
                <w:szCs w:val="21"/>
                <w:highlight w:val="none"/>
                <w:lang w:eastAsia="zh-CN"/>
                <w14:textFill>
                  <w14:solidFill>
                    <w14:schemeClr w14:val="tx1"/>
                  </w14:solidFill>
                </w14:textFill>
              </w:rPr>
            </w:pPr>
            <w:r>
              <w:rPr>
                <w:rFonts w:hint="eastAsia" w:cs="TimesNewRomanPSMT"/>
                <w:b/>
                <w:bCs/>
                <w:color w:val="000000" w:themeColor="text1"/>
                <w:kern w:val="0"/>
                <w:sz w:val="21"/>
                <w:szCs w:val="21"/>
                <w:highlight w:val="none"/>
                <w:lang w:val="en-US" w:eastAsia="zh-CN"/>
                <w14:textFill>
                  <w14:solidFill>
                    <w14:schemeClr w14:val="tx1"/>
                  </w14:solidFill>
                </w14:textFill>
              </w:rPr>
              <w:t>2</w:t>
            </w:r>
            <w:r>
              <w:rPr>
                <w:rFonts w:hint="eastAsia" w:cs="TimesNewRomanPSMT"/>
                <w:b/>
                <w:bCs/>
                <w:color w:val="000000" w:themeColor="text1"/>
                <w:kern w:val="0"/>
                <w:sz w:val="21"/>
                <w:szCs w:val="21"/>
                <w:highlight w:val="none"/>
                <w:lang w:eastAsia="zh-CN"/>
                <w14:textFill>
                  <w14:solidFill>
                    <w14:schemeClr w14:val="tx1"/>
                  </w14:solidFill>
                </w14:textFill>
              </w:rPr>
              <w:t>、项目质量保障措施：</w:t>
            </w:r>
            <w:r>
              <w:rPr>
                <w:rFonts w:hint="eastAsia" w:cs="TimesNewRomanPSMT"/>
                <w:color w:val="000000" w:themeColor="text1"/>
                <w:kern w:val="0"/>
                <w:sz w:val="21"/>
                <w:szCs w:val="21"/>
                <w:highlight w:val="none"/>
                <w:lang w:eastAsia="zh-CN"/>
                <w14:textFill>
                  <w14:solidFill>
                    <w14:schemeClr w14:val="tx1"/>
                  </w14:solidFill>
                </w14:textFill>
              </w:rPr>
              <w:t>根据投标人的项目质量保障措施、内容、对项目实施中可能出现的质量问题的应对方法，项目质量保证措施针对性等进行综合评分；（本项</w:t>
            </w:r>
            <w:r>
              <w:rPr>
                <w:rFonts w:cs="TimesNewRomanPSMT"/>
                <w:color w:val="000000" w:themeColor="text1"/>
                <w:kern w:val="0"/>
                <w:sz w:val="21"/>
                <w:szCs w:val="21"/>
                <w:highlight w:val="none"/>
                <w:lang w:eastAsia="zh-CN"/>
                <w14:textFill>
                  <w14:solidFill>
                    <w14:schemeClr w14:val="tx1"/>
                  </w14:solidFill>
                </w14:textFill>
              </w:rPr>
              <w:t>1</w:t>
            </w:r>
            <w:r>
              <w:rPr>
                <w:rFonts w:hint="eastAsia" w:cs="TimesNewRomanPSMT"/>
                <w:color w:val="000000" w:themeColor="text1"/>
                <w:kern w:val="0"/>
                <w:sz w:val="21"/>
                <w:szCs w:val="21"/>
                <w:highlight w:val="none"/>
                <w:lang w:eastAsia="zh-CN"/>
                <w14:textFill>
                  <w14:solidFill>
                    <w14:schemeClr w14:val="tx1"/>
                  </w14:solidFill>
                </w14:textFill>
              </w:rPr>
              <w:t>分）</w:t>
            </w:r>
          </w:p>
          <w:p w14:paraId="511571BB">
            <w:pPr>
              <w:pStyle w:val="42"/>
              <w:keepNext w:val="0"/>
              <w:keepLines w:val="0"/>
              <w:pageBreakBefore w:val="0"/>
              <w:overflowPunct/>
              <w:bidi w:val="0"/>
              <w:snapToGrid/>
              <w:spacing w:line="276" w:lineRule="auto"/>
              <w:jc w:val="left"/>
              <w:textAlignment w:val="auto"/>
              <w:rPr>
                <w:rFonts w:cs="TimesNewRomanPSMT"/>
                <w:color w:val="000000" w:themeColor="text1"/>
                <w:kern w:val="0"/>
                <w:sz w:val="21"/>
                <w:szCs w:val="21"/>
                <w:highlight w:val="none"/>
                <w:lang w:eastAsia="zh-CN"/>
                <w14:textFill>
                  <w14:solidFill>
                    <w14:schemeClr w14:val="tx1"/>
                  </w14:solidFill>
                </w14:textFill>
              </w:rPr>
            </w:pPr>
            <w:r>
              <w:rPr>
                <w:rFonts w:hint="eastAsia" w:cs="TimesNewRomanPSMT"/>
                <w:b/>
                <w:bCs/>
                <w:color w:val="000000" w:themeColor="text1"/>
                <w:kern w:val="0"/>
                <w:sz w:val="21"/>
                <w:szCs w:val="21"/>
                <w:highlight w:val="none"/>
                <w:lang w:val="en-US" w:eastAsia="zh-CN"/>
                <w14:textFill>
                  <w14:solidFill>
                    <w14:schemeClr w14:val="tx1"/>
                  </w14:solidFill>
                </w14:textFill>
              </w:rPr>
              <w:t>3</w:t>
            </w:r>
            <w:r>
              <w:rPr>
                <w:rFonts w:hint="eastAsia" w:cs="TimesNewRomanPSMT"/>
                <w:b/>
                <w:bCs/>
                <w:color w:val="000000" w:themeColor="text1"/>
                <w:kern w:val="0"/>
                <w:sz w:val="21"/>
                <w:szCs w:val="21"/>
                <w:highlight w:val="none"/>
                <w:lang w:eastAsia="zh-CN"/>
                <w14:textFill>
                  <w14:solidFill>
                    <w14:schemeClr w14:val="tx1"/>
                  </w14:solidFill>
                </w14:textFill>
              </w:rPr>
              <w:t>、项目交付保障措施：</w:t>
            </w:r>
            <w:r>
              <w:rPr>
                <w:rFonts w:hint="eastAsia" w:cs="TimesNewRomanPSMT"/>
                <w:color w:val="000000" w:themeColor="text1"/>
                <w:kern w:val="0"/>
                <w:sz w:val="21"/>
                <w:szCs w:val="21"/>
                <w:highlight w:val="none"/>
                <w:lang w:eastAsia="zh-CN"/>
                <w14:textFill>
                  <w14:solidFill>
                    <w14:schemeClr w14:val="tx1"/>
                  </w14:solidFill>
                </w14:textFill>
              </w:rPr>
              <w:t>对总体交付进度计划、安装设备调试进度表等是否切实可行，确保工期的技术组织措施和建议是否合理可行等进行综合评分；（本项</w:t>
            </w:r>
            <w:r>
              <w:rPr>
                <w:rFonts w:cs="TimesNewRomanPSMT"/>
                <w:color w:val="000000" w:themeColor="text1"/>
                <w:kern w:val="0"/>
                <w:sz w:val="21"/>
                <w:szCs w:val="21"/>
                <w:highlight w:val="none"/>
                <w:lang w:eastAsia="zh-CN"/>
                <w14:textFill>
                  <w14:solidFill>
                    <w14:schemeClr w14:val="tx1"/>
                  </w14:solidFill>
                </w14:textFill>
              </w:rPr>
              <w:t>1</w:t>
            </w:r>
            <w:r>
              <w:rPr>
                <w:rFonts w:hint="eastAsia" w:cs="TimesNewRomanPSMT"/>
                <w:color w:val="000000" w:themeColor="text1"/>
                <w:kern w:val="0"/>
                <w:sz w:val="21"/>
                <w:szCs w:val="21"/>
                <w:highlight w:val="none"/>
                <w:lang w:eastAsia="zh-CN"/>
                <w14:textFill>
                  <w14:solidFill>
                    <w14:schemeClr w14:val="tx1"/>
                  </w14:solidFill>
                </w14:textFill>
              </w:rPr>
              <w:t>分）</w:t>
            </w:r>
          </w:p>
          <w:p w14:paraId="34672044">
            <w:pPr>
              <w:pStyle w:val="42"/>
              <w:keepNext w:val="0"/>
              <w:keepLines w:val="0"/>
              <w:pageBreakBefore w:val="0"/>
              <w:overflowPunct/>
              <w:bidi w:val="0"/>
              <w:snapToGrid/>
              <w:spacing w:line="276" w:lineRule="auto"/>
              <w:jc w:val="left"/>
              <w:textAlignment w:val="auto"/>
              <w:rPr>
                <w:rFonts w:hint="eastAsia" w:cs="TimesNewRomanPSMT"/>
                <w:color w:val="000000" w:themeColor="text1"/>
                <w:kern w:val="0"/>
                <w:sz w:val="21"/>
                <w:szCs w:val="21"/>
                <w:highlight w:val="none"/>
                <w:lang w:eastAsia="zh-CN"/>
                <w14:textFill>
                  <w14:solidFill>
                    <w14:schemeClr w14:val="tx1"/>
                  </w14:solidFill>
                </w14:textFill>
              </w:rPr>
            </w:pPr>
            <w:r>
              <w:rPr>
                <w:rFonts w:hint="eastAsia" w:cs="TimesNewRomanPSMT"/>
                <w:b/>
                <w:bCs/>
                <w:color w:val="000000" w:themeColor="text1"/>
                <w:kern w:val="0"/>
                <w:sz w:val="21"/>
                <w:szCs w:val="21"/>
                <w:highlight w:val="none"/>
                <w:lang w:val="en-US" w:eastAsia="zh-CN"/>
                <w14:textFill>
                  <w14:solidFill>
                    <w14:schemeClr w14:val="tx1"/>
                  </w14:solidFill>
                </w14:textFill>
              </w:rPr>
              <w:t>4</w:t>
            </w:r>
            <w:r>
              <w:rPr>
                <w:rFonts w:hint="eastAsia" w:cs="TimesNewRomanPSMT"/>
                <w:b/>
                <w:bCs/>
                <w:color w:val="000000" w:themeColor="text1"/>
                <w:kern w:val="0"/>
                <w:sz w:val="21"/>
                <w:szCs w:val="21"/>
                <w:highlight w:val="none"/>
                <w:lang w:eastAsia="zh-CN"/>
                <w14:textFill>
                  <w14:solidFill>
                    <w14:schemeClr w14:val="tx1"/>
                  </w14:solidFill>
                </w14:textFill>
              </w:rPr>
              <w:t>、项目安全管理方案：</w:t>
            </w:r>
            <w:r>
              <w:rPr>
                <w:rFonts w:hint="eastAsia" w:cs="TimesNewRomanPSMT"/>
                <w:color w:val="000000" w:themeColor="text1"/>
                <w:kern w:val="0"/>
                <w:sz w:val="21"/>
                <w:szCs w:val="21"/>
                <w:highlight w:val="none"/>
                <w:lang w:eastAsia="zh-CN"/>
                <w14:textFill>
                  <w14:solidFill>
                    <w14:schemeClr w14:val="tx1"/>
                  </w14:solidFill>
                </w14:textFill>
              </w:rPr>
              <w:t>根据投标人提供的安全管理制度及安全管理组织架构，安全培训、安全生产费和防护用品保障等的具体措施。运输搬运、登高、带电操作等特殊专业操作的安全措施。描述安全应急组织机构、责任分工、上报流程、各类应急场景处置预案安全应急预案（至少应包含：人员安全、网络安全、工程抢险等，有明晰的组织机构、成员，应急处理流程）、应急演练，根据整体合理性、可实施性、可操作性进行评分。（本项</w:t>
            </w:r>
            <w:r>
              <w:rPr>
                <w:rFonts w:cs="TimesNewRomanPSMT"/>
                <w:color w:val="000000" w:themeColor="text1"/>
                <w:kern w:val="0"/>
                <w:sz w:val="21"/>
                <w:szCs w:val="21"/>
                <w:highlight w:val="none"/>
                <w:lang w:eastAsia="zh-CN"/>
                <w14:textFill>
                  <w14:solidFill>
                    <w14:schemeClr w14:val="tx1"/>
                  </w14:solidFill>
                </w14:textFill>
              </w:rPr>
              <w:t>1</w:t>
            </w:r>
            <w:r>
              <w:rPr>
                <w:rFonts w:hint="eastAsia" w:cs="TimesNewRomanPSMT"/>
                <w:color w:val="000000" w:themeColor="text1"/>
                <w:kern w:val="0"/>
                <w:sz w:val="21"/>
                <w:szCs w:val="21"/>
                <w:highlight w:val="none"/>
                <w:lang w:eastAsia="zh-CN"/>
                <w14:textFill>
                  <w14:solidFill>
                    <w14:schemeClr w14:val="tx1"/>
                  </w14:solidFill>
                </w14:textFill>
              </w:rPr>
              <w:t>分）</w:t>
            </w:r>
          </w:p>
          <w:p w14:paraId="7E7C503E">
            <w:pPr>
              <w:pStyle w:val="42"/>
              <w:keepNext w:val="0"/>
              <w:keepLines w:val="0"/>
              <w:pageBreakBefore w:val="0"/>
              <w:overflowPunct/>
              <w:bidi w:val="0"/>
              <w:snapToGrid/>
              <w:spacing w:line="276" w:lineRule="auto"/>
              <w:jc w:val="left"/>
              <w:textAlignment w:val="auto"/>
              <w:rPr>
                <w:rFonts w:hint="eastAsia" w:cs="TimesNewRomanPSMT"/>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auto"/>
                <w:sz w:val="21"/>
                <w:szCs w:val="21"/>
                <w:highlight w:val="none"/>
              </w:rPr>
              <w:t>以上方案最高得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分，每有一项缺项或漏项扣</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分，每有一处缺陷扣0.5分，扣完为止。</w:t>
            </w:r>
          </w:p>
        </w:tc>
      </w:tr>
      <w:tr w14:paraId="6B276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8" w:type="dxa"/>
            <w:vMerge w:val="continue"/>
            <w:vAlign w:val="center"/>
          </w:tcPr>
          <w:p w14:paraId="48E86F29">
            <w:pPr>
              <w:keepNext w:val="0"/>
              <w:keepLines w:val="0"/>
              <w:pageBreakBefore w:val="0"/>
              <w:widowControl/>
              <w:overflowPunct/>
              <w:bidi w:val="0"/>
              <w:snapToGrid/>
              <w:spacing w:line="276" w:lineRule="auto"/>
              <w:jc w:val="left"/>
              <w:textAlignment w:val="auto"/>
              <w:rPr>
                <w:sz w:val="21"/>
                <w:szCs w:val="21"/>
              </w:rPr>
            </w:pPr>
          </w:p>
        </w:tc>
        <w:tc>
          <w:tcPr>
            <w:tcW w:w="1300" w:type="dxa"/>
            <w:vAlign w:val="center"/>
          </w:tcPr>
          <w:p w14:paraId="39CCB994">
            <w:pPr>
              <w:keepNext w:val="0"/>
              <w:keepLines w:val="0"/>
              <w:pageBreakBefore w:val="0"/>
              <w:overflowPunct/>
              <w:bidi w:val="0"/>
              <w:snapToGrid/>
              <w:spacing w:line="276" w:lineRule="auto"/>
              <w:jc w:val="center"/>
              <w:textAlignment w:val="auto"/>
              <w:rPr>
                <w:color w:val="000000" w:themeColor="text1"/>
                <w:sz w:val="21"/>
                <w:szCs w:val="21"/>
                <w14:textFill>
                  <w14:solidFill>
                    <w14:schemeClr w14:val="tx1"/>
                  </w14:solidFill>
                </w14:textFill>
              </w:rPr>
            </w:pPr>
            <w:r>
              <w:rPr>
                <w:rFonts w:hint="eastAsia" w:cs="仿宋_GB2312"/>
                <w:color w:val="000000" w:themeColor="text1"/>
                <w:kern w:val="0"/>
                <w:sz w:val="21"/>
                <w:szCs w:val="21"/>
                <w14:textFill>
                  <w14:solidFill>
                    <w14:schemeClr w14:val="tx1"/>
                  </w14:solidFill>
                </w14:textFill>
              </w:rPr>
              <w:t>针对特定情况的项目影响分析、具体措施和建议（</w:t>
            </w:r>
            <w:r>
              <w:rPr>
                <w:rFonts w:hint="eastAsia" w:cs="仿宋_GB2312"/>
                <w:color w:val="000000" w:themeColor="text1"/>
                <w:kern w:val="0"/>
                <w:sz w:val="21"/>
                <w:szCs w:val="21"/>
                <w:lang w:val="en-US" w:eastAsia="zh-CN"/>
                <w14:textFill>
                  <w14:solidFill>
                    <w14:schemeClr w14:val="tx1"/>
                  </w14:solidFill>
                </w14:textFill>
              </w:rPr>
              <w:t>8</w:t>
            </w:r>
            <w:r>
              <w:rPr>
                <w:rFonts w:hint="eastAsia" w:cs="仿宋_GB2312"/>
                <w:color w:val="000000" w:themeColor="text1"/>
                <w:kern w:val="0"/>
                <w:sz w:val="21"/>
                <w:szCs w:val="21"/>
                <w14:textFill>
                  <w14:solidFill>
                    <w14:schemeClr w14:val="tx1"/>
                  </w14:solidFill>
                </w14:textFill>
              </w:rPr>
              <w:t>分）</w:t>
            </w:r>
          </w:p>
        </w:tc>
        <w:tc>
          <w:tcPr>
            <w:tcW w:w="6741" w:type="dxa"/>
            <w:vAlign w:val="center"/>
          </w:tcPr>
          <w:p w14:paraId="52D8A757">
            <w:pPr>
              <w:keepNext w:val="0"/>
              <w:keepLines w:val="0"/>
              <w:pageBreakBefore w:val="0"/>
              <w:numPr>
                <w:ilvl w:val="0"/>
                <w:numId w:val="2"/>
              </w:numPr>
              <w:overflowPunct/>
              <w:autoSpaceDE w:val="0"/>
              <w:autoSpaceDN w:val="0"/>
              <w:bidi w:val="0"/>
              <w:adjustRightInd w:val="0"/>
              <w:snapToGrid/>
              <w:spacing w:line="276" w:lineRule="auto"/>
              <w:textAlignment w:val="auto"/>
              <w:rPr>
                <w:rFonts w:cs="仿宋_GB2312"/>
                <w:color w:val="000000" w:themeColor="text1"/>
                <w:kern w:val="0"/>
                <w:sz w:val="21"/>
                <w:szCs w:val="21"/>
                <w14:textFill>
                  <w14:solidFill>
                    <w14:schemeClr w14:val="tx1"/>
                  </w14:solidFill>
                </w14:textFill>
              </w:rPr>
            </w:pPr>
            <w:r>
              <w:rPr>
                <w:rFonts w:hint="eastAsia" w:cs="仿宋_GB2312"/>
                <w:color w:val="000000" w:themeColor="text1"/>
                <w:kern w:val="0"/>
                <w:sz w:val="21"/>
                <w:szCs w:val="21"/>
                <w14:textFill>
                  <w14:solidFill>
                    <w14:schemeClr w14:val="tx1"/>
                  </w14:solidFill>
                </w14:textFill>
              </w:rPr>
              <w:t>多模态底座与运营商网络互通，北龙湖园区作为平行网络试验场景支撑，及多模态网络创新环境项目的场景支撑的相关项目实施措施及建议；（本项</w:t>
            </w:r>
            <w:r>
              <w:rPr>
                <w:rFonts w:hint="eastAsia" w:cs="仿宋_GB2312"/>
                <w:color w:val="000000" w:themeColor="text1"/>
                <w:kern w:val="0"/>
                <w:sz w:val="21"/>
                <w:szCs w:val="21"/>
                <w:lang w:val="en-US" w:eastAsia="zh-CN"/>
                <w14:textFill>
                  <w14:solidFill>
                    <w14:schemeClr w14:val="tx1"/>
                  </w14:solidFill>
                </w14:textFill>
              </w:rPr>
              <w:t>4</w:t>
            </w:r>
            <w:r>
              <w:rPr>
                <w:rFonts w:hint="eastAsia" w:cs="仿宋_GB2312"/>
                <w:color w:val="000000" w:themeColor="text1"/>
                <w:kern w:val="0"/>
                <w:sz w:val="21"/>
                <w:szCs w:val="21"/>
                <w14:textFill>
                  <w14:solidFill>
                    <w14:schemeClr w14:val="tx1"/>
                  </w14:solidFill>
                </w14:textFill>
              </w:rPr>
              <w:t>分）</w:t>
            </w:r>
          </w:p>
          <w:p w14:paraId="743CE506">
            <w:pPr>
              <w:pStyle w:val="42"/>
              <w:keepNext w:val="0"/>
              <w:keepLines w:val="0"/>
              <w:pageBreakBefore w:val="0"/>
              <w:overflowPunct/>
              <w:bidi w:val="0"/>
              <w:snapToGrid/>
              <w:spacing w:line="276" w:lineRule="auto"/>
              <w:jc w:val="left"/>
              <w:textAlignment w:val="auto"/>
              <w:rPr>
                <w:rFonts w:cs="TimesNewRomanPSMT"/>
                <w:color w:val="000000" w:themeColor="text1"/>
                <w:kern w:val="0"/>
                <w:sz w:val="21"/>
                <w:szCs w:val="21"/>
                <w:lang w:eastAsia="zh-CN"/>
                <w14:textFill>
                  <w14:solidFill>
                    <w14:schemeClr w14:val="tx1"/>
                  </w14:solidFill>
                </w14:textFill>
              </w:rPr>
            </w:pPr>
            <w:r>
              <w:rPr>
                <w:rFonts w:hint="eastAsia" w:cs="TimesNewRomanPSMT"/>
                <w:color w:val="000000" w:themeColor="text1"/>
                <w:kern w:val="0"/>
                <w:sz w:val="21"/>
                <w:szCs w:val="21"/>
                <w:lang w:eastAsia="zh-CN"/>
                <w14:textFill>
                  <w14:solidFill>
                    <w14:schemeClr w14:val="tx1"/>
                  </w14:solidFill>
                </w14:textFill>
              </w:rPr>
              <w:t>（1）方案内容齐全、完整，描述符合事实，语言简洁、精准、合理，本地实用性强，得</w:t>
            </w:r>
            <w:r>
              <w:rPr>
                <w:rFonts w:hint="eastAsia" w:cs="TimesNewRomanPSMT"/>
                <w:color w:val="000000" w:themeColor="text1"/>
                <w:kern w:val="0"/>
                <w:sz w:val="21"/>
                <w:szCs w:val="21"/>
                <w:lang w:val="en-US" w:eastAsia="zh-CN"/>
                <w14:textFill>
                  <w14:solidFill>
                    <w14:schemeClr w14:val="tx1"/>
                  </w14:solidFill>
                </w14:textFill>
              </w:rPr>
              <w:t>4</w:t>
            </w:r>
            <w:r>
              <w:rPr>
                <w:rFonts w:hint="eastAsia" w:cs="TimesNewRomanPSMT"/>
                <w:color w:val="000000" w:themeColor="text1"/>
                <w:kern w:val="0"/>
                <w:sz w:val="21"/>
                <w:szCs w:val="21"/>
                <w:lang w:eastAsia="zh-CN"/>
                <w14:textFill>
                  <w14:solidFill>
                    <w14:schemeClr w14:val="tx1"/>
                  </w14:solidFill>
                </w14:textFill>
              </w:rPr>
              <w:t>分；</w:t>
            </w:r>
          </w:p>
          <w:p w14:paraId="5347C839">
            <w:pPr>
              <w:pStyle w:val="42"/>
              <w:keepNext w:val="0"/>
              <w:keepLines w:val="0"/>
              <w:pageBreakBefore w:val="0"/>
              <w:overflowPunct/>
              <w:bidi w:val="0"/>
              <w:snapToGrid/>
              <w:spacing w:line="276" w:lineRule="auto"/>
              <w:jc w:val="left"/>
              <w:textAlignment w:val="auto"/>
              <w:rPr>
                <w:rFonts w:cs="TimesNewRomanPSMT"/>
                <w:color w:val="000000" w:themeColor="text1"/>
                <w:kern w:val="0"/>
                <w:sz w:val="21"/>
                <w:szCs w:val="21"/>
                <w:lang w:eastAsia="zh-CN"/>
                <w14:textFill>
                  <w14:solidFill>
                    <w14:schemeClr w14:val="tx1"/>
                  </w14:solidFill>
                </w14:textFill>
              </w:rPr>
            </w:pPr>
            <w:r>
              <w:rPr>
                <w:rFonts w:hint="eastAsia" w:cs="TimesNewRomanPSMT"/>
                <w:color w:val="000000" w:themeColor="text1"/>
                <w:kern w:val="0"/>
                <w:sz w:val="21"/>
                <w:szCs w:val="21"/>
                <w:lang w:eastAsia="zh-CN"/>
                <w14:textFill>
                  <w14:solidFill>
                    <w14:schemeClr w14:val="tx1"/>
                  </w14:solidFill>
                </w14:textFill>
              </w:rPr>
              <w:t>（2）方案内容基本完整，描述基本符合事实，语言比较清晰、合理，本地实用性一般，得</w:t>
            </w:r>
            <w:r>
              <w:rPr>
                <w:rFonts w:hint="eastAsia" w:cs="TimesNewRomanPSMT"/>
                <w:color w:val="000000" w:themeColor="text1"/>
                <w:kern w:val="0"/>
                <w:sz w:val="21"/>
                <w:szCs w:val="21"/>
                <w:lang w:val="en-US" w:eastAsia="zh-CN"/>
                <w14:textFill>
                  <w14:solidFill>
                    <w14:schemeClr w14:val="tx1"/>
                  </w14:solidFill>
                </w14:textFill>
              </w:rPr>
              <w:t>2</w:t>
            </w:r>
            <w:r>
              <w:rPr>
                <w:rFonts w:hint="eastAsia" w:cs="TimesNewRomanPSMT"/>
                <w:color w:val="000000" w:themeColor="text1"/>
                <w:kern w:val="0"/>
                <w:sz w:val="21"/>
                <w:szCs w:val="21"/>
                <w:lang w:eastAsia="zh-CN"/>
                <w14:textFill>
                  <w14:solidFill>
                    <w14:schemeClr w14:val="tx1"/>
                  </w14:solidFill>
                </w14:textFill>
              </w:rPr>
              <w:t>分；</w:t>
            </w:r>
          </w:p>
          <w:p w14:paraId="66FF8762">
            <w:pPr>
              <w:pStyle w:val="42"/>
              <w:keepNext w:val="0"/>
              <w:keepLines w:val="0"/>
              <w:pageBreakBefore w:val="0"/>
              <w:overflowPunct/>
              <w:bidi w:val="0"/>
              <w:snapToGrid/>
              <w:spacing w:line="276" w:lineRule="auto"/>
              <w:jc w:val="left"/>
              <w:textAlignment w:val="auto"/>
              <w:rPr>
                <w:rFonts w:cs="TimesNewRomanPSMT"/>
                <w:color w:val="000000" w:themeColor="text1"/>
                <w:kern w:val="0"/>
                <w:sz w:val="21"/>
                <w:szCs w:val="21"/>
                <w:lang w:eastAsia="zh-CN"/>
                <w14:textFill>
                  <w14:solidFill>
                    <w14:schemeClr w14:val="tx1"/>
                  </w14:solidFill>
                </w14:textFill>
              </w:rPr>
            </w:pPr>
            <w:r>
              <w:rPr>
                <w:rFonts w:hint="eastAsia" w:cs="TimesNewRomanPSMT"/>
                <w:color w:val="000000" w:themeColor="text1"/>
                <w:kern w:val="0"/>
                <w:sz w:val="21"/>
                <w:szCs w:val="21"/>
                <w:lang w:eastAsia="zh-CN"/>
                <w14:textFill>
                  <w14:solidFill>
                    <w14:schemeClr w14:val="tx1"/>
                  </w14:solidFill>
                </w14:textFill>
              </w:rPr>
              <w:t>（3）方案内容基本完整，描述与事实有差距，本地实用性一般，得1分；</w:t>
            </w:r>
          </w:p>
          <w:p w14:paraId="3D942A5E">
            <w:pPr>
              <w:pStyle w:val="42"/>
              <w:keepNext w:val="0"/>
              <w:keepLines w:val="0"/>
              <w:pageBreakBefore w:val="0"/>
              <w:overflowPunct/>
              <w:bidi w:val="0"/>
              <w:snapToGrid/>
              <w:spacing w:line="276" w:lineRule="auto"/>
              <w:jc w:val="left"/>
              <w:textAlignment w:val="auto"/>
              <w:rPr>
                <w:rFonts w:cs="TimesNewRomanPSMT"/>
                <w:color w:val="000000" w:themeColor="text1"/>
                <w:kern w:val="0"/>
                <w:sz w:val="21"/>
                <w:szCs w:val="21"/>
                <w:lang w:eastAsia="zh-CN"/>
                <w14:textFill>
                  <w14:solidFill>
                    <w14:schemeClr w14:val="tx1"/>
                  </w14:solidFill>
                </w14:textFill>
              </w:rPr>
            </w:pPr>
            <w:r>
              <w:rPr>
                <w:rFonts w:hint="eastAsia" w:cs="TimesNewRomanPSMT"/>
                <w:color w:val="000000" w:themeColor="text1"/>
                <w:kern w:val="0"/>
                <w:sz w:val="21"/>
                <w:szCs w:val="21"/>
                <w:lang w:eastAsia="zh-CN"/>
                <w14:textFill>
                  <w14:solidFill>
                    <w14:schemeClr w14:val="tx1"/>
                  </w14:solidFill>
                </w14:textFill>
              </w:rPr>
              <w:t>（4）方案内容缺项，描述与事实有差距，本地实用性较差，得0分。</w:t>
            </w:r>
          </w:p>
          <w:p w14:paraId="58612370">
            <w:pPr>
              <w:keepNext w:val="0"/>
              <w:keepLines w:val="0"/>
              <w:pageBreakBefore w:val="0"/>
              <w:overflowPunct/>
              <w:autoSpaceDE w:val="0"/>
              <w:autoSpaceDN w:val="0"/>
              <w:bidi w:val="0"/>
              <w:adjustRightInd w:val="0"/>
              <w:snapToGrid/>
              <w:spacing w:line="276" w:lineRule="auto"/>
              <w:textAlignment w:val="auto"/>
              <w:rPr>
                <w:rFonts w:cs="仿宋_GB2312"/>
                <w:color w:val="000000" w:themeColor="text1"/>
                <w:kern w:val="0"/>
                <w:sz w:val="21"/>
                <w:szCs w:val="21"/>
                <w14:textFill>
                  <w14:solidFill>
                    <w14:schemeClr w14:val="tx1"/>
                  </w14:solidFill>
                </w14:textFill>
              </w:rPr>
            </w:pPr>
            <w:r>
              <w:rPr>
                <w:rFonts w:hint="eastAsia" w:cs="仿宋_GB2312"/>
                <w:color w:val="000000" w:themeColor="text1"/>
                <w:kern w:val="0"/>
                <w:sz w:val="21"/>
                <w:szCs w:val="21"/>
                <w14:textFill>
                  <w14:solidFill>
                    <w14:schemeClr w14:val="tx1"/>
                  </w14:solidFill>
                </w14:textFill>
              </w:rPr>
              <w:t>2、</w:t>
            </w:r>
            <w:r>
              <w:rPr>
                <w:rFonts w:hint="eastAsia" w:cs="TimesNewRomanPSMT"/>
                <w:color w:val="000000" w:themeColor="text1"/>
                <w:kern w:val="0"/>
                <w:sz w:val="21"/>
                <w:szCs w:val="21"/>
                <w14:textFill>
                  <w14:solidFill>
                    <w14:schemeClr w14:val="tx1"/>
                  </w14:solidFill>
                </w14:textFill>
              </w:rPr>
              <w:t>针对园区具体需求，提出项目实施中核心、分配、接入各层级光缆、皮线光缆成端接头，园区预布放光缆成端的的具体举措及建议；</w:t>
            </w:r>
            <w:r>
              <w:rPr>
                <w:rFonts w:hint="eastAsia" w:cs="仿宋_GB2312"/>
                <w:color w:val="000000" w:themeColor="text1"/>
                <w:kern w:val="0"/>
                <w:sz w:val="21"/>
                <w:szCs w:val="21"/>
                <w14:textFill>
                  <w14:solidFill>
                    <w14:schemeClr w14:val="tx1"/>
                  </w14:solidFill>
                </w14:textFill>
              </w:rPr>
              <w:t>针对多模态底座设备主要特点，提出与传统设备部署的差异化措施和建议；（本项</w:t>
            </w:r>
            <w:r>
              <w:rPr>
                <w:rFonts w:hint="eastAsia" w:cs="仿宋_GB2312"/>
                <w:color w:val="000000" w:themeColor="text1"/>
                <w:kern w:val="0"/>
                <w:sz w:val="21"/>
                <w:szCs w:val="21"/>
                <w:lang w:val="en-US" w:eastAsia="zh-CN"/>
                <w14:textFill>
                  <w14:solidFill>
                    <w14:schemeClr w14:val="tx1"/>
                  </w14:solidFill>
                </w14:textFill>
              </w:rPr>
              <w:t>4</w:t>
            </w:r>
            <w:r>
              <w:rPr>
                <w:rFonts w:hint="eastAsia" w:cs="仿宋_GB2312"/>
                <w:color w:val="000000" w:themeColor="text1"/>
                <w:kern w:val="0"/>
                <w:sz w:val="21"/>
                <w:szCs w:val="21"/>
                <w14:textFill>
                  <w14:solidFill>
                    <w14:schemeClr w14:val="tx1"/>
                  </w14:solidFill>
                </w14:textFill>
              </w:rPr>
              <w:t>分）</w:t>
            </w:r>
          </w:p>
          <w:p w14:paraId="689001B1">
            <w:pPr>
              <w:pStyle w:val="42"/>
              <w:keepNext w:val="0"/>
              <w:keepLines w:val="0"/>
              <w:pageBreakBefore w:val="0"/>
              <w:overflowPunct/>
              <w:bidi w:val="0"/>
              <w:snapToGrid/>
              <w:spacing w:line="276" w:lineRule="auto"/>
              <w:jc w:val="left"/>
              <w:textAlignment w:val="auto"/>
              <w:rPr>
                <w:rFonts w:cs="TimesNewRomanPSMT"/>
                <w:color w:val="000000" w:themeColor="text1"/>
                <w:kern w:val="0"/>
                <w:sz w:val="21"/>
                <w:szCs w:val="21"/>
                <w:lang w:eastAsia="zh-CN"/>
                <w14:textFill>
                  <w14:solidFill>
                    <w14:schemeClr w14:val="tx1"/>
                  </w14:solidFill>
                </w14:textFill>
              </w:rPr>
            </w:pPr>
            <w:r>
              <w:rPr>
                <w:rFonts w:hint="eastAsia" w:cs="TimesNewRomanPSMT"/>
                <w:color w:val="000000" w:themeColor="text1"/>
                <w:kern w:val="0"/>
                <w:sz w:val="21"/>
                <w:szCs w:val="21"/>
                <w:lang w:eastAsia="zh-CN"/>
                <w14:textFill>
                  <w14:solidFill>
                    <w14:schemeClr w14:val="tx1"/>
                  </w14:solidFill>
                </w14:textFill>
              </w:rPr>
              <w:t>（1）方案内容齐全、完整，描述符合事实，语言简洁、精准、合理，本地实用性强，得</w:t>
            </w:r>
            <w:r>
              <w:rPr>
                <w:rFonts w:hint="eastAsia" w:cs="TimesNewRomanPSMT"/>
                <w:color w:val="000000" w:themeColor="text1"/>
                <w:kern w:val="0"/>
                <w:sz w:val="21"/>
                <w:szCs w:val="21"/>
                <w:lang w:val="en-US" w:eastAsia="zh-CN"/>
                <w14:textFill>
                  <w14:solidFill>
                    <w14:schemeClr w14:val="tx1"/>
                  </w14:solidFill>
                </w14:textFill>
              </w:rPr>
              <w:t>4</w:t>
            </w:r>
            <w:r>
              <w:rPr>
                <w:rFonts w:hint="eastAsia" w:cs="TimesNewRomanPSMT"/>
                <w:color w:val="000000" w:themeColor="text1"/>
                <w:kern w:val="0"/>
                <w:sz w:val="21"/>
                <w:szCs w:val="21"/>
                <w:lang w:eastAsia="zh-CN"/>
                <w14:textFill>
                  <w14:solidFill>
                    <w14:schemeClr w14:val="tx1"/>
                  </w14:solidFill>
                </w14:textFill>
              </w:rPr>
              <w:t>分；</w:t>
            </w:r>
          </w:p>
          <w:p w14:paraId="0878A62B">
            <w:pPr>
              <w:pStyle w:val="42"/>
              <w:keepNext w:val="0"/>
              <w:keepLines w:val="0"/>
              <w:pageBreakBefore w:val="0"/>
              <w:overflowPunct/>
              <w:bidi w:val="0"/>
              <w:snapToGrid/>
              <w:spacing w:line="276" w:lineRule="auto"/>
              <w:jc w:val="left"/>
              <w:textAlignment w:val="auto"/>
              <w:rPr>
                <w:rFonts w:cs="TimesNewRomanPSMT"/>
                <w:color w:val="000000" w:themeColor="text1"/>
                <w:kern w:val="0"/>
                <w:sz w:val="21"/>
                <w:szCs w:val="21"/>
                <w:lang w:eastAsia="zh-CN"/>
                <w14:textFill>
                  <w14:solidFill>
                    <w14:schemeClr w14:val="tx1"/>
                  </w14:solidFill>
                </w14:textFill>
              </w:rPr>
            </w:pPr>
            <w:r>
              <w:rPr>
                <w:rFonts w:hint="eastAsia" w:cs="TimesNewRomanPSMT"/>
                <w:color w:val="000000" w:themeColor="text1"/>
                <w:kern w:val="0"/>
                <w:sz w:val="21"/>
                <w:szCs w:val="21"/>
                <w:lang w:eastAsia="zh-CN"/>
                <w14:textFill>
                  <w14:solidFill>
                    <w14:schemeClr w14:val="tx1"/>
                  </w14:solidFill>
                </w14:textFill>
              </w:rPr>
              <w:t>（2）方案内容基本完整，描述基本符合事实，语言比较清晰、合理，本地实用性一般，得</w:t>
            </w:r>
            <w:r>
              <w:rPr>
                <w:rFonts w:hint="eastAsia" w:cs="TimesNewRomanPSMT"/>
                <w:color w:val="000000" w:themeColor="text1"/>
                <w:kern w:val="0"/>
                <w:sz w:val="21"/>
                <w:szCs w:val="21"/>
                <w:lang w:val="en-US" w:eastAsia="zh-CN"/>
                <w14:textFill>
                  <w14:solidFill>
                    <w14:schemeClr w14:val="tx1"/>
                  </w14:solidFill>
                </w14:textFill>
              </w:rPr>
              <w:t>2</w:t>
            </w:r>
            <w:r>
              <w:rPr>
                <w:rFonts w:hint="eastAsia" w:cs="TimesNewRomanPSMT"/>
                <w:color w:val="000000" w:themeColor="text1"/>
                <w:kern w:val="0"/>
                <w:sz w:val="21"/>
                <w:szCs w:val="21"/>
                <w:lang w:eastAsia="zh-CN"/>
                <w14:textFill>
                  <w14:solidFill>
                    <w14:schemeClr w14:val="tx1"/>
                  </w14:solidFill>
                </w14:textFill>
              </w:rPr>
              <w:t>分；</w:t>
            </w:r>
          </w:p>
          <w:p w14:paraId="1799B177">
            <w:pPr>
              <w:pStyle w:val="42"/>
              <w:keepNext w:val="0"/>
              <w:keepLines w:val="0"/>
              <w:pageBreakBefore w:val="0"/>
              <w:overflowPunct/>
              <w:bidi w:val="0"/>
              <w:snapToGrid/>
              <w:spacing w:line="276" w:lineRule="auto"/>
              <w:jc w:val="left"/>
              <w:textAlignment w:val="auto"/>
              <w:rPr>
                <w:rFonts w:cs="TimesNewRomanPSMT"/>
                <w:color w:val="000000" w:themeColor="text1"/>
                <w:kern w:val="0"/>
                <w:sz w:val="21"/>
                <w:szCs w:val="21"/>
                <w:lang w:eastAsia="zh-CN"/>
                <w14:textFill>
                  <w14:solidFill>
                    <w14:schemeClr w14:val="tx1"/>
                  </w14:solidFill>
                </w14:textFill>
              </w:rPr>
            </w:pPr>
            <w:r>
              <w:rPr>
                <w:rFonts w:hint="eastAsia" w:cs="TimesNewRomanPSMT"/>
                <w:color w:val="000000" w:themeColor="text1"/>
                <w:kern w:val="0"/>
                <w:sz w:val="21"/>
                <w:szCs w:val="21"/>
                <w:lang w:eastAsia="zh-CN"/>
                <w14:textFill>
                  <w14:solidFill>
                    <w14:schemeClr w14:val="tx1"/>
                  </w14:solidFill>
                </w14:textFill>
              </w:rPr>
              <w:t>（3）方案内容基本完整，描述与事实有差距，本地实用性一般，得1分；</w:t>
            </w:r>
          </w:p>
          <w:p w14:paraId="1C7EF018">
            <w:pPr>
              <w:pStyle w:val="42"/>
              <w:keepNext w:val="0"/>
              <w:keepLines w:val="0"/>
              <w:pageBreakBefore w:val="0"/>
              <w:overflowPunct/>
              <w:bidi w:val="0"/>
              <w:snapToGrid/>
              <w:spacing w:line="276" w:lineRule="auto"/>
              <w:jc w:val="left"/>
              <w:textAlignment w:val="auto"/>
              <w:rPr>
                <w:rFonts w:cs="TimesNewRomanPSMT"/>
                <w:color w:val="000000" w:themeColor="text1"/>
                <w:kern w:val="0"/>
                <w:sz w:val="21"/>
                <w:szCs w:val="21"/>
                <w:lang w:eastAsia="zh-CN"/>
                <w14:textFill>
                  <w14:solidFill>
                    <w14:schemeClr w14:val="tx1"/>
                  </w14:solidFill>
                </w14:textFill>
              </w:rPr>
            </w:pPr>
            <w:r>
              <w:rPr>
                <w:rFonts w:hint="eastAsia" w:cs="TimesNewRomanPSMT"/>
                <w:color w:val="000000" w:themeColor="text1"/>
                <w:kern w:val="0"/>
                <w:sz w:val="21"/>
                <w:szCs w:val="21"/>
                <w:lang w:eastAsia="zh-CN"/>
                <w14:textFill>
                  <w14:solidFill>
                    <w14:schemeClr w14:val="tx1"/>
                  </w14:solidFill>
                </w14:textFill>
              </w:rPr>
              <w:t>（4）方案内容缺项，描述与事实有差距，本地实用性较差，得0分。</w:t>
            </w:r>
          </w:p>
        </w:tc>
      </w:tr>
      <w:tr w14:paraId="6519D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8" w:type="dxa"/>
            <w:vMerge w:val="continue"/>
            <w:vAlign w:val="center"/>
          </w:tcPr>
          <w:p w14:paraId="6DFDB45F">
            <w:pPr>
              <w:keepNext w:val="0"/>
              <w:keepLines w:val="0"/>
              <w:pageBreakBefore w:val="0"/>
              <w:widowControl/>
              <w:overflowPunct/>
              <w:bidi w:val="0"/>
              <w:snapToGrid/>
              <w:spacing w:line="276" w:lineRule="auto"/>
              <w:jc w:val="left"/>
              <w:textAlignment w:val="auto"/>
              <w:rPr>
                <w:sz w:val="21"/>
                <w:szCs w:val="21"/>
              </w:rPr>
            </w:pPr>
          </w:p>
        </w:tc>
        <w:tc>
          <w:tcPr>
            <w:tcW w:w="1300" w:type="dxa"/>
            <w:vAlign w:val="center"/>
          </w:tcPr>
          <w:p w14:paraId="35ED8A15">
            <w:pPr>
              <w:keepNext w:val="0"/>
              <w:keepLines w:val="0"/>
              <w:pageBreakBefore w:val="0"/>
              <w:kinsoku w:val="0"/>
              <w:overflowPunct/>
              <w:topLinePunct/>
              <w:bidi w:val="0"/>
              <w:snapToGrid/>
              <w:spacing w:line="276" w:lineRule="auto"/>
              <w:jc w:val="center"/>
              <w:textAlignment w:val="auto"/>
              <w:rPr>
                <w:sz w:val="21"/>
                <w:szCs w:val="21"/>
              </w:rPr>
            </w:pPr>
            <w:r>
              <w:rPr>
                <w:rFonts w:hint="eastAsia"/>
                <w:sz w:val="21"/>
                <w:szCs w:val="21"/>
              </w:rPr>
              <w:t>供货组织安排（</w:t>
            </w:r>
            <w:r>
              <w:rPr>
                <w:rFonts w:hint="eastAsia"/>
                <w:sz w:val="21"/>
                <w:szCs w:val="21"/>
                <w:lang w:val="en-US" w:eastAsia="zh-CN"/>
              </w:rPr>
              <w:t>2</w:t>
            </w:r>
            <w:r>
              <w:rPr>
                <w:rFonts w:hint="eastAsia"/>
                <w:sz w:val="21"/>
                <w:szCs w:val="21"/>
              </w:rPr>
              <w:t>分）</w:t>
            </w:r>
          </w:p>
        </w:tc>
        <w:tc>
          <w:tcPr>
            <w:tcW w:w="6741" w:type="dxa"/>
            <w:vAlign w:val="center"/>
          </w:tcPr>
          <w:p w14:paraId="33ED194A">
            <w:pPr>
              <w:keepNext w:val="0"/>
              <w:keepLines w:val="0"/>
              <w:pageBreakBefore w:val="0"/>
              <w:kinsoku w:val="0"/>
              <w:wordWrap w:val="0"/>
              <w:overflowPunct/>
              <w:topLinePunct/>
              <w:bidi w:val="0"/>
              <w:snapToGrid/>
              <w:spacing w:line="276" w:lineRule="auto"/>
              <w:textAlignment w:val="auto"/>
              <w:rPr>
                <w:rFonts w:hint="eastAsia"/>
                <w:sz w:val="21"/>
                <w:szCs w:val="21"/>
              </w:rPr>
            </w:pPr>
            <w:r>
              <w:rPr>
                <w:rFonts w:hint="eastAsia"/>
                <w:sz w:val="21"/>
                <w:szCs w:val="21"/>
              </w:rPr>
              <w:t>根据投标人供货保障、人员、财力、运输派送措施方案进行评分，</w:t>
            </w:r>
          </w:p>
          <w:p w14:paraId="66A6D196">
            <w:pPr>
              <w:keepNext w:val="0"/>
              <w:keepLines w:val="0"/>
              <w:pageBreakBefore w:val="0"/>
              <w:kinsoku w:val="0"/>
              <w:wordWrap w:val="0"/>
              <w:overflowPunct/>
              <w:topLinePunct/>
              <w:bidi w:val="0"/>
              <w:snapToGrid/>
              <w:spacing w:line="276" w:lineRule="auto"/>
              <w:textAlignment w:val="auto"/>
              <w:rPr>
                <w:rFonts w:hint="eastAsia"/>
                <w:sz w:val="21"/>
                <w:szCs w:val="21"/>
              </w:rPr>
            </w:pPr>
            <w:r>
              <w:rPr>
                <w:rFonts w:hint="eastAsia"/>
                <w:sz w:val="21"/>
                <w:szCs w:val="21"/>
              </w:rPr>
              <w:t>方案科学合理并详细，关键节点控制措施完善，能够全面保障按时供货得</w:t>
            </w:r>
            <w:r>
              <w:rPr>
                <w:rFonts w:hint="eastAsia"/>
                <w:sz w:val="21"/>
                <w:szCs w:val="21"/>
                <w:lang w:val="en-US" w:eastAsia="zh-CN"/>
              </w:rPr>
              <w:t>2</w:t>
            </w:r>
            <w:r>
              <w:rPr>
                <w:rFonts w:hint="eastAsia"/>
                <w:sz w:val="21"/>
                <w:szCs w:val="21"/>
              </w:rPr>
              <w:t>分；</w:t>
            </w:r>
          </w:p>
          <w:p w14:paraId="2B5209FE">
            <w:pPr>
              <w:keepNext w:val="0"/>
              <w:keepLines w:val="0"/>
              <w:pageBreakBefore w:val="0"/>
              <w:kinsoku w:val="0"/>
              <w:wordWrap w:val="0"/>
              <w:overflowPunct/>
              <w:topLinePunct/>
              <w:bidi w:val="0"/>
              <w:snapToGrid/>
              <w:spacing w:line="276" w:lineRule="auto"/>
              <w:textAlignment w:val="auto"/>
              <w:rPr>
                <w:rFonts w:hint="eastAsia"/>
                <w:sz w:val="21"/>
                <w:szCs w:val="21"/>
              </w:rPr>
            </w:pPr>
            <w:r>
              <w:rPr>
                <w:rFonts w:hint="eastAsia"/>
                <w:sz w:val="21"/>
                <w:szCs w:val="21"/>
              </w:rPr>
              <w:t>方案基本满足要求，关键节点基本能够保障按时供货得</w:t>
            </w:r>
            <w:r>
              <w:rPr>
                <w:rFonts w:hint="eastAsia"/>
                <w:sz w:val="21"/>
                <w:szCs w:val="21"/>
                <w:lang w:val="en-US" w:eastAsia="zh-CN"/>
              </w:rPr>
              <w:t>1</w:t>
            </w:r>
            <w:r>
              <w:rPr>
                <w:rFonts w:hint="eastAsia"/>
                <w:sz w:val="21"/>
                <w:szCs w:val="21"/>
              </w:rPr>
              <w:t>分；</w:t>
            </w:r>
          </w:p>
          <w:p w14:paraId="4D98FF93">
            <w:pPr>
              <w:keepNext w:val="0"/>
              <w:keepLines w:val="0"/>
              <w:pageBreakBefore w:val="0"/>
              <w:kinsoku w:val="0"/>
              <w:wordWrap w:val="0"/>
              <w:overflowPunct/>
              <w:topLinePunct/>
              <w:bidi w:val="0"/>
              <w:snapToGrid/>
              <w:spacing w:line="276" w:lineRule="auto"/>
              <w:textAlignment w:val="auto"/>
              <w:rPr>
                <w:rFonts w:hint="eastAsia"/>
                <w:sz w:val="21"/>
                <w:szCs w:val="21"/>
              </w:rPr>
            </w:pPr>
            <w:r>
              <w:rPr>
                <w:rFonts w:hint="eastAsia"/>
                <w:sz w:val="21"/>
                <w:szCs w:val="21"/>
              </w:rPr>
              <w:t>保证措施合理性一般、关键节点的控制措施一般得</w:t>
            </w:r>
            <w:r>
              <w:rPr>
                <w:rFonts w:hint="eastAsia"/>
                <w:sz w:val="21"/>
                <w:szCs w:val="21"/>
                <w:lang w:val="en-US" w:eastAsia="zh-CN"/>
              </w:rPr>
              <w:t>0.5</w:t>
            </w:r>
            <w:r>
              <w:rPr>
                <w:rFonts w:hint="eastAsia"/>
                <w:sz w:val="21"/>
                <w:szCs w:val="21"/>
              </w:rPr>
              <w:t>分；</w:t>
            </w:r>
          </w:p>
          <w:p w14:paraId="725F7C50">
            <w:pPr>
              <w:keepNext w:val="0"/>
              <w:keepLines w:val="0"/>
              <w:pageBreakBefore w:val="0"/>
              <w:kinsoku w:val="0"/>
              <w:wordWrap w:val="0"/>
              <w:overflowPunct/>
              <w:topLinePunct/>
              <w:bidi w:val="0"/>
              <w:snapToGrid/>
              <w:spacing w:line="276" w:lineRule="auto"/>
              <w:textAlignment w:val="auto"/>
              <w:rPr>
                <w:sz w:val="21"/>
                <w:szCs w:val="21"/>
              </w:rPr>
            </w:pPr>
            <w:r>
              <w:rPr>
                <w:rFonts w:hint="eastAsia"/>
                <w:sz w:val="21"/>
                <w:szCs w:val="21"/>
              </w:rPr>
              <w:t>未提供的不得分。</w:t>
            </w:r>
          </w:p>
        </w:tc>
      </w:tr>
      <w:tr w14:paraId="5BBDC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8" w:type="dxa"/>
            <w:vMerge w:val="continue"/>
            <w:vAlign w:val="center"/>
          </w:tcPr>
          <w:p w14:paraId="63B8C0D4">
            <w:pPr>
              <w:keepNext w:val="0"/>
              <w:keepLines w:val="0"/>
              <w:pageBreakBefore w:val="0"/>
              <w:widowControl/>
              <w:overflowPunct/>
              <w:bidi w:val="0"/>
              <w:snapToGrid/>
              <w:spacing w:line="276" w:lineRule="auto"/>
              <w:jc w:val="left"/>
              <w:textAlignment w:val="auto"/>
              <w:rPr>
                <w:sz w:val="21"/>
                <w:szCs w:val="21"/>
              </w:rPr>
            </w:pPr>
          </w:p>
        </w:tc>
        <w:tc>
          <w:tcPr>
            <w:tcW w:w="1300" w:type="dxa"/>
            <w:vAlign w:val="center"/>
          </w:tcPr>
          <w:p w14:paraId="17F29EE3">
            <w:pPr>
              <w:keepNext w:val="0"/>
              <w:keepLines w:val="0"/>
              <w:pageBreakBefore w:val="0"/>
              <w:overflowPunct/>
              <w:bidi w:val="0"/>
              <w:snapToGrid/>
              <w:spacing w:line="276" w:lineRule="auto"/>
              <w:jc w:val="center"/>
              <w:textAlignment w:val="auto"/>
              <w:rPr>
                <w:sz w:val="21"/>
                <w:szCs w:val="21"/>
              </w:rPr>
            </w:pPr>
            <w:r>
              <w:rPr>
                <w:rFonts w:hint="eastAsia"/>
                <w:sz w:val="21"/>
                <w:szCs w:val="21"/>
              </w:rPr>
              <w:t>人员技术培训（</w:t>
            </w:r>
            <w:r>
              <w:rPr>
                <w:rFonts w:hint="eastAsia"/>
                <w:sz w:val="21"/>
                <w:szCs w:val="21"/>
                <w:lang w:val="en-US" w:eastAsia="zh-CN"/>
              </w:rPr>
              <w:t>2分</w:t>
            </w:r>
            <w:r>
              <w:rPr>
                <w:rFonts w:hint="eastAsia"/>
                <w:sz w:val="21"/>
                <w:szCs w:val="21"/>
              </w:rPr>
              <w:t>）</w:t>
            </w:r>
          </w:p>
        </w:tc>
        <w:tc>
          <w:tcPr>
            <w:tcW w:w="6741" w:type="dxa"/>
            <w:vAlign w:val="center"/>
          </w:tcPr>
          <w:p w14:paraId="2C77EE85">
            <w:pPr>
              <w:keepNext w:val="0"/>
              <w:keepLines w:val="0"/>
              <w:pageBreakBefore w:val="0"/>
              <w:overflowPunct/>
              <w:bidi w:val="0"/>
              <w:snapToGrid/>
              <w:spacing w:line="276" w:lineRule="auto"/>
              <w:textAlignment w:val="auto"/>
              <w:rPr>
                <w:rFonts w:hint="eastAsia"/>
                <w:sz w:val="21"/>
                <w:szCs w:val="21"/>
              </w:rPr>
            </w:pPr>
            <w:r>
              <w:rPr>
                <w:rFonts w:hint="eastAsia"/>
                <w:sz w:val="21"/>
                <w:szCs w:val="21"/>
              </w:rPr>
              <w:t>根据投标人的培训形式、制定培训课程及培训人员等进行评审，</w:t>
            </w:r>
          </w:p>
          <w:p w14:paraId="16B78D30">
            <w:pPr>
              <w:keepNext w:val="0"/>
              <w:keepLines w:val="0"/>
              <w:pageBreakBefore w:val="0"/>
              <w:overflowPunct/>
              <w:bidi w:val="0"/>
              <w:snapToGrid/>
              <w:spacing w:line="276" w:lineRule="auto"/>
              <w:textAlignment w:val="auto"/>
              <w:rPr>
                <w:rFonts w:hint="eastAsia" w:eastAsia="宋体"/>
                <w:sz w:val="21"/>
                <w:szCs w:val="21"/>
                <w:lang w:eastAsia="zh-CN"/>
              </w:rPr>
            </w:pPr>
            <w:r>
              <w:rPr>
                <w:rFonts w:hint="eastAsia"/>
                <w:sz w:val="21"/>
                <w:szCs w:val="21"/>
              </w:rPr>
              <w:t>培训形式多样化，制定培训课程计划表及培训人员配备数量分工明确，职责分工清晰，能够保证培训的高质量和按计划完成得</w:t>
            </w:r>
            <w:r>
              <w:rPr>
                <w:rFonts w:hint="eastAsia"/>
                <w:sz w:val="21"/>
                <w:szCs w:val="21"/>
                <w:lang w:val="en-US" w:eastAsia="zh-CN"/>
              </w:rPr>
              <w:t>2</w:t>
            </w:r>
            <w:r>
              <w:rPr>
                <w:rFonts w:hint="eastAsia"/>
                <w:sz w:val="21"/>
                <w:szCs w:val="21"/>
              </w:rPr>
              <w:t>分</w:t>
            </w:r>
            <w:r>
              <w:rPr>
                <w:rFonts w:hint="eastAsia"/>
                <w:sz w:val="21"/>
                <w:szCs w:val="21"/>
                <w:lang w:eastAsia="zh-CN"/>
              </w:rPr>
              <w:t>；</w:t>
            </w:r>
          </w:p>
          <w:p w14:paraId="10E0E2FE">
            <w:pPr>
              <w:keepNext w:val="0"/>
              <w:keepLines w:val="0"/>
              <w:pageBreakBefore w:val="0"/>
              <w:overflowPunct/>
              <w:bidi w:val="0"/>
              <w:snapToGrid/>
              <w:spacing w:line="276" w:lineRule="auto"/>
              <w:textAlignment w:val="auto"/>
              <w:rPr>
                <w:rFonts w:hint="eastAsia" w:eastAsia="宋体"/>
                <w:sz w:val="21"/>
                <w:szCs w:val="21"/>
                <w:lang w:eastAsia="zh-CN"/>
              </w:rPr>
            </w:pPr>
            <w:r>
              <w:rPr>
                <w:rFonts w:hint="eastAsia"/>
                <w:sz w:val="21"/>
                <w:szCs w:val="21"/>
              </w:rPr>
              <w:t>培训形式一般，培训师资力量一般，讲师配备数量较齐全得</w:t>
            </w:r>
            <w:r>
              <w:rPr>
                <w:rFonts w:hint="eastAsia"/>
                <w:sz w:val="21"/>
                <w:szCs w:val="21"/>
                <w:lang w:val="en-US" w:eastAsia="zh-CN"/>
              </w:rPr>
              <w:t>1</w:t>
            </w:r>
            <w:r>
              <w:rPr>
                <w:rFonts w:hint="eastAsia"/>
                <w:sz w:val="21"/>
                <w:szCs w:val="21"/>
              </w:rPr>
              <w:t>分</w:t>
            </w:r>
            <w:r>
              <w:rPr>
                <w:rFonts w:hint="eastAsia"/>
                <w:sz w:val="21"/>
                <w:szCs w:val="21"/>
                <w:lang w:eastAsia="zh-CN"/>
              </w:rPr>
              <w:t>；</w:t>
            </w:r>
          </w:p>
          <w:p w14:paraId="5A75C8BE">
            <w:pPr>
              <w:keepNext w:val="0"/>
              <w:keepLines w:val="0"/>
              <w:pageBreakBefore w:val="0"/>
              <w:overflowPunct/>
              <w:bidi w:val="0"/>
              <w:snapToGrid/>
              <w:spacing w:line="276" w:lineRule="auto"/>
              <w:textAlignment w:val="auto"/>
              <w:rPr>
                <w:rFonts w:hint="eastAsia"/>
                <w:sz w:val="21"/>
                <w:szCs w:val="21"/>
              </w:rPr>
            </w:pPr>
            <w:r>
              <w:rPr>
                <w:rFonts w:hint="eastAsia"/>
                <w:sz w:val="21"/>
                <w:szCs w:val="21"/>
              </w:rPr>
              <w:t>培训形式基本合理，培训师资力量基本满足项目需求，讲师配备数量基本满足项目需求得</w:t>
            </w:r>
            <w:r>
              <w:rPr>
                <w:rFonts w:hint="eastAsia"/>
                <w:sz w:val="21"/>
                <w:szCs w:val="21"/>
                <w:lang w:val="en-US" w:eastAsia="zh-CN"/>
              </w:rPr>
              <w:t>0.5</w:t>
            </w:r>
            <w:r>
              <w:rPr>
                <w:rFonts w:hint="eastAsia"/>
                <w:sz w:val="21"/>
                <w:szCs w:val="21"/>
              </w:rPr>
              <w:t>分；</w:t>
            </w:r>
          </w:p>
          <w:p w14:paraId="0B5737C2">
            <w:pPr>
              <w:keepNext w:val="0"/>
              <w:keepLines w:val="0"/>
              <w:pageBreakBefore w:val="0"/>
              <w:overflowPunct/>
              <w:bidi w:val="0"/>
              <w:snapToGrid/>
              <w:spacing w:line="276" w:lineRule="auto"/>
              <w:textAlignment w:val="auto"/>
              <w:rPr>
                <w:sz w:val="21"/>
                <w:szCs w:val="21"/>
              </w:rPr>
            </w:pPr>
            <w:r>
              <w:rPr>
                <w:rFonts w:hint="eastAsia"/>
                <w:sz w:val="21"/>
                <w:szCs w:val="21"/>
              </w:rPr>
              <w:t>未提供的不得分。</w:t>
            </w:r>
          </w:p>
        </w:tc>
      </w:tr>
    </w:tbl>
    <w:p w14:paraId="5793D18A">
      <w:pPr>
        <w:rPr>
          <w:rFonts w:hint="eastAsia" w:ascii="宋体" w:hAnsi="宋体" w:eastAsia="宋体" w:cs="宋体"/>
          <w:sz w:val="21"/>
          <w:szCs w:val="21"/>
          <w:lang w:val="en-US" w:eastAsia="zh-CN"/>
        </w:rPr>
      </w:pPr>
    </w:p>
    <w:p w14:paraId="4E614E08">
      <w:pPr>
        <w:rPr>
          <w:rFonts w:hint="eastAsia" w:ascii="宋体" w:hAnsi="宋体" w:eastAsia="宋体" w:cs="宋体"/>
          <w:sz w:val="21"/>
          <w:szCs w:val="21"/>
          <w:lang w:val="en-US" w:eastAsia="zh-CN"/>
        </w:rPr>
      </w:pPr>
    </w:p>
    <w:p w14:paraId="3A140165">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br w:type="page"/>
      </w:r>
    </w:p>
    <w:p w14:paraId="1375C362">
      <w:pPr>
        <w:pStyle w:val="4"/>
        <w:bidi w:val="0"/>
        <w:rPr>
          <w:rFonts w:hint="eastAsia" w:ascii="宋体" w:hAnsi="宋体" w:eastAsia="宋体" w:cs="宋体"/>
          <w:lang w:val="en-US" w:eastAsia="zh-CN"/>
        </w:rPr>
      </w:pPr>
      <w:bookmarkStart w:id="245" w:name="_Toc28349"/>
      <w:r>
        <w:rPr>
          <w:rFonts w:hint="eastAsia" w:ascii="宋体" w:hAnsi="宋体" w:eastAsia="宋体" w:cs="宋体"/>
          <w:lang w:val="en-US" w:eastAsia="zh-CN"/>
        </w:rPr>
        <w:t>第六章  政府采购合同</w:t>
      </w:r>
      <w:bookmarkEnd w:id="245"/>
    </w:p>
    <w:p w14:paraId="3B748998">
      <w:pPr>
        <w:keepNext w:val="0"/>
        <w:keepLines w:val="0"/>
        <w:pageBreakBefore w:val="0"/>
        <w:widowControl w:val="0"/>
        <w:kinsoku/>
        <w:wordWrap w:val="0"/>
        <w:overflowPunct/>
        <w:topLinePunct w:val="0"/>
        <w:autoSpaceDE/>
        <w:autoSpaceDN/>
        <w:bidi w:val="0"/>
        <w:adjustRightInd/>
        <w:snapToGrid/>
        <w:spacing w:line="360" w:lineRule="auto"/>
        <w:jc w:val="both"/>
        <w:textAlignment w:val="auto"/>
        <w:rPr>
          <w:rFonts w:hint="eastAsia" w:ascii="宋体" w:hAnsi="宋体" w:eastAsia="宋体" w:cs="宋体"/>
          <w:color w:val="auto"/>
          <w:sz w:val="21"/>
          <w:szCs w:val="21"/>
        </w:rPr>
      </w:pPr>
    </w:p>
    <w:p w14:paraId="757B743C">
      <w:pPr>
        <w:spacing w:line="360" w:lineRule="auto"/>
        <w:jc w:val="right"/>
        <w:rPr>
          <w:rFonts w:hint="eastAsia" w:ascii="宋体" w:hAnsi="宋体" w:eastAsia="宋体" w:cs="宋体"/>
          <w:color w:val="auto"/>
          <w:sz w:val="21"/>
          <w:szCs w:val="21"/>
          <w:u w:val="single"/>
        </w:rPr>
      </w:pPr>
      <w:r>
        <w:rPr>
          <w:rFonts w:hint="eastAsia" w:ascii="宋体" w:hAnsi="宋体" w:eastAsia="宋体" w:cs="宋体"/>
          <w:color w:val="auto"/>
          <w:sz w:val="21"/>
          <w:szCs w:val="21"/>
        </w:rPr>
        <w:t>合同编号：</w:t>
      </w:r>
    </w:p>
    <w:p w14:paraId="1C3E31BB">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采购合同</w:t>
      </w:r>
    </w:p>
    <w:p w14:paraId="1E48FA3B">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货物</w:t>
      </w:r>
      <w:r>
        <w:rPr>
          <w:rFonts w:hint="eastAsia" w:ascii="宋体" w:hAnsi="宋体" w:eastAsia="宋体" w:cs="宋体"/>
          <w:color w:val="auto"/>
          <w:sz w:val="21"/>
          <w:szCs w:val="21"/>
        </w:rPr>
        <w:t>类）</w:t>
      </w:r>
    </w:p>
    <w:p w14:paraId="42344376">
      <w:pPr>
        <w:pStyle w:val="2"/>
        <w:keepNext w:val="0"/>
        <w:keepLines w:val="0"/>
        <w:pageBreakBefore w:val="0"/>
        <w:widowControl w:val="0"/>
        <w:kinsoku/>
        <w:overflowPunct/>
        <w:topLinePunct w:val="0"/>
        <w:autoSpaceDE/>
        <w:autoSpaceDN/>
        <w:bidi w:val="0"/>
        <w:adjustRightInd/>
        <w:snapToGrid/>
        <w:spacing w:after="0"/>
        <w:ind w:left="0" w:leftChars="0" w:firstLine="0" w:firstLineChars="0"/>
        <w:jc w:val="center"/>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第一部分  合同协议书</w:t>
      </w:r>
    </w:p>
    <w:p w14:paraId="000AAC11">
      <w:pPr>
        <w:pStyle w:val="2"/>
        <w:keepNext w:val="0"/>
        <w:keepLines w:val="0"/>
        <w:pageBreakBefore w:val="0"/>
        <w:widowControl w:val="0"/>
        <w:kinsoku/>
        <w:overflowPunct/>
        <w:topLinePunct w:val="0"/>
        <w:autoSpaceDE/>
        <w:autoSpaceDN/>
        <w:bidi w:val="0"/>
        <w:adjustRightInd/>
        <w:snapToGrid/>
        <w:spacing w:after="0"/>
        <w:textAlignment w:val="auto"/>
        <w:rPr>
          <w:rFonts w:hint="eastAsia" w:ascii="宋体" w:hAnsi="宋体" w:eastAsia="宋体" w:cs="宋体"/>
          <w:color w:val="auto"/>
          <w:sz w:val="21"/>
          <w:szCs w:val="21"/>
        </w:rPr>
      </w:pPr>
    </w:p>
    <w:p w14:paraId="601910F2">
      <w:pPr>
        <w:pStyle w:val="2"/>
        <w:keepNext w:val="0"/>
        <w:keepLines w:val="0"/>
        <w:pageBreakBefore w:val="0"/>
        <w:widowControl w:val="0"/>
        <w:kinsoku/>
        <w:wordWrap/>
        <w:overflowPunct/>
        <w:topLinePunct w:val="0"/>
        <w:autoSpaceDE/>
        <w:autoSpaceDN/>
        <w:bidi w:val="0"/>
        <w:adjustRightInd/>
        <w:snapToGrid/>
        <w:spacing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项目名称：</w:t>
      </w:r>
    </w:p>
    <w:p w14:paraId="7268749A">
      <w:pPr>
        <w:pStyle w:val="2"/>
        <w:keepNext w:val="0"/>
        <w:keepLines w:val="0"/>
        <w:pageBreakBefore w:val="0"/>
        <w:widowControl w:val="0"/>
        <w:kinsoku/>
        <w:wordWrap/>
        <w:overflowPunct/>
        <w:topLinePunct w:val="0"/>
        <w:autoSpaceDE/>
        <w:autoSpaceDN/>
        <w:bidi w:val="0"/>
        <w:adjustRightInd/>
        <w:snapToGrid/>
        <w:spacing w:after="0" w:line="396" w:lineRule="auto"/>
        <w:ind w:firstLine="420" w:firstLineChars="200"/>
        <w:textAlignment w:val="auto"/>
        <w:rPr>
          <w:rFonts w:hint="default" w:ascii="宋体" w:hAnsi="宋体" w:eastAsia="宋体" w:cs="宋体"/>
          <w:color w:val="auto"/>
          <w:sz w:val="21"/>
          <w:szCs w:val="21"/>
          <w:u w:val="single"/>
          <w:lang w:val="en-US" w:eastAsia="zh-CN"/>
        </w:rPr>
      </w:pPr>
      <w:r>
        <w:rPr>
          <w:rFonts w:hint="eastAsia" w:ascii="宋体" w:hAnsi="宋体" w:eastAsia="宋体" w:cs="宋体"/>
          <w:color w:val="auto"/>
          <w:sz w:val="21"/>
          <w:szCs w:val="21"/>
        </w:rPr>
        <w:t>甲方：（采购人）</w:t>
      </w:r>
      <w:r>
        <w:rPr>
          <w:rFonts w:hint="eastAsia" w:ascii="宋体" w:hAnsi="宋体" w:eastAsia="宋体" w:cs="宋体"/>
          <w:color w:val="auto"/>
          <w:sz w:val="21"/>
          <w:szCs w:val="21"/>
          <w:u w:val="single"/>
          <w:lang w:val="en-US" w:eastAsia="zh-CN"/>
        </w:rPr>
        <w:t xml:space="preserve">  </w:t>
      </w:r>
    </w:p>
    <w:p w14:paraId="2563869D">
      <w:pPr>
        <w:pStyle w:val="2"/>
        <w:keepNext w:val="0"/>
        <w:keepLines w:val="0"/>
        <w:pageBreakBefore w:val="0"/>
        <w:widowControl w:val="0"/>
        <w:kinsoku/>
        <w:wordWrap/>
        <w:overflowPunct/>
        <w:topLinePunct w:val="0"/>
        <w:autoSpaceDE/>
        <w:autoSpaceDN/>
        <w:bidi w:val="0"/>
        <w:adjustRightInd/>
        <w:snapToGrid/>
        <w:spacing w:after="0" w:line="396"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乙方：</w:t>
      </w:r>
      <w:r>
        <w:rPr>
          <w:rFonts w:hint="eastAsia" w:ascii="宋体" w:hAnsi="宋体" w:eastAsia="宋体" w:cs="宋体"/>
          <w:color w:val="auto"/>
          <w:sz w:val="21"/>
          <w:szCs w:val="21"/>
          <w:lang w:val="en-US" w:eastAsia="zh-CN"/>
        </w:rPr>
        <w:t xml:space="preserve"> </w:t>
      </w:r>
    </w:p>
    <w:p w14:paraId="6172A231">
      <w:pPr>
        <w:pStyle w:val="2"/>
        <w:keepNext w:val="0"/>
        <w:keepLines w:val="0"/>
        <w:pageBreakBefore w:val="0"/>
        <w:widowControl w:val="0"/>
        <w:kinsoku/>
        <w:wordWrap/>
        <w:overflowPunct/>
        <w:topLinePunct w:val="0"/>
        <w:autoSpaceDE/>
        <w:autoSpaceDN/>
        <w:bidi w:val="0"/>
        <w:adjustRightInd/>
        <w:snapToGrid/>
        <w:spacing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签订地：</w:t>
      </w:r>
    </w:p>
    <w:p w14:paraId="356762AF">
      <w:pPr>
        <w:pStyle w:val="2"/>
        <w:keepNext w:val="0"/>
        <w:keepLines w:val="0"/>
        <w:pageBreakBefore w:val="0"/>
        <w:widowControl w:val="0"/>
        <w:kinsoku/>
        <w:wordWrap/>
        <w:overflowPunct/>
        <w:topLinePunct w:val="0"/>
        <w:autoSpaceDE/>
        <w:autoSpaceDN/>
        <w:bidi w:val="0"/>
        <w:adjustRightInd/>
        <w:snapToGrid/>
        <w:spacing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签订日期：               年       月       日</w:t>
      </w:r>
    </w:p>
    <w:p w14:paraId="2B97F1F7">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u w:val="single"/>
          <w:lang w:val="zh-CN"/>
        </w:rPr>
        <w:t xml:space="preserve">    </w:t>
      </w:r>
      <w:r>
        <w:rPr>
          <w:rFonts w:hint="eastAsia" w:ascii="宋体" w:hAnsi="宋体" w:eastAsia="宋体" w:cs="宋体"/>
          <w:color w:val="auto"/>
          <w:sz w:val="21"/>
          <w:szCs w:val="21"/>
          <w:lang w:val="zh-CN"/>
        </w:rPr>
        <w:t>年</w:t>
      </w:r>
      <w:r>
        <w:rPr>
          <w:rFonts w:hint="eastAsia" w:ascii="宋体" w:hAnsi="宋体" w:eastAsia="宋体" w:cs="宋体"/>
          <w:color w:val="auto"/>
          <w:sz w:val="21"/>
          <w:szCs w:val="21"/>
          <w:u w:val="single"/>
          <w:lang w:val="zh-CN"/>
        </w:rPr>
        <w:t xml:space="preserve">    </w:t>
      </w:r>
      <w:r>
        <w:rPr>
          <w:rFonts w:hint="eastAsia" w:ascii="宋体" w:hAnsi="宋体" w:eastAsia="宋体" w:cs="宋体"/>
          <w:color w:val="auto"/>
          <w:sz w:val="21"/>
          <w:szCs w:val="21"/>
          <w:lang w:val="zh-CN"/>
        </w:rPr>
        <w:t>月</w:t>
      </w:r>
      <w:r>
        <w:rPr>
          <w:rFonts w:hint="eastAsia" w:ascii="宋体" w:hAnsi="宋体" w:eastAsia="宋体" w:cs="宋体"/>
          <w:color w:val="auto"/>
          <w:sz w:val="21"/>
          <w:szCs w:val="21"/>
          <w:u w:val="single"/>
          <w:lang w:val="zh-CN"/>
        </w:rPr>
        <w:t xml:space="preserve">    </w:t>
      </w:r>
      <w:r>
        <w:rPr>
          <w:rFonts w:hint="eastAsia" w:ascii="宋体" w:hAnsi="宋体" w:eastAsia="宋体" w:cs="宋体"/>
          <w:color w:val="auto"/>
          <w:sz w:val="21"/>
          <w:szCs w:val="21"/>
          <w:lang w:val="zh-CN"/>
        </w:rPr>
        <w:t>日</w:t>
      </w:r>
      <w:r>
        <w:rPr>
          <w:rFonts w:hint="eastAsia" w:ascii="宋体" w:hAnsi="宋体" w:eastAsia="宋体" w:cs="宋体"/>
          <w:color w:val="auto"/>
          <w:sz w:val="21"/>
          <w:szCs w:val="21"/>
        </w:rPr>
        <w:t>，</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single"/>
        </w:rPr>
        <w:t xml:space="preserve"> （采购人名称）   </w:t>
      </w:r>
      <w:r>
        <w:rPr>
          <w:rFonts w:hint="eastAsia" w:ascii="宋体" w:hAnsi="宋体" w:eastAsia="宋体" w:cs="宋体"/>
          <w:color w:val="auto"/>
          <w:sz w:val="21"/>
          <w:szCs w:val="21"/>
        </w:rPr>
        <w:t>以</w:t>
      </w:r>
      <w:r>
        <w:rPr>
          <w:rFonts w:hint="eastAsia" w:ascii="宋体" w:hAnsi="宋体" w:eastAsia="宋体" w:cs="宋体"/>
          <w:color w:val="auto"/>
          <w:sz w:val="21"/>
          <w:szCs w:val="21"/>
          <w:u w:val="single"/>
        </w:rPr>
        <w:t xml:space="preserve">   （政府采购方式）  </w:t>
      </w:r>
      <w:r>
        <w:rPr>
          <w:rFonts w:hint="eastAsia" w:ascii="宋体" w:hAnsi="宋体" w:eastAsia="宋体" w:cs="宋体"/>
          <w:color w:val="auto"/>
          <w:sz w:val="21"/>
          <w:szCs w:val="21"/>
        </w:rPr>
        <w:t>对</w:t>
      </w:r>
      <w:r>
        <w:rPr>
          <w:rFonts w:hint="eastAsia" w:ascii="宋体" w:hAnsi="宋体" w:eastAsia="宋体" w:cs="宋体"/>
          <w:color w:val="auto"/>
          <w:sz w:val="21"/>
          <w:szCs w:val="21"/>
          <w:u w:val="single"/>
        </w:rPr>
        <w:t xml:space="preserve">   （项目名称）   </w:t>
      </w:r>
      <w:r>
        <w:rPr>
          <w:rFonts w:hint="eastAsia" w:ascii="宋体" w:hAnsi="宋体" w:eastAsia="宋体" w:cs="宋体"/>
          <w:color w:val="auto"/>
          <w:sz w:val="21"/>
          <w:szCs w:val="21"/>
        </w:rPr>
        <w:t>项目进行了采购。经</w:t>
      </w:r>
      <w:r>
        <w:rPr>
          <w:rFonts w:hint="eastAsia" w:ascii="宋体" w:hAnsi="宋体" w:eastAsia="宋体" w:cs="宋体"/>
          <w:color w:val="auto"/>
          <w:sz w:val="21"/>
          <w:szCs w:val="21"/>
          <w:u w:val="single"/>
        </w:rPr>
        <w:t xml:space="preserve"> （相关评定主体名称）  </w:t>
      </w:r>
      <w:r>
        <w:rPr>
          <w:rFonts w:hint="eastAsia" w:ascii="宋体" w:hAnsi="宋体" w:eastAsia="宋体" w:cs="宋体"/>
          <w:color w:val="auto"/>
          <w:sz w:val="21"/>
          <w:szCs w:val="21"/>
        </w:rPr>
        <w:t>评定，</w:t>
      </w:r>
      <w:r>
        <w:rPr>
          <w:rFonts w:hint="eastAsia" w:ascii="宋体" w:hAnsi="宋体" w:eastAsia="宋体" w:cs="宋体"/>
          <w:color w:val="auto"/>
          <w:sz w:val="21"/>
          <w:szCs w:val="21"/>
          <w:u w:val="single"/>
        </w:rPr>
        <w:t xml:space="preserve">   （中标供应商名称）</w:t>
      </w:r>
      <w:r>
        <w:rPr>
          <w:rFonts w:hint="eastAsia" w:ascii="宋体" w:hAnsi="宋体" w:eastAsia="宋体" w:cs="宋体"/>
          <w:color w:val="auto"/>
          <w:sz w:val="21"/>
          <w:szCs w:val="21"/>
        </w:rPr>
        <w:t>为该项目中标供应商。现于中标通知书发出之日起三十日内，按照采购文件确定的事项签订本合同。</w:t>
      </w:r>
    </w:p>
    <w:p w14:paraId="338B6F54">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zh-CN"/>
        </w:rPr>
        <w:t>根据《中华人民共和国</w:t>
      </w:r>
      <w:r>
        <w:rPr>
          <w:rFonts w:hint="eastAsia" w:ascii="宋体" w:hAnsi="宋体" w:eastAsia="宋体" w:cs="宋体"/>
          <w:color w:val="auto"/>
          <w:sz w:val="21"/>
          <w:szCs w:val="21"/>
          <w:lang w:val="en-US" w:eastAsia="zh-CN"/>
        </w:rPr>
        <w:t>民法典</w:t>
      </w:r>
      <w:r>
        <w:rPr>
          <w:rFonts w:hint="eastAsia" w:ascii="宋体" w:hAnsi="宋体" w:eastAsia="宋体" w:cs="宋体"/>
          <w:color w:val="auto"/>
          <w:sz w:val="21"/>
          <w:szCs w:val="21"/>
          <w:lang w:val="zh-CN"/>
        </w:rPr>
        <w:t>》、《中华人民共和国政府采购法》等相关法律法规之规定，按照平等、自愿、公平和诚实信用的原则，经</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single"/>
        </w:rPr>
        <w:t xml:space="preserve"> （采购人名称）  </w:t>
      </w:r>
      <w:r>
        <w:rPr>
          <w:rFonts w:hint="eastAsia" w:ascii="宋体" w:hAnsi="宋体" w:eastAsia="宋体" w:cs="宋体"/>
          <w:color w:val="auto"/>
          <w:sz w:val="21"/>
          <w:szCs w:val="21"/>
          <w:lang w:val="zh-CN"/>
        </w:rPr>
        <w:t>(以下简称：甲方)和</w:t>
      </w:r>
      <w:r>
        <w:rPr>
          <w:rFonts w:hint="eastAsia" w:ascii="宋体" w:hAnsi="宋体" w:eastAsia="宋体" w:cs="宋体"/>
          <w:color w:val="auto"/>
          <w:sz w:val="21"/>
          <w:szCs w:val="21"/>
          <w:u w:val="single"/>
        </w:rPr>
        <w:t xml:space="preserve">   （中标供应商名称）   </w:t>
      </w:r>
      <w:r>
        <w:rPr>
          <w:rFonts w:hint="eastAsia" w:ascii="宋体" w:hAnsi="宋体" w:eastAsia="宋体" w:cs="宋体"/>
          <w:color w:val="auto"/>
          <w:sz w:val="21"/>
          <w:szCs w:val="21"/>
          <w:lang w:val="zh-CN"/>
        </w:rPr>
        <w:t>(以下简称：乙方)协商一致，约定以下合同</w:t>
      </w:r>
      <w:r>
        <w:rPr>
          <w:rFonts w:hint="eastAsia" w:ascii="宋体" w:hAnsi="宋体" w:eastAsia="宋体" w:cs="宋体"/>
          <w:color w:val="auto"/>
          <w:sz w:val="21"/>
          <w:szCs w:val="21"/>
        </w:rPr>
        <w:t>条款，以兹共同遵守、全面履行。</w:t>
      </w:r>
    </w:p>
    <w:p w14:paraId="28AFE5C9">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bookmarkStart w:id="246" w:name="_Toc2232"/>
      <w:bookmarkStart w:id="247" w:name="_Toc24059"/>
      <w:bookmarkStart w:id="248" w:name="_Toc3029"/>
      <w:r>
        <w:rPr>
          <w:rFonts w:hint="eastAsia" w:ascii="宋体" w:hAnsi="宋体" w:eastAsia="宋体" w:cs="宋体"/>
          <w:color w:val="auto"/>
          <w:sz w:val="21"/>
          <w:szCs w:val="21"/>
        </w:rPr>
        <w:t>1.1 合同组成部分</w:t>
      </w:r>
      <w:bookmarkEnd w:id="246"/>
      <w:bookmarkEnd w:id="247"/>
      <w:bookmarkEnd w:id="248"/>
    </w:p>
    <w:p w14:paraId="5FF3B088">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C1C8AD8">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1.1.1 本合同及其补充合同、变更协议；</w:t>
      </w:r>
    </w:p>
    <w:p w14:paraId="186B2C71">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1.1.2 中标通知书；</w:t>
      </w:r>
    </w:p>
    <w:p w14:paraId="361377EF">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1.1.3 投标文件（含澄清或者说明文件）；</w:t>
      </w:r>
    </w:p>
    <w:p w14:paraId="16A64D40">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1.1.4 招标文件（含澄清或者修改文件）；</w:t>
      </w:r>
    </w:p>
    <w:p w14:paraId="727C57C3">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1.1.5 其他相关采购文件。</w:t>
      </w:r>
    </w:p>
    <w:p w14:paraId="3CF77539">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bookmarkStart w:id="249" w:name="_Toc24300"/>
      <w:bookmarkStart w:id="250" w:name="_Toc21295"/>
      <w:bookmarkStart w:id="251" w:name="_Toc27126"/>
      <w:r>
        <w:rPr>
          <w:rFonts w:hint="eastAsia" w:ascii="宋体" w:hAnsi="宋体" w:eastAsia="宋体" w:cs="宋体"/>
          <w:color w:val="auto"/>
          <w:sz w:val="21"/>
          <w:szCs w:val="21"/>
        </w:rPr>
        <w:t>1.2 货物</w:t>
      </w:r>
      <w:bookmarkEnd w:id="249"/>
      <w:bookmarkEnd w:id="250"/>
      <w:bookmarkEnd w:id="251"/>
    </w:p>
    <w:p w14:paraId="5EB73E6E">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1.2.1 货物名称：</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w:t>
      </w:r>
    </w:p>
    <w:p w14:paraId="531186F9">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1.2.2 货物数量：</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w:t>
      </w:r>
    </w:p>
    <w:p w14:paraId="448C65B5">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1.2.3 货物质量：</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w:t>
      </w:r>
    </w:p>
    <w:p w14:paraId="678C253A">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bookmarkStart w:id="252" w:name="_Toc21551"/>
      <w:bookmarkStart w:id="253" w:name="_Toc21631"/>
      <w:bookmarkStart w:id="254" w:name="_Toc23292"/>
      <w:r>
        <w:rPr>
          <w:rFonts w:hint="eastAsia" w:ascii="宋体" w:hAnsi="宋体" w:eastAsia="宋体" w:cs="宋体"/>
          <w:color w:val="auto"/>
          <w:sz w:val="21"/>
          <w:szCs w:val="21"/>
        </w:rPr>
        <w:t>1.3 价款</w:t>
      </w:r>
      <w:bookmarkEnd w:id="252"/>
      <w:bookmarkEnd w:id="253"/>
      <w:bookmarkEnd w:id="254"/>
    </w:p>
    <w:p w14:paraId="51F6CFD5">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本合同总价为：￥</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元（大写：</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元人民币）。</w:t>
      </w:r>
    </w:p>
    <w:p w14:paraId="190ACB49">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分项价格：</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4313"/>
        <w:gridCol w:w="3235"/>
      </w:tblGrid>
      <w:tr w14:paraId="49DB8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201" w:type="dxa"/>
            <w:noWrap w:val="0"/>
            <w:vAlign w:val="center"/>
          </w:tcPr>
          <w:p w14:paraId="4BA27515">
            <w:pPr>
              <w:keepNext w:val="0"/>
              <w:keepLines w:val="0"/>
              <w:pageBreakBefore w:val="0"/>
              <w:widowControl w:val="0"/>
              <w:kinsoku/>
              <w:wordWrap/>
              <w:overflowPunct/>
              <w:topLinePunct w:val="0"/>
              <w:autoSpaceDE/>
              <w:autoSpaceDN/>
              <w:bidi w:val="0"/>
              <w:adjustRightInd/>
              <w:snapToGrid/>
              <w:spacing w:line="276" w:lineRule="auto"/>
              <w:ind w:firstLine="420" w:firstLineChars="20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序号</w:t>
            </w:r>
          </w:p>
        </w:tc>
        <w:tc>
          <w:tcPr>
            <w:tcW w:w="3402" w:type="dxa"/>
            <w:noWrap w:val="0"/>
            <w:vAlign w:val="center"/>
          </w:tcPr>
          <w:p w14:paraId="0482D27E">
            <w:pPr>
              <w:keepNext w:val="0"/>
              <w:keepLines w:val="0"/>
              <w:pageBreakBefore w:val="0"/>
              <w:widowControl w:val="0"/>
              <w:kinsoku/>
              <w:wordWrap/>
              <w:overflowPunct/>
              <w:topLinePunct w:val="0"/>
              <w:autoSpaceDE/>
              <w:autoSpaceDN/>
              <w:bidi w:val="0"/>
              <w:adjustRightInd/>
              <w:snapToGrid/>
              <w:spacing w:line="276" w:lineRule="auto"/>
              <w:ind w:firstLine="420" w:firstLineChars="20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分项名称</w:t>
            </w:r>
          </w:p>
        </w:tc>
        <w:tc>
          <w:tcPr>
            <w:tcW w:w="2552" w:type="dxa"/>
            <w:noWrap w:val="0"/>
            <w:vAlign w:val="center"/>
          </w:tcPr>
          <w:p w14:paraId="48404C92">
            <w:pPr>
              <w:keepNext w:val="0"/>
              <w:keepLines w:val="0"/>
              <w:pageBreakBefore w:val="0"/>
              <w:widowControl w:val="0"/>
              <w:kinsoku/>
              <w:wordWrap/>
              <w:overflowPunct/>
              <w:topLinePunct w:val="0"/>
              <w:autoSpaceDE/>
              <w:autoSpaceDN/>
              <w:bidi w:val="0"/>
              <w:adjustRightInd/>
              <w:snapToGrid/>
              <w:spacing w:line="276" w:lineRule="auto"/>
              <w:ind w:firstLine="420" w:firstLineChars="20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分项价格</w:t>
            </w:r>
          </w:p>
        </w:tc>
      </w:tr>
      <w:tr w14:paraId="2D098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201" w:type="dxa"/>
            <w:noWrap w:val="0"/>
            <w:vAlign w:val="center"/>
          </w:tcPr>
          <w:p w14:paraId="5D266FB3">
            <w:pPr>
              <w:keepNext w:val="0"/>
              <w:keepLines w:val="0"/>
              <w:pageBreakBefore w:val="0"/>
              <w:widowControl w:val="0"/>
              <w:kinsoku/>
              <w:wordWrap/>
              <w:overflowPunct/>
              <w:topLinePunct w:val="0"/>
              <w:autoSpaceDE/>
              <w:autoSpaceDN/>
              <w:bidi w:val="0"/>
              <w:adjustRightInd/>
              <w:snapToGrid/>
              <w:spacing w:line="276" w:lineRule="auto"/>
              <w:ind w:firstLine="420" w:firstLineChars="200"/>
              <w:jc w:val="center"/>
              <w:textAlignment w:val="auto"/>
              <w:rPr>
                <w:rFonts w:hint="eastAsia" w:ascii="宋体" w:hAnsi="宋体" w:eastAsia="宋体" w:cs="宋体"/>
                <w:color w:val="auto"/>
                <w:sz w:val="21"/>
                <w:szCs w:val="21"/>
                <w:lang w:val="en-US" w:eastAsia="zh-CN"/>
              </w:rPr>
            </w:pPr>
          </w:p>
        </w:tc>
        <w:tc>
          <w:tcPr>
            <w:tcW w:w="3402" w:type="dxa"/>
            <w:noWrap w:val="0"/>
            <w:vAlign w:val="center"/>
          </w:tcPr>
          <w:p w14:paraId="39D4E55D">
            <w:pPr>
              <w:keepNext w:val="0"/>
              <w:keepLines w:val="0"/>
              <w:pageBreakBefore w:val="0"/>
              <w:widowControl w:val="0"/>
              <w:kinsoku/>
              <w:wordWrap/>
              <w:overflowPunct/>
              <w:topLinePunct w:val="0"/>
              <w:autoSpaceDE/>
              <w:autoSpaceDN/>
              <w:bidi w:val="0"/>
              <w:adjustRightInd/>
              <w:snapToGrid/>
              <w:spacing w:line="276" w:lineRule="auto"/>
              <w:ind w:firstLine="420" w:firstLineChars="200"/>
              <w:jc w:val="center"/>
              <w:textAlignment w:val="auto"/>
              <w:rPr>
                <w:rFonts w:hint="eastAsia" w:ascii="宋体" w:hAnsi="宋体" w:eastAsia="宋体" w:cs="宋体"/>
                <w:color w:val="auto"/>
                <w:sz w:val="21"/>
                <w:szCs w:val="21"/>
                <w:lang w:val="en-US" w:eastAsia="zh-CN"/>
              </w:rPr>
            </w:pPr>
          </w:p>
        </w:tc>
        <w:tc>
          <w:tcPr>
            <w:tcW w:w="2552" w:type="dxa"/>
            <w:noWrap w:val="0"/>
            <w:vAlign w:val="center"/>
          </w:tcPr>
          <w:p w14:paraId="70820DEF">
            <w:pPr>
              <w:keepNext w:val="0"/>
              <w:keepLines w:val="0"/>
              <w:pageBreakBefore w:val="0"/>
              <w:widowControl w:val="0"/>
              <w:kinsoku/>
              <w:wordWrap/>
              <w:overflowPunct/>
              <w:topLinePunct w:val="0"/>
              <w:autoSpaceDE/>
              <w:autoSpaceDN/>
              <w:bidi w:val="0"/>
              <w:adjustRightInd/>
              <w:snapToGrid/>
              <w:spacing w:line="276" w:lineRule="auto"/>
              <w:ind w:firstLine="420" w:firstLineChars="200"/>
              <w:jc w:val="center"/>
              <w:textAlignment w:val="auto"/>
              <w:rPr>
                <w:rFonts w:hint="eastAsia" w:ascii="宋体" w:hAnsi="宋体" w:eastAsia="宋体" w:cs="宋体"/>
                <w:color w:val="auto"/>
                <w:sz w:val="21"/>
                <w:szCs w:val="21"/>
                <w:lang w:val="en-US" w:eastAsia="zh-CN"/>
              </w:rPr>
            </w:pPr>
          </w:p>
        </w:tc>
      </w:tr>
      <w:tr w14:paraId="1EBF0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201" w:type="dxa"/>
            <w:noWrap w:val="0"/>
            <w:vAlign w:val="center"/>
          </w:tcPr>
          <w:p w14:paraId="567FD9F6">
            <w:pPr>
              <w:keepNext w:val="0"/>
              <w:keepLines w:val="0"/>
              <w:pageBreakBefore w:val="0"/>
              <w:widowControl w:val="0"/>
              <w:kinsoku/>
              <w:wordWrap/>
              <w:overflowPunct/>
              <w:topLinePunct w:val="0"/>
              <w:autoSpaceDE/>
              <w:autoSpaceDN/>
              <w:bidi w:val="0"/>
              <w:adjustRightInd/>
              <w:snapToGrid/>
              <w:spacing w:line="276" w:lineRule="auto"/>
              <w:ind w:firstLine="420" w:firstLineChars="200"/>
              <w:jc w:val="center"/>
              <w:textAlignment w:val="auto"/>
              <w:rPr>
                <w:rFonts w:hint="eastAsia" w:ascii="宋体" w:hAnsi="宋体" w:eastAsia="宋体" w:cs="宋体"/>
                <w:color w:val="auto"/>
                <w:sz w:val="21"/>
                <w:szCs w:val="21"/>
                <w:lang w:val="en-US" w:eastAsia="zh-CN"/>
              </w:rPr>
            </w:pPr>
          </w:p>
        </w:tc>
        <w:tc>
          <w:tcPr>
            <w:tcW w:w="3402" w:type="dxa"/>
            <w:noWrap w:val="0"/>
            <w:vAlign w:val="center"/>
          </w:tcPr>
          <w:p w14:paraId="0E9855FD">
            <w:pPr>
              <w:keepNext w:val="0"/>
              <w:keepLines w:val="0"/>
              <w:pageBreakBefore w:val="0"/>
              <w:widowControl w:val="0"/>
              <w:kinsoku/>
              <w:wordWrap/>
              <w:overflowPunct/>
              <w:topLinePunct w:val="0"/>
              <w:autoSpaceDE/>
              <w:autoSpaceDN/>
              <w:bidi w:val="0"/>
              <w:adjustRightInd/>
              <w:snapToGrid/>
              <w:spacing w:line="276" w:lineRule="auto"/>
              <w:ind w:firstLine="420" w:firstLineChars="200"/>
              <w:jc w:val="center"/>
              <w:textAlignment w:val="auto"/>
              <w:rPr>
                <w:rFonts w:hint="eastAsia" w:ascii="宋体" w:hAnsi="宋体" w:eastAsia="宋体" w:cs="宋体"/>
                <w:color w:val="auto"/>
                <w:sz w:val="21"/>
                <w:szCs w:val="21"/>
                <w:lang w:val="en-US" w:eastAsia="zh-CN"/>
              </w:rPr>
            </w:pPr>
          </w:p>
        </w:tc>
        <w:tc>
          <w:tcPr>
            <w:tcW w:w="2552" w:type="dxa"/>
            <w:noWrap w:val="0"/>
            <w:vAlign w:val="center"/>
          </w:tcPr>
          <w:p w14:paraId="5EB928E9">
            <w:pPr>
              <w:keepNext w:val="0"/>
              <w:keepLines w:val="0"/>
              <w:pageBreakBefore w:val="0"/>
              <w:widowControl w:val="0"/>
              <w:kinsoku/>
              <w:wordWrap/>
              <w:overflowPunct/>
              <w:topLinePunct w:val="0"/>
              <w:autoSpaceDE/>
              <w:autoSpaceDN/>
              <w:bidi w:val="0"/>
              <w:adjustRightInd/>
              <w:snapToGrid/>
              <w:spacing w:line="276" w:lineRule="auto"/>
              <w:ind w:firstLine="420" w:firstLineChars="200"/>
              <w:jc w:val="center"/>
              <w:textAlignment w:val="auto"/>
              <w:rPr>
                <w:rFonts w:hint="eastAsia" w:ascii="宋体" w:hAnsi="宋体" w:eastAsia="宋体" w:cs="宋体"/>
                <w:color w:val="auto"/>
                <w:sz w:val="21"/>
                <w:szCs w:val="21"/>
                <w:lang w:val="en-US" w:eastAsia="zh-CN"/>
              </w:rPr>
            </w:pPr>
          </w:p>
        </w:tc>
      </w:tr>
      <w:tr w14:paraId="6441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201" w:type="dxa"/>
            <w:noWrap w:val="0"/>
            <w:vAlign w:val="center"/>
          </w:tcPr>
          <w:p w14:paraId="3A4EAE72">
            <w:pPr>
              <w:keepNext w:val="0"/>
              <w:keepLines w:val="0"/>
              <w:pageBreakBefore w:val="0"/>
              <w:widowControl w:val="0"/>
              <w:kinsoku/>
              <w:wordWrap/>
              <w:overflowPunct/>
              <w:topLinePunct w:val="0"/>
              <w:autoSpaceDE/>
              <w:autoSpaceDN/>
              <w:bidi w:val="0"/>
              <w:adjustRightInd/>
              <w:snapToGrid/>
              <w:spacing w:line="276" w:lineRule="auto"/>
              <w:ind w:firstLine="420" w:firstLineChars="200"/>
              <w:jc w:val="center"/>
              <w:textAlignment w:val="auto"/>
              <w:rPr>
                <w:rFonts w:hint="eastAsia" w:ascii="宋体" w:hAnsi="宋体" w:eastAsia="宋体" w:cs="宋体"/>
                <w:color w:val="auto"/>
                <w:sz w:val="21"/>
                <w:szCs w:val="21"/>
                <w:lang w:val="en-US" w:eastAsia="zh-CN"/>
              </w:rPr>
            </w:pPr>
          </w:p>
        </w:tc>
        <w:tc>
          <w:tcPr>
            <w:tcW w:w="3402" w:type="dxa"/>
            <w:noWrap w:val="0"/>
            <w:vAlign w:val="center"/>
          </w:tcPr>
          <w:p w14:paraId="6F5EEDBB">
            <w:pPr>
              <w:keepNext w:val="0"/>
              <w:keepLines w:val="0"/>
              <w:pageBreakBefore w:val="0"/>
              <w:widowControl w:val="0"/>
              <w:kinsoku/>
              <w:wordWrap/>
              <w:overflowPunct/>
              <w:topLinePunct w:val="0"/>
              <w:autoSpaceDE/>
              <w:autoSpaceDN/>
              <w:bidi w:val="0"/>
              <w:adjustRightInd/>
              <w:snapToGrid/>
              <w:spacing w:line="276" w:lineRule="auto"/>
              <w:ind w:firstLine="420" w:firstLineChars="200"/>
              <w:jc w:val="center"/>
              <w:textAlignment w:val="auto"/>
              <w:rPr>
                <w:rFonts w:hint="eastAsia" w:ascii="宋体" w:hAnsi="宋体" w:eastAsia="宋体" w:cs="宋体"/>
                <w:color w:val="auto"/>
                <w:sz w:val="21"/>
                <w:szCs w:val="21"/>
                <w:lang w:val="en-US" w:eastAsia="zh-CN"/>
              </w:rPr>
            </w:pPr>
          </w:p>
        </w:tc>
        <w:tc>
          <w:tcPr>
            <w:tcW w:w="2552" w:type="dxa"/>
            <w:noWrap w:val="0"/>
            <w:vAlign w:val="center"/>
          </w:tcPr>
          <w:p w14:paraId="542B6F12">
            <w:pPr>
              <w:keepNext w:val="0"/>
              <w:keepLines w:val="0"/>
              <w:pageBreakBefore w:val="0"/>
              <w:widowControl w:val="0"/>
              <w:kinsoku/>
              <w:wordWrap/>
              <w:overflowPunct/>
              <w:topLinePunct w:val="0"/>
              <w:autoSpaceDE/>
              <w:autoSpaceDN/>
              <w:bidi w:val="0"/>
              <w:adjustRightInd/>
              <w:snapToGrid/>
              <w:spacing w:line="276" w:lineRule="auto"/>
              <w:ind w:firstLine="420" w:firstLineChars="200"/>
              <w:jc w:val="center"/>
              <w:textAlignment w:val="auto"/>
              <w:rPr>
                <w:rFonts w:hint="eastAsia" w:ascii="宋体" w:hAnsi="宋体" w:eastAsia="宋体" w:cs="宋体"/>
                <w:color w:val="auto"/>
                <w:sz w:val="21"/>
                <w:szCs w:val="21"/>
                <w:lang w:val="en-US" w:eastAsia="zh-CN"/>
              </w:rPr>
            </w:pPr>
          </w:p>
        </w:tc>
      </w:tr>
      <w:tr w14:paraId="70D26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201" w:type="dxa"/>
            <w:noWrap w:val="0"/>
            <w:vAlign w:val="center"/>
          </w:tcPr>
          <w:p w14:paraId="250764A9">
            <w:pPr>
              <w:keepNext w:val="0"/>
              <w:keepLines w:val="0"/>
              <w:pageBreakBefore w:val="0"/>
              <w:widowControl w:val="0"/>
              <w:kinsoku/>
              <w:wordWrap/>
              <w:overflowPunct/>
              <w:topLinePunct w:val="0"/>
              <w:autoSpaceDE/>
              <w:autoSpaceDN/>
              <w:bidi w:val="0"/>
              <w:adjustRightInd/>
              <w:snapToGrid/>
              <w:spacing w:line="276" w:lineRule="auto"/>
              <w:ind w:firstLine="420" w:firstLineChars="200"/>
              <w:jc w:val="center"/>
              <w:textAlignment w:val="auto"/>
              <w:rPr>
                <w:rFonts w:hint="eastAsia" w:ascii="宋体" w:hAnsi="宋体" w:eastAsia="宋体" w:cs="宋体"/>
                <w:color w:val="auto"/>
                <w:sz w:val="21"/>
                <w:szCs w:val="21"/>
                <w:lang w:val="en-US" w:eastAsia="zh-CN"/>
              </w:rPr>
            </w:pPr>
          </w:p>
        </w:tc>
        <w:tc>
          <w:tcPr>
            <w:tcW w:w="3402" w:type="dxa"/>
            <w:noWrap w:val="0"/>
            <w:vAlign w:val="center"/>
          </w:tcPr>
          <w:p w14:paraId="55054C02">
            <w:pPr>
              <w:keepNext w:val="0"/>
              <w:keepLines w:val="0"/>
              <w:pageBreakBefore w:val="0"/>
              <w:widowControl w:val="0"/>
              <w:kinsoku/>
              <w:wordWrap/>
              <w:overflowPunct/>
              <w:topLinePunct w:val="0"/>
              <w:autoSpaceDE/>
              <w:autoSpaceDN/>
              <w:bidi w:val="0"/>
              <w:adjustRightInd/>
              <w:snapToGrid/>
              <w:spacing w:line="276" w:lineRule="auto"/>
              <w:ind w:firstLine="420" w:firstLineChars="200"/>
              <w:jc w:val="center"/>
              <w:textAlignment w:val="auto"/>
              <w:rPr>
                <w:rFonts w:hint="eastAsia" w:ascii="宋体" w:hAnsi="宋体" w:eastAsia="宋体" w:cs="宋体"/>
                <w:color w:val="auto"/>
                <w:sz w:val="21"/>
                <w:szCs w:val="21"/>
                <w:lang w:val="en-US" w:eastAsia="zh-CN"/>
              </w:rPr>
            </w:pPr>
          </w:p>
        </w:tc>
        <w:tc>
          <w:tcPr>
            <w:tcW w:w="2552" w:type="dxa"/>
            <w:noWrap w:val="0"/>
            <w:vAlign w:val="center"/>
          </w:tcPr>
          <w:p w14:paraId="0E49EC0C">
            <w:pPr>
              <w:keepNext w:val="0"/>
              <w:keepLines w:val="0"/>
              <w:pageBreakBefore w:val="0"/>
              <w:widowControl w:val="0"/>
              <w:kinsoku/>
              <w:wordWrap/>
              <w:overflowPunct/>
              <w:topLinePunct w:val="0"/>
              <w:autoSpaceDE/>
              <w:autoSpaceDN/>
              <w:bidi w:val="0"/>
              <w:adjustRightInd/>
              <w:snapToGrid/>
              <w:spacing w:line="276" w:lineRule="auto"/>
              <w:ind w:firstLine="420" w:firstLineChars="200"/>
              <w:jc w:val="center"/>
              <w:textAlignment w:val="auto"/>
              <w:rPr>
                <w:rFonts w:hint="eastAsia" w:ascii="宋体" w:hAnsi="宋体" w:eastAsia="宋体" w:cs="宋体"/>
                <w:color w:val="auto"/>
                <w:sz w:val="21"/>
                <w:szCs w:val="21"/>
                <w:lang w:val="en-US" w:eastAsia="zh-CN"/>
              </w:rPr>
            </w:pPr>
          </w:p>
        </w:tc>
      </w:tr>
      <w:tr w14:paraId="1CE1C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603" w:type="dxa"/>
            <w:gridSpan w:val="2"/>
            <w:noWrap w:val="0"/>
            <w:vAlign w:val="center"/>
          </w:tcPr>
          <w:p w14:paraId="3418D22D">
            <w:pPr>
              <w:keepNext w:val="0"/>
              <w:keepLines w:val="0"/>
              <w:pageBreakBefore w:val="0"/>
              <w:widowControl w:val="0"/>
              <w:kinsoku/>
              <w:wordWrap/>
              <w:overflowPunct/>
              <w:topLinePunct w:val="0"/>
              <w:autoSpaceDE/>
              <w:autoSpaceDN/>
              <w:bidi w:val="0"/>
              <w:adjustRightInd/>
              <w:snapToGrid/>
              <w:spacing w:line="276" w:lineRule="auto"/>
              <w:ind w:firstLine="420" w:firstLineChars="20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总价</w:t>
            </w:r>
          </w:p>
        </w:tc>
        <w:tc>
          <w:tcPr>
            <w:tcW w:w="2552" w:type="dxa"/>
            <w:noWrap w:val="0"/>
            <w:vAlign w:val="center"/>
          </w:tcPr>
          <w:p w14:paraId="1CC46C4D">
            <w:pPr>
              <w:keepNext w:val="0"/>
              <w:keepLines w:val="0"/>
              <w:pageBreakBefore w:val="0"/>
              <w:widowControl w:val="0"/>
              <w:kinsoku/>
              <w:wordWrap/>
              <w:overflowPunct/>
              <w:topLinePunct w:val="0"/>
              <w:autoSpaceDE/>
              <w:autoSpaceDN/>
              <w:bidi w:val="0"/>
              <w:adjustRightInd/>
              <w:snapToGrid/>
              <w:spacing w:line="276" w:lineRule="auto"/>
              <w:ind w:firstLine="420" w:firstLineChars="200"/>
              <w:jc w:val="center"/>
              <w:textAlignment w:val="auto"/>
              <w:rPr>
                <w:rFonts w:hint="eastAsia" w:ascii="宋体" w:hAnsi="宋体" w:eastAsia="宋体" w:cs="宋体"/>
                <w:color w:val="auto"/>
                <w:sz w:val="21"/>
                <w:szCs w:val="21"/>
                <w:lang w:val="en-US" w:eastAsia="zh-CN"/>
              </w:rPr>
            </w:pPr>
          </w:p>
        </w:tc>
      </w:tr>
    </w:tbl>
    <w:p w14:paraId="46936D67">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bookmarkStart w:id="255" w:name="_Toc10340"/>
      <w:bookmarkStart w:id="256" w:name="_Toc22618"/>
      <w:bookmarkStart w:id="257" w:name="_Toc1814"/>
      <w:r>
        <w:rPr>
          <w:rFonts w:hint="eastAsia" w:ascii="宋体" w:hAnsi="宋体" w:eastAsia="宋体" w:cs="宋体"/>
          <w:color w:val="auto"/>
          <w:sz w:val="21"/>
          <w:szCs w:val="21"/>
        </w:rPr>
        <w:t>1.4 付款方式和发票开具方式</w:t>
      </w:r>
      <w:bookmarkEnd w:id="255"/>
      <w:bookmarkEnd w:id="256"/>
      <w:bookmarkEnd w:id="257"/>
    </w:p>
    <w:p w14:paraId="1E669D79">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1.4.1 付款方式：</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w:t>
      </w:r>
    </w:p>
    <w:p w14:paraId="2438DEC8">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1.4.2 发票开具方式：</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w:t>
      </w:r>
    </w:p>
    <w:p w14:paraId="0E61B14C">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bookmarkStart w:id="258" w:name="_Toc2846"/>
      <w:bookmarkStart w:id="259" w:name="_Toc32071"/>
      <w:bookmarkStart w:id="260" w:name="_Toc19304"/>
      <w:r>
        <w:rPr>
          <w:rFonts w:hint="eastAsia" w:ascii="宋体" w:hAnsi="宋体" w:eastAsia="宋体" w:cs="宋体"/>
          <w:color w:val="auto"/>
          <w:sz w:val="21"/>
          <w:szCs w:val="21"/>
        </w:rPr>
        <w:t>1.5 货物交付期限、地点和方式</w:t>
      </w:r>
      <w:bookmarkEnd w:id="258"/>
      <w:bookmarkEnd w:id="259"/>
      <w:bookmarkEnd w:id="260"/>
    </w:p>
    <w:p w14:paraId="0091E485">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1.5.1 交付期限：</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w:t>
      </w:r>
    </w:p>
    <w:p w14:paraId="71F8C2F7">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1.5.2 交付地点：</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w:t>
      </w:r>
    </w:p>
    <w:p w14:paraId="53DF1CAA">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1.5.3 交付方式：</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w:t>
      </w:r>
    </w:p>
    <w:p w14:paraId="04E43C44">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bookmarkStart w:id="261" w:name="_Toc19554"/>
      <w:bookmarkStart w:id="262" w:name="_Toc27250"/>
      <w:bookmarkStart w:id="263" w:name="_Toc21423"/>
      <w:r>
        <w:rPr>
          <w:rFonts w:hint="eastAsia" w:ascii="宋体" w:hAnsi="宋体" w:eastAsia="宋体" w:cs="宋体"/>
          <w:color w:val="auto"/>
          <w:sz w:val="21"/>
          <w:szCs w:val="21"/>
        </w:rPr>
        <w:t>1.6 履约保证金</w:t>
      </w:r>
    </w:p>
    <w:p w14:paraId="3C254970">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1.6.1 乙方应在领取成交通知书后5日内向甲方提交履约保证金。质保期结束且无质量问题，履约保证金无息退还；</w:t>
      </w:r>
    </w:p>
    <w:p w14:paraId="79647AFA">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1.6.2 履约保证金的金额：合同金额的5%；</w:t>
      </w:r>
    </w:p>
    <w:p w14:paraId="4B31B7AB">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1.6.3 如乙方未能履行或未能完成合同规定的义务，甲方有权从履约保证金中取得补偿。履约保证金扣除甲方应得的补偿后的余额在合同期满30天内无息退还乙方。</w:t>
      </w:r>
    </w:p>
    <w:p w14:paraId="44EB03AD">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cs="宋体"/>
          <w:color w:val="auto"/>
          <w:sz w:val="21"/>
          <w:szCs w:val="21"/>
          <w:lang w:val="en-US" w:eastAsia="zh-CN"/>
        </w:rPr>
        <w:t>7</w:t>
      </w:r>
      <w:r>
        <w:rPr>
          <w:rFonts w:hint="eastAsia" w:ascii="宋体" w:hAnsi="宋体" w:eastAsia="宋体" w:cs="宋体"/>
          <w:color w:val="auto"/>
          <w:sz w:val="21"/>
          <w:szCs w:val="21"/>
        </w:rPr>
        <w:t xml:space="preserve"> 违约责任</w:t>
      </w:r>
      <w:bookmarkEnd w:id="261"/>
      <w:bookmarkEnd w:id="262"/>
      <w:bookmarkEnd w:id="263"/>
    </w:p>
    <w:p w14:paraId="75A82219">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cs="宋体"/>
          <w:color w:val="auto"/>
          <w:sz w:val="21"/>
          <w:szCs w:val="21"/>
          <w:lang w:val="en-US" w:eastAsia="zh-CN"/>
        </w:rPr>
        <w:t>7</w:t>
      </w:r>
      <w:r>
        <w:rPr>
          <w:rFonts w:hint="eastAsia" w:ascii="宋体" w:hAnsi="宋体" w:eastAsia="宋体" w:cs="宋体"/>
          <w:color w:val="auto"/>
          <w:sz w:val="21"/>
          <w:szCs w:val="21"/>
        </w:rPr>
        <w:t>.1 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%计算，最高限额为本合同总价的</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%；迟延交付货物的违约金计算数额达到前述最高限额之日起，甲方有权在要求乙方支付违约金的同时，书面通知乙方解除本合同；</w:t>
      </w:r>
    </w:p>
    <w:p w14:paraId="008A0062">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cs="宋体"/>
          <w:color w:val="auto"/>
          <w:sz w:val="21"/>
          <w:szCs w:val="21"/>
          <w:lang w:val="en-US" w:eastAsia="zh-CN"/>
        </w:rPr>
        <w:t>7</w:t>
      </w:r>
      <w:r>
        <w:rPr>
          <w:rFonts w:hint="eastAsia" w:ascii="宋体" w:hAnsi="宋体" w:eastAsia="宋体" w:cs="宋体"/>
          <w:color w:val="auto"/>
          <w:sz w:val="21"/>
          <w:szCs w:val="21"/>
        </w:rPr>
        <w:t>.2 除不可抗力外，如果甲方没有按照本合同约定的付款方式付款，那么乙方可要求甲方支付违约金，违约金按每迟延付款一日的应付而未付款的</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%计算，最高限额为本合同总价的</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%；迟延付款的违约金计算数额达到前述最高限额之日起，乙方有权在要求甲方支付违约金的同时，书面通知甲方解除本合同；</w:t>
      </w:r>
    </w:p>
    <w:p w14:paraId="2492E7A0">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cs="宋体"/>
          <w:color w:val="auto"/>
          <w:sz w:val="21"/>
          <w:szCs w:val="21"/>
          <w:lang w:val="en-US" w:eastAsia="zh-CN"/>
        </w:rPr>
        <w:t>7</w:t>
      </w:r>
      <w:r>
        <w:rPr>
          <w:rFonts w:hint="eastAsia" w:ascii="宋体" w:hAnsi="宋体" w:eastAsia="宋体" w:cs="宋体"/>
          <w:color w:val="auto"/>
          <w:sz w:val="21"/>
          <w:szCs w:val="21"/>
        </w:rPr>
        <w:t>.3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A7593AB">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cs="宋体"/>
          <w:color w:val="auto"/>
          <w:sz w:val="21"/>
          <w:szCs w:val="21"/>
          <w:lang w:val="en-US" w:eastAsia="zh-CN"/>
        </w:rPr>
        <w:t>7</w:t>
      </w:r>
      <w:r>
        <w:rPr>
          <w:rFonts w:hint="eastAsia" w:ascii="宋体" w:hAnsi="宋体" w:eastAsia="宋体" w:cs="宋体"/>
          <w:color w:val="auto"/>
          <w:sz w:val="21"/>
          <w:szCs w:val="21"/>
        </w:rPr>
        <w:t>.4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61C3BA42">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cs="宋体"/>
          <w:color w:val="auto"/>
          <w:sz w:val="21"/>
          <w:szCs w:val="21"/>
          <w:lang w:val="en-US" w:eastAsia="zh-CN"/>
        </w:rPr>
        <w:t>7</w:t>
      </w:r>
      <w:r>
        <w:rPr>
          <w:rFonts w:hint="eastAsia" w:ascii="宋体" w:hAnsi="宋体" w:eastAsia="宋体" w:cs="宋体"/>
          <w:color w:val="auto"/>
          <w:sz w:val="21"/>
          <w:szCs w:val="21"/>
        </w:rPr>
        <w:t>.5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015938CC">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cs="宋体"/>
          <w:color w:val="auto"/>
          <w:sz w:val="21"/>
          <w:szCs w:val="21"/>
          <w:lang w:val="en-US" w:eastAsia="zh-CN"/>
        </w:rPr>
        <w:t>7</w:t>
      </w:r>
      <w:r>
        <w:rPr>
          <w:rFonts w:hint="eastAsia" w:ascii="宋体" w:hAnsi="宋体" w:eastAsia="宋体" w:cs="宋体"/>
          <w:color w:val="auto"/>
          <w:sz w:val="21"/>
          <w:szCs w:val="21"/>
        </w:rPr>
        <w:t>.6 如果出现政府采购监督管理部门在处理投诉事项期间，书面通知甲方暂停采购活动的情形，或者询问或质疑事项可能影响中标结果的，导致甲方中止履行合同的情形，均不视为甲方违约。</w:t>
      </w:r>
    </w:p>
    <w:p w14:paraId="768FEFDC">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bookmarkStart w:id="264" w:name="_Toc15583"/>
      <w:bookmarkStart w:id="265" w:name="_Toc16021"/>
      <w:bookmarkStart w:id="266" w:name="_Toc28375"/>
      <w:r>
        <w:rPr>
          <w:rFonts w:hint="eastAsia" w:ascii="宋体" w:hAnsi="宋体" w:eastAsia="宋体" w:cs="宋体"/>
          <w:color w:val="auto"/>
          <w:sz w:val="21"/>
          <w:szCs w:val="21"/>
        </w:rPr>
        <w:t>1.</w:t>
      </w:r>
      <w:r>
        <w:rPr>
          <w:rFonts w:hint="eastAsia" w:cs="宋体"/>
          <w:color w:val="auto"/>
          <w:sz w:val="21"/>
          <w:szCs w:val="21"/>
          <w:lang w:val="en-US" w:eastAsia="zh-CN"/>
        </w:rPr>
        <w:t>8</w:t>
      </w:r>
      <w:r>
        <w:rPr>
          <w:rFonts w:hint="eastAsia" w:ascii="宋体" w:hAnsi="宋体" w:eastAsia="宋体" w:cs="宋体"/>
          <w:color w:val="auto"/>
          <w:sz w:val="21"/>
          <w:szCs w:val="21"/>
        </w:rPr>
        <w:t xml:space="preserve"> 合同争议的解决</w:t>
      </w:r>
      <w:bookmarkEnd w:id="264"/>
      <w:bookmarkEnd w:id="265"/>
      <w:bookmarkEnd w:id="266"/>
    </w:p>
    <w:p w14:paraId="4F01E2F9">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本合同履行过程中发生的任何争议，双方当事人均可通过和解或者调解解决；不愿和解、调解或者和解、调解不成的，可以选择下列第</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种方式解决：</w:t>
      </w:r>
    </w:p>
    <w:p w14:paraId="1DE1829C">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cs="宋体"/>
          <w:color w:val="auto"/>
          <w:sz w:val="21"/>
          <w:szCs w:val="21"/>
          <w:lang w:val="en-US" w:eastAsia="zh-CN"/>
        </w:rPr>
        <w:t>8</w:t>
      </w:r>
      <w:r>
        <w:rPr>
          <w:rFonts w:hint="eastAsia" w:ascii="宋体" w:hAnsi="宋体" w:eastAsia="宋体" w:cs="宋体"/>
          <w:color w:val="auto"/>
          <w:sz w:val="21"/>
          <w:szCs w:val="21"/>
        </w:rPr>
        <w:t>.1 将争议提交</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仲裁委员会依申请仲裁时其现行有效的仲裁规则裁决；</w:t>
      </w:r>
    </w:p>
    <w:p w14:paraId="6BB42EBF">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cs="宋体"/>
          <w:color w:val="auto"/>
          <w:sz w:val="21"/>
          <w:szCs w:val="21"/>
          <w:lang w:val="en-US" w:eastAsia="zh-CN"/>
        </w:rPr>
        <w:t>8</w:t>
      </w:r>
      <w:r>
        <w:rPr>
          <w:rFonts w:hint="eastAsia" w:ascii="宋体" w:hAnsi="宋体" w:eastAsia="宋体" w:cs="宋体"/>
          <w:color w:val="auto"/>
          <w:sz w:val="21"/>
          <w:szCs w:val="21"/>
        </w:rPr>
        <w:t>.2 向</w:t>
      </w:r>
      <w:r>
        <w:rPr>
          <w:rFonts w:hint="eastAsia" w:ascii="宋体" w:hAnsi="宋体" w:eastAsia="宋体" w:cs="宋体"/>
          <w:color w:val="auto"/>
          <w:sz w:val="21"/>
          <w:szCs w:val="21"/>
          <w:u w:val="single"/>
        </w:rPr>
        <w:t xml:space="preserve">   </w:t>
      </w:r>
      <w:r>
        <w:rPr>
          <w:rFonts w:hint="eastAsia" w:cs="宋体"/>
          <w:color w:val="auto"/>
          <w:sz w:val="21"/>
          <w:szCs w:val="21"/>
          <w:u w:val="single"/>
          <w:lang w:val="en-US" w:eastAsia="zh-CN"/>
        </w:rPr>
        <w:t>甲方所在地</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人民法院起诉。</w:t>
      </w:r>
    </w:p>
    <w:p w14:paraId="1FDBEAA1">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bookmarkStart w:id="267" w:name="_Toc15322"/>
      <w:bookmarkStart w:id="268" w:name="_Toc7245"/>
      <w:bookmarkStart w:id="269" w:name="_Toc11173"/>
      <w:r>
        <w:rPr>
          <w:rFonts w:hint="eastAsia" w:ascii="宋体" w:hAnsi="宋体" w:eastAsia="宋体" w:cs="宋体"/>
          <w:color w:val="auto"/>
          <w:sz w:val="21"/>
          <w:szCs w:val="21"/>
        </w:rPr>
        <w:t>1.</w:t>
      </w:r>
      <w:r>
        <w:rPr>
          <w:rFonts w:hint="eastAsia" w:cs="宋体"/>
          <w:color w:val="auto"/>
          <w:sz w:val="21"/>
          <w:szCs w:val="21"/>
          <w:lang w:val="en-US" w:eastAsia="zh-CN"/>
        </w:rPr>
        <w:t>9</w:t>
      </w:r>
      <w:r>
        <w:rPr>
          <w:rFonts w:hint="eastAsia" w:ascii="宋体" w:hAnsi="宋体" w:eastAsia="宋体" w:cs="宋体"/>
          <w:color w:val="auto"/>
          <w:sz w:val="21"/>
          <w:szCs w:val="21"/>
        </w:rPr>
        <w:t xml:space="preserve"> 合同生效</w:t>
      </w:r>
      <w:bookmarkEnd w:id="267"/>
      <w:bookmarkEnd w:id="268"/>
      <w:bookmarkEnd w:id="269"/>
    </w:p>
    <w:p w14:paraId="63E6F524">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本合同自双方当事人盖章或者签字时生效。</w:t>
      </w:r>
    </w:p>
    <w:p w14:paraId="2B591D30">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lang w:val="zh-CN"/>
        </w:rPr>
      </w:pPr>
    </w:p>
    <w:p w14:paraId="3CB92FE0">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甲方：                                   乙方：</w:t>
      </w:r>
    </w:p>
    <w:p w14:paraId="2BF1A7EB">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统一社会信用代码：                        统一社会信用代码或身份证号码：</w:t>
      </w:r>
    </w:p>
    <w:p w14:paraId="2D363574">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lang w:val="zh-CN"/>
        </w:rPr>
      </w:pPr>
    </w:p>
    <w:p w14:paraId="702D8408">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住所：                                   住所：</w:t>
      </w:r>
    </w:p>
    <w:p w14:paraId="20740CEA">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法定代表人或                             法定代表人</w:t>
      </w:r>
    </w:p>
    <w:p w14:paraId="739186E6">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 xml:space="preserve">授权代表（签字）：                        或授权代表（签字）: </w:t>
      </w:r>
    </w:p>
    <w:p w14:paraId="7E57F42C">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联系人：                                 联系人：</w:t>
      </w:r>
    </w:p>
    <w:p w14:paraId="35260BB8">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约定送达地址：                           约定送达地址：</w:t>
      </w:r>
    </w:p>
    <w:p w14:paraId="743BE168">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邮政编码：                               邮政编码：</w:t>
      </w:r>
    </w:p>
    <w:p w14:paraId="4B679636">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 xml:space="preserve">电话:                                    电话: </w:t>
      </w:r>
    </w:p>
    <w:p w14:paraId="2C3434D2">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传真:                                    传真:</w:t>
      </w:r>
    </w:p>
    <w:p w14:paraId="2D4E5B22">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zh-CN"/>
        </w:rPr>
        <w:t>电子邮箱：                               电子邮箱：</w:t>
      </w:r>
    </w:p>
    <w:p w14:paraId="36B7CD05">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开户银行：                               开户银行： </w:t>
      </w:r>
    </w:p>
    <w:p w14:paraId="62DD2E5B">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开户名称：                               开户名称： </w:t>
      </w:r>
    </w:p>
    <w:p w14:paraId="32025ABF">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开户账号：</w:t>
      </w:r>
      <w:r>
        <w:rPr>
          <w:rFonts w:hint="eastAsia" w:ascii="宋体" w:hAnsi="宋体" w:eastAsia="宋体" w:cs="宋体"/>
          <w:color w:val="auto"/>
          <w:sz w:val="21"/>
          <w:szCs w:val="21"/>
          <w:lang w:val="zh-CN"/>
        </w:rPr>
        <w:t xml:space="preserve">                               </w:t>
      </w:r>
      <w:r>
        <w:rPr>
          <w:rFonts w:hint="eastAsia" w:ascii="宋体" w:hAnsi="宋体" w:eastAsia="宋体" w:cs="宋体"/>
          <w:color w:val="auto"/>
          <w:sz w:val="21"/>
          <w:szCs w:val="21"/>
        </w:rPr>
        <w:t>开户账号：</w:t>
      </w:r>
    </w:p>
    <w:p w14:paraId="7C53778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p>
    <w:p w14:paraId="4D01D082">
      <w:pPr>
        <w:pStyle w:val="2"/>
        <w:keepNext w:val="0"/>
        <w:keepLines w:val="0"/>
        <w:pageBreakBefore w:val="0"/>
        <w:widowControl w:val="0"/>
        <w:kinsoku/>
        <w:wordWrap/>
        <w:overflowPunct/>
        <w:topLinePunct w:val="0"/>
        <w:autoSpaceDE/>
        <w:autoSpaceDN/>
        <w:bidi w:val="0"/>
        <w:adjustRightInd/>
        <w:snapToGrid/>
        <w:spacing w:after="0"/>
        <w:ind w:firstLine="420" w:firstLineChars="200"/>
        <w:textAlignment w:val="auto"/>
        <w:rPr>
          <w:rFonts w:hint="eastAsia" w:ascii="宋体" w:hAnsi="宋体" w:eastAsia="宋体" w:cs="宋体"/>
          <w:color w:val="auto"/>
          <w:sz w:val="21"/>
          <w:szCs w:val="21"/>
        </w:rPr>
      </w:pPr>
    </w:p>
    <w:p w14:paraId="53AF645E">
      <w:pPr>
        <w:pStyle w:val="2"/>
        <w:keepNext w:val="0"/>
        <w:keepLines w:val="0"/>
        <w:pageBreakBefore w:val="0"/>
        <w:widowControl w:val="0"/>
        <w:kinsoku/>
        <w:overflowPunct/>
        <w:topLinePunct w:val="0"/>
        <w:autoSpaceDE/>
        <w:autoSpaceDN/>
        <w:bidi w:val="0"/>
        <w:adjustRightInd/>
        <w:snapToGrid/>
        <w:spacing w:after="0"/>
        <w:textAlignment w:val="auto"/>
        <w:rPr>
          <w:rFonts w:hint="eastAsia" w:ascii="宋体" w:hAnsi="宋体" w:eastAsia="宋体" w:cs="宋体"/>
          <w:color w:val="auto"/>
          <w:sz w:val="21"/>
          <w:szCs w:val="21"/>
        </w:rPr>
      </w:pPr>
    </w:p>
    <w:p w14:paraId="08089DFA">
      <w:pPr>
        <w:rPr>
          <w:rFonts w:hint="eastAsia" w:ascii="宋体" w:hAnsi="宋体" w:eastAsia="宋体" w:cs="宋体"/>
          <w:color w:val="auto"/>
          <w:sz w:val="21"/>
          <w:szCs w:val="21"/>
        </w:rPr>
      </w:pPr>
      <w:r>
        <w:rPr>
          <w:rFonts w:hint="eastAsia" w:ascii="宋体" w:hAnsi="宋体" w:eastAsia="宋体" w:cs="宋体"/>
          <w:color w:val="auto"/>
          <w:sz w:val="21"/>
          <w:szCs w:val="21"/>
        </w:rPr>
        <w:br w:type="page"/>
      </w:r>
    </w:p>
    <w:p w14:paraId="752FA867">
      <w:pPr>
        <w:pStyle w:val="2"/>
        <w:keepNext w:val="0"/>
        <w:keepLines w:val="0"/>
        <w:pageBreakBefore w:val="0"/>
        <w:widowControl w:val="0"/>
        <w:kinsoku/>
        <w:overflowPunct/>
        <w:topLinePunct w:val="0"/>
        <w:autoSpaceDE/>
        <w:autoSpaceDN/>
        <w:bidi w:val="0"/>
        <w:adjustRightInd/>
        <w:snapToGrid/>
        <w:spacing w:after="0"/>
        <w:jc w:val="center"/>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第二部分 合同一般条款</w:t>
      </w:r>
    </w:p>
    <w:p w14:paraId="5A216D58">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bookmarkStart w:id="270" w:name="_Ref467379225"/>
      <w:bookmarkStart w:id="271" w:name="_Ref467379195"/>
      <w:bookmarkStart w:id="272" w:name="_Ref467378463"/>
      <w:bookmarkStart w:id="273" w:name="_Ref467379109"/>
      <w:bookmarkStart w:id="274" w:name="_Toc259093669"/>
      <w:bookmarkStart w:id="275" w:name="_Toc16917"/>
      <w:bookmarkStart w:id="276" w:name="_Ref467379205"/>
      <w:bookmarkStart w:id="277" w:name="_Ref467379101"/>
      <w:bookmarkStart w:id="278" w:name="_Toc19614"/>
      <w:bookmarkStart w:id="279" w:name="_Toc279701240"/>
      <w:bookmarkStart w:id="280" w:name="_Toc487900349"/>
      <w:bookmarkStart w:id="281" w:name="_Ref467379214"/>
      <w:bookmarkStart w:id="282" w:name="_Ref467379094"/>
      <w:bookmarkStart w:id="283" w:name="_Ref467378404"/>
      <w:bookmarkStart w:id="284" w:name="_Toc28763"/>
      <w:bookmarkStart w:id="285" w:name="_Ref467378499"/>
      <w:r>
        <w:rPr>
          <w:rFonts w:hint="eastAsia" w:ascii="宋体" w:hAnsi="宋体" w:eastAsia="宋体" w:cs="宋体"/>
          <w:color w:val="auto"/>
          <w:sz w:val="21"/>
          <w:szCs w:val="21"/>
        </w:rPr>
        <w:t>2.1 定义</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565FF64F">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本合同中的下列词语应按以下内容进行解释：</w:t>
      </w:r>
    </w:p>
    <w:p w14:paraId="167FB6DB">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2.1.1 “合同”系指采购人和中标供应商签订的载明双方当事人所达成的协议，并包括所有的附件、附录和构成合同的其他文件。</w:t>
      </w:r>
    </w:p>
    <w:p w14:paraId="12441BBD">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2.1.2 “合同价”系指根据合同约定，中标供应商在完全履行合同义务后，采购人应支付给中标供应商的价格。</w:t>
      </w:r>
    </w:p>
    <w:p w14:paraId="24DE2DFC">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2.1.3 “货物”系指中标供应商根据合同约定应向采购人交付的一切各种形态和种类的物品，包括原材料、燃料、设备、机械、仪表、备件、计算机软件、产品等，并包括工具、手册等其他相关资料。</w:t>
      </w:r>
    </w:p>
    <w:p w14:paraId="6D42B620">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bookmarkStart w:id="286" w:name="_Ref467378840"/>
      <w:r>
        <w:rPr>
          <w:rFonts w:hint="eastAsia" w:ascii="宋体" w:hAnsi="宋体" w:eastAsia="宋体" w:cs="宋体"/>
          <w:color w:val="auto"/>
          <w:sz w:val="21"/>
          <w:szCs w:val="21"/>
        </w:rPr>
        <w:t>2.1.4 “甲方”系指与中标供应商签署合同的采购人</w:t>
      </w:r>
      <w:bookmarkEnd w:id="286"/>
      <w:r>
        <w:rPr>
          <w:rFonts w:hint="eastAsia" w:ascii="宋体" w:hAnsi="宋体" w:eastAsia="宋体" w:cs="宋体"/>
          <w:color w:val="auto"/>
          <w:sz w:val="21"/>
          <w:szCs w:val="21"/>
        </w:rPr>
        <w:t>；采购人委托采购代理机构代表其与乙方签订合同的，采购人的授权委托书作为合同附件。</w:t>
      </w:r>
    </w:p>
    <w:p w14:paraId="11DD0963">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bookmarkStart w:id="287" w:name="_Ref467379400"/>
      <w:r>
        <w:rPr>
          <w:rFonts w:hint="eastAsia" w:ascii="宋体" w:hAnsi="宋体" w:eastAsia="宋体" w:cs="宋体"/>
          <w:color w:val="auto"/>
          <w:sz w:val="21"/>
          <w:szCs w:val="21"/>
        </w:rPr>
        <w:t>2.1.5 “乙方”系指根据合同约定交付货物的中标供应商</w:t>
      </w:r>
      <w:bookmarkEnd w:id="287"/>
      <w:r>
        <w:rPr>
          <w:rFonts w:hint="eastAsia" w:ascii="宋体" w:hAnsi="宋体" w:eastAsia="宋体" w:cs="宋体"/>
          <w:color w:val="auto"/>
          <w:sz w:val="21"/>
          <w:szCs w:val="21"/>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21F42ECC">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bookmarkStart w:id="288" w:name="_Ref467379436"/>
      <w:r>
        <w:rPr>
          <w:rFonts w:hint="eastAsia" w:ascii="宋体" w:hAnsi="宋体" w:eastAsia="宋体" w:cs="宋体"/>
          <w:color w:val="auto"/>
          <w:sz w:val="21"/>
          <w:szCs w:val="21"/>
        </w:rPr>
        <w:t>2.1.6 “现场”系指合同约定货物将要运至或者安装的地点。</w:t>
      </w:r>
      <w:bookmarkEnd w:id="288"/>
    </w:p>
    <w:p w14:paraId="2D5314B5">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bookmarkStart w:id="289" w:name="_Toc487900350"/>
      <w:bookmarkStart w:id="290" w:name="_Toc27635"/>
      <w:bookmarkStart w:id="291" w:name="_Toc259093670"/>
      <w:bookmarkStart w:id="292" w:name="_Toc32504"/>
      <w:bookmarkStart w:id="293" w:name="_Toc279701241"/>
      <w:bookmarkStart w:id="294" w:name="_Toc13336"/>
      <w:r>
        <w:rPr>
          <w:rFonts w:hint="eastAsia" w:ascii="宋体" w:hAnsi="宋体" w:eastAsia="宋体" w:cs="宋体"/>
          <w:color w:val="auto"/>
          <w:sz w:val="21"/>
          <w:szCs w:val="21"/>
        </w:rPr>
        <w:t>2.2 技术规范</w:t>
      </w:r>
      <w:bookmarkEnd w:id="289"/>
      <w:bookmarkEnd w:id="290"/>
      <w:bookmarkEnd w:id="291"/>
      <w:bookmarkEnd w:id="292"/>
      <w:bookmarkEnd w:id="293"/>
      <w:bookmarkEnd w:id="294"/>
    </w:p>
    <w:p w14:paraId="4FBB028D">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1A51165">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bookmarkStart w:id="295" w:name="_Toc31634"/>
      <w:bookmarkStart w:id="296" w:name="_Toc259093671"/>
      <w:bookmarkStart w:id="297" w:name="_Toc279701242"/>
      <w:bookmarkStart w:id="298" w:name="_Toc9829"/>
      <w:bookmarkStart w:id="299" w:name="_Toc27853"/>
      <w:bookmarkStart w:id="300" w:name="_Toc487900351"/>
      <w:r>
        <w:rPr>
          <w:rFonts w:hint="eastAsia" w:ascii="宋体" w:hAnsi="宋体" w:eastAsia="宋体" w:cs="宋体"/>
          <w:color w:val="auto"/>
          <w:sz w:val="21"/>
          <w:szCs w:val="21"/>
        </w:rPr>
        <w:t>2.3 知识产权</w:t>
      </w:r>
      <w:bookmarkEnd w:id="295"/>
      <w:bookmarkEnd w:id="296"/>
      <w:bookmarkEnd w:id="297"/>
      <w:bookmarkEnd w:id="298"/>
      <w:bookmarkEnd w:id="299"/>
      <w:bookmarkEnd w:id="300"/>
    </w:p>
    <w:p w14:paraId="6A0A5D41">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4CB9438E">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2.3.2具有知识产权的计算机软件等货物的知识产权归属，详见合同专用条款。</w:t>
      </w:r>
    </w:p>
    <w:p w14:paraId="75C37FFB">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bookmarkStart w:id="301" w:name="_Toc29149"/>
      <w:bookmarkStart w:id="302" w:name="_Toc4194"/>
      <w:bookmarkStart w:id="303" w:name="_Toc11932"/>
      <w:r>
        <w:rPr>
          <w:rFonts w:hint="eastAsia" w:ascii="宋体" w:hAnsi="宋体" w:eastAsia="宋体" w:cs="宋体"/>
          <w:color w:val="auto"/>
          <w:sz w:val="21"/>
          <w:szCs w:val="21"/>
        </w:rPr>
        <w:t>2.4 包装和装运</w:t>
      </w:r>
      <w:bookmarkEnd w:id="301"/>
      <w:bookmarkEnd w:id="302"/>
      <w:bookmarkEnd w:id="303"/>
    </w:p>
    <w:p w14:paraId="0FA3CB4C">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2.4.1除合同专用条款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7F4E7899">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2.4.2 装运货物的要求和通知，详见合同专用条款。</w:t>
      </w:r>
    </w:p>
    <w:p w14:paraId="7E7679F1">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bookmarkStart w:id="304" w:name="_Toc259093674"/>
      <w:bookmarkStart w:id="305" w:name="_Ref467379536"/>
      <w:bookmarkStart w:id="306" w:name="_Ref467378541"/>
      <w:bookmarkStart w:id="307" w:name="_Toc487900354"/>
      <w:bookmarkStart w:id="308" w:name="_Ref467378591"/>
      <w:bookmarkStart w:id="309" w:name="_Toc279701245"/>
      <w:bookmarkStart w:id="310" w:name="_Ref467379527"/>
      <w:bookmarkStart w:id="311" w:name="_Ref467379542"/>
      <w:bookmarkStart w:id="312" w:name="_Toc26182"/>
      <w:bookmarkStart w:id="313" w:name="_Toc30272"/>
      <w:bookmarkStart w:id="314" w:name="_Toc19074"/>
      <w:r>
        <w:rPr>
          <w:rFonts w:hint="eastAsia" w:ascii="宋体" w:hAnsi="宋体" w:eastAsia="宋体" w:cs="宋体"/>
          <w:color w:val="auto"/>
          <w:sz w:val="21"/>
          <w:szCs w:val="21"/>
        </w:rPr>
        <w:t>2.</w:t>
      </w:r>
      <w:bookmarkEnd w:id="304"/>
      <w:bookmarkEnd w:id="305"/>
      <w:bookmarkEnd w:id="306"/>
      <w:bookmarkEnd w:id="307"/>
      <w:bookmarkEnd w:id="308"/>
      <w:bookmarkEnd w:id="309"/>
      <w:bookmarkEnd w:id="310"/>
      <w:bookmarkEnd w:id="311"/>
      <w:r>
        <w:rPr>
          <w:rFonts w:hint="eastAsia" w:ascii="宋体" w:hAnsi="宋体" w:eastAsia="宋体" w:cs="宋体"/>
          <w:color w:val="auto"/>
          <w:sz w:val="21"/>
          <w:szCs w:val="21"/>
        </w:rPr>
        <w:t>5 履约检查和问题反馈</w:t>
      </w:r>
      <w:bookmarkEnd w:id="312"/>
      <w:bookmarkEnd w:id="313"/>
      <w:bookmarkEnd w:id="314"/>
    </w:p>
    <w:p w14:paraId="66734940">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bookmarkStart w:id="315" w:name="_Ref467379657"/>
      <w:r>
        <w:rPr>
          <w:rFonts w:hint="eastAsia" w:ascii="宋体" w:hAnsi="宋体" w:eastAsia="宋体" w:cs="宋体"/>
          <w:color w:val="auto"/>
          <w:sz w:val="21"/>
          <w:szCs w:val="21"/>
        </w:rPr>
        <w:t>2.5.1</w:t>
      </w:r>
      <w:bookmarkEnd w:id="315"/>
      <w:bookmarkStart w:id="316" w:name="_Toc186431854"/>
      <w:bookmarkStart w:id="317" w:name="_Ref467379807"/>
      <w:bookmarkStart w:id="318" w:name="_Toc259093676"/>
      <w:bookmarkStart w:id="319" w:name="_Ref467379793"/>
      <w:bookmarkStart w:id="320" w:name="_Toc279701247"/>
      <w:bookmarkStart w:id="321" w:name="_Toc487900357"/>
      <w:r>
        <w:rPr>
          <w:rFonts w:hint="eastAsia" w:ascii="宋体" w:hAnsi="宋体" w:eastAsia="宋体" w:cs="宋体"/>
          <w:color w:val="auto"/>
          <w:sz w:val="21"/>
          <w:szCs w:val="21"/>
        </w:rPr>
        <w:t>甲方有权在其认为必要时，对乙方是否能够按照合同约定交付货物进行履约检查，以确保乙方所交付的货物能够依约满足甲方之项目需求，但不得因履约检查妨碍乙方的正常工作，乙方应予积极配合；</w:t>
      </w:r>
    </w:p>
    <w:p w14:paraId="5AB10757">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2.5.2 合同履行期间，甲方有权将履行过程中出现的问题反馈给乙方，双方当事人应以书面形式约定需要完善和改进的内容</w:t>
      </w:r>
      <w:bookmarkEnd w:id="316"/>
      <w:bookmarkStart w:id="322" w:name="_Toc186431855"/>
      <w:r>
        <w:rPr>
          <w:rFonts w:hint="eastAsia" w:ascii="宋体" w:hAnsi="宋体" w:eastAsia="宋体" w:cs="宋体"/>
          <w:color w:val="auto"/>
          <w:sz w:val="21"/>
          <w:szCs w:val="21"/>
        </w:rPr>
        <w:t>。</w:t>
      </w:r>
    </w:p>
    <w:bookmarkEnd w:id="322"/>
    <w:p w14:paraId="69B2A66B">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bookmarkStart w:id="323" w:name="_Toc28451"/>
      <w:bookmarkStart w:id="324" w:name="_Toc19219"/>
      <w:bookmarkStart w:id="325" w:name="_Toc7836"/>
      <w:r>
        <w:rPr>
          <w:rFonts w:hint="eastAsia" w:ascii="宋体" w:hAnsi="宋体" w:eastAsia="宋体" w:cs="宋体"/>
          <w:color w:val="auto"/>
          <w:sz w:val="21"/>
          <w:szCs w:val="21"/>
        </w:rPr>
        <w:t>2.6 结算方式和付款条件</w:t>
      </w:r>
      <w:bookmarkEnd w:id="317"/>
      <w:bookmarkEnd w:id="318"/>
      <w:bookmarkEnd w:id="319"/>
      <w:bookmarkEnd w:id="320"/>
      <w:bookmarkEnd w:id="321"/>
      <w:bookmarkEnd w:id="323"/>
      <w:bookmarkEnd w:id="324"/>
      <w:bookmarkEnd w:id="325"/>
    </w:p>
    <w:p w14:paraId="56EFA8CA">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详见合同专用条款。</w:t>
      </w:r>
    </w:p>
    <w:p w14:paraId="00EAEF25">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bookmarkStart w:id="326" w:name="_Ref467379852"/>
      <w:bookmarkStart w:id="327" w:name="_Ref467379863"/>
      <w:bookmarkStart w:id="328" w:name="_Toc259093677"/>
      <w:bookmarkStart w:id="329" w:name="_Toc487900358"/>
      <w:bookmarkStart w:id="330" w:name="_Ref467379923"/>
      <w:bookmarkStart w:id="331" w:name="_Toc279701248"/>
      <w:bookmarkStart w:id="332" w:name="_Toc16110"/>
      <w:bookmarkStart w:id="333" w:name="_Toc3225"/>
      <w:bookmarkStart w:id="334" w:name="_Toc774"/>
      <w:r>
        <w:rPr>
          <w:rFonts w:hint="eastAsia" w:ascii="宋体" w:hAnsi="宋体" w:eastAsia="宋体" w:cs="宋体"/>
          <w:color w:val="auto"/>
          <w:sz w:val="21"/>
          <w:szCs w:val="21"/>
        </w:rPr>
        <w:t>2.7 技术资料</w:t>
      </w:r>
      <w:bookmarkEnd w:id="326"/>
      <w:bookmarkEnd w:id="327"/>
      <w:bookmarkEnd w:id="328"/>
      <w:bookmarkEnd w:id="329"/>
      <w:bookmarkEnd w:id="330"/>
      <w:bookmarkEnd w:id="331"/>
      <w:r>
        <w:rPr>
          <w:rFonts w:hint="eastAsia" w:ascii="宋体" w:hAnsi="宋体" w:eastAsia="宋体" w:cs="宋体"/>
          <w:color w:val="auto"/>
          <w:sz w:val="21"/>
          <w:szCs w:val="21"/>
        </w:rPr>
        <w:t>和保密义务</w:t>
      </w:r>
      <w:bookmarkEnd w:id="332"/>
      <w:bookmarkEnd w:id="333"/>
      <w:bookmarkEnd w:id="334"/>
    </w:p>
    <w:p w14:paraId="2CED68C9">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2.7.1 乙方有权依据合同约定和项目需要，向甲方了解有关情况，调阅有关资料等，甲方应予积极配合；</w:t>
      </w:r>
    </w:p>
    <w:p w14:paraId="1D1D2439">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2.7.2 乙方有义务妥善保管和保护由甲方提供的前款信息和资料等；</w:t>
      </w:r>
    </w:p>
    <w:p w14:paraId="45648128">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E438A5A">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bookmarkStart w:id="335" w:name="_Toc7860"/>
      <w:r>
        <w:rPr>
          <w:rFonts w:hint="eastAsia" w:ascii="宋体" w:hAnsi="宋体" w:eastAsia="宋体" w:cs="宋体"/>
          <w:color w:val="auto"/>
          <w:sz w:val="21"/>
          <w:szCs w:val="21"/>
        </w:rPr>
        <w:t>2.8 质量保证</w:t>
      </w:r>
      <w:bookmarkEnd w:id="335"/>
    </w:p>
    <w:p w14:paraId="438E8D0A">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2.8.1 乙方应建立和完善履行合同的内部质量保证体系，并提供相关内部规章制度给甲方，以便甲方进行监督检查；</w:t>
      </w:r>
    </w:p>
    <w:p w14:paraId="5C9CD0A6">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2.8.2 乙方应保证履行合同的人员数量和素质、软件和硬件设备的配置、场地、环境和设施等满足全面履行合同的要求，并应接受甲方的监督检查。</w:t>
      </w:r>
    </w:p>
    <w:p w14:paraId="27C4007D">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bookmarkStart w:id="336" w:name="_Toc17244"/>
      <w:bookmarkStart w:id="337" w:name="_Toc259093681"/>
      <w:bookmarkStart w:id="338" w:name="_Toc487900362"/>
      <w:bookmarkStart w:id="339" w:name="_Toc279701252"/>
      <w:r>
        <w:rPr>
          <w:rFonts w:hint="eastAsia" w:ascii="宋体" w:hAnsi="宋体" w:eastAsia="宋体" w:cs="宋体"/>
          <w:color w:val="auto"/>
          <w:sz w:val="21"/>
          <w:szCs w:val="21"/>
        </w:rPr>
        <w:t>2.9 货物的风险负担</w:t>
      </w:r>
      <w:bookmarkEnd w:id="336"/>
    </w:p>
    <w:p w14:paraId="7EC70F05">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货物或者在途货物或者交付给第一承运人后的货物毁损、灭失的风险负担详见合同专用条款。</w:t>
      </w:r>
    </w:p>
    <w:p w14:paraId="1DCB977E">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bookmarkStart w:id="340" w:name="_Toc14055"/>
      <w:r>
        <w:rPr>
          <w:rFonts w:hint="eastAsia" w:ascii="宋体" w:hAnsi="宋体" w:eastAsia="宋体" w:cs="宋体"/>
          <w:color w:val="auto"/>
          <w:sz w:val="21"/>
          <w:szCs w:val="21"/>
        </w:rPr>
        <w:t>2.10 延迟交货</w:t>
      </w:r>
      <w:bookmarkEnd w:id="337"/>
      <w:bookmarkEnd w:id="338"/>
      <w:bookmarkEnd w:id="339"/>
      <w:bookmarkEnd w:id="340"/>
    </w:p>
    <w:p w14:paraId="1DA8AF51">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4C52F062">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bookmarkStart w:id="341" w:name="_Toc7502"/>
      <w:bookmarkStart w:id="342" w:name="_Toc487900364"/>
      <w:bookmarkStart w:id="343" w:name="_Toc279701254"/>
      <w:bookmarkStart w:id="344" w:name="_Toc259093683"/>
      <w:bookmarkStart w:id="345" w:name="_Ref467378121"/>
      <w:r>
        <w:rPr>
          <w:rFonts w:hint="eastAsia" w:ascii="宋体" w:hAnsi="宋体" w:eastAsia="宋体" w:cs="宋体"/>
          <w:color w:val="auto"/>
          <w:sz w:val="21"/>
          <w:szCs w:val="21"/>
        </w:rPr>
        <w:t>2.11 合同变更</w:t>
      </w:r>
      <w:bookmarkEnd w:id="341"/>
    </w:p>
    <w:p w14:paraId="51CF5E98">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2.11.1双方当事人协商一致，可以签订书面补充合同的形式变更合同，但不得违背采购文件确定的事项，且如果系追加与合同标的相同的货物的，那么所有补充合同的采购金额不得超过原合同价的10%；</w:t>
      </w:r>
    </w:p>
    <w:p w14:paraId="4BD0D018">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2.11.2 合同继续履行将损害国家利益和社会公共利益的，双方当事人应当以书面形式变更合同。有过错的一方应当承担赔偿责任，双方当事人都有过错的，各自承担相应的责任。</w:t>
      </w:r>
      <w:bookmarkStart w:id="346" w:name="_Toc279701259"/>
      <w:bookmarkStart w:id="347" w:name="_Toc259093688"/>
      <w:bookmarkStart w:id="348" w:name="_Toc487900369"/>
    </w:p>
    <w:p w14:paraId="2213091F">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bookmarkStart w:id="349" w:name="_Toc22955"/>
      <w:bookmarkStart w:id="350" w:name="_Toc10366"/>
      <w:bookmarkStart w:id="351" w:name="_Toc15237"/>
      <w:r>
        <w:rPr>
          <w:rFonts w:hint="eastAsia" w:ascii="宋体" w:hAnsi="宋体" w:eastAsia="宋体" w:cs="宋体"/>
          <w:color w:val="auto"/>
          <w:sz w:val="21"/>
          <w:szCs w:val="21"/>
        </w:rPr>
        <w:t>2.12 合同转让</w:t>
      </w:r>
      <w:bookmarkEnd w:id="346"/>
      <w:bookmarkEnd w:id="347"/>
      <w:bookmarkEnd w:id="348"/>
      <w:r>
        <w:rPr>
          <w:rFonts w:hint="eastAsia" w:ascii="宋体" w:hAnsi="宋体" w:eastAsia="宋体" w:cs="宋体"/>
          <w:color w:val="auto"/>
          <w:sz w:val="21"/>
          <w:szCs w:val="21"/>
        </w:rPr>
        <w:t>和分包</w:t>
      </w:r>
      <w:bookmarkEnd w:id="349"/>
      <w:bookmarkEnd w:id="350"/>
      <w:bookmarkEnd w:id="351"/>
    </w:p>
    <w:p w14:paraId="2FF822D0">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1A21CF1">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bookmarkStart w:id="352" w:name="_Toc13566"/>
      <w:bookmarkStart w:id="353" w:name="_Toc14066"/>
      <w:bookmarkStart w:id="354" w:name="_Toc16508"/>
      <w:r>
        <w:rPr>
          <w:rFonts w:hint="eastAsia" w:ascii="宋体" w:hAnsi="宋体" w:eastAsia="宋体" w:cs="宋体"/>
          <w:color w:val="auto"/>
          <w:sz w:val="21"/>
          <w:szCs w:val="21"/>
        </w:rPr>
        <w:t>2.13 不可抗力</w:t>
      </w:r>
      <w:bookmarkEnd w:id="352"/>
      <w:bookmarkEnd w:id="353"/>
      <w:bookmarkEnd w:id="354"/>
    </w:p>
    <w:p w14:paraId="50F51D0D">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2.13.1如果任何一方遭遇法律规定的不可抗力，致使合同履行受阻时，履行合同的期限应予延长，延长的期限应相当于不可抗力所影响的时间；</w:t>
      </w:r>
    </w:p>
    <w:p w14:paraId="686B7777">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2.13.2 因不可抗力致使不能实现合同目的的，当事人可以解除合同；</w:t>
      </w:r>
    </w:p>
    <w:p w14:paraId="5D0CA48C">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2.13.3 因不可抗力致使合同有变更必要的，双方当事人应在合同专用条款约定时间内以书面形式变更合同；</w:t>
      </w:r>
    </w:p>
    <w:p w14:paraId="72A33C91">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2.13.4受不可抗力影响的一方在不可抗力发生后，应在合同专用条款约定时间内以书面形式通知对方当事人，并在合同专用条款约定时间内，将有关部门出具的证明文件送达对方当事人。</w:t>
      </w:r>
    </w:p>
    <w:p w14:paraId="24716BE4">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bookmarkStart w:id="355" w:name="_Toc689"/>
      <w:bookmarkStart w:id="356" w:name="_Toc6969"/>
      <w:bookmarkStart w:id="357" w:name="_Toc30676"/>
      <w:bookmarkStart w:id="358" w:name="_Toc259093684"/>
      <w:bookmarkStart w:id="359" w:name="_Toc487900365"/>
      <w:bookmarkStart w:id="360" w:name="_Toc279701255"/>
      <w:r>
        <w:rPr>
          <w:rFonts w:hint="eastAsia" w:ascii="宋体" w:hAnsi="宋体" w:eastAsia="宋体" w:cs="宋体"/>
          <w:color w:val="auto"/>
          <w:sz w:val="21"/>
          <w:szCs w:val="21"/>
        </w:rPr>
        <w:t>2.14 税费</w:t>
      </w:r>
      <w:bookmarkEnd w:id="355"/>
      <w:bookmarkEnd w:id="356"/>
      <w:bookmarkEnd w:id="357"/>
      <w:bookmarkEnd w:id="358"/>
      <w:bookmarkEnd w:id="359"/>
      <w:bookmarkEnd w:id="360"/>
    </w:p>
    <w:p w14:paraId="6350C1F8">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与合同有关的一切税费，均按照中华人民共和国法律的相关规定。</w:t>
      </w:r>
    </w:p>
    <w:p w14:paraId="282AB408">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bookmarkStart w:id="361" w:name="_Toc487900368"/>
      <w:bookmarkStart w:id="362" w:name="_Toc8298"/>
      <w:bookmarkStart w:id="363" w:name="_Toc279701258"/>
      <w:bookmarkStart w:id="364" w:name="_Toc16959"/>
      <w:bookmarkStart w:id="365" w:name="_Toc259093687"/>
      <w:bookmarkStart w:id="366" w:name="_Toc7102"/>
      <w:r>
        <w:rPr>
          <w:rFonts w:hint="eastAsia" w:ascii="宋体" w:hAnsi="宋体" w:eastAsia="宋体" w:cs="宋体"/>
          <w:color w:val="auto"/>
          <w:sz w:val="21"/>
          <w:szCs w:val="21"/>
        </w:rPr>
        <w:t>2.15 乙方破产</w:t>
      </w:r>
      <w:bookmarkEnd w:id="361"/>
      <w:bookmarkEnd w:id="362"/>
      <w:bookmarkEnd w:id="363"/>
      <w:bookmarkEnd w:id="364"/>
      <w:bookmarkEnd w:id="365"/>
      <w:bookmarkEnd w:id="366"/>
    </w:p>
    <w:p w14:paraId="0FC486DB">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AFC79E5">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bookmarkStart w:id="367" w:name="_Toc6134"/>
      <w:bookmarkStart w:id="368" w:name="_Toc15387"/>
      <w:bookmarkStart w:id="369" w:name="_Toc29333"/>
      <w:r>
        <w:rPr>
          <w:rFonts w:hint="eastAsia" w:ascii="宋体" w:hAnsi="宋体" w:eastAsia="宋体" w:cs="宋体"/>
          <w:color w:val="auto"/>
          <w:sz w:val="21"/>
          <w:szCs w:val="21"/>
        </w:rPr>
        <w:t>2.16 合同中止、终止</w:t>
      </w:r>
      <w:bookmarkEnd w:id="367"/>
      <w:bookmarkEnd w:id="368"/>
      <w:bookmarkEnd w:id="369"/>
    </w:p>
    <w:p w14:paraId="437DB20C">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2.16.1 双方当事人不得擅自中止或者终止合同；</w:t>
      </w:r>
    </w:p>
    <w:p w14:paraId="672028E1">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2.16.2合同继续履行将损害国家利益和社会公共利益的，双方当事人应当中止或者终止合同。有过错的一方应当承担赔偿责任，双方当事人都有过错的，各自承担相应的责任。</w:t>
      </w:r>
    </w:p>
    <w:p w14:paraId="2B65EB15">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bookmarkStart w:id="370" w:name="_Toc6596"/>
      <w:bookmarkStart w:id="371" w:name="_Toc14563"/>
      <w:bookmarkStart w:id="372" w:name="_Toc1125"/>
      <w:r>
        <w:rPr>
          <w:rFonts w:hint="eastAsia" w:ascii="宋体" w:hAnsi="宋体" w:eastAsia="宋体" w:cs="宋体"/>
          <w:color w:val="auto"/>
          <w:sz w:val="21"/>
          <w:szCs w:val="21"/>
        </w:rPr>
        <w:t>2.17 检验和验收</w:t>
      </w:r>
      <w:bookmarkEnd w:id="370"/>
      <w:bookmarkEnd w:id="371"/>
      <w:bookmarkEnd w:id="372"/>
    </w:p>
    <w:p w14:paraId="1497FA83">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2.17.1货物交付前，乙方应对货物的质量、数量等方面进行详细、全面的检验，并向甲方出具证明货物符合合同约定的文件；货物交付时，乙方在合同专用条款约定时间内组织验收，并可依法邀请相关方参加，验收应出具验收书。</w:t>
      </w:r>
    </w:p>
    <w:p w14:paraId="39DFC800">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25ABEF5">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2.17.3 检验和验收标准、程序等具体内容以及前述验收书的效力详见合同专用条款。</w:t>
      </w:r>
    </w:p>
    <w:bookmarkEnd w:id="342"/>
    <w:bookmarkEnd w:id="343"/>
    <w:bookmarkEnd w:id="344"/>
    <w:bookmarkEnd w:id="345"/>
    <w:p w14:paraId="01630C22">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bookmarkStart w:id="373" w:name="_Toc259093690"/>
      <w:bookmarkStart w:id="374" w:name="_Toc279701261"/>
      <w:bookmarkStart w:id="375" w:name="_Toc487900371"/>
      <w:bookmarkStart w:id="376" w:name="_Toc11284"/>
      <w:bookmarkStart w:id="377" w:name="_Toc19604"/>
      <w:bookmarkStart w:id="378" w:name="_Toc25182"/>
      <w:r>
        <w:rPr>
          <w:rFonts w:hint="eastAsia" w:ascii="宋体" w:hAnsi="宋体" w:eastAsia="宋体" w:cs="宋体"/>
          <w:color w:val="auto"/>
          <w:sz w:val="21"/>
          <w:szCs w:val="21"/>
        </w:rPr>
        <w:t>2.18 通知</w:t>
      </w:r>
      <w:bookmarkEnd w:id="373"/>
      <w:bookmarkEnd w:id="374"/>
      <w:bookmarkEnd w:id="375"/>
      <w:r>
        <w:rPr>
          <w:rFonts w:hint="eastAsia" w:ascii="宋体" w:hAnsi="宋体" w:eastAsia="宋体" w:cs="宋体"/>
          <w:color w:val="auto"/>
          <w:sz w:val="21"/>
          <w:szCs w:val="21"/>
        </w:rPr>
        <w:t>和送达</w:t>
      </w:r>
      <w:bookmarkEnd w:id="376"/>
      <w:bookmarkEnd w:id="377"/>
      <w:bookmarkEnd w:id="378"/>
    </w:p>
    <w:p w14:paraId="1960E88B">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bookmarkStart w:id="379" w:name="_Toc3135"/>
      <w:bookmarkStart w:id="380" w:name="_Toc6698"/>
      <w:bookmarkStart w:id="381" w:name="_Toc279701262"/>
      <w:bookmarkStart w:id="382" w:name="_Toc259093691"/>
      <w:bookmarkStart w:id="383" w:name="_Toc487900372"/>
      <w:r>
        <w:rPr>
          <w:rFonts w:hint="eastAsia" w:ascii="宋体" w:hAnsi="宋体" w:eastAsia="宋体" w:cs="宋体"/>
          <w:color w:val="auto"/>
          <w:sz w:val="21"/>
          <w:szCs w:val="21"/>
        </w:rPr>
        <w:t>2.18.1 任何一方因履行合同而以合同第一部分尾部所列明的          发出的所有通知、文件、材料，均视为已向对方当事人送达；任何一方变更上述送达方式或者地址的，应于   个工作日内书面通知对方当事人，在对方当事人收到有关变更通知之前，变更前的约定送达方式或者地址仍视为有效。</w:t>
      </w:r>
      <w:bookmarkEnd w:id="379"/>
      <w:bookmarkEnd w:id="380"/>
    </w:p>
    <w:p w14:paraId="2B694B0C">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bookmarkStart w:id="384" w:name="_Toc23294"/>
      <w:bookmarkStart w:id="385" w:name="_Toc23128"/>
      <w:r>
        <w:rPr>
          <w:rFonts w:hint="eastAsia" w:ascii="宋体" w:hAnsi="宋体" w:eastAsia="宋体" w:cs="宋体"/>
          <w:color w:val="auto"/>
          <w:sz w:val="21"/>
          <w:szCs w:val="21"/>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384"/>
      <w:bookmarkEnd w:id="385"/>
    </w:p>
    <w:p w14:paraId="2D3A1234">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bookmarkStart w:id="386" w:name="_Toc4355"/>
      <w:bookmarkStart w:id="387" w:name="_Toc18540"/>
      <w:bookmarkStart w:id="388" w:name="_Toc30599"/>
      <w:r>
        <w:rPr>
          <w:rFonts w:hint="eastAsia" w:ascii="宋体" w:hAnsi="宋体" w:eastAsia="宋体" w:cs="宋体"/>
          <w:color w:val="auto"/>
          <w:sz w:val="21"/>
          <w:szCs w:val="21"/>
        </w:rPr>
        <w:t>2.19 计量单位</w:t>
      </w:r>
      <w:bookmarkEnd w:id="381"/>
      <w:bookmarkEnd w:id="382"/>
      <w:bookmarkEnd w:id="383"/>
      <w:bookmarkEnd w:id="386"/>
      <w:bookmarkEnd w:id="387"/>
      <w:bookmarkEnd w:id="388"/>
    </w:p>
    <w:p w14:paraId="2156EFDC">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除技术规范中另有规定外,合同的计量单位均使用国家法定计量单位。</w:t>
      </w:r>
    </w:p>
    <w:p w14:paraId="21204B8E">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bookmarkStart w:id="389" w:name="_Toc18567"/>
      <w:bookmarkStart w:id="390" w:name="_Toc12773"/>
      <w:bookmarkStart w:id="391" w:name="_Toc10330"/>
      <w:bookmarkStart w:id="392" w:name="_Toc279701263"/>
      <w:bookmarkStart w:id="393" w:name="_Toc487900373"/>
      <w:bookmarkStart w:id="394" w:name="_Toc259093692"/>
      <w:r>
        <w:rPr>
          <w:rFonts w:hint="eastAsia" w:ascii="宋体" w:hAnsi="宋体" w:eastAsia="宋体" w:cs="宋体"/>
          <w:color w:val="auto"/>
          <w:sz w:val="21"/>
          <w:szCs w:val="21"/>
        </w:rPr>
        <w:t>2.20 合同使用的文字和适用的法律</w:t>
      </w:r>
      <w:bookmarkEnd w:id="389"/>
      <w:bookmarkEnd w:id="390"/>
      <w:bookmarkEnd w:id="391"/>
      <w:bookmarkEnd w:id="392"/>
      <w:bookmarkEnd w:id="393"/>
      <w:bookmarkEnd w:id="394"/>
    </w:p>
    <w:p w14:paraId="6B0B027A">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2.20.1 合同使用汉语书就、变更和解释；</w:t>
      </w:r>
    </w:p>
    <w:p w14:paraId="4321E4F0">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2.20.2 合同适用中华人民共和国法律。</w:t>
      </w:r>
    </w:p>
    <w:p w14:paraId="11220A67">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bookmarkStart w:id="395" w:name="_Toc3148"/>
      <w:bookmarkStart w:id="396" w:name="_Toc16673"/>
      <w:bookmarkStart w:id="397" w:name="_Toc259093693"/>
      <w:bookmarkStart w:id="398" w:name="_Toc12004"/>
      <w:bookmarkStart w:id="399" w:name="_Toc279701264"/>
      <w:bookmarkStart w:id="400" w:name="_Toc487900374"/>
      <w:r>
        <w:rPr>
          <w:rFonts w:hint="eastAsia" w:ascii="宋体" w:hAnsi="宋体" w:eastAsia="宋体" w:cs="宋体"/>
          <w:color w:val="auto"/>
          <w:sz w:val="21"/>
          <w:szCs w:val="21"/>
        </w:rPr>
        <w:t>2.21 履约保证金</w:t>
      </w:r>
      <w:bookmarkEnd w:id="395"/>
      <w:bookmarkEnd w:id="396"/>
      <w:bookmarkEnd w:id="397"/>
      <w:bookmarkEnd w:id="398"/>
      <w:bookmarkEnd w:id="399"/>
    </w:p>
    <w:p w14:paraId="1B6CEBC9">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2.21.1 采购文件要求乙方提交履约保证金的，乙方应按合同专用条款约定的方式，以支票、汇票、本票或者金融机构、担保机构出具的保函等非现金形式，提交不超过合同价10%的履约保证金；</w:t>
      </w:r>
    </w:p>
    <w:p w14:paraId="3A2FE659">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2.21.2  履约保证金在合同专用条款约定期间内或者货物质量保证期内不予退还或者应完全有效，前述约定期间届满或者货物质量保证期届满之日起 2 个工作日内，甲方应将履约保证金退还乙方；</w:t>
      </w:r>
    </w:p>
    <w:p w14:paraId="3EA66F96">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2.21.3 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400"/>
    <w:p w14:paraId="558C3E46">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bookmarkStart w:id="401" w:name="_Toc6885"/>
      <w:bookmarkStart w:id="402" w:name="_Toc19890"/>
      <w:bookmarkStart w:id="403" w:name="_Toc14001"/>
      <w:r>
        <w:rPr>
          <w:rFonts w:hint="eastAsia" w:ascii="宋体" w:hAnsi="宋体" w:eastAsia="宋体" w:cs="宋体"/>
          <w:color w:val="auto"/>
          <w:sz w:val="21"/>
          <w:szCs w:val="21"/>
        </w:rPr>
        <w:t>2.22 合同份数</w:t>
      </w:r>
      <w:bookmarkEnd w:id="401"/>
      <w:bookmarkEnd w:id="402"/>
      <w:bookmarkEnd w:id="403"/>
    </w:p>
    <w:p w14:paraId="19AAD8D4">
      <w:pPr>
        <w:pStyle w:val="2"/>
        <w:keepNext w:val="0"/>
        <w:keepLines w:val="0"/>
        <w:pageBreakBefore w:val="0"/>
        <w:widowControl w:val="0"/>
        <w:kinsoku/>
        <w:wordWrap/>
        <w:overflowPunct/>
        <w:topLinePunct w:val="0"/>
        <w:autoSpaceDE/>
        <w:autoSpaceDN/>
        <w:bidi w:val="0"/>
        <w:adjustRightInd/>
        <w:snapToGrid/>
        <w:spacing w:before="0" w:after="0"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合同份数按合同专用条款规定，每份均具有同等法律效力。</w:t>
      </w:r>
    </w:p>
    <w:p w14:paraId="11ADBC90">
      <w:pPr>
        <w:pStyle w:val="2"/>
        <w:keepNext w:val="0"/>
        <w:keepLines w:val="0"/>
        <w:pageBreakBefore w:val="0"/>
        <w:widowControl w:val="0"/>
        <w:kinsoku/>
        <w:overflowPunct/>
        <w:topLinePunct w:val="0"/>
        <w:autoSpaceDE/>
        <w:autoSpaceDN/>
        <w:bidi w:val="0"/>
        <w:adjustRightInd/>
        <w:snapToGrid/>
        <w:spacing w:after="0"/>
        <w:textAlignment w:val="auto"/>
        <w:rPr>
          <w:rFonts w:hint="eastAsia" w:ascii="宋体" w:hAnsi="宋体" w:eastAsia="宋体" w:cs="宋体"/>
          <w:color w:val="auto"/>
          <w:sz w:val="21"/>
          <w:szCs w:val="21"/>
        </w:rPr>
      </w:pPr>
    </w:p>
    <w:p w14:paraId="62981101">
      <w:pPr>
        <w:rPr>
          <w:rFonts w:hint="eastAsia" w:ascii="宋体" w:hAnsi="宋体" w:eastAsia="宋体" w:cs="宋体"/>
          <w:b/>
          <w:bCs/>
          <w:color w:val="auto"/>
          <w:sz w:val="28"/>
          <w:szCs w:val="28"/>
        </w:rPr>
      </w:pPr>
      <w:bookmarkStart w:id="404" w:name="_Toc331685784"/>
      <w:r>
        <w:rPr>
          <w:rFonts w:hint="eastAsia" w:ascii="宋体" w:hAnsi="宋体" w:eastAsia="宋体" w:cs="宋体"/>
          <w:b/>
          <w:bCs/>
          <w:color w:val="auto"/>
          <w:sz w:val="28"/>
          <w:szCs w:val="28"/>
        </w:rPr>
        <w:br w:type="page"/>
      </w:r>
    </w:p>
    <w:p w14:paraId="4A4809FD">
      <w:pPr>
        <w:pStyle w:val="2"/>
        <w:keepNext w:val="0"/>
        <w:keepLines w:val="0"/>
        <w:pageBreakBefore w:val="0"/>
        <w:widowControl w:val="0"/>
        <w:kinsoku/>
        <w:overflowPunct/>
        <w:topLinePunct w:val="0"/>
        <w:autoSpaceDE/>
        <w:autoSpaceDN/>
        <w:bidi w:val="0"/>
        <w:adjustRightInd/>
        <w:snapToGrid/>
        <w:spacing w:after="0"/>
        <w:jc w:val="center"/>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第三部分  合同专用条款</w:t>
      </w:r>
      <w:bookmarkEnd w:id="404"/>
    </w:p>
    <w:p w14:paraId="43DD38B6">
      <w:pPr>
        <w:pStyle w:val="2"/>
        <w:keepNext w:val="0"/>
        <w:keepLines w:val="0"/>
        <w:pageBreakBefore w:val="0"/>
        <w:widowControl w:val="0"/>
        <w:kinsoku/>
        <w:overflowPunct/>
        <w:topLinePunct w:val="0"/>
        <w:autoSpaceDE/>
        <w:autoSpaceDN/>
        <w:bidi w:val="0"/>
        <w:adjustRightInd/>
        <w:snapToGrid/>
        <w:spacing w:after="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2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1271"/>
        <w:gridCol w:w="7517"/>
      </w:tblGrid>
      <w:tr w14:paraId="7D7844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23" w:type="pct"/>
            <w:tcBorders>
              <w:left w:val="single" w:color="auto" w:sz="4" w:space="0"/>
            </w:tcBorders>
            <w:noWrap w:val="0"/>
            <w:vAlign w:val="center"/>
          </w:tcPr>
          <w:p w14:paraId="1607F5A7">
            <w:pPr>
              <w:pStyle w:val="2"/>
              <w:keepNext w:val="0"/>
              <w:keepLines w:val="0"/>
              <w:pageBreakBefore w:val="0"/>
              <w:widowControl w:val="0"/>
              <w:kinsoku/>
              <w:wordWrap/>
              <w:overflowPunct/>
              <w:topLinePunct w:val="0"/>
              <w:autoSpaceDE/>
              <w:autoSpaceDN/>
              <w:bidi w:val="0"/>
              <w:adjustRightInd/>
              <w:snapToGrid/>
              <w:spacing w:before="48" w:beforeLines="15" w:after="48" w:afterLines="15" w:line="276" w:lineRule="auto"/>
              <w:ind w:left="160" w:leftChars="50" w:right="160" w:rightChars="5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条款号</w:t>
            </w:r>
          </w:p>
        </w:tc>
        <w:tc>
          <w:tcPr>
            <w:tcW w:w="4276" w:type="pct"/>
            <w:noWrap w:val="0"/>
            <w:vAlign w:val="center"/>
          </w:tcPr>
          <w:p w14:paraId="78809369">
            <w:pPr>
              <w:pStyle w:val="2"/>
              <w:keepNext w:val="0"/>
              <w:keepLines w:val="0"/>
              <w:pageBreakBefore w:val="0"/>
              <w:widowControl w:val="0"/>
              <w:kinsoku/>
              <w:wordWrap/>
              <w:overflowPunct/>
              <w:topLinePunct w:val="0"/>
              <w:autoSpaceDE/>
              <w:autoSpaceDN/>
              <w:bidi w:val="0"/>
              <w:adjustRightInd/>
              <w:snapToGrid/>
              <w:spacing w:before="48" w:beforeLines="15" w:after="48" w:afterLines="15" w:line="276" w:lineRule="auto"/>
              <w:ind w:left="160" w:leftChars="50" w:right="160" w:rightChars="5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约定内容</w:t>
            </w:r>
          </w:p>
        </w:tc>
      </w:tr>
      <w:tr w14:paraId="596CE1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23" w:type="pct"/>
            <w:tcBorders>
              <w:left w:val="single" w:color="auto" w:sz="4" w:space="0"/>
            </w:tcBorders>
            <w:noWrap w:val="0"/>
            <w:vAlign w:val="center"/>
          </w:tcPr>
          <w:p w14:paraId="05FA1AB8">
            <w:pPr>
              <w:pStyle w:val="2"/>
              <w:keepNext w:val="0"/>
              <w:keepLines w:val="0"/>
              <w:pageBreakBefore w:val="0"/>
              <w:widowControl w:val="0"/>
              <w:kinsoku/>
              <w:wordWrap/>
              <w:overflowPunct/>
              <w:topLinePunct w:val="0"/>
              <w:autoSpaceDE/>
              <w:autoSpaceDN/>
              <w:bidi w:val="0"/>
              <w:adjustRightInd/>
              <w:snapToGrid/>
              <w:spacing w:before="48" w:beforeLines="15" w:after="48" w:afterLines="15" w:line="276" w:lineRule="auto"/>
              <w:ind w:left="160" w:leftChars="50" w:right="160" w:rightChars="50"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6</w:t>
            </w:r>
          </w:p>
        </w:tc>
        <w:tc>
          <w:tcPr>
            <w:tcW w:w="4276" w:type="pct"/>
            <w:noWrap w:val="0"/>
            <w:vAlign w:val="center"/>
          </w:tcPr>
          <w:p w14:paraId="40E56165">
            <w:pPr>
              <w:pStyle w:val="2"/>
              <w:keepNext w:val="0"/>
              <w:keepLines w:val="0"/>
              <w:pageBreakBefore w:val="0"/>
              <w:widowControl w:val="0"/>
              <w:kinsoku/>
              <w:wordWrap/>
              <w:overflowPunct/>
              <w:topLinePunct w:val="0"/>
              <w:autoSpaceDE/>
              <w:autoSpaceDN/>
              <w:bidi w:val="0"/>
              <w:adjustRightInd/>
              <w:snapToGrid/>
              <w:spacing w:before="48" w:beforeLines="15" w:after="48" w:afterLines="15" w:line="276" w:lineRule="auto"/>
              <w:ind w:left="160" w:leftChars="50" w:right="160" w:rightChars="5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付款方法和条件：</w:t>
            </w:r>
          </w:p>
          <w:p w14:paraId="08A2EDCC">
            <w:pPr>
              <w:pStyle w:val="2"/>
              <w:keepNext w:val="0"/>
              <w:keepLines w:val="0"/>
              <w:pageBreakBefore w:val="0"/>
              <w:widowControl w:val="0"/>
              <w:kinsoku/>
              <w:wordWrap/>
              <w:overflowPunct/>
              <w:topLinePunct w:val="0"/>
              <w:autoSpaceDE/>
              <w:autoSpaceDN/>
              <w:bidi w:val="0"/>
              <w:adjustRightInd/>
              <w:snapToGrid/>
              <w:spacing w:before="48" w:beforeLines="15" w:after="48" w:afterLines="15" w:line="276" w:lineRule="auto"/>
              <w:ind w:left="160" w:leftChars="50" w:right="160" w:rightChars="5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1、第一次付款：签订合同，供应商提供合同总额30%的银行预付款保函，采购人支付30%的预付款，用于项目启动。</w:t>
            </w:r>
          </w:p>
          <w:p w14:paraId="18C4B2E3">
            <w:pPr>
              <w:pStyle w:val="2"/>
              <w:keepNext w:val="0"/>
              <w:keepLines w:val="0"/>
              <w:pageBreakBefore w:val="0"/>
              <w:widowControl w:val="0"/>
              <w:kinsoku/>
              <w:wordWrap/>
              <w:overflowPunct/>
              <w:topLinePunct w:val="0"/>
              <w:autoSpaceDE/>
              <w:autoSpaceDN/>
              <w:bidi w:val="0"/>
              <w:adjustRightInd/>
              <w:snapToGrid/>
              <w:spacing w:before="48" w:beforeLines="15" w:after="48" w:afterLines="15" w:line="276" w:lineRule="auto"/>
              <w:ind w:left="160" w:leftChars="50" w:right="160" w:rightChars="5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2、第二次付款：5号楼和2号楼一层所需设备全部到货并验收合格后支付至合同总价款40%。</w:t>
            </w:r>
          </w:p>
          <w:p w14:paraId="109ADABC">
            <w:pPr>
              <w:pStyle w:val="2"/>
              <w:keepNext w:val="0"/>
              <w:keepLines w:val="0"/>
              <w:pageBreakBefore w:val="0"/>
              <w:widowControl w:val="0"/>
              <w:kinsoku/>
              <w:wordWrap/>
              <w:overflowPunct/>
              <w:topLinePunct w:val="0"/>
              <w:autoSpaceDE/>
              <w:autoSpaceDN/>
              <w:bidi w:val="0"/>
              <w:adjustRightInd/>
              <w:snapToGrid/>
              <w:spacing w:before="48" w:beforeLines="15" w:after="48" w:afterLines="15" w:line="276" w:lineRule="auto"/>
              <w:ind w:left="160" w:leftChars="50" w:right="160" w:rightChars="5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3、第三次付款：5号楼和2号楼一层施工完成，验收合格并交付使用后支付至合同总价款的50%。</w:t>
            </w:r>
          </w:p>
          <w:p w14:paraId="18B3B74D">
            <w:pPr>
              <w:pStyle w:val="2"/>
              <w:keepNext w:val="0"/>
              <w:keepLines w:val="0"/>
              <w:pageBreakBefore w:val="0"/>
              <w:widowControl w:val="0"/>
              <w:kinsoku/>
              <w:wordWrap/>
              <w:overflowPunct/>
              <w:topLinePunct w:val="0"/>
              <w:autoSpaceDE/>
              <w:autoSpaceDN/>
              <w:bidi w:val="0"/>
              <w:adjustRightInd/>
              <w:snapToGrid/>
              <w:spacing w:before="48" w:beforeLines="15" w:after="48" w:afterLines="15" w:line="276" w:lineRule="auto"/>
              <w:ind w:left="160" w:leftChars="50" w:right="160" w:rightChars="5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4、第四次付款：1号楼、2号楼和3号楼（南塔）每施工完成一栋，验收合格并交付使用后，支付合同总价款的10%。</w:t>
            </w:r>
          </w:p>
          <w:p w14:paraId="39163A87">
            <w:pPr>
              <w:pStyle w:val="2"/>
              <w:keepNext w:val="0"/>
              <w:keepLines w:val="0"/>
              <w:pageBreakBefore w:val="0"/>
              <w:widowControl w:val="0"/>
              <w:kinsoku/>
              <w:wordWrap/>
              <w:overflowPunct/>
              <w:topLinePunct w:val="0"/>
              <w:autoSpaceDE/>
              <w:autoSpaceDN/>
              <w:bidi w:val="0"/>
              <w:adjustRightInd/>
              <w:snapToGrid/>
              <w:spacing w:before="48" w:beforeLines="15" w:after="48" w:afterLines="15" w:line="276" w:lineRule="auto"/>
              <w:ind w:left="160" w:leftChars="50" w:right="160" w:rightChars="5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5、最终付款：通过最终验收后支付至合同金额的100%。</w:t>
            </w:r>
          </w:p>
          <w:p w14:paraId="59368988">
            <w:pPr>
              <w:pStyle w:val="2"/>
              <w:keepNext w:val="0"/>
              <w:keepLines w:val="0"/>
              <w:pageBreakBefore w:val="0"/>
              <w:widowControl w:val="0"/>
              <w:kinsoku/>
              <w:wordWrap/>
              <w:overflowPunct/>
              <w:topLinePunct w:val="0"/>
              <w:autoSpaceDE/>
              <w:autoSpaceDN/>
              <w:bidi w:val="0"/>
              <w:adjustRightInd/>
              <w:snapToGrid/>
              <w:spacing w:before="48" w:beforeLines="15" w:after="48" w:afterLines="15" w:line="276" w:lineRule="auto"/>
              <w:ind w:left="160" w:leftChars="50" w:right="160" w:rightChars="5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6、鉴于可能存在的特殊情况，双方应通过友好协商确定具体的付款方式及金额。</w:t>
            </w:r>
          </w:p>
        </w:tc>
      </w:tr>
      <w:tr w14:paraId="275F1C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23" w:type="pct"/>
            <w:tcBorders>
              <w:left w:val="single" w:color="auto" w:sz="4" w:space="0"/>
            </w:tcBorders>
            <w:noWrap w:val="0"/>
            <w:vAlign w:val="center"/>
          </w:tcPr>
          <w:p w14:paraId="3802449F">
            <w:pPr>
              <w:pStyle w:val="2"/>
              <w:keepNext w:val="0"/>
              <w:keepLines w:val="0"/>
              <w:pageBreakBefore w:val="0"/>
              <w:widowControl w:val="0"/>
              <w:kinsoku/>
              <w:wordWrap/>
              <w:overflowPunct/>
              <w:topLinePunct w:val="0"/>
              <w:autoSpaceDE/>
              <w:autoSpaceDN/>
              <w:bidi w:val="0"/>
              <w:adjustRightInd/>
              <w:snapToGrid/>
              <w:spacing w:before="48" w:beforeLines="15" w:after="48" w:afterLines="15" w:line="276" w:lineRule="auto"/>
              <w:ind w:left="160" w:leftChars="50" w:right="160" w:rightChars="5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.3</w:t>
            </w:r>
          </w:p>
        </w:tc>
        <w:tc>
          <w:tcPr>
            <w:tcW w:w="4276" w:type="pct"/>
            <w:noWrap w:val="0"/>
            <w:vAlign w:val="center"/>
          </w:tcPr>
          <w:p w14:paraId="53C118D4">
            <w:pPr>
              <w:pStyle w:val="2"/>
              <w:keepNext w:val="0"/>
              <w:keepLines w:val="0"/>
              <w:pageBreakBefore w:val="0"/>
              <w:widowControl w:val="0"/>
              <w:kinsoku/>
              <w:wordWrap/>
              <w:overflowPunct/>
              <w:topLinePunct w:val="0"/>
              <w:autoSpaceDE/>
              <w:autoSpaceDN/>
              <w:bidi w:val="0"/>
              <w:adjustRightInd/>
              <w:snapToGrid/>
              <w:spacing w:before="48" w:beforeLines="15" w:after="48" w:afterLines="15" w:line="276" w:lineRule="auto"/>
              <w:ind w:left="160" w:leftChars="50" w:right="160" w:rightChars="5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质量保证期限：项目质保期3年（多模态网络底座主设备原厂质保期为6年）</w:t>
            </w:r>
          </w:p>
        </w:tc>
      </w:tr>
      <w:tr w14:paraId="0B9822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23" w:type="pct"/>
            <w:tcBorders>
              <w:left w:val="single" w:color="auto" w:sz="4" w:space="0"/>
            </w:tcBorders>
            <w:noWrap w:val="0"/>
            <w:vAlign w:val="center"/>
          </w:tcPr>
          <w:p w14:paraId="36847AF4">
            <w:pPr>
              <w:pStyle w:val="2"/>
              <w:keepNext w:val="0"/>
              <w:keepLines w:val="0"/>
              <w:pageBreakBefore w:val="0"/>
              <w:widowControl w:val="0"/>
              <w:kinsoku/>
              <w:wordWrap/>
              <w:overflowPunct/>
              <w:topLinePunct w:val="0"/>
              <w:autoSpaceDE/>
              <w:autoSpaceDN/>
              <w:bidi w:val="0"/>
              <w:adjustRightInd/>
              <w:snapToGrid/>
              <w:spacing w:before="48" w:beforeLines="15" w:after="48" w:afterLines="15" w:line="276" w:lineRule="auto"/>
              <w:ind w:left="160" w:leftChars="50" w:right="160" w:rightChars="5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.3</w:t>
            </w:r>
          </w:p>
        </w:tc>
        <w:tc>
          <w:tcPr>
            <w:tcW w:w="4276" w:type="pct"/>
            <w:noWrap w:val="0"/>
            <w:vAlign w:val="center"/>
          </w:tcPr>
          <w:p w14:paraId="56DD60E6">
            <w:pPr>
              <w:pStyle w:val="2"/>
              <w:keepNext w:val="0"/>
              <w:keepLines w:val="0"/>
              <w:pageBreakBefore w:val="0"/>
              <w:widowControl w:val="0"/>
              <w:kinsoku/>
              <w:wordWrap/>
              <w:overflowPunct/>
              <w:topLinePunct w:val="0"/>
              <w:autoSpaceDE/>
              <w:autoSpaceDN/>
              <w:bidi w:val="0"/>
              <w:adjustRightInd/>
              <w:snapToGrid/>
              <w:spacing w:before="48" w:beforeLines="15" w:after="48" w:afterLines="15" w:line="276" w:lineRule="auto"/>
              <w:ind w:left="160" w:leftChars="50" w:right="160" w:rightChars="5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因不可抗力致使合同有变更必要的，双方当事人应在7日内以书面形式变更合同</w:t>
            </w:r>
          </w:p>
        </w:tc>
      </w:tr>
      <w:tr w14:paraId="403C39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23" w:type="pct"/>
            <w:tcBorders>
              <w:left w:val="single" w:color="auto" w:sz="4" w:space="0"/>
            </w:tcBorders>
            <w:noWrap w:val="0"/>
            <w:vAlign w:val="center"/>
          </w:tcPr>
          <w:p w14:paraId="7E1CFE65">
            <w:pPr>
              <w:pStyle w:val="2"/>
              <w:keepNext w:val="0"/>
              <w:keepLines w:val="0"/>
              <w:pageBreakBefore w:val="0"/>
              <w:widowControl w:val="0"/>
              <w:kinsoku/>
              <w:wordWrap/>
              <w:overflowPunct/>
              <w:topLinePunct w:val="0"/>
              <w:autoSpaceDE/>
              <w:autoSpaceDN/>
              <w:bidi w:val="0"/>
              <w:adjustRightInd/>
              <w:snapToGrid/>
              <w:spacing w:before="48" w:beforeLines="15" w:after="48" w:afterLines="15" w:line="276" w:lineRule="auto"/>
              <w:ind w:left="160" w:leftChars="50" w:right="160" w:rightChars="5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.4</w:t>
            </w:r>
          </w:p>
        </w:tc>
        <w:tc>
          <w:tcPr>
            <w:tcW w:w="4276" w:type="pct"/>
            <w:noWrap w:val="0"/>
            <w:vAlign w:val="center"/>
          </w:tcPr>
          <w:p w14:paraId="58B35222">
            <w:pPr>
              <w:pStyle w:val="2"/>
              <w:keepNext w:val="0"/>
              <w:keepLines w:val="0"/>
              <w:pageBreakBefore w:val="0"/>
              <w:widowControl w:val="0"/>
              <w:kinsoku/>
              <w:wordWrap/>
              <w:overflowPunct/>
              <w:topLinePunct w:val="0"/>
              <w:autoSpaceDE/>
              <w:autoSpaceDN/>
              <w:bidi w:val="0"/>
              <w:adjustRightInd/>
              <w:snapToGrid/>
              <w:spacing w:before="48" w:beforeLines="15" w:after="48" w:afterLines="15" w:line="276" w:lineRule="auto"/>
              <w:ind w:left="160" w:leftChars="50" w:right="160" w:rightChars="5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受不可抗力影响的一方在不可抗力发生后，应在2日内以书面形式通知对方当事人，并在3日时间内，将有关部门出具的证明文件送达对方当事人。</w:t>
            </w:r>
          </w:p>
        </w:tc>
      </w:tr>
      <w:tr w14:paraId="675048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23" w:type="pct"/>
            <w:tcBorders>
              <w:left w:val="single" w:color="auto" w:sz="4" w:space="0"/>
            </w:tcBorders>
            <w:noWrap w:val="0"/>
            <w:vAlign w:val="center"/>
          </w:tcPr>
          <w:p w14:paraId="429FDA3D">
            <w:pPr>
              <w:pStyle w:val="2"/>
              <w:keepNext w:val="0"/>
              <w:keepLines w:val="0"/>
              <w:pageBreakBefore w:val="0"/>
              <w:widowControl w:val="0"/>
              <w:kinsoku/>
              <w:wordWrap/>
              <w:overflowPunct/>
              <w:topLinePunct w:val="0"/>
              <w:autoSpaceDE/>
              <w:autoSpaceDN/>
              <w:bidi w:val="0"/>
              <w:adjustRightInd/>
              <w:snapToGrid/>
              <w:spacing w:before="48" w:beforeLines="15" w:after="48" w:afterLines="15" w:line="276" w:lineRule="auto"/>
              <w:ind w:left="160" w:leftChars="50" w:right="160" w:rightChars="5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2.19</w:t>
            </w:r>
          </w:p>
        </w:tc>
        <w:tc>
          <w:tcPr>
            <w:tcW w:w="4276" w:type="pct"/>
            <w:noWrap w:val="0"/>
            <w:vAlign w:val="center"/>
          </w:tcPr>
          <w:p w14:paraId="7155A1DC">
            <w:pPr>
              <w:pStyle w:val="2"/>
              <w:keepNext w:val="0"/>
              <w:keepLines w:val="0"/>
              <w:pageBreakBefore w:val="0"/>
              <w:widowControl w:val="0"/>
              <w:kinsoku/>
              <w:wordWrap/>
              <w:overflowPunct/>
              <w:topLinePunct w:val="0"/>
              <w:autoSpaceDE/>
              <w:autoSpaceDN/>
              <w:bidi w:val="0"/>
              <w:adjustRightInd/>
              <w:snapToGrid/>
              <w:spacing w:before="48" w:beforeLines="15" w:after="48" w:afterLines="15" w:line="276" w:lineRule="auto"/>
              <w:ind w:left="160" w:leftChars="50" w:right="160" w:rightChars="5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合同份数:肆份</w:t>
            </w:r>
          </w:p>
        </w:tc>
      </w:tr>
      <w:tr w14:paraId="76125F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trPr>
        <w:tc>
          <w:tcPr>
            <w:tcW w:w="723" w:type="pct"/>
            <w:tcBorders>
              <w:left w:val="single" w:color="auto" w:sz="4" w:space="0"/>
            </w:tcBorders>
            <w:noWrap w:val="0"/>
            <w:vAlign w:val="center"/>
          </w:tcPr>
          <w:p w14:paraId="1823DB06">
            <w:pPr>
              <w:pStyle w:val="2"/>
              <w:keepNext w:val="0"/>
              <w:keepLines w:val="0"/>
              <w:pageBreakBefore w:val="0"/>
              <w:widowControl w:val="0"/>
              <w:kinsoku/>
              <w:wordWrap/>
              <w:overflowPunct/>
              <w:topLinePunct w:val="0"/>
              <w:autoSpaceDE/>
              <w:autoSpaceDN/>
              <w:bidi w:val="0"/>
              <w:adjustRightInd/>
              <w:snapToGrid/>
              <w:spacing w:before="48" w:beforeLines="15" w:after="48" w:afterLines="15" w:line="276" w:lineRule="auto"/>
              <w:ind w:left="160" w:leftChars="50" w:right="160" w:rightChars="5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补充条款1</w:t>
            </w:r>
          </w:p>
        </w:tc>
        <w:tc>
          <w:tcPr>
            <w:tcW w:w="4276" w:type="pct"/>
            <w:noWrap w:val="0"/>
            <w:vAlign w:val="center"/>
          </w:tcPr>
          <w:p w14:paraId="747A687E">
            <w:pPr>
              <w:pStyle w:val="2"/>
              <w:keepNext w:val="0"/>
              <w:keepLines w:val="0"/>
              <w:pageBreakBefore w:val="0"/>
              <w:widowControl w:val="0"/>
              <w:kinsoku/>
              <w:wordWrap/>
              <w:overflowPunct/>
              <w:topLinePunct w:val="0"/>
              <w:autoSpaceDE/>
              <w:autoSpaceDN/>
              <w:bidi w:val="0"/>
              <w:adjustRightInd/>
              <w:snapToGrid/>
              <w:spacing w:before="48" w:beforeLines="15" w:after="48" w:afterLines="15" w:line="276" w:lineRule="auto"/>
              <w:ind w:left="160" w:leftChars="50" w:right="160" w:rightChars="5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tc>
      </w:tr>
    </w:tbl>
    <w:p w14:paraId="33FE34CE">
      <w:pPr>
        <w:pStyle w:val="2"/>
        <w:keepNext w:val="0"/>
        <w:keepLines w:val="0"/>
        <w:pageBreakBefore w:val="0"/>
        <w:widowControl w:val="0"/>
        <w:kinsoku/>
        <w:overflowPunct/>
        <w:topLinePunct w:val="0"/>
        <w:autoSpaceDE/>
        <w:autoSpaceDN/>
        <w:bidi w:val="0"/>
        <w:adjustRightInd/>
        <w:snapToGrid/>
        <w:spacing w:after="0"/>
        <w:textAlignment w:val="auto"/>
        <w:rPr>
          <w:rFonts w:hint="eastAsia" w:ascii="宋体" w:hAnsi="宋体" w:eastAsia="宋体" w:cs="宋体"/>
          <w:color w:val="auto"/>
        </w:rPr>
      </w:pPr>
    </w:p>
    <w:p w14:paraId="50F41614">
      <w:pPr>
        <w:keepNext w:val="0"/>
        <w:keepLines w:val="0"/>
        <w:pageBreakBefore w:val="0"/>
        <w:widowControl w:val="0"/>
        <w:kinsoku/>
        <w:wordWrap w:val="0"/>
        <w:overflowPunct/>
        <w:topLinePunct w:val="0"/>
        <w:autoSpaceDE/>
        <w:autoSpaceDN/>
        <w:bidi w:val="0"/>
        <w:adjustRightInd/>
        <w:snapToGrid/>
        <w:spacing w:line="360" w:lineRule="auto"/>
        <w:jc w:val="both"/>
        <w:textAlignment w:val="auto"/>
        <w:rPr>
          <w:rFonts w:hint="eastAsia" w:ascii="宋体" w:hAnsi="宋体" w:eastAsia="宋体" w:cs="宋体"/>
          <w:color w:val="auto"/>
          <w:szCs w:val="21"/>
        </w:rPr>
      </w:pPr>
    </w:p>
    <w:p w14:paraId="3BC8C73F">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br w:type="page"/>
      </w:r>
    </w:p>
    <w:p w14:paraId="3E6BACB1">
      <w:pPr>
        <w:pStyle w:val="4"/>
        <w:bidi w:val="0"/>
        <w:rPr>
          <w:rFonts w:hint="eastAsia" w:ascii="宋体" w:hAnsi="宋体" w:eastAsia="宋体" w:cs="宋体"/>
          <w:lang w:val="en-US" w:eastAsia="zh-CN"/>
        </w:rPr>
      </w:pPr>
      <w:bookmarkStart w:id="405" w:name="_Toc6836"/>
      <w:r>
        <w:rPr>
          <w:rFonts w:hint="eastAsia" w:ascii="宋体" w:hAnsi="宋体" w:eastAsia="宋体" w:cs="宋体"/>
          <w:lang w:val="en-US" w:eastAsia="zh-CN"/>
        </w:rPr>
        <w:t>第七章  投标文件格式</w:t>
      </w:r>
      <w:bookmarkEnd w:id="405"/>
    </w:p>
    <w:p w14:paraId="25D6CAEB">
      <w:pPr>
        <w:jc w:val="left"/>
        <w:rPr>
          <w:rFonts w:hint="eastAsia" w:ascii="宋体" w:hAnsi="宋体" w:eastAsia="宋体" w:cs="宋体"/>
          <w:b/>
          <w:color w:val="auto"/>
          <w:sz w:val="28"/>
        </w:rPr>
      </w:pPr>
    </w:p>
    <w:p w14:paraId="4233486E">
      <w:pPr>
        <w:jc w:val="left"/>
        <w:rPr>
          <w:rFonts w:hint="eastAsia" w:ascii="宋体" w:hAnsi="宋体" w:eastAsia="宋体" w:cs="宋体"/>
          <w:b/>
          <w:color w:val="auto"/>
          <w:sz w:val="28"/>
        </w:rPr>
      </w:pPr>
    </w:p>
    <w:p w14:paraId="3CCF5F8F">
      <w:pPr>
        <w:jc w:val="center"/>
        <w:rPr>
          <w:rFonts w:hint="eastAsia" w:ascii="宋体" w:hAnsi="宋体" w:eastAsia="宋体" w:cs="宋体"/>
          <w:b/>
          <w:color w:val="auto"/>
          <w:sz w:val="36"/>
          <w:szCs w:val="36"/>
          <w:u w:val="single"/>
        </w:rPr>
      </w:pPr>
      <w:r>
        <w:rPr>
          <w:rFonts w:hint="eastAsia" w:ascii="宋体" w:hAnsi="宋体" w:eastAsia="宋体" w:cs="宋体"/>
          <w:b/>
          <w:color w:val="auto"/>
          <w:sz w:val="36"/>
          <w:szCs w:val="36"/>
          <w:u w:val="single"/>
        </w:rPr>
        <w:t xml:space="preserve">             </w:t>
      </w:r>
      <w:r>
        <w:rPr>
          <w:rFonts w:hint="eastAsia" w:cs="宋体"/>
          <w:b/>
          <w:color w:val="auto"/>
          <w:sz w:val="36"/>
          <w:szCs w:val="36"/>
          <w:u w:val="single"/>
          <w:lang w:val="en-US" w:eastAsia="zh-CN"/>
        </w:rPr>
        <w:t xml:space="preserve">       </w:t>
      </w:r>
      <w:r>
        <w:rPr>
          <w:rFonts w:hint="eastAsia" w:ascii="宋体" w:hAnsi="宋体" w:eastAsia="宋体" w:cs="宋体"/>
          <w:b/>
          <w:color w:val="auto"/>
          <w:sz w:val="36"/>
          <w:szCs w:val="36"/>
          <w:u w:val="single"/>
        </w:rPr>
        <w:t xml:space="preserve">          </w:t>
      </w:r>
      <w:r>
        <w:rPr>
          <w:rFonts w:hint="eastAsia" w:ascii="宋体" w:hAnsi="宋体" w:eastAsia="宋体" w:cs="宋体"/>
          <w:b/>
          <w:color w:val="auto"/>
          <w:sz w:val="36"/>
          <w:szCs w:val="36"/>
        </w:rPr>
        <w:t>（项目名称）</w:t>
      </w:r>
    </w:p>
    <w:p w14:paraId="5B96D841">
      <w:pPr>
        <w:jc w:val="left"/>
        <w:rPr>
          <w:rFonts w:hint="eastAsia" w:ascii="宋体" w:hAnsi="宋体" w:eastAsia="宋体" w:cs="宋体"/>
          <w:b/>
          <w:color w:val="auto"/>
          <w:sz w:val="28"/>
        </w:rPr>
      </w:pPr>
    </w:p>
    <w:p w14:paraId="6168408B">
      <w:pPr>
        <w:jc w:val="left"/>
        <w:rPr>
          <w:rFonts w:hint="eastAsia" w:ascii="宋体" w:hAnsi="宋体" w:eastAsia="宋体" w:cs="宋体"/>
          <w:b/>
          <w:color w:val="auto"/>
          <w:sz w:val="28"/>
        </w:rPr>
      </w:pPr>
    </w:p>
    <w:p w14:paraId="06852335">
      <w:pPr>
        <w:jc w:val="left"/>
        <w:rPr>
          <w:rFonts w:hint="eastAsia" w:ascii="宋体" w:hAnsi="宋体" w:eastAsia="宋体" w:cs="宋体"/>
          <w:b/>
          <w:color w:val="auto"/>
          <w:sz w:val="28"/>
        </w:rPr>
      </w:pPr>
    </w:p>
    <w:p w14:paraId="30977C37">
      <w:pPr>
        <w:jc w:val="left"/>
        <w:rPr>
          <w:rFonts w:hint="eastAsia" w:ascii="宋体" w:hAnsi="宋体" w:eastAsia="宋体" w:cs="宋体"/>
          <w:b/>
          <w:color w:val="auto"/>
          <w:sz w:val="28"/>
        </w:rPr>
      </w:pPr>
    </w:p>
    <w:p w14:paraId="3668ED76">
      <w:pPr>
        <w:jc w:val="left"/>
        <w:rPr>
          <w:rFonts w:hint="eastAsia" w:ascii="宋体" w:hAnsi="宋体" w:eastAsia="宋体" w:cs="宋体"/>
          <w:b/>
          <w:color w:val="auto"/>
          <w:sz w:val="28"/>
        </w:rPr>
      </w:pPr>
    </w:p>
    <w:p w14:paraId="4BBCF2FA">
      <w:pPr>
        <w:jc w:val="center"/>
        <w:rPr>
          <w:rFonts w:hint="eastAsia" w:ascii="宋体" w:hAnsi="宋体" w:eastAsia="宋体" w:cs="宋体"/>
          <w:b/>
          <w:color w:val="auto"/>
          <w:sz w:val="44"/>
        </w:rPr>
      </w:pPr>
      <w:r>
        <w:rPr>
          <w:rFonts w:hint="eastAsia" w:ascii="宋体" w:hAnsi="宋体" w:eastAsia="宋体" w:cs="宋体"/>
          <w:b/>
          <w:color w:val="auto"/>
          <w:sz w:val="44"/>
          <w:lang w:val="en-US" w:eastAsia="zh-CN"/>
        </w:rPr>
        <w:t>响 应</w:t>
      </w:r>
      <w:r>
        <w:rPr>
          <w:rFonts w:hint="eastAsia" w:ascii="宋体" w:hAnsi="宋体" w:eastAsia="宋体" w:cs="宋体"/>
          <w:b/>
          <w:color w:val="auto"/>
          <w:sz w:val="44"/>
        </w:rPr>
        <w:t xml:space="preserve"> 文 件</w:t>
      </w:r>
    </w:p>
    <w:p w14:paraId="3A89A2C9">
      <w:pPr>
        <w:jc w:val="center"/>
        <w:rPr>
          <w:rFonts w:hint="eastAsia" w:ascii="宋体" w:hAnsi="宋体" w:eastAsia="宋体" w:cs="宋体"/>
          <w:b/>
          <w:color w:val="auto"/>
          <w:sz w:val="28"/>
        </w:rPr>
      </w:pPr>
      <w:r>
        <w:rPr>
          <w:rFonts w:hint="eastAsia" w:ascii="宋体" w:hAnsi="宋体" w:eastAsia="宋体" w:cs="宋体"/>
          <w:b/>
          <w:color w:val="auto"/>
          <w:sz w:val="28"/>
        </w:rPr>
        <w:t>编号：</w:t>
      </w:r>
    </w:p>
    <w:p w14:paraId="36C70EC4">
      <w:pPr>
        <w:jc w:val="left"/>
        <w:rPr>
          <w:rFonts w:hint="eastAsia" w:ascii="宋体" w:hAnsi="宋体" w:eastAsia="宋体" w:cs="宋体"/>
          <w:b/>
          <w:color w:val="auto"/>
          <w:sz w:val="28"/>
        </w:rPr>
      </w:pPr>
    </w:p>
    <w:p w14:paraId="44809EDE">
      <w:pPr>
        <w:jc w:val="left"/>
        <w:rPr>
          <w:rFonts w:hint="eastAsia" w:ascii="宋体" w:hAnsi="宋体" w:eastAsia="宋体" w:cs="宋体"/>
          <w:b/>
          <w:color w:val="auto"/>
          <w:sz w:val="28"/>
        </w:rPr>
      </w:pPr>
    </w:p>
    <w:p w14:paraId="21EE4E85">
      <w:pPr>
        <w:jc w:val="left"/>
        <w:rPr>
          <w:rFonts w:hint="eastAsia" w:ascii="宋体" w:hAnsi="宋体" w:eastAsia="宋体" w:cs="宋体"/>
          <w:b/>
          <w:color w:val="auto"/>
          <w:sz w:val="28"/>
        </w:rPr>
      </w:pPr>
    </w:p>
    <w:p w14:paraId="1219B54B">
      <w:pPr>
        <w:jc w:val="left"/>
        <w:rPr>
          <w:rFonts w:hint="eastAsia" w:ascii="宋体" w:hAnsi="宋体" w:eastAsia="宋体" w:cs="宋体"/>
          <w:b/>
          <w:color w:val="auto"/>
          <w:sz w:val="28"/>
        </w:rPr>
      </w:pPr>
    </w:p>
    <w:p w14:paraId="16258AAE">
      <w:pPr>
        <w:jc w:val="left"/>
        <w:rPr>
          <w:rFonts w:hint="eastAsia" w:ascii="宋体" w:hAnsi="宋体" w:eastAsia="宋体" w:cs="宋体"/>
          <w:b/>
          <w:color w:val="auto"/>
          <w:sz w:val="28"/>
        </w:rPr>
      </w:pPr>
    </w:p>
    <w:p w14:paraId="1F249808">
      <w:pPr>
        <w:jc w:val="left"/>
        <w:rPr>
          <w:rFonts w:hint="eastAsia" w:ascii="宋体" w:hAnsi="宋体" w:eastAsia="宋体" w:cs="宋体"/>
          <w:b/>
          <w:color w:val="auto"/>
          <w:sz w:val="28"/>
        </w:rPr>
      </w:pPr>
    </w:p>
    <w:p w14:paraId="329A7502">
      <w:pPr>
        <w:jc w:val="center"/>
        <w:rPr>
          <w:rFonts w:hint="eastAsia" w:ascii="宋体" w:hAnsi="宋体" w:eastAsia="宋体" w:cs="宋体"/>
          <w:b/>
          <w:color w:val="auto"/>
          <w:sz w:val="28"/>
        </w:rPr>
      </w:pPr>
      <w:r>
        <w:rPr>
          <w:rFonts w:hint="eastAsia" w:ascii="宋体" w:hAnsi="宋体" w:eastAsia="宋体" w:cs="宋体"/>
          <w:b/>
          <w:color w:val="auto"/>
          <w:sz w:val="28"/>
          <w:lang w:eastAsia="zh-CN"/>
        </w:rPr>
        <w:t>供应商</w:t>
      </w:r>
      <w:r>
        <w:rPr>
          <w:rFonts w:hint="eastAsia" w:ascii="宋体" w:hAnsi="宋体" w:eastAsia="宋体" w:cs="宋体"/>
          <w:b/>
          <w:color w:val="auto"/>
          <w:sz w:val="28"/>
        </w:rPr>
        <w:t>：（</w:t>
      </w:r>
      <w:r>
        <w:rPr>
          <w:rFonts w:hint="eastAsia" w:ascii="宋体" w:hAnsi="宋体" w:eastAsia="宋体" w:cs="宋体"/>
          <w:b/>
          <w:color w:val="auto"/>
          <w:sz w:val="28"/>
          <w:lang w:eastAsia="zh-CN"/>
        </w:rPr>
        <w:t>盖单位公章</w:t>
      </w:r>
      <w:r>
        <w:rPr>
          <w:rFonts w:hint="eastAsia" w:ascii="宋体" w:hAnsi="宋体" w:eastAsia="宋体" w:cs="宋体"/>
          <w:b/>
          <w:color w:val="auto"/>
          <w:sz w:val="28"/>
        </w:rPr>
        <w:t>）</w:t>
      </w:r>
    </w:p>
    <w:p w14:paraId="56876E12">
      <w:pPr>
        <w:jc w:val="center"/>
        <w:rPr>
          <w:rFonts w:hint="eastAsia" w:ascii="宋体" w:hAnsi="宋体" w:eastAsia="宋体" w:cs="宋体"/>
          <w:b/>
          <w:color w:val="auto"/>
          <w:sz w:val="28"/>
        </w:rPr>
      </w:pPr>
      <w:r>
        <w:rPr>
          <w:rFonts w:hint="eastAsia" w:ascii="宋体" w:hAnsi="宋体" w:eastAsia="宋体" w:cs="宋体"/>
          <w:b/>
          <w:color w:val="auto"/>
          <w:sz w:val="28"/>
        </w:rPr>
        <w:t>法定代表人或其委托代理人：（</w:t>
      </w:r>
      <w:r>
        <w:rPr>
          <w:rFonts w:hint="eastAsia" w:ascii="宋体" w:hAnsi="宋体" w:eastAsia="宋体" w:cs="宋体"/>
          <w:b/>
          <w:color w:val="auto"/>
          <w:sz w:val="28"/>
          <w:lang w:eastAsia="zh-CN"/>
        </w:rPr>
        <w:t>签字或盖章</w:t>
      </w:r>
      <w:r>
        <w:rPr>
          <w:rFonts w:hint="eastAsia" w:ascii="宋体" w:hAnsi="宋体" w:eastAsia="宋体" w:cs="宋体"/>
          <w:b/>
          <w:color w:val="auto"/>
          <w:sz w:val="28"/>
        </w:rPr>
        <w:t>）</w:t>
      </w:r>
    </w:p>
    <w:p w14:paraId="1A08ACD3">
      <w:pPr>
        <w:jc w:val="center"/>
        <w:rPr>
          <w:rFonts w:hint="eastAsia" w:ascii="宋体" w:hAnsi="宋体" w:eastAsia="宋体" w:cs="宋体"/>
          <w:b/>
          <w:color w:val="auto"/>
          <w:sz w:val="28"/>
          <w:lang w:val="en-US" w:eastAsia="zh-CN"/>
        </w:rPr>
      </w:pPr>
      <w:r>
        <w:rPr>
          <w:rFonts w:hint="eastAsia" w:ascii="宋体" w:hAnsi="宋体" w:eastAsia="宋体" w:cs="宋体"/>
          <w:b/>
          <w:color w:val="auto"/>
          <w:sz w:val="28"/>
        </w:rPr>
        <w:t>年  月</w:t>
      </w:r>
      <w:r>
        <w:rPr>
          <w:rFonts w:hint="eastAsia" w:ascii="宋体" w:hAnsi="宋体" w:eastAsia="宋体" w:cs="宋体"/>
          <w:b/>
          <w:color w:val="auto"/>
          <w:sz w:val="28"/>
          <w:lang w:val="en-US" w:eastAsia="zh-CN"/>
        </w:rPr>
        <w:t xml:space="preserve">   日</w:t>
      </w:r>
    </w:p>
    <w:p w14:paraId="3DCF501B">
      <w:pPr>
        <w:pStyle w:val="9"/>
        <w:rPr>
          <w:rFonts w:hint="eastAsia" w:ascii="宋体" w:hAnsi="宋体" w:eastAsia="宋体" w:cs="宋体"/>
          <w:sz w:val="21"/>
          <w:szCs w:val="21"/>
          <w:lang w:val="en-US" w:eastAsia="zh-CN"/>
        </w:rPr>
      </w:pPr>
    </w:p>
    <w:p w14:paraId="6030F913">
      <w:pP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br w:type="page"/>
      </w:r>
    </w:p>
    <w:p w14:paraId="65497135">
      <w:pPr>
        <w:pStyle w:val="9"/>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目</w:t>
      </w:r>
      <w:r>
        <w:rPr>
          <w:rFonts w:hint="eastAsia" w:cs="宋体"/>
          <w:b/>
          <w:bCs/>
          <w:sz w:val="32"/>
          <w:szCs w:val="32"/>
          <w:lang w:val="en-US" w:eastAsia="zh-CN"/>
        </w:rPr>
        <w:t xml:space="preserve">  </w:t>
      </w:r>
      <w:r>
        <w:rPr>
          <w:rFonts w:hint="eastAsia" w:ascii="宋体" w:hAnsi="宋体" w:eastAsia="宋体" w:cs="宋体"/>
          <w:b/>
          <w:bCs/>
          <w:sz w:val="32"/>
          <w:szCs w:val="32"/>
          <w:lang w:val="en-US" w:eastAsia="zh-CN"/>
        </w:rPr>
        <w:t>录</w:t>
      </w:r>
    </w:p>
    <w:p w14:paraId="1B0DE8D9">
      <w:pPr>
        <w:spacing w:line="560" w:lineRule="exact"/>
        <w:ind w:left="960" w:leftChars="300" w:firstLine="0" w:firstLineChars="0"/>
        <w:rPr>
          <w:rFonts w:hint="eastAsia" w:ascii="宋体" w:hAnsi="宋体" w:eastAsia="宋体" w:cs="宋体"/>
          <w:bCs/>
          <w:sz w:val="21"/>
          <w:szCs w:val="21"/>
        </w:rPr>
      </w:pPr>
      <w:r>
        <w:rPr>
          <w:rFonts w:hint="eastAsia" w:ascii="宋体" w:hAnsi="宋体" w:eastAsia="宋体" w:cs="宋体"/>
          <w:bCs/>
          <w:sz w:val="21"/>
          <w:szCs w:val="21"/>
        </w:rPr>
        <w:t>一、投标函</w:t>
      </w:r>
    </w:p>
    <w:p w14:paraId="487B73BB">
      <w:pPr>
        <w:spacing w:line="560" w:lineRule="exact"/>
        <w:ind w:left="960" w:leftChars="300" w:firstLine="0" w:firstLineChars="0"/>
        <w:rPr>
          <w:rFonts w:hint="eastAsia" w:ascii="宋体" w:hAnsi="宋体" w:eastAsia="宋体" w:cs="宋体"/>
          <w:bCs/>
          <w:sz w:val="21"/>
          <w:szCs w:val="21"/>
        </w:rPr>
      </w:pPr>
      <w:r>
        <w:rPr>
          <w:rFonts w:hint="eastAsia" w:ascii="宋体" w:hAnsi="宋体" w:eastAsia="宋体" w:cs="宋体"/>
          <w:bCs/>
          <w:sz w:val="21"/>
          <w:szCs w:val="21"/>
        </w:rPr>
        <w:t>二．开标一览表</w:t>
      </w:r>
    </w:p>
    <w:p w14:paraId="2147BBF5">
      <w:pPr>
        <w:spacing w:line="560" w:lineRule="exact"/>
        <w:ind w:left="960" w:leftChars="300" w:firstLine="0" w:firstLineChars="0"/>
        <w:rPr>
          <w:rFonts w:hint="eastAsia" w:ascii="宋体" w:hAnsi="宋体" w:eastAsia="宋体" w:cs="宋体"/>
          <w:bCs/>
          <w:sz w:val="21"/>
          <w:szCs w:val="21"/>
        </w:rPr>
      </w:pPr>
      <w:r>
        <w:rPr>
          <w:rFonts w:hint="eastAsia" w:ascii="宋体" w:hAnsi="宋体" w:eastAsia="宋体" w:cs="宋体"/>
          <w:bCs/>
          <w:sz w:val="21"/>
          <w:szCs w:val="21"/>
        </w:rPr>
        <w:t>三、投标价格明细表</w:t>
      </w:r>
    </w:p>
    <w:p w14:paraId="687DC19C">
      <w:pPr>
        <w:spacing w:line="560" w:lineRule="exact"/>
        <w:ind w:left="960" w:leftChars="300" w:firstLine="0" w:firstLineChars="0"/>
        <w:rPr>
          <w:rFonts w:hint="eastAsia" w:ascii="宋体" w:hAnsi="宋体" w:eastAsia="宋体" w:cs="宋体"/>
          <w:bCs/>
          <w:sz w:val="21"/>
          <w:szCs w:val="21"/>
        </w:rPr>
      </w:pPr>
      <w:r>
        <w:rPr>
          <w:rFonts w:hint="eastAsia" w:ascii="宋体" w:hAnsi="宋体" w:eastAsia="宋体" w:cs="宋体"/>
          <w:bCs/>
          <w:sz w:val="21"/>
          <w:szCs w:val="21"/>
        </w:rPr>
        <w:t>四、法定代表人身份证明</w:t>
      </w:r>
    </w:p>
    <w:p w14:paraId="52424752">
      <w:pPr>
        <w:spacing w:line="560" w:lineRule="exact"/>
        <w:ind w:left="960" w:leftChars="300" w:firstLine="0" w:firstLineChars="0"/>
        <w:rPr>
          <w:rFonts w:hint="eastAsia" w:ascii="宋体" w:hAnsi="宋体" w:eastAsia="宋体" w:cs="宋体"/>
          <w:bCs/>
          <w:sz w:val="21"/>
          <w:szCs w:val="21"/>
        </w:rPr>
      </w:pPr>
      <w:r>
        <w:rPr>
          <w:rFonts w:hint="eastAsia" w:ascii="宋体" w:hAnsi="宋体" w:eastAsia="宋体" w:cs="宋体"/>
          <w:bCs/>
          <w:sz w:val="21"/>
          <w:szCs w:val="21"/>
        </w:rPr>
        <w:t>五、法定代表人授权委托书</w:t>
      </w:r>
    </w:p>
    <w:p w14:paraId="5754A986">
      <w:pPr>
        <w:spacing w:line="560" w:lineRule="exact"/>
        <w:ind w:left="960" w:leftChars="300" w:firstLine="0" w:firstLineChars="0"/>
        <w:rPr>
          <w:rFonts w:hint="eastAsia" w:ascii="宋体" w:hAnsi="宋体" w:eastAsia="宋体" w:cs="宋体"/>
          <w:bCs/>
          <w:sz w:val="21"/>
          <w:szCs w:val="21"/>
        </w:rPr>
      </w:pPr>
      <w:r>
        <w:rPr>
          <w:rFonts w:hint="eastAsia" w:ascii="宋体" w:hAnsi="宋体" w:eastAsia="宋体" w:cs="宋体"/>
          <w:bCs/>
          <w:sz w:val="21"/>
          <w:szCs w:val="21"/>
        </w:rPr>
        <w:t>六、投标人承诺函</w:t>
      </w:r>
    </w:p>
    <w:p w14:paraId="5CF82746">
      <w:pPr>
        <w:spacing w:line="560" w:lineRule="exact"/>
        <w:ind w:left="960" w:leftChars="300" w:firstLine="0" w:firstLineChars="0"/>
        <w:rPr>
          <w:rFonts w:hint="eastAsia" w:ascii="宋体" w:hAnsi="宋体" w:eastAsia="宋体" w:cs="宋体"/>
          <w:bCs/>
          <w:sz w:val="21"/>
          <w:szCs w:val="21"/>
        </w:rPr>
      </w:pPr>
      <w:r>
        <w:rPr>
          <w:rFonts w:hint="eastAsia" w:ascii="宋体" w:hAnsi="宋体" w:eastAsia="宋体" w:cs="宋体"/>
          <w:bCs/>
          <w:sz w:val="21"/>
          <w:szCs w:val="21"/>
        </w:rPr>
        <w:t>七、采购需求响应表</w:t>
      </w:r>
    </w:p>
    <w:p w14:paraId="2D233909">
      <w:pPr>
        <w:spacing w:line="560" w:lineRule="exact"/>
        <w:ind w:left="960" w:leftChars="300" w:firstLine="0" w:firstLineChars="0"/>
        <w:rPr>
          <w:rFonts w:hint="eastAsia" w:ascii="宋体" w:hAnsi="宋体" w:eastAsia="宋体" w:cs="宋体"/>
          <w:bCs/>
          <w:sz w:val="21"/>
          <w:szCs w:val="21"/>
        </w:rPr>
      </w:pPr>
      <w:r>
        <w:rPr>
          <w:rFonts w:hint="eastAsia" w:ascii="宋体" w:hAnsi="宋体" w:eastAsia="宋体" w:cs="宋体"/>
          <w:bCs/>
          <w:sz w:val="21"/>
          <w:szCs w:val="21"/>
        </w:rPr>
        <w:t>八、采购方案和相应的承诺</w:t>
      </w:r>
    </w:p>
    <w:p w14:paraId="65416223">
      <w:pPr>
        <w:spacing w:line="560" w:lineRule="exact"/>
        <w:ind w:left="960" w:leftChars="300" w:firstLine="0" w:firstLineChars="0"/>
        <w:rPr>
          <w:rFonts w:hint="eastAsia" w:ascii="宋体" w:hAnsi="宋体" w:eastAsia="宋体" w:cs="宋体"/>
          <w:bCs/>
          <w:sz w:val="21"/>
          <w:szCs w:val="21"/>
        </w:rPr>
      </w:pPr>
      <w:r>
        <w:rPr>
          <w:rFonts w:hint="eastAsia" w:ascii="宋体" w:hAnsi="宋体" w:eastAsia="宋体" w:cs="宋体"/>
          <w:bCs/>
          <w:sz w:val="21"/>
          <w:szCs w:val="21"/>
        </w:rPr>
        <w:t>九、同类业绩</w:t>
      </w:r>
    </w:p>
    <w:p w14:paraId="0782E391">
      <w:pPr>
        <w:spacing w:line="560" w:lineRule="exact"/>
        <w:ind w:left="960" w:leftChars="300" w:firstLine="0" w:firstLineChars="0"/>
        <w:rPr>
          <w:rFonts w:hint="eastAsia" w:ascii="宋体" w:hAnsi="宋体" w:eastAsia="宋体" w:cs="宋体"/>
          <w:bCs/>
          <w:sz w:val="21"/>
          <w:szCs w:val="21"/>
        </w:rPr>
      </w:pPr>
      <w:r>
        <w:rPr>
          <w:rFonts w:hint="eastAsia" w:ascii="宋体" w:hAnsi="宋体" w:eastAsia="宋体" w:cs="宋体"/>
          <w:bCs/>
          <w:sz w:val="21"/>
          <w:szCs w:val="21"/>
        </w:rPr>
        <w:t>十、资格证明文件</w:t>
      </w:r>
    </w:p>
    <w:p w14:paraId="25C10003">
      <w:pPr>
        <w:spacing w:line="560" w:lineRule="exact"/>
        <w:ind w:left="960" w:leftChars="300" w:firstLine="0" w:firstLineChars="0"/>
        <w:rPr>
          <w:rFonts w:hint="eastAsia" w:ascii="宋体" w:hAnsi="宋体" w:eastAsia="宋体" w:cs="宋体"/>
          <w:bCs/>
          <w:sz w:val="21"/>
          <w:szCs w:val="21"/>
        </w:rPr>
      </w:pPr>
      <w:r>
        <w:rPr>
          <w:rFonts w:hint="eastAsia" w:ascii="宋体" w:hAnsi="宋体" w:eastAsia="宋体" w:cs="宋体"/>
          <w:bCs/>
          <w:sz w:val="21"/>
          <w:szCs w:val="21"/>
        </w:rPr>
        <w:t>十一、中小企业声明函</w:t>
      </w:r>
    </w:p>
    <w:p w14:paraId="05426CBD">
      <w:pPr>
        <w:spacing w:line="560" w:lineRule="exact"/>
        <w:ind w:left="960" w:leftChars="300" w:firstLine="0" w:firstLineChars="0"/>
        <w:rPr>
          <w:rFonts w:hint="eastAsia" w:ascii="宋体" w:hAnsi="宋体" w:eastAsia="宋体" w:cs="宋体"/>
          <w:bCs/>
          <w:sz w:val="21"/>
          <w:szCs w:val="21"/>
        </w:rPr>
      </w:pPr>
      <w:r>
        <w:rPr>
          <w:rFonts w:hint="eastAsia" w:ascii="宋体" w:hAnsi="宋体" w:eastAsia="宋体" w:cs="宋体"/>
          <w:bCs/>
          <w:sz w:val="21"/>
          <w:szCs w:val="21"/>
        </w:rPr>
        <w:t>十二、供应商认为需要提供的其他资料</w:t>
      </w:r>
    </w:p>
    <w:p w14:paraId="551417B5">
      <w:pPr>
        <w:pStyle w:val="9"/>
        <w:ind w:left="0" w:leftChars="0" w:firstLine="0" w:firstLineChars="0"/>
        <w:rPr>
          <w:rFonts w:hint="eastAsia" w:ascii="宋体" w:hAnsi="宋体" w:eastAsia="宋体" w:cs="宋体"/>
          <w:sz w:val="21"/>
          <w:szCs w:val="21"/>
          <w:lang w:val="en-US" w:eastAsia="zh-CN"/>
        </w:rPr>
      </w:pPr>
    </w:p>
    <w:p w14:paraId="56D14824">
      <w:pPr>
        <w:pStyle w:val="9"/>
        <w:ind w:left="0" w:leftChars="0" w:firstLine="0" w:firstLineChars="0"/>
        <w:rPr>
          <w:rFonts w:hint="eastAsia" w:ascii="宋体" w:hAnsi="宋体" w:eastAsia="宋体" w:cs="宋体"/>
          <w:sz w:val="21"/>
          <w:szCs w:val="21"/>
          <w:lang w:val="en-US" w:eastAsia="zh-CN"/>
        </w:rPr>
      </w:pPr>
    </w:p>
    <w:p w14:paraId="19FE27C8">
      <w:pPr>
        <w:pStyle w:val="9"/>
        <w:ind w:left="0" w:leftChars="0" w:firstLine="0" w:firstLineChars="0"/>
        <w:rPr>
          <w:rFonts w:hint="eastAsia" w:ascii="宋体" w:hAnsi="宋体" w:eastAsia="宋体" w:cs="宋体"/>
          <w:sz w:val="21"/>
          <w:szCs w:val="21"/>
          <w:lang w:val="en-US" w:eastAsia="zh-CN"/>
        </w:rPr>
      </w:pPr>
    </w:p>
    <w:p w14:paraId="5484A0F3">
      <w:pPr>
        <w:pStyle w:val="9"/>
        <w:ind w:left="0" w:leftChars="0" w:firstLine="0" w:firstLineChars="0"/>
        <w:rPr>
          <w:rFonts w:hint="eastAsia" w:ascii="宋体" w:hAnsi="宋体" w:eastAsia="宋体" w:cs="宋体"/>
          <w:sz w:val="21"/>
          <w:szCs w:val="21"/>
          <w:lang w:val="en-US" w:eastAsia="zh-CN"/>
        </w:rPr>
      </w:pPr>
    </w:p>
    <w:p w14:paraId="627AD1CA">
      <w:pPr>
        <w:pStyle w:val="9"/>
        <w:ind w:left="0" w:leftChars="0" w:firstLine="0" w:firstLineChars="0"/>
        <w:rPr>
          <w:rFonts w:hint="eastAsia" w:ascii="宋体" w:hAnsi="宋体" w:eastAsia="宋体" w:cs="宋体"/>
          <w:sz w:val="21"/>
          <w:szCs w:val="21"/>
          <w:lang w:val="en-US" w:eastAsia="zh-CN"/>
        </w:rPr>
      </w:pPr>
    </w:p>
    <w:p w14:paraId="4ACF3A89">
      <w:pPr>
        <w:rPr>
          <w:rFonts w:hint="eastAsia" w:ascii="宋体" w:hAnsi="宋体" w:eastAsia="宋体" w:cs="宋体"/>
          <w:lang w:val="en-US" w:eastAsia="zh-CN"/>
        </w:rPr>
      </w:pPr>
      <w:r>
        <w:rPr>
          <w:rFonts w:hint="eastAsia" w:ascii="宋体" w:hAnsi="宋体" w:eastAsia="宋体" w:cs="宋体"/>
          <w:lang w:val="en-US" w:eastAsia="zh-CN"/>
        </w:rPr>
        <w:br w:type="page"/>
      </w:r>
    </w:p>
    <w:p w14:paraId="27CE60FE">
      <w:pPr>
        <w:pStyle w:val="6"/>
        <w:bidi w:val="0"/>
        <w:rPr>
          <w:rFonts w:hint="eastAsia" w:ascii="宋体" w:hAnsi="宋体" w:eastAsia="宋体" w:cs="宋体"/>
          <w:lang w:val="en-US" w:eastAsia="zh-CN"/>
        </w:rPr>
      </w:pPr>
      <w:bookmarkStart w:id="406" w:name="_Toc10843"/>
      <w:r>
        <w:rPr>
          <w:rFonts w:hint="eastAsia" w:ascii="宋体" w:hAnsi="宋体" w:eastAsia="宋体" w:cs="宋体"/>
          <w:lang w:val="en-US" w:eastAsia="zh-CN"/>
        </w:rPr>
        <w:t>一、投标函</w:t>
      </w:r>
      <w:bookmarkEnd w:id="406"/>
    </w:p>
    <w:p w14:paraId="59B1C32A">
      <w:pPr>
        <w:keepNext w:val="0"/>
        <w:keepLines w:val="0"/>
        <w:pageBreakBefore w:val="0"/>
        <w:widowControl w:val="0"/>
        <w:kinsoku/>
        <w:wordWrap/>
        <w:overflowPunct/>
        <w:topLinePunct w:val="0"/>
        <w:autoSpaceDE/>
        <w:autoSpaceDN/>
        <w:bidi w:val="0"/>
        <w:adjustRightInd/>
        <w:snapToGrid/>
        <w:spacing w:line="396" w:lineRule="auto"/>
        <w:jc w:val="left"/>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u w:val="single"/>
        </w:rPr>
        <w:t>（</w:t>
      </w:r>
      <w:r>
        <w:rPr>
          <w:rFonts w:hint="eastAsia" w:ascii="宋体" w:hAnsi="宋体" w:eastAsia="宋体" w:cs="宋体"/>
          <w:sz w:val="21"/>
          <w:szCs w:val="21"/>
          <w:u w:val="single"/>
          <w:lang w:eastAsia="zh-CN"/>
        </w:rPr>
        <w:t>采购人</w:t>
      </w:r>
      <w:r>
        <w:rPr>
          <w:rFonts w:hint="eastAsia" w:ascii="宋体" w:hAnsi="宋体" w:eastAsia="宋体" w:cs="宋体"/>
          <w:sz w:val="21"/>
          <w:szCs w:val="21"/>
          <w:u w:val="single"/>
          <w:lang w:val="en-US" w:eastAsia="zh-CN"/>
        </w:rPr>
        <w:t>/</w:t>
      </w:r>
      <w:r>
        <w:rPr>
          <w:rFonts w:hint="eastAsia" w:ascii="宋体" w:hAnsi="宋体" w:eastAsia="宋体" w:cs="宋体"/>
          <w:sz w:val="21"/>
          <w:szCs w:val="21"/>
          <w:u w:val="single"/>
        </w:rPr>
        <w:t>采购代理机构名称）</w:t>
      </w:r>
    </w:p>
    <w:p w14:paraId="62BFED73">
      <w:pPr>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我（单位/本人，以下统称我</w:t>
      </w:r>
      <w:r>
        <w:rPr>
          <w:rFonts w:hint="eastAsia" w:ascii="宋体" w:hAnsi="宋体" w:eastAsia="宋体" w:cs="宋体"/>
          <w:sz w:val="21"/>
          <w:szCs w:val="21"/>
          <w:lang w:eastAsia="zh-CN"/>
        </w:rPr>
        <w:t>方</w:t>
      </w:r>
      <w:r>
        <w:rPr>
          <w:rFonts w:hint="eastAsia" w:ascii="宋体" w:hAnsi="宋体" w:eastAsia="宋体" w:cs="宋体"/>
          <w:sz w:val="21"/>
          <w:szCs w:val="21"/>
        </w:rPr>
        <w:t>）自愿参加</w:t>
      </w:r>
      <w:r>
        <w:rPr>
          <w:rFonts w:hint="eastAsia" w:ascii="宋体" w:hAnsi="宋体" w:eastAsia="宋体" w:cs="宋体"/>
          <w:sz w:val="21"/>
          <w:szCs w:val="21"/>
          <w:u w:val="single"/>
        </w:rPr>
        <w:t xml:space="preserve">              （项目名称和招标编号）</w:t>
      </w:r>
      <w:r>
        <w:rPr>
          <w:rFonts w:hint="eastAsia" w:ascii="宋体" w:hAnsi="宋体" w:eastAsia="宋体" w:cs="宋体"/>
          <w:sz w:val="21"/>
          <w:szCs w:val="21"/>
        </w:rPr>
        <w:t>的投标,并做出如下承诺：</w:t>
      </w:r>
    </w:p>
    <w:p w14:paraId="106D045A">
      <w:pPr>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jc w:val="left"/>
        <w:textAlignment w:val="auto"/>
        <w:rPr>
          <w:rFonts w:hint="eastAsia" w:ascii="宋体" w:hAnsi="宋体" w:eastAsia="宋体" w:cs="宋体"/>
          <w:bCs/>
          <w:kern w:val="2"/>
          <w:sz w:val="21"/>
          <w:szCs w:val="21"/>
          <w:lang w:val="en-US" w:eastAsia="zh-CN" w:bidi="ar-SA"/>
        </w:rPr>
      </w:pPr>
      <w:r>
        <w:rPr>
          <w:rFonts w:hint="eastAsia" w:ascii="宋体" w:hAnsi="宋体" w:eastAsia="宋体" w:cs="宋体"/>
          <w:sz w:val="21"/>
          <w:szCs w:val="21"/>
          <w:lang w:val="en-US" w:eastAsia="zh-CN"/>
        </w:rPr>
        <w:t>一、</w:t>
      </w:r>
      <w:r>
        <w:rPr>
          <w:rFonts w:hint="eastAsia" w:ascii="宋体" w:hAnsi="宋体" w:eastAsia="宋体" w:cs="宋体"/>
          <w:bCs/>
          <w:sz w:val="21"/>
          <w:szCs w:val="21"/>
        </w:rPr>
        <w:t>我</w:t>
      </w:r>
      <w:r>
        <w:rPr>
          <w:rFonts w:hint="eastAsia" w:ascii="宋体" w:hAnsi="宋体" w:eastAsia="宋体" w:cs="宋体"/>
          <w:bCs/>
          <w:sz w:val="21"/>
          <w:szCs w:val="21"/>
          <w:lang w:eastAsia="zh-CN"/>
        </w:rPr>
        <w:t>方</w:t>
      </w:r>
      <w:r>
        <w:rPr>
          <w:rFonts w:hint="eastAsia" w:ascii="宋体" w:hAnsi="宋体" w:eastAsia="宋体" w:cs="宋体"/>
          <w:bCs/>
          <w:sz w:val="21"/>
          <w:szCs w:val="21"/>
        </w:rPr>
        <w:t>授权</w:t>
      </w:r>
      <w:r>
        <w:rPr>
          <w:rFonts w:hint="eastAsia" w:ascii="宋体" w:hAnsi="宋体" w:eastAsia="宋体" w:cs="宋体"/>
          <w:bCs/>
          <w:sz w:val="21"/>
          <w:szCs w:val="21"/>
          <w:u w:val="single"/>
        </w:rPr>
        <w:t xml:space="preserve"> </w:t>
      </w:r>
      <w:r>
        <w:rPr>
          <w:rFonts w:hint="eastAsia" w:cs="宋体"/>
          <w:bCs/>
          <w:sz w:val="21"/>
          <w:szCs w:val="21"/>
          <w:u w:val="single"/>
          <w:lang w:val="en-US" w:eastAsia="zh-CN"/>
        </w:rPr>
        <w:t xml:space="preserve">       </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(姓名和职务)代表我方</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none"/>
        </w:rPr>
        <w:t>（投标单位</w:t>
      </w:r>
      <w:r>
        <w:rPr>
          <w:rFonts w:hint="eastAsia" w:ascii="宋体" w:hAnsi="宋体" w:eastAsia="宋体" w:cs="宋体"/>
          <w:bCs/>
          <w:kern w:val="2"/>
          <w:sz w:val="21"/>
          <w:szCs w:val="21"/>
          <w:u w:val="none"/>
          <w:lang w:val="en-US" w:eastAsia="zh-CN" w:bidi="ar-SA"/>
        </w:rPr>
        <w:t>的名称）</w:t>
      </w:r>
      <w:r>
        <w:rPr>
          <w:rFonts w:hint="eastAsia" w:ascii="宋体" w:hAnsi="宋体" w:eastAsia="宋体" w:cs="宋体"/>
          <w:bCs/>
          <w:kern w:val="2"/>
          <w:sz w:val="21"/>
          <w:szCs w:val="21"/>
          <w:lang w:val="en-US" w:eastAsia="zh-CN" w:bidi="ar-SA"/>
        </w:rPr>
        <w:t>全权处理本项目投标的有关事宜。</w:t>
      </w:r>
    </w:p>
    <w:p w14:paraId="1E027E2B">
      <w:pPr>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jc w:val="left"/>
        <w:textAlignment w:val="auto"/>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二、我方愿意按照采购文件规定的各项要求，向采购人提供所需的服务，我方所投总投标价为人民币（大写）</w:t>
      </w:r>
      <w:r>
        <w:rPr>
          <w:rFonts w:hint="eastAsia" w:ascii="宋体" w:hAnsi="宋体" w:eastAsia="宋体" w:cs="宋体"/>
          <w:bCs/>
          <w:sz w:val="21"/>
          <w:szCs w:val="21"/>
          <w:u w:val="single"/>
        </w:rPr>
        <w:t xml:space="preserve">  </w:t>
      </w:r>
      <w:r>
        <w:rPr>
          <w:rFonts w:hint="eastAsia" w:cs="宋体"/>
          <w:bCs/>
          <w:sz w:val="21"/>
          <w:szCs w:val="21"/>
          <w:u w:val="single"/>
          <w:lang w:val="en-US" w:eastAsia="zh-CN"/>
        </w:rPr>
        <w:t xml:space="preserve">   </w:t>
      </w:r>
      <w:r>
        <w:rPr>
          <w:rFonts w:hint="eastAsia" w:ascii="宋体" w:hAnsi="宋体" w:eastAsia="宋体" w:cs="宋体"/>
          <w:bCs/>
          <w:sz w:val="21"/>
          <w:szCs w:val="21"/>
          <w:u w:val="single"/>
        </w:rPr>
        <w:t xml:space="preserve">    </w:t>
      </w:r>
      <w:r>
        <w:rPr>
          <w:rFonts w:hint="eastAsia" w:ascii="宋体" w:hAnsi="宋体" w:eastAsia="宋体" w:cs="宋体"/>
          <w:bCs/>
          <w:kern w:val="2"/>
          <w:sz w:val="21"/>
          <w:szCs w:val="21"/>
          <w:lang w:val="en-US" w:eastAsia="zh-CN" w:bidi="ar-SA"/>
        </w:rPr>
        <w:t xml:space="preserve"> 。（小写：</w:t>
      </w:r>
      <w:r>
        <w:rPr>
          <w:rFonts w:hint="eastAsia" w:ascii="宋体" w:hAnsi="宋体" w:eastAsia="宋体" w:cs="宋体"/>
          <w:bCs/>
          <w:sz w:val="21"/>
          <w:szCs w:val="21"/>
          <w:u w:val="single"/>
        </w:rPr>
        <w:t xml:space="preserve">    </w:t>
      </w:r>
      <w:r>
        <w:rPr>
          <w:rFonts w:hint="eastAsia" w:cs="宋体"/>
          <w:bCs/>
          <w:sz w:val="21"/>
          <w:szCs w:val="21"/>
          <w:u w:val="single"/>
          <w:lang w:val="en-US" w:eastAsia="zh-CN"/>
        </w:rPr>
        <w:t xml:space="preserve">  </w:t>
      </w:r>
      <w:r>
        <w:rPr>
          <w:rFonts w:hint="eastAsia" w:ascii="宋体" w:hAnsi="宋体" w:eastAsia="宋体" w:cs="宋体"/>
          <w:bCs/>
          <w:sz w:val="21"/>
          <w:szCs w:val="21"/>
          <w:u w:val="single"/>
        </w:rPr>
        <w:t xml:space="preserve">  </w:t>
      </w:r>
      <w:r>
        <w:rPr>
          <w:rFonts w:hint="eastAsia" w:ascii="宋体" w:hAnsi="宋体" w:eastAsia="宋体" w:cs="宋体"/>
          <w:bCs/>
          <w:kern w:val="2"/>
          <w:sz w:val="21"/>
          <w:szCs w:val="21"/>
          <w:lang w:val="en-US" w:eastAsia="zh-CN" w:bidi="ar-SA"/>
        </w:rPr>
        <w:t xml:space="preserve"> ）</w:t>
      </w:r>
    </w:p>
    <w:p w14:paraId="0A343FC6">
      <w:pPr>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三、我方已详细审查全部采购文件，包括所有补充通知（如有），完全理解并同意放弃对这方面有不明、误解的权利。</w:t>
      </w:r>
    </w:p>
    <w:p w14:paraId="05308E17">
      <w:pPr>
        <w:pStyle w:val="32"/>
        <w:keepNext w:val="0"/>
        <w:keepLines w:val="0"/>
        <w:pageBreakBefore w:val="0"/>
        <w:widowControl w:val="0"/>
        <w:numPr>
          <w:ilvl w:val="0"/>
          <w:numId w:val="0"/>
        </w:numPr>
        <w:kinsoku/>
        <w:wordWrap/>
        <w:overflowPunct/>
        <w:topLinePunct w:val="0"/>
        <w:autoSpaceDE/>
        <w:autoSpaceDN/>
        <w:bidi w:val="0"/>
        <w:adjustRightInd/>
        <w:snapToGrid/>
        <w:spacing w:line="396" w:lineRule="auto"/>
        <w:ind w:left="0" w:leftChars="0" w:firstLine="420" w:firstLineChars="200"/>
        <w:jc w:val="left"/>
        <w:textAlignment w:val="auto"/>
        <w:rPr>
          <w:rFonts w:hint="eastAsia" w:ascii="宋体" w:hAnsi="宋体" w:eastAsia="宋体" w:cs="宋体"/>
          <w:bCs/>
          <w:sz w:val="21"/>
          <w:szCs w:val="21"/>
        </w:rPr>
      </w:pPr>
      <w:r>
        <w:rPr>
          <w:rFonts w:hint="eastAsia" w:ascii="宋体" w:hAnsi="宋体" w:eastAsia="宋体" w:cs="宋体"/>
          <w:bCs/>
          <w:kern w:val="2"/>
          <w:sz w:val="21"/>
          <w:szCs w:val="21"/>
          <w:lang w:val="en-US" w:eastAsia="zh-CN" w:bidi="ar-SA"/>
        </w:rPr>
        <w:t>四、我方承诺自投标截止时间至本项目发</w:t>
      </w:r>
      <w:r>
        <w:rPr>
          <w:rFonts w:hint="eastAsia" w:ascii="宋体" w:hAnsi="宋体" w:eastAsia="宋体" w:cs="宋体"/>
          <w:sz w:val="21"/>
          <w:szCs w:val="21"/>
        </w:rPr>
        <w:t>布中标公告为止，撤销投标</w:t>
      </w:r>
      <w:r>
        <w:rPr>
          <w:rFonts w:hint="eastAsia" w:ascii="宋体" w:hAnsi="宋体" w:eastAsia="宋体" w:cs="宋体"/>
          <w:sz w:val="21"/>
          <w:szCs w:val="21"/>
          <w:lang w:eastAsia="zh-CN"/>
        </w:rPr>
        <w:t>的、或者</w:t>
      </w:r>
      <w:r>
        <w:rPr>
          <w:rFonts w:hint="eastAsia" w:ascii="宋体" w:hAnsi="宋体" w:eastAsia="宋体" w:cs="宋体"/>
          <w:sz w:val="21"/>
          <w:szCs w:val="21"/>
        </w:rPr>
        <w:t>中标后不依法与采购人签订合同</w:t>
      </w:r>
      <w:r>
        <w:rPr>
          <w:rFonts w:hint="eastAsia" w:ascii="宋体" w:hAnsi="宋体" w:eastAsia="宋体" w:cs="宋体"/>
          <w:sz w:val="21"/>
          <w:szCs w:val="21"/>
          <w:lang w:eastAsia="zh-CN"/>
        </w:rPr>
        <w:t>、或者</w:t>
      </w:r>
      <w:r>
        <w:rPr>
          <w:rFonts w:hint="eastAsia" w:ascii="宋体" w:hAnsi="宋体" w:eastAsia="宋体" w:cs="宋体"/>
          <w:sz w:val="21"/>
          <w:szCs w:val="21"/>
        </w:rPr>
        <w:t>中标后不按照本</w:t>
      </w:r>
      <w:r>
        <w:rPr>
          <w:rFonts w:hint="eastAsia" w:ascii="宋体" w:hAnsi="宋体" w:eastAsia="宋体" w:cs="宋体"/>
          <w:sz w:val="21"/>
          <w:szCs w:val="21"/>
          <w:lang w:eastAsia="zh-CN"/>
        </w:rPr>
        <w:t>采购</w:t>
      </w:r>
      <w:r>
        <w:rPr>
          <w:rFonts w:hint="eastAsia" w:ascii="宋体" w:hAnsi="宋体" w:eastAsia="宋体" w:cs="宋体"/>
          <w:sz w:val="21"/>
          <w:szCs w:val="21"/>
        </w:rPr>
        <w:t>文件规定缴纳招标代理费</w:t>
      </w:r>
      <w:r>
        <w:rPr>
          <w:rFonts w:hint="eastAsia" w:ascii="宋体" w:hAnsi="宋体" w:eastAsia="宋体" w:cs="宋体"/>
          <w:sz w:val="21"/>
          <w:szCs w:val="21"/>
          <w:lang w:eastAsia="zh-CN"/>
        </w:rPr>
        <w:t>的，</w:t>
      </w:r>
      <w:r>
        <w:rPr>
          <w:rFonts w:hint="eastAsia" w:ascii="宋体" w:hAnsi="宋体" w:eastAsia="宋体" w:cs="宋体"/>
          <w:bCs/>
          <w:sz w:val="21"/>
          <w:szCs w:val="21"/>
        </w:rPr>
        <w:t>我方</w:t>
      </w:r>
      <w:r>
        <w:rPr>
          <w:rFonts w:hint="eastAsia" w:ascii="宋体" w:hAnsi="宋体" w:eastAsia="宋体" w:cs="宋体"/>
          <w:bCs/>
          <w:sz w:val="21"/>
          <w:szCs w:val="21"/>
          <w:lang w:eastAsia="zh-CN"/>
        </w:rPr>
        <w:t>将向采购人、采购代理机构</w:t>
      </w:r>
      <w:r>
        <w:rPr>
          <w:rFonts w:hint="eastAsia" w:ascii="宋体" w:hAnsi="宋体" w:eastAsia="宋体" w:cs="宋体"/>
          <w:sz w:val="21"/>
          <w:szCs w:val="21"/>
        </w:rPr>
        <w:t>支付</w:t>
      </w:r>
      <w:r>
        <w:rPr>
          <w:rFonts w:hint="eastAsia" w:ascii="宋体" w:hAnsi="宋体" w:cs="宋体"/>
          <w:sz w:val="21"/>
          <w:szCs w:val="21"/>
          <w:lang w:val="en-US" w:eastAsia="zh-CN"/>
        </w:rPr>
        <w:t>相应的</w:t>
      </w:r>
      <w:r>
        <w:rPr>
          <w:rFonts w:hint="eastAsia" w:ascii="宋体" w:hAnsi="宋体" w:eastAsia="宋体" w:cs="宋体"/>
          <w:sz w:val="21"/>
          <w:szCs w:val="21"/>
        </w:rPr>
        <w:t>违约赔偿金。</w:t>
      </w:r>
    </w:p>
    <w:p w14:paraId="397964FF">
      <w:pPr>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lang w:eastAsia="zh-CN"/>
        </w:rPr>
        <w:t>五、</w:t>
      </w:r>
      <w:r>
        <w:rPr>
          <w:rFonts w:hint="eastAsia" w:ascii="宋体" w:hAnsi="宋体" w:eastAsia="宋体" w:cs="宋体"/>
          <w:bCs/>
          <w:sz w:val="21"/>
          <w:szCs w:val="21"/>
        </w:rPr>
        <w:t>我方愿意</w:t>
      </w:r>
      <w:r>
        <w:rPr>
          <w:rFonts w:hint="eastAsia" w:ascii="宋体" w:hAnsi="宋体" w:eastAsia="宋体" w:cs="宋体"/>
          <w:bCs/>
          <w:sz w:val="21"/>
          <w:szCs w:val="21"/>
          <w:lang w:eastAsia="zh-CN"/>
        </w:rPr>
        <w:t>按照采购文件的要求，提供</w:t>
      </w:r>
      <w:r>
        <w:rPr>
          <w:rFonts w:hint="eastAsia" w:ascii="宋体" w:hAnsi="宋体" w:eastAsia="宋体" w:cs="宋体"/>
          <w:bCs/>
          <w:sz w:val="21"/>
          <w:szCs w:val="21"/>
        </w:rPr>
        <w:t>与项目有关的</w:t>
      </w:r>
      <w:r>
        <w:rPr>
          <w:rFonts w:hint="eastAsia" w:ascii="宋体" w:hAnsi="宋体" w:eastAsia="宋体" w:cs="宋体"/>
          <w:bCs/>
          <w:sz w:val="21"/>
          <w:szCs w:val="21"/>
          <w:lang w:eastAsia="zh-CN"/>
        </w:rPr>
        <w:t>所有</w:t>
      </w:r>
      <w:r>
        <w:rPr>
          <w:rFonts w:hint="eastAsia" w:ascii="宋体" w:hAnsi="宋体" w:eastAsia="宋体" w:cs="宋体"/>
          <w:bCs/>
          <w:sz w:val="21"/>
          <w:szCs w:val="21"/>
        </w:rPr>
        <w:t>文件资料，并保证我方</w:t>
      </w:r>
      <w:r>
        <w:rPr>
          <w:rFonts w:hint="eastAsia" w:ascii="宋体" w:hAnsi="宋体" w:eastAsia="宋体" w:cs="宋体"/>
          <w:bCs/>
          <w:sz w:val="21"/>
          <w:szCs w:val="21"/>
          <w:lang w:eastAsia="zh-CN"/>
        </w:rPr>
        <w:t>所有</w:t>
      </w:r>
      <w:r>
        <w:rPr>
          <w:rFonts w:hint="eastAsia" w:ascii="宋体" w:hAnsi="宋体" w:eastAsia="宋体" w:cs="宋体"/>
          <w:bCs/>
          <w:sz w:val="21"/>
          <w:szCs w:val="21"/>
        </w:rPr>
        <w:t>文件</w:t>
      </w:r>
      <w:r>
        <w:rPr>
          <w:rFonts w:hint="eastAsia" w:ascii="宋体" w:hAnsi="宋体" w:eastAsia="宋体" w:cs="宋体"/>
          <w:bCs/>
          <w:sz w:val="21"/>
          <w:szCs w:val="21"/>
          <w:lang w:eastAsia="zh-CN"/>
        </w:rPr>
        <w:t>资料的合法性、</w:t>
      </w:r>
      <w:r>
        <w:rPr>
          <w:rFonts w:hint="eastAsia" w:ascii="宋体" w:hAnsi="宋体" w:eastAsia="宋体" w:cs="宋体"/>
          <w:bCs/>
          <w:sz w:val="21"/>
          <w:szCs w:val="21"/>
        </w:rPr>
        <w:t>真实</w:t>
      </w:r>
      <w:r>
        <w:rPr>
          <w:rFonts w:hint="eastAsia" w:ascii="宋体" w:hAnsi="宋体" w:eastAsia="宋体" w:cs="宋体"/>
          <w:bCs/>
          <w:sz w:val="21"/>
          <w:szCs w:val="21"/>
          <w:lang w:eastAsia="zh-CN"/>
        </w:rPr>
        <w:t>性</w:t>
      </w:r>
      <w:r>
        <w:rPr>
          <w:rFonts w:hint="eastAsia" w:ascii="宋体" w:hAnsi="宋体" w:eastAsia="宋体" w:cs="宋体"/>
          <w:bCs/>
          <w:sz w:val="21"/>
          <w:szCs w:val="21"/>
        </w:rPr>
        <w:t>、</w:t>
      </w:r>
      <w:r>
        <w:rPr>
          <w:rFonts w:hint="eastAsia" w:ascii="宋体" w:hAnsi="宋体" w:eastAsia="宋体" w:cs="宋体"/>
          <w:bCs/>
          <w:sz w:val="21"/>
          <w:szCs w:val="21"/>
          <w:lang w:eastAsia="zh-CN"/>
        </w:rPr>
        <w:t>完整性和</w:t>
      </w:r>
      <w:r>
        <w:rPr>
          <w:rFonts w:hint="eastAsia" w:ascii="宋体" w:hAnsi="宋体" w:eastAsia="宋体" w:cs="宋体"/>
          <w:bCs/>
          <w:sz w:val="21"/>
          <w:szCs w:val="21"/>
        </w:rPr>
        <w:t>准确</w:t>
      </w:r>
      <w:r>
        <w:rPr>
          <w:rFonts w:hint="eastAsia" w:ascii="宋体" w:hAnsi="宋体" w:eastAsia="宋体" w:cs="宋体"/>
          <w:bCs/>
          <w:sz w:val="21"/>
          <w:szCs w:val="21"/>
          <w:lang w:eastAsia="zh-CN"/>
        </w:rPr>
        <w:t>性</w:t>
      </w:r>
      <w:r>
        <w:rPr>
          <w:rFonts w:hint="eastAsia" w:ascii="宋体" w:hAnsi="宋体" w:eastAsia="宋体" w:cs="宋体"/>
          <w:bCs/>
          <w:sz w:val="21"/>
          <w:szCs w:val="21"/>
        </w:rPr>
        <w:t>。</w:t>
      </w:r>
    </w:p>
    <w:p w14:paraId="099B4810">
      <w:pPr>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jc w:val="left"/>
        <w:textAlignment w:val="auto"/>
        <w:rPr>
          <w:rFonts w:hint="eastAsia" w:ascii="宋体" w:hAnsi="宋体" w:eastAsia="宋体" w:cs="宋体"/>
          <w:bCs/>
          <w:sz w:val="21"/>
          <w:szCs w:val="21"/>
          <w:lang w:eastAsia="zh-CN"/>
        </w:rPr>
      </w:pPr>
      <w:r>
        <w:rPr>
          <w:rFonts w:hint="eastAsia" w:ascii="宋体" w:hAnsi="宋体" w:eastAsia="宋体" w:cs="宋体"/>
          <w:bCs/>
          <w:sz w:val="21"/>
          <w:szCs w:val="21"/>
          <w:lang w:eastAsia="zh-CN"/>
        </w:rPr>
        <w:t>六、</w:t>
      </w:r>
      <w:r>
        <w:rPr>
          <w:rFonts w:hint="eastAsia" w:ascii="宋体" w:hAnsi="宋体" w:eastAsia="宋体" w:cs="宋体"/>
          <w:bCs/>
          <w:sz w:val="21"/>
          <w:szCs w:val="21"/>
        </w:rPr>
        <w:t xml:space="preserve">一旦我方被确定为中标供应商，我方将严格履行合同规定的责任和义务，保证于合同签字生效后按照约定时间完成项目，并交付采购人验收。 </w:t>
      </w:r>
    </w:p>
    <w:p w14:paraId="02E22476">
      <w:pPr>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jc w:val="left"/>
        <w:textAlignment w:val="auto"/>
        <w:rPr>
          <w:rFonts w:hint="eastAsia" w:ascii="宋体" w:hAnsi="宋体" w:eastAsia="宋体" w:cs="宋体"/>
          <w:sz w:val="21"/>
          <w:szCs w:val="21"/>
        </w:rPr>
      </w:pPr>
    </w:p>
    <w:p w14:paraId="13474676">
      <w:pPr>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投</w:t>
      </w:r>
      <w:r>
        <w:rPr>
          <w:rFonts w:hint="eastAsia" w:cs="宋体"/>
          <w:sz w:val="21"/>
          <w:szCs w:val="21"/>
          <w:lang w:val="en-US" w:eastAsia="zh-CN"/>
        </w:rPr>
        <w:t xml:space="preserve"> </w:t>
      </w:r>
      <w:r>
        <w:rPr>
          <w:rFonts w:hint="eastAsia" w:ascii="宋体" w:hAnsi="宋体" w:eastAsia="宋体" w:cs="宋体"/>
          <w:sz w:val="21"/>
          <w:szCs w:val="21"/>
        </w:rPr>
        <w:t>标</w:t>
      </w:r>
      <w:r>
        <w:rPr>
          <w:rFonts w:hint="eastAsia" w:cs="宋体"/>
          <w:sz w:val="21"/>
          <w:szCs w:val="21"/>
          <w:lang w:val="en-US" w:eastAsia="zh-CN"/>
        </w:rPr>
        <w:t xml:space="preserve"> </w:t>
      </w:r>
      <w:r>
        <w:rPr>
          <w:rFonts w:hint="eastAsia" w:ascii="宋体" w:hAnsi="宋体" w:eastAsia="宋体" w:cs="宋体"/>
          <w:sz w:val="21"/>
          <w:szCs w:val="21"/>
        </w:rPr>
        <w:t>人：</w:t>
      </w:r>
      <w:r>
        <w:rPr>
          <w:rFonts w:hint="eastAsia" w:cs="宋体"/>
          <w:sz w:val="21"/>
          <w:szCs w:val="21"/>
          <w:u w:val="single"/>
          <w:lang w:val="en-US" w:eastAsia="zh-CN"/>
        </w:rPr>
        <w:t xml:space="preserve">                              </w:t>
      </w:r>
      <w:r>
        <w:rPr>
          <w:rFonts w:hint="eastAsia" w:ascii="宋体" w:hAnsi="宋体" w:eastAsia="宋体" w:cs="宋体"/>
          <w:sz w:val="21"/>
          <w:szCs w:val="21"/>
        </w:rPr>
        <w:t>（盖公章）</w:t>
      </w:r>
    </w:p>
    <w:p w14:paraId="32BB1F8B">
      <w:pPr>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地</w:t>
      </w:r>
      <w:r>
        <w:rPr>
          <w:rFonts w:hint="eastAsia" w:cs="宋体"/>
          <w:sz w:val="21"/>
          <w:szCs w:val="21"/>
          <w:lang w:val="en-US" w:eastAsia="zh-CN"/>
        </w:rPr>
        <w:t xml:space="preserve">    </w:t>
      </w:r>
      <w:r>
        <w:rPr>
          <w:rFonts w:hint="eastAsia" w:ascii="宋体" w:hAnsi="宋体" w:eastAsia="宋体" w:cs="宋体"/>
          <w:sz w:val="21"/>
          <w:szCs w:val="21"/>
        </w:rPr>
        <w:t>址：</w:t>
      </w:r>
      <w:r>
        <w:rPr>
          <w:rFonts w:hint="eastAsia" w:cs="宋体"/>
          <w:sz w:val="21"/>
          <w:szCs w:val="21"/>
          <w:u w:val="single"/>
          <w:lang w:val="en-US" w:eastAsia="zh-CN"/>
        </w:rPr>
        <w:t xml:space="preserve">                              </w:t>
      </w:r>
    </w:p>
    <w:p w14:paraId="3B41E01F">
      <w:pPr>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textAlignment w:val="auto"/>
        <w:rPr>
          <w:rFonts w:hint="eastAsia" w:cs="宋体"/>
          <w:sz w:val="21"/>
          <w:szCs w:val="21"/>
          <w:u w:val="single"/>
          <w:lang w:val="en-US" w:eastAsia="zh-CN"/>
        </w:rPr>
      </w:pPr>
      <w:r>
        <w:rPr>
          <w:rFonts w:hint="eastAsia" w:ascii="宋体" w:hAnsi="宋体" w:eastAsia="宋体" w:cs="宋体"/>
          <w:sz w:val="21"/>
          <w:szCs w:val="21"/>
        </w:rPr>
        <w:t>电</w:t>
      </w:r>
      <w:r>
        <w:rPr>
          <w:rFonts w:hint="eastAsia" w:cs="宋体"/>
          <w:sz w:val="21"/>
          <w:szCs w:val="21"/>
          <w:lang w:val="en-US" w:eastAsia="zh-CN"/>
        </w:rPr>
        <w:t xml:space="preserve">    </w:t>
      </w:r>
      <w:r>
        <w:rPr>
          <w:rFonts w:hint="eastAsia" w:ascii="宋体" w:hAnsi="宋体" w:eastAsia="宋体" w:cs="宋体"/>
          <w:sz w:val="21"/>
          <w:szCs w:val="21"/>
        </w:rPr>
        <w:t>话：</w:t>
      </w:r>
      <w:r>
        <w:rPr>
          <w:rFonts w:hint="eastAsia" w:cs="宋体"/>
          <w:sz w:val="21"/>
          <w:szCs w:val="21"/>
          <w:u w:val="single"/>
          <w:lang w:val="en-US" w:eastAsia="zh-CN"/>
        </w:rPr>
        <w:t xml:space="preserve">                              </w:t>
      </w:r>
    </w:p>
    <w:p w14:paraId="130364F0">
      <w:pPr>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传</w:t>
      </w:r>
      <w:r>
        <w:rPr>
          <w:rFonts w:hint="eastAsia" w:cs="宋体"/>
          <w:sz w:val="21"/>
          <w:szCs w:val="21"/>
          <w:lang w:val="en-US" w:eastAsia="zh-CN"/>
        </w:rPr>
        <w:t xml:space="preserve">    </w:t>
      </w:r>
      <w:r>
        <w:rPr>
          <w:rFonts w:hint="eastAsia" w:ascii="宋体" w:hAnsi="宋体" w:eastAsia="宋体" w:cs="宋体"/>
          <w:sz w:val="21"/>
          <w:szCs w:val="21"/>
        </w:rPr>
        <w:t>真：</w:t>
      </w:r>
      <w:r>
        <w:rPr>
          <w:rFonts w:hint="eastAsia" w:cs="宋体"/>
          <w:sz w:val="21"/>
          <w:szCs w:val="21"/>
          <w:u w:val="single"/>
          <w:lang w:val="en-US" w:eastAsia="zh-CN"/>
        </w:rPr>
        <w:t xml:space="preserve">                              </w:t>
      </w:r>
    </w:p>
    <w:p w14:paraId="3893E714">
      <w:pPr>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电子邮件：</w:t>
      </w:r>
      <w:r>
        <w:rPr>
          <w:rFonts w:hint="eastAsia" w:cs="宋体"/>
          <w:sz w:val="21"/>
          <w:szCs w:val="21"/>
          <w:u w:val="single"/>
          <w:lang w:val="en-US" w:eastAsia="zh-CN"/>
        </w:rPr>
        <w:t xml:space="preserve">                              </w:t>
      </w:r>
    </w:p>
    <w:p w14:paraId="0430C718">
      <w:pPr>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法定代表人或委托代理人(签字或</w:t>
      </w:r>
      <w:r>
        <w:rPr>
          <w:rFonts w:hint="eastAsia" w:cs="宋体"/>
          <w:sz w:val="21"/>
          <w:szCs w:val="21"/>
          <w:lang w:val="en-US" w:eastAsia="zh-CN"/>
        </w:rPr>
        <w:t>盖</w:t>
      </w:r>
      <w:r>
        <w:rPr>
          <w:rFonts w:hint="eastAsia" w:ascii="宋体" w:hAnsi="宋体" w:eastAsia="宋体" w:cs="宋体"/>
          <w:sz w:val="21"/>
          <w:szCs w:val="21"/>
        </w:rPr>
        <w:t>章)：</w:t>
      </w:r>
      <w:r>
        <w:rPr>
          <w:rFonts w:hint="eastAsia" w:cs="宋体"/>
          <w:sz w:val="21"/>
          <w:szCs w:val="21"/>
          <w:u w:val="single"/>
          <w:lang w:val="en-US" w:eastAsia="zh-CN"/>
        </w:rPr>
        <w:t xml:space="preserve">                              </w:t>
      </w:r>
    </w:p>
    <w:p w14:paraId="22C8548B">
      <w:pPr>
        <w:pStyle w:val="9"/>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textAlignment w:val="auto"/>
        <w:rPr>
          <w:rFonts w:hint="eastAsia" w:ascii="宋体" w:hAnsi="宋体" w:eastAsia="宋体" w:cs="宋体"/>
          <w:sz w:val="21"/>
          <w:szCs w:val="21"/>
          <w:u w:val="single"/>
        </w:rPr>
      </w:pPr>
      <w:r>
        <w:rPr>
          <w:rFonts w:hint="eastAsia" w:ascii="宋体" w:hAnsi="宋体" w:eastAsia="宋体" w:cs="宋体"/>
          <w:sz w:val="21"/>
          <w:szCs w:val="21"/>
        </w:rPr>
        <w:t>日期：</w:t>
      </w:r>
      <w:r>
        <w:rPr>
          <w:rFonts w:hint="eastAsia" w:cs="宋体"/>
          <w:sz w:val="21"/>
          <w:szCs w:val="21"/>
          <w:u w:val="single"/>
          <w:lang w:val="en-US" w:eastAsia="zh-CN"/>
        </w:rPr>
        <w:t xml:space="preserve">                              </w:t>
      </w:r>
    </w:p>
    <w:p w14:paraId="5698F9F2">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br w:type="page"/>
      </w:r>
    </w:p>
    <w:p w14:paraId="423FB280">
      <w:pPr>
        <w:pStyle w:val="6"/>
        <w:bidi w:val="0"/>
        <w:rPr>
          <w:rFonts w:hint="eastAsia"/>
          <w:lang w:val="en-US" w:eastAsia="zh-CN"/>
        </w:rPr>
      </w:pPr>
      <w:bookmarkStart w:id="407" w:name="_Toc10803"/>
      <w:r>
        <w:rPr>
          <w:rFonts w:hint="eastAsia"/>
          <w:lang w:val="en-US" w:eastAsia="zh-CN"/>
        </w:rPr>
        <w:t>二．开标一览表</w:t>
      </w:r>
      <w:bookmarkEnd w:id="407"/>
    </w:p>
    <w:tbl>
      <w:tblPr>
        <w:tblStyle w:val="23"/>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9"/>
        <w:gridCol w:w="6970"/>
      </w:tblGrid>
      <w:tr w14:paraId="78AFB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jc w:val="center"/>
        </w:trPr>
        <w:tc>
          <w:tcPr>
            <w:tcW w:w="2209" w:type="dxa"/>
            <w:noWrap w:val="0"/>
            <w:vAlign w:val="center"/>
          </w:tcPr>
          <w:p w14:paraId="2075A358">
            <w:pPr>
              <w:pStyle w:val="5"/>
              <w:keepNext w:val="0"/>
              <w:keepLines w:val="0"/>
              <w:pageBreakBefore w:val="0"/>
              <w:widowControl w:val="0"/>
              <w:kinsoku/>
              <w:wordWrap/>
              <w:overflowPunct/>
              <w:topLinePunct w:val="0"/>
              <w:autoSpaceDE/>
              <w:autoSpaceDN/>
              <w:bidi w:val="0"/>
              <w:snapToGrid/>
              <w:spacing w:before="0" w:after="0" w:line="276"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6970" w:type="dxa"/>
            <w:noWrap w:val="0"/>
            <w:vAlign w:val="center"/>
          </w:tcPr>
          <w:p w14:paraId="5B832CC1">
            <w:pPr>
              <w:keepNext w:val="0"/>
              <w:keepLines w:val="0"/>
              <w:pageBreakBefore w:val="0"/>
              <w:widowControl w:val="0"/>
              <w:kinsoku/>
              <w:wordWrap/>
              <w:overflowPunct/>
              <w:topLinePunct w:val="0"/>
              <w:autoSpaceDE/>
              <w:autoSpaceDN/>
              <w:bidi w:val="0"/>
              <w:snapToGrid/>
              <w:spacing w:line="276" w:lineRule="auto"/>
              <w:jc w:val="center"/>
              <w:textAlignment w:val="auto"/>
              <w:rPr>
                <w:rFonts w:hint="eastAsia" w:ascii="宋体" w:hAnsi="宋体" w:eastAsia="宋体" w:cs="宋体"/>
                <w:color w:val="auto"/>
                <w:sz w:val="21"/>
                <w:szCs w:val="21"/>
                <w:highlight w:val="none"/>
                <w:lang w:eastAsia="zh-CN"/>
              </w:rPr>
            </w:pPr>
          </w:p>
        </w:tc>
      </w:tr>
      <w:tr w14:paraId="7E060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jc w:val="center"/>
        </w:trPr>
        <w:tc>
          <w:tcPr>
            <w:tcW w:w="2209" w:type="dxa"/>
            <w:noWrap w:val="0"/>
            <w:vAlign w:val="center"/>
          </w:tcPr>
          <w:p w14:paraId="724F2121">
            <w:pPr>
              <w:pStyle w:val="5"/>
              <w:keepNext w:val="0"/>
              <w:keepLines w:val="0"/>
              <w:pageBreakBefore w:val="0"/>
              <w:widowControl w:val="0"/>
              <w:kinsoku/>
              <w:wordWrap/>
              <w:overflowPunct/>
              <w:topLinePunct w:val="0"/>
              <w:autoSpaceDE/>
              <w:autoSpaceDN/>
              <w:bidi w:val="0"/>
              <w:snapToGrid/>
              <w:spacing w:before="0" w:after="0" w:line="276"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名称</w:t>
            </w:r>
          </w:p>
        </w:tc>
        <w:tc>
          <w:tcPr>
            <w:tcW w:w="6970" w:type="dxa"/>
            <w:noWrap w:val="0"/>
            <w:vAlign w:val="center"/>
          </w:tcPr>
          <w:p w14:paraId="6C2DE628">
            <w:pPr>
              <w:pStyle w:val="5"/>
              <w:keepNext w:val="0"/>
              <w:keepLines w:val="0"/>
              <w:pageBreakBefore w:val="0"/>
              <w:widowControl w:val="0"/>
              <w:kinsoku/>
              <w:wordWrap/>
              <w:overflowPunct/>
              <w:topLinePunct w:val="0"/>
              <w:autoSpaceDE/>
              <w:autoSpaceDN/>
              <w:bidi w:val="0"/>
              <w:snapToGrid/>
              <w:spacing w:before="0" w:after="0" w:line="276" w:lineRule="auto"/>
              <w:ind w:firstLine="0"/>
              <w:jc w:val="center"/>
              <w:textAlignment w:val="auto"/>
              <w:rPr>
                <w:rFonts w:hint="eastAsia" w:ascii="宋体" w:hAnsi="宋体" w:eastAsia="宋体" w:cs="宋体"/>
                <w:color w:val="auto"/>
                <w:sz w:val="21"/>
                <w:szCs w:val="21"/>
                <w:highlight w:val="none"/>
              </w:rPr>
            </w:pPr>
          </w:p>
        </w:tc>
      </w:tr>
      <w:tr w14:paraId="5257F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jc w:val="center"/>
        </w:trPr>
        <w:tc>
          <w:tcPr>
            <w:tcW w:w="2209" w:type="dxa"/>
            <w:noWrap w:val="0"/>
            <w:vAlign w:val="center"/>
          </w:tcPr>
          <w:p w14:paraId="4DE21C03">
            <w:pPr>
              <w:pStyle w:val="13"/>
              <w:keepNext w:val="0"/>
              <w:keepLines w:val="0"/>
              <w:pageBreakBefore w:val="0"/>
              <w:widowControl w:val="0"/>
              <w:kinsoku/>
              <w:wordWrap/>
              <w:overflowPunct/>
              <w:topLinePunct w:val="0"/>
              <w:autoSpaceDE/>
              <w:autoSpaceDN/>
              <w:bidi w:val="0"/>
              <w:snapToGrid/>
              <w:spacing w:line="276" w:lineRule="auto"/>
              <w:jc w:val="center"/>
              <w:textAlignment w:val="auto"/>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投标</w:t>
            </w:r>
            <w:r>
              <w:rPr>
                <w:rFonts w:hint="eastAsia" w:ascii="宋体" w:hAnsi="宋体" w:eastAsia="宋体" w:cs="宋体"/>
                <w:color w:val="auto"/>
                <w:sz w:val="21"/>
                <w:szCs w:val="21"/>
                <w:highlight w:val="none"/>
              </w:rPr>
              <w:t>报价</w:t>
            </w:r>
          </w:p>
          <w:p w14:paraId="192B0431">
            <w:pPr>
              <w:pStyle w:val="13"/>
              <w:keepNext w:val="0"/>
              <w:keepLines w:val="0"/>
              <w:pageBreakBefore w:val="0"/>
              <w:widowControl w:val="0"/>
              <w:kinsoku/>
              <w:wordWrap/>
              <w:overflowPunct/>
              <w:topLinePunct w:val="0"/>
              <w:autoSpaceDE/>
              <w:autoSpaceDN/>
              <w:bidi w:val="0"/>
              <w:snapToGrid/>
              <w:spacing w:line="276"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（元）</w:t>
            </w:r>
          </w:p>
        </w:tc>
        <w:tc>
          <w:tcPr>
            <w:tcW w:w="6970" w:type="dxa"/>
            <w:tcBorders>
              <w:bottom w:val="single" w:color="auto" w:sz="4" w:space="0"/>
            </w:tcBorders>
            <w:noWrap w:val="0"/>
            <w:vAlign w:val="center"/>
          </w:tcPr>
          <w:p w14:paraId="6207C4ED">
            <w:pPr>
              <w:pStyle w:val="13"/>
              <w:keepNext w:val="0"/>
              <w:keepLines w:val="0"/>
              <w:pageBreakBefore w:val="0"/>
              <w:widowControl w:val="0"/>
              <w:kinsoku/>
              <w:wordWrap/>
              <w:overflowPunct/>
              <w:topLinePunct w:val="0"/>
              <w:autoSpaceDE/>
              <w:autoSpaceDN/>
              <w:bidi w:val="0"/>
              <w:snapToGrid/>
              <w:spacing w:line="276"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大写：</w:t>
            </w:r>
          </w:p>
          <w:p w14:paraId="1C5B407F">
            <w:pPr>
              <w:pStyle w:val="13"/>
              <w:keepNext w:val="0"/>
              <w:keepLines w:val="0"/>
              <w:pageBreakBefore w:val="0"/>
              <w:widowControl w:val="0"/>
              <w:kinsoku/>
              <w:wordWrap/>
              <w:overflowPunct/>
              <w:topLinePunct w:val="0"/>
              <w:autoSpaceDE/>
              <w:autoSpaceDN/>
              <w:bidi w:val="0"/>
              <w:snapToGrid/>
              <w:spacing w:line="276"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小写：</w:t>
            </w:r>
          </w:p>
        </w:tc>
      </w:tr>
      <w:tr w14:paraId="2744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jc w:val="center"/>
        </w:trPr>
        <w:tc>
          <w:tcPr>
            <w:tcW w:w="2209" w:type="dxa"/>
            <w:noWrap w:val="0"/>
            <w:vAlign w:val="center"/>
          </w:tcPr>
          <w:p w14:paraId="0E41152E">
            <w:pPr>
              <w:pStyle w:val="13"/>
              <w:keepNext w:val="0"/>
              <w:keepLines w:val="0"/>
              <w:pageBreakBefore w:val="0"/>
              <w:widowControl w:val="0"/>
              <w:kinsoku/>
              <w:wordWrap/>
              <w:overflowPunct/>
              <w:topLinePunct w:val="0"/>
              <w:autoSpaceDE/>
              <w:autoSpaceDN/>
              <w:bidi w:val="0"/>
              <w:snapToGrid/>
              <w:spacing w:line="276"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hAnsi="宋体" w:cs="宋体"/>
                <w:color w:val="auto"/>
                <w:sz w:val="21"/>
                <w:szCs w:val="21"/>
                <w:highlight w:val="none"/>
                <w:lang w:val="en-US" w:eastAsia="zh-CN"/>
              </w:rPr>
              <w:t>交付（完工）时间</w:t>
            </w:r>
          </w:p>
        </w:tc>
        <w:tc>
          <w:tcPr>
            <w:tcW w:w="6970" w:type="dxa"/>
            <w:tcBorders>
              <w:bottom w:val="single" w:color="auto" w:sz="4" w:space="0"/>
            </w:tcBorders>
            <w:noWrap w:val="0"/>
            <w:vAlign w:val="center"/>
          </w:tcPr>
          <w:p w14:paraId="1B7395B9">
            <w:pPr>
              <w:pStyle w:val="13"/>
              <w:keepNext w:val="0"/>
              <w:keepLines w:val="0"/>
              <w:pageBreakBefore w:val="0"/>
              <w:widowControl w:val="0"/>
              <w:kinsoku/>
              <w:wordWrap/>
              <w:overflowPunct/>
              <w:topLinePunct w:val="0"/>
              <w:autoSpaceDE/>
              <w:autoSpaceDN/>
              <w:bidi w:val="0"/>
              <w:snapToGrid/>
              <w:spacing w:line="276" w:lineRule="auto"/>
              <w:textAlignment w:val="auto"/>
              <w:rPr>
                <w:rFonts w:hint="eastAsia" w:ascii="宋体" w:hAnsi="宋体" w:eastAsia="宋体" w:cs="宋体"/>
                <w:color w:val="auto"/>
                <w:kern w:val="2"/>
                <w:sz w:val="21"/>
                <w:szCs w:val="21"/>
                <w:highlight w:val="none"/>
                <w:lang w:val="en-US" w:eastAsia="zh-CN" w:bidi="ar-SA"/>
              </w:rPr>
            </w:pPr>
          </w:p>
        </w:tc>
      </w:tr>
      <w:tr w14:paraId="405EC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jc w:val="center"/>
        </w:trPr>
        <w:tc>
          <w:tcPr>
            <w:tcW w:w="2209" w:type="dxa"/>
            <w:noWrap w:val="0"/>
            <w:vAlign w:val="center"/>
          </w:tcPr>
          <w:p w14:paraId="604356BD">
            <w:pPr>
              <w:pStyle w:val="13"/>
              <w:keepNext w:val="0"/>
              <w:keepLines w:val="0"/>
              <w:pageBreakBefore w:val="0"/>
              <w:widowControl w:val="0"/>
              <w:kinsoku/>
              <w:wordWrap/>
              <w:overflowPunct/>
              <w:topLinePunct w:val="0"/>
              <w:autoSpaceDE/>
              <w:autoSpaceDN/>
              <w:bidi w:val="0"/>
              <w:snapToGrid/>
              <w:spacing w:line="276"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质量</w:t>
            </w:r>
            <w:r>
              <w:rPr>
                <w:rFonts w:hint="eastAsia" w:hAnsi="宋体" w:cs="宋体"/>
                <w:color w:val="auto"/>
                <w:sz w:val="21"/>
                <w:szCs w:val="21"/>
                <w:highlight w:val="none"/>
                <w:lang w:val="en-US" w:eastAsia="zh-CN"/>
              </w:rPr>
              <w:t>要求</w:t>
            </w:r>
          </w:p>
        </w:tc>
        <w:tc>
          <w:tcPr>
            <w:tcW w:w="6970" w:type="dxa"/>
            <w:noWrap w:val="0"/>
            <w:vAlign w:val="center"/>
          </w:tcPr>
          <w:p w14:paraId="36C86598">
            <w:pPr>
              <w:pStyle w:val="13"/>
              <w:keepNext w:val="0"/>
              <w:keepLines w:val="0"/>
              <w:pageBreakBefore w:val="0"/>
              <w:widowControl w:val="0"/>
              <w:kinsoku/>
              <w:wordWrap/>
              <w:overflowPunct/>
              <w:topLinePunct w:val="0"/>
              <w:autoSpaceDE/>
              <w:autoSpaceDN/>
              <w:bidi w:val="0"/>
              <w:snapToGrid/>
              <w:spacing w:line="276" w:lineRule="auto"/>
              <w:textAlignment w:val="auto"/>
              <w:rPr>
                <w:rFonts w:hint="eastAsia" w:ascii="宋体" w:hAnsi="宋体" w:eastAsia="宋体" w:cs="宋体"/>
                <w:color w:val="auto"/>
                <w:kern w:val="2"/>
                <w:sz w:val="21"/>
                <w:szCs w:val="21"/>
                <w:highlight w:val="none"/>
                <w:lang w:val="en-US" w:eastAsia="zh-CN" w:bidi="ar-SA"/>
              </w:rPr>
            </w:pPr>
          </w:p>
        </w:tc>
      </w:tr>
      <w:tr w14:paraId="7EBBA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jc w:val="center"/>
        </w:trPr>
        <w:tc>
          <w:tcPr>
            <w:tcW w:w="2209" w:type="dxa"/>
            <w:noWrap w:val="0"/>
            <w:vAlign w:val="center"/>
          </w:tcPr>
          <w:p w14:paraId="5B977F4C">
            <w:pPr>
              <w:pStyle w:val="13"/>
              <w:keepNext w:val="0"/>
              <w:keepLines w:val="0"/>
              <w:pageBreakBefore w:val="0"/>
              <w:widowControl w:val="0"/>
              <w:kinsoku/>
              <w:wordWrap/>
              <w:overflowPunct/>
              <w:topLinePunct w:val="0"/>
              <w:autoSpaceDE/>
              <w:autoSpaceDN/>
              <w:bidi w:val="0"/>
              <w:snapToGrid/>
              <w:spacing w:line="276"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项目质保期</w:t>
            </w:r>
          </w:p>
        </w:tc>
        <w:tc>
          <w:tcPr>
            <w:tcW w:w="6970" w:type="dxa"/>
            <w:noWrap w:val="0"/>
            <w:vAlign w:val="center"/>
          </w:tcPr>
          <w:p w14:paraId="688F7D96">
            <w:pPr>
              <w:pStyle w:val="13"/>
              <w:keepNext w:val="0"/>
              <w:keepLines w:val="0"/>
              <w:pageBreakBefore w:val="0"/>
              <w:widowControl w:val="0"/>
              <w:kinsoku/>
              <w:wordWrap/>
              <w:overflowPunct/>
              <w:topLinePunct w:val="0"/>
              <w:autoSpaceDE/>
              <w:autoSpaceDN/>
              <w:bidi w:val="0"/>
              <w:snapToGrid/>
              <w:spacing w:line="276" w:lineRule="auto"/>
              <w:textAlignment w:val="auto"/>
              <w:rPr>
                <w:rFonts w:hint="eastAsia" w:ascii="宋体" w:hAnsi="宋体" w:eastAsia="宋体" w:cs="宋体"/>
                <w:color w:val="auto"/>
                <w:kern w:val="2"/>
                <w:sz w:val="21"/>
                <w:szCs w:val="21"/>
                <w:highlight w:val="none"/>
                <w:lang w:val="en-US" w:eastAsia="zh-CN" w:bidi="ar-SA"/>
              </w:rPr>
            </w:pPr>
          </w:p>
        </w:tc>
      </w:tr>
      <w:tr w14:paraId="69352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jc w:val="center"/>
        </w:trPr>
        <w:tc>
          <w:tcPr>
            <w:tcW w:w="2209" w:type="dxa"/>
            <w:noWrap w:val="0"/>
            <w:vAlign w:val="center"/>
          </w:tcPr>
          <w:p w14:paraId="211EB93B">
            <w:pPr>
              <w:pStyle w:val="13"/>
              <w:keepNext w:val="0"/>
              <w:keepLines w:val="0"/>
              <w:pageBreakBefore w:val="0"/>
              <w:widowControl w:val="0"/>
              <w:kinsoku/>
              <w:wordWrap/>
              <w:overflowPunct/>
              <w:topLinePunct w:val="0"/>
              <w:autoSpaceDE/>
              <w:autoSpaceDN/>
              <w:bidi w:val="0"/>
              <w:snapToGrid/>
              <w:spacing w:line="276" w:lineRule="auto"/>
              <w:jc w:val="center"/>
              <w:textAlignment w:val="auto"/>
              <w:rPr>
                <w:rFonts w:hint="eastAsia" w:ascii="宋体" w:hAnsi="宋体" w:eastAsia="宋体" w:cs="宋体"/>
                <w:color w:val="auto"/>
                <w:sz w:val="21"/>
                <w:szCs w:val="21"/>
                <w:highlight w:val="none"/>
                <w:lang w:eastAsia="zh-CN"/>
              </w:rPr>
            </w:pPr>
            <w:r>
              <w:rPr>
                <w:rFonts w:hint="eastAsia" w:hAnsi="宋体" w:cs="宋体"/>
                <w:color w:val="auto"/>
                <w:sz w:val="21"/>
                <w:szCs w:val="21"/>
                <w:highlight w:val="none"/>
                <w:lang w:val="en-US" w:eastAsia="zh-CN"/>
              </w:rPr>
              <w:t>投标</w:t>
            </w:r>
            <w:r>
              <w:rPr>
                <w:rFonts w:hint="eastAsia" w:ascii="宋体" w:hAnsi="宋体" w:eastAsia="宋体" w:cs="宋体"/>
                <w:color w:val="auto"/>
                <w:sz w:val="21"/>
                <w:szCs w:val="21"/>
                <w:highlight w:val="none"/>
                <w:lang w:eastAsia="zh-CN"/>
              </w:rPr>
              <w:t>有效期</w:t>
            </w:r>
          </w:p>
        </w:tc>
        <w:tc>
          <w:tcPr>
            <w:tcW w:w="6970" w:type="dxa"/>
            <w:noWrap w:val="0"/>
            <w:vAlign w:val="center"/>
          </w:tcPr>
          <w:p w14:paraId="1C338FEB">
            <w:pPr>
              <w:pStyle w:val="13"/>
              <w:keepNext w:val="0"/>
              <w:keepLines w:val="0"/>
              <w:pageBreakBefore w:val="0"/>
              <w:widowControl w:val="0"/>
              <w:kinsoku/>
              <w:wordWrap/>
              <w:overflowPunct/>
              <w:topLinePunct w:val="0"/>
              <w:autoSpaceDE/>
              <w:autoSpaceDN/>
              <w:bidi w:val="0"/>
              <w:snapToGrid/>
              <w:spacing w:line="276" w:lineRule="auto"/>
              <w:jc w:val="left"/>
              <w:textAlignment w:val="auto"/>
              <w:rPr>
                <w:rFonts w:hint="eastAsia" w:ascii="宋体" w:hAnsi="宋体" w:eastAsia="宋体" w:cs="宋体"/>
                <w:color w:val="auto"/>
                <w:sz w:val="21"/>
                <w:szCs w:val="21"/>
                <w:highlight w:val="none"/>
              </w:rPr>
            </w:pPr>
          </w:p>
        </w:tc>
      </w:tr>
      <w:tr w14:paraId="3DE96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jc w:val="center"/>
        </w:trPr>
        <w:tc>
          <w:tcPr>
            <w:tcW w:w="2209" w:type="dxa"/>
            <w:noWrap w:val="0"/>
            <w:vAlign w:val="center"/>
          </w:tcPr>
          <w:p w14:paraId="4436A45B">
            <w:pPr>
              <w:pStyle w:val="13"/>
              <w:keepNext w:val="0"/>
              <w:keepLines w:val="0"/>
              <w:pageBreakBefore w:val="0"/>
              <w:widowControl w:val="0"/>
              <w:kinsoku/>
              <w:wordWrap/>
              <w:overflowPunct/>
              <w:topLinePunct w:val="0"/>
              <w:autoSpaceDE/>
              <w:autoSpaceDN/>
              <w:bidi w:val="0"/>
              <w:snapToGrid/>
              <w:spacing w:line="276"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   注</w:t>
            </w:r>
          </w:p>
        </w:tc>
        <w:tc>
          <w:tcPr>
            <w:tcW w:w="6970" w:type="dxa"/>
            <w:noWrap w:val="0"/>
            <w:vAlign w:val="center"/>
          </w:tcPr>
          <w:p w14:paraId="09AF3E37">
            <w:pPr>
              <w:pStyle w:val="13"/>
              <w:keepNext w:val="0"/>
              <w:keepLines w:val="0"/>
              <w:pageBreakBefore w:val="0"/>
              <w:widowControl w:val="0"/>
              <w:kinsoku/>
              <w:wordWrap/>
              <w:overflowPunct/>
              <w:topLinePunct w:val="0"/>
              <w:autoSpaceDE/>
              <w:autoSpaceDN/>
              <w:bidi w:val="0"/>
              <w:snapToGrid/>
              <w:spacing w:line="276" w:lineRule="auto"/>
              <w:jc w:val="center"/>
              <w:textAlignment w:val="auto"/>
              <w:rPr>
                <w:rFonts w:hint="eastAsia" w:ascii="宋体" w:hAnsi="宋体" w:eastAsia="宋体" w:cs="宋体"/>
                <w:color w:val="auto"/>
                <w:sz w:val="21"/>
                <w:szCs w:val="21"/>
                <w:highlight w:val="none"/>
              </w:rPr>
            </w:pPr>
          </w:p>
        </w:tc>
      </w:tr>
    </w:tbl>
    <w:p w14:paraId="53978BE7">
      <w:pPr>
        <w:pStyle w:val="3"/>
        <w:rPr>
          <w:rFonts w:hint="eastAsia" w:eastAsia="宋体"/>
          <w:lang w:val="en-US" w:eastAsia="zh-CN"/>
        </w:rPr>
      </w:pPr>
    </w:p>
    <w:p w14:paraId="0A297DBB">
      <w:pPr>
        <w:pStyle w:val="3"/>
        <w:rPr>
          <w:rFonts w:hint="eastAsia"/>
        </w:rPr>
      </w:pPr>
    </w:p>
    <w:p w14:paraId="1DF9A5DB">
      <w:pPr>
        <w:wordWrap w:val="0"/>
        <w:spacing w:line="560" w:lineRule="exact"/>
        <w:ind w:firstLine="3150" w:firstLineChars="1500"/>
        <w:jc w:val="right"/>
        <w:rPr>
          <w:rFonts w:hint="default" w:ascii="宋体" w:hAnsi="宋体" w:eastAsia="宋体" w:cs="宋体"/>
          <w:bCs/>
          <w:sz w:val="21"/>
          <w:szCs w:val="21"/>
          <w:u w:val="single"/>
          <w:lang w:val="en-US" w:eastAsia="zh-CN"/>
        </w:rPr>
      </w:pPr>
      <w:r>
        <w:rPr>
          <w:rFonts w:hint="eastAsia" w:ascii="宋体" w:hAnsi="宋体" w:eastAsia="宋体" w:cs="宋体"/>
          <w:bCs/>
          <w:sz w:val="21"/>
          <w:szCs w:val="21"/>
        </w:rPr>
        <w:t>投标人名称（盖公章）：</w:t>
      </w:r>
      <w:r>
        <w:rPr>
          <w:rFonts w:hint="eastAsia" w:cs="宋体"/>
          <w:bCs/>
          <w:sz w:val="21"/>
          <w:szCs w:val="21"/>
          <w:u w:val="single"/>
          <w:lang w:val="en-US" w:eastAsia="zh-CN"/>
        </w:rPr>
        <w:t xml:space="preserve">                              </w:t>
      </w:r>
    </w:p>
    <w:p w14:paraId="08C51CA8">
      <w:pPr>
        <w:wordWrap w:val="0"/>
        <w:spacing w:line="560" w:lineRule="exact"/>
        <w:ind w:firstLine="3150" w:firstLineChars="1500"/>
        <w:jc w:val="right"/>
        <w:rPr>
          <w:rFonts w:hint="default" w:ascii="宋体" w:hAnsi="宋体" w:eastAsia="宋体" w:cs="宋体"/>
          <w:bCs/>
          <w:sz w:val="21"/>
          <w:szCs w:val="21"/>
          <w:u w:val="single"/>
          <w:lang w:val="en-US" w:eastAsia="zh-CN"/>
        </w:rPr>
      </w:pPr>
      <w:r>
        <w:rPr>
          <w:rFonts w:hint="eastAsia" w:ascii="宋体" w:hAnsi="宋体" w:eastAsia="宋体" w:cs="宋体"/>
          <w:bCs/>
          <w:sz w:val="21"/>
          <w:szCs w:val="21"/>
        </w:rPr>
        <w:t>法定代表人或其授权代理人（签字或盖章）：</w:t>
      </w:r>
      <w:r>
        <w:rPr>
          <w:rFonts w:hint="eastAsia" w:cs="宋体"/>
          <w:bCs/>
          <w:sz w:val="21"/>
          <w:szCs w:val="21"/>
          <w:u w:val="single"/>
          <w:lang w:val="en-US" w:eastAsia="zh-CN"/>
        </w:rPr>
        <w:t xml:space="preserve">            </w:t>
      </w:r>
    </w:p>
    <w:p w14:paraId="210198ED">
      <w:pPr>
        <w:spacing w:line="560" w:lineRule="exact"/>
        <w:ind w:firstLine="3150" w:firstLineChars="1500"/>
        <w:jc w:val="right"/>
        <w:rPr>
          <w:rFonts w:hint="eastAsia" w:ascii="宋体" w:hAnsi="宋体" w:eastAsia="宋体" w:cs="宋体"/>
          <w:bCs/>
          <w:sz w:val="21"/>
          <w:szCs w:val="21"/>
        </w:rPr>
      </w:pPr>
      <w:r>
        <w:rPr>
          <w:rFonts w:hint="eastAsia" w:ascii="宋体" w:hAnsi="宋体" w:eastAsia="宋体" w:cs="宋体"/>
          <w:bCs/>
          <w:sz w:val="21"/>
          <w:szCs w:val="21"/>
        </w:rPr>
        <w:t>年    月     日</w:t>
      </w:r>
    </w:p>
    <w:p w14:paraId="7482CF49">
      <w:pPr>
        <w:pStyle w:val="9"/>
        <w:ind w:left="0" w:leftChars="0" w:firstLine="0" w:firstLineChars="0"/>
        <w:rPr>
          <w:rFonts w:hint="eastAsia" w:ascii="宋体" w:hAnsi="宋体" w:eastAsia="宋体" w:cs="宋体"/>
          <w:sz w:val="21"/>
          <w:szCs w:val="21"/>
          <w:u w:val="single"/>
          <w:lang w:val="en-US" w:eastAsia="zh-CN"/>
        </w:rPr>
      </w:pPr>
    </w:p>
    <w:p w14:paraId="42D89E9E">
      <w:pPr>
        <w:pStyle w:val="9"/>
        <w:ind w:left="0" w:leftChars="0" w:firstLine="0" w:firstLineChars="0"/>
        <w:rPr>
          <w:rFonts w:hint="eastAsia" w:ascii="宋体" w:hAnsi="宋体" w:eastAsia="宋体" w:cs="宋体"/>
          <w:sz w:val="21"/>
          <w:szCs w:val="21"/>
          <w:u w:val="single"/>
          <w:lang w:val="en-US" w:eastAsia="zh-CN"/>
        </w:rPr>
      </w:pPr>
    </w:p>
    <w:p w14:paraId="0EF153BE">
      <w:pPr>
        <w:rPr>
          <w:rFonts w:hint="eastAsia" w:ascii="宋体" w:hAnsi="宋体" w:eastAsia="宋体" w:cs="宋体"/>
          <w:bCs/>
          <w:sz w:val="21"/>
          <w:szCs w:val="21"/>
          <w:lang w:eastAsia="zh-CN"/>
        </w:rPr>
      </w:pPr>
      <w:r>
        <w:rPr>
          <w:rFonts w:hint="eastAsia" w:ascii="宋体" w:hAnsi="宋体" w:eastAsia="宋体" w:cs="宋体"/>
          <w:bCs/>
          <w:sz w:val="21"/>
          <w:szCs w:val="21"/>
          <w:lang w:eastAsia="zh-CN"/>
        </w:rPr>
        <w:br w:type="page"/>
      </w:r>
    </w:p>
    <w:p w14:paraId="60A6C441">
      <w:pPr>
        <w:pStyle w:val="6"/>
        <w:bidi w:val="0"/>
        <w:rPr>
          <w:rFonts w:hint="eastAsia"/>
        </w:rPr>
      </w:pPr>
      <w:bookmarkStart w:id="408" w:name="_Toc8692"/>
      <w:r>
        <w:rPr>
          <w:rFonts w:hint="eastAsia"/>
          <w:lang w:eastAsia="zh-CN"/>
        </w:rPr>
        <w:t>三、</w:t>
      </w:r>
      <w:r>
        <w:rPr>
          <w:rFonts w:hint="eastAsia"/>
        </w:rPr>
        <w:t>投标价格明细表</w:t>
      </w:r>
      <w:bookmarkEnd w:id="408"/>
    </w:p>
    <w:tbl>
      <w:tblPr>
        <w:tblStyle w:val="23"/>
        <w:tblW w:w="935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6"/>
        <w:gridCol w:w="2035"/>
        <w:gridCol w:w="1209"/>
        <w:gridCol w:w="1051"/>
        <w:gridCol w:w="990"/>
        <w:gridCol w:w="1213"/>
        <w:gridCol w:w="1245"/>
        <w:gridCol w:w="795"/>
      </w:tblGrid>
      <w:tr w14:paraId="26058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blHeader/>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D2F7F">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序号</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44265">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设备名称</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AF924">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r>
              <w:rPr>
                <w:rFonts w:hint="eastAsia" w:ascii="宋体" w:hAnsi="宋体" w:eastAsia="宋体" w:cs="宋体"/>
                <w:kern w:val="2"/>
                <w:sz w:val="21"/>
                <w:szCs w:val="21"/>
                <w:lang w:val="en-US" w:eastAsia="zh-CN"/>
              </w:rPr>
              <w:t>品牌</w:t>
            </w:r>
            <w:r>
              <w:rPr>
                <w:rFonts w:hint="eastAsia" w:cs="宋体"/>
                <w:kern w:val="2"/>
                <w:sz w:val="21"/>
                <w:szCs w:val="21"/>
                <w:lang w:val="en-US" w:eastAsia="zh-CN"/>
              </w:rPr>
              <w:t>、</w:t>
            </w:r>
            <w:r>
              <w:rPr>
                <w:rFonts w:hint="eastAsia" w:ascii="宋体" w:hAnsi="宋体" w:eastAsia="宋体" w:cs="宋体"/>
                <w:kern w:val="2"/>
                <w:sz w:val="21"/>
                <w:szCs w:val="21"/>
                <w:lang w:val="en-US" w:eastAsia="zh-CN"/>
              </w:rPr>
              <w:t>型号和规格</w:t>
            </w: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063F4">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rPr>
              <w:t>制造商名称</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87983">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数量</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DE2BE">
            <w:pPr>
              <w:pStyle w:val="13"/>
              <w:keepNext w:val="0"/>
              <w:keepLines w:val="0"/>
              <w:pageBreakBefore w:val="0"/>
              <w:widowControl w:val="0"/>
              <w:kinsoku/>
              <w:wordWrap/>
              <w:overflowPunct/>
              <w:topLinePunct w:val="0"/>
              <w:autoSpaceDE/>
              <w:autoSpaceDN/>
              <w:bidi w:val="0"/>
              <w:adjustRightInd/>
              <w:snapToGrid/>
              <w:spacing w:line="276" w:lineRule="auto"/>
              <w:ind w:left="0" w:leftChars="0" w:firstLine="0" w:firstLineChars="0"/>
              <w:jc w:val="center"/>
              <w:textAlignment w:val="auto"/>
              <w:rPr>
                <w:rFonts w:hint="eastAsia" w:ascii="宋体" w:hAnsi="宋体" w:eastAsia="宋体" w:cs="宋体"/>
                <w:bCs/>
                <w:color w:val="000000"/>
                <w:kern w:val="2"/>
                <w:sz w:val="21"/>
                <w:szCs w:val="21"/>
                <w:lang w:val="en-US" w:eastAsia="zh-CN" w:bidi="ar-SA"/>
              </w:rPr>
            </w:pPr>
            <w:r>
              <w:rPr>
                <w:rFonts w:hint="eastAsia" w:ascii="宋体" w:hAnsi="宋体" w:eastAsia="宋体" w:cs="宋体"/>
                <w:kern w:val="2"/>
                <w:sz w:val="21"/>
                <w:szCs w:val="21"/>
                <w:lang w:val="en-US" w:eastAsia="zh-CN"/>
              </w:rPr>
              <w:t>单价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A7F7A">
            <w:pPr>
              <w:pStyle w:val="13"/>
              <w:keepNext w:val="0"/>
              <w:keepLines w:val="0"/>
              <w:pageBreakBefore w:val="0"/>
              <w:widowControl w:val="0"/>
              <w:kinsoku/>
              <w:wordWrap/>
              <w:overflowPunct/>
              <w:topLinePunct w:val="0"/>
              <w:autoSpaceDE/>
              <w:autoSpaceDN/>
              <w:bidi w:val="0"/>
              <w:adjustRightInd/>
              <w:snapToGrid/>
              <w:spacing w:line="276" w:lineRule="auto"/>
              <w:ind w:left="0" w:leftChars="0" w:firstLine="0" w:firstLineChars="0"/>
              <w:jc w:val="center"/>
              <w:textAlignment w:val="auto"/>
              <w:rPr>
                <w:rFonts w:hint="eastAsia" w:ascii="宋体" w:hAnsi="宋体" w:eastAsia="宋体" w:cs="宋体"/>
                <w:bCs/>
                <w:color w:val="000000"/>
                <w:kern w:val="2"/>
                <w:sz w:val="21"/>
                <w:szCs w:val="21"/>
                <w:lang w:val="en-US" w:eastAsia="zh-CN" w:bidi="ar-SA"/>
              </w:rPr>
            </w:pPr>
            <w:r>
              <w:rPr>
                <w:rFonts w:hint="eastAsia" w:ascii="宋体" w:hAnsi="宋体" w:eastAsia="宋体" w:cs="宋体"/>
                <w:kern w:val="2"/>
                <w:sz w:val="21"/>
                <w:szCs w:val="21"/>
                <w:lang w:val="en-US" w:eastAsia="zh-CN"/>
              </w:rPr>
              <w:t>总价</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FB5D1">
            <w:pPr>
              <w:pStyle w:val="13"/>
              <w:keepNext w:val="0"/>
              <w:keepLines w:val="0"/>
              <w:pageBreakBefore w:val="0"/>
              <w:widowControl w:val="0"/>
              <w:kinsoku/>
              <w:wordWrap/>
              <w:overflowPunct/>
              <w:topLinePunct w:val="0"/>
              <w:autoSpaceDE/>
              <w:autoSpaceDN/>
              <w:bidi w:val="0"/>
              <w:adjustRightInd/>
              <w:snapToGrid/>
              <w:spacing w:line="276" w:lineRule="auto"/>
              <w:ind w:left="0" w:leftChars="0" w:firstLine="0" w:firstLineChars="0"/>
              <w:jc w:val="center"/>
              <w:textAlignment w:val="auto"/>
              <w:rPr>
                <w:rFonts w:hint="default" w:ascii="宋体" w:hAnsi="宋体" w:eastAsia="宋体" w:cs="宋体"/>
                <w:kern w:val="2"/>
                <w:sz w:val="21"/>
                <w:szCs w:val="21"/>
                <w:lang w:val="en-US" w:eastAsia="zh-CN"/>
              </w:rPr>
            </w:pPr>
            <w:r>
              <w:rPr>
                <w:rFonts w:hint="eastAsia" w:hAnsi="宋体" w:cs="宋体"/>
                <w:kern w:val="2"/>
                <w:sz w:val="21"/>
                <w:szCs w:val="21"/>
                <w:lang w:val="en-US" w:eastAsia="zh-CN"/>
              </w:rPr>
              <w:t>备注</w:t>
            </w:r>
          </w:p>
        </w:tc>
      </w:tr>
      <w:tr w14:paraId="0C82A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9354"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1E0DC">
            <w:pPr>
              <w:pStyle w:val="13"/>
              <w:keepNext w:val="0"/>
              <w:keepLines w:val="0"/>
              <w:pageBreakBefore w:val="0"/>
              <w:widowControl w:val="0"/>
              <w:kinsoku/>
              <w:wordWrap/>
              <w:overflowPunct/>
              <w:topLinePunct w:val="0"/>
              <w:autoSpaceDE/>
              <w:autoSpaceDN/>
              <w:bidi w:val="0"/>
              <w:adjustRightInd/>
              <w:snapToGrid/>
              <w:spacing w:line="276" w:lineRule="auto"/>
              <w:ind w:left="0" w:leftChars="0" w:firstLine="0" w:firstLineChars="0"/>
              <w:jc w:val="center"/>
              <w:textAlignment w:val="auto"/>
              <w:rPr>
                <w:rFonts w:hint="eastAsia" w:hAnsi="宋体" w:cs="宋体"/>
                <w:kern w:val="2"/>
                <w:sz w:val="21"/>
                <w:szCs w:val="21"/>
                <w:lang w:val="en-US" w:eastAsia="zh-CN"/>
              </w:rPr>
            </w:pPr>
            <w:r>
              <w:rPr>
                <w:rFonts w:hint="eastAsia" w:hAnsi="宋体" w:cs="宋体"/>
                <w:kern w:val="2"/>
                <w:sz w:val="21"/>
                <w:szCs w:val="21"/>
                <w:lang w:val="en-US" w:eastAsia="zh-CN"/>
              </w:rPr>
              <w:t>多模态网络底座主设备</w:t>
            </w:r>
          </w:p>
        </w:tc>
      </w:tr>
      <w:tr w14:paraId="311F7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D639F">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28433">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rPr>
            </w:pPr>
            <w:r>
              <w:rPr>
                <w:rFonts w:hint="eastAsia" w:ascii="宋体" w:hAnsi="宋体" w:eastAsia="宋体" w:cs="宋体"/>
                <w:bCs/>
                <w:sz w:val="21"/>
                <w:szCs w:val="21"/>
                <w:lang w:val="en-US" w:eastAsia="zh-CN"/>
              </w:rPr>
              <w:t>接入交换机1</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FD4BA">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40D95">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0BC60">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26</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772DA">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BC607">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81B4B">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r>
      <w:tr w14:paraId="52F6C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8672A">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2</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A94AD">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接入交换机2</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87A1C">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2CFCA">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D9E41">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205</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29FDE">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920E5">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1483E">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r>
      <w:tr w14:paraId="05E0C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D3560">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3</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34171">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rPr>
            </w:pPr>
            <w:r>
              <w:rPr>
                <w:rFonts w:hint="eastAsia" w:ascii="宋体" w:hAnsi="宋体" w:eastAsia="宋体" w:cs="宋体"/>
                <w:bCs/>
                <w:sz w:val="21"/>
                <w:szCs w:val="21"/>
                <w:lang w:val="en-US" w:eastAsia="zh-CN"/>
              </w:rPr>
              <w:t>接入交换机3</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92E68">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3C332">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18C73">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28</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59FE5">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42202">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3F8C5">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r>
      <w:tr w14:paraId="2848B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303FB">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4</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9F8F9">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rPr>
            </w:pPr>
            <w:r>
              <w:rPr>
                <w:rFonts w:hint="eastAsia" w:ascii="宋体" w:hAnsi="宋体" w:eastAsia="宋体" w:cs="宋体"/>
                <w:bCs/>
                <w:sz w:val="21"/>
                <w:szCs w:val="21"/>
                <w:lang w:val="en-US" w:eastAsia="zh-CN"/>
              </w:rPr>
              <w:t>接入交换机4</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596AF">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FB551">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0CCAB">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6</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484AA">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1F8D5">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69A05">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r>
      <w:tr w14:paraId="270DB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44CAC">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5</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3FC52">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汇聚交换机</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67D5F">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3CDF0">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AB157">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1</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6AE24">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55337">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E8D7F">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r>
      <w:tr w14:paraId="6F094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B718F">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6</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C9ED3">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S7703扩容</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E3A7E">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3BDBB">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2C457">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1</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AD8FC">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7B3A3">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0C0EC">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r>
      <w:tr w14:paraId="2EE5B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CFE2A">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7</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49527">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管理交换机</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53A43">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88F42">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A1C51">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4</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E8EF1">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FF072">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ABEE0">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r>
      <w:tr w14:paraId="66EE0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2530A">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8</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7F850">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管理交换机</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1BD6C">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2154E">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A4565">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2</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DE384">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692DF">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BC1F7">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r>
      <w:tr w14:paraId="109A3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C5BE8">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9</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F2887">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专网交换机</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0D868">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0494D">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9ED48">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2</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51779">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C2014">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BCC97">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r>
      <w:tr w14:paraId="452F0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28DCE">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10</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B03E9">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POE交换机</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A81AA">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35176">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294C4">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16</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E2EA9">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17F21">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07725">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r>
      <w:tr w14:paraId="09A78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D218D">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11</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8B2DC">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光模块</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9CAE7">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18201">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A15CF">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461</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D8534">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658D6">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C71E1">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r>
      <w:tr w14:paraId="236AC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AF288">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12</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BA61D">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光模块</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1214E">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10E03">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6685E">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48</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5F50E">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8EAB8">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0EB95">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r>
      <w:tr w14:paraId="363B5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A72C7">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13</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3B25F">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光模块</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67FF5">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D345B">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BAB16">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16</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F287">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40523">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8CB58">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r>
      <w:tr w14:paraId="5F180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77E88">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14</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0A939">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光模块</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539E3">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C387D">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A6851">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16</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920FB">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997E9">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3A635">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r>
      <w:tr w14:paraId="5D015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8FA7C">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15</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F39F1">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光模块</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E9151">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26110">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F6226">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16</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13E1B">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5D063">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9210D">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r>
      <w:tr w14:paraId="2925D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AF43F">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16</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BDE1C">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光模块</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037AA">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8E2A9">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02F3C">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16</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67BDB">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3F7B6">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9FF6F">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r>
      <w:tr w14:paraId="1E42C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500EC">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17</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64038">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放装型AP</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9D2C7">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C6642">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4C2F7">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60</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EDC30">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9C8BC">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FC497">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r>
      <w:tr w14:paraId="381EF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502F0">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18</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75D57">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高密度AP</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526FB">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58E4C">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86201">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58</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F11A1">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5DAE0">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10406">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r>
      <w:tr w14:paraId="492DF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0A2F5">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19</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9320D">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无线控制器</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11D8A">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E118D">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7070C">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1</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81CFF">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5F15A">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F77CE">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r>
      <w:tr w14:paraId="4CA28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C2BE5">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20</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61538">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智能运维管理管理平台</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171E">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229F0">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3174B">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1</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F3548">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349D7">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88C4E">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lang w:val="en-US" w:eastAsia="zh-CN"/>
              </w:rPr>
            </w:pPr>
          </w:p>
        </w:tc>
      </w:tr>
      <w:tr w14:paraId="31A8E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9354"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3E8C5">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多模态网络底座设备集成</w:t>
            </w:r>
          </w:p>
        </w:tc>
      </w:tr>
      <w:tr w14:paraId="139D7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183EE">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B7B24">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多模态网络底座设备集成</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67E11">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24728">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2"/>
                <w:sz w:val="21"/>
                <w:szCs w:val="21"/>
                <w:u w:val="none"/>
                <w:lang w:val="en-US" w:eastAsia="zh-CN" w:bidi="ar-SA"/>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DC7E3">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cs="宋体"/>
                <w:bCs/>
                <w:i w:val="0"/>
                <w:iCs w:val="0"/>
                <w:color w:val="000000"/>
                <w:kern w:val="0"/>
                <w:sz w:val="21"/>
                <w:szCs w:val="21"/>
                <w:u w:val="none"/>
                <w:lang w:val="en-US" w:eastAsia="zh-CN" w:bidi="ar"/>
              </w:rPr>
              <w:t>1</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93F33">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93603">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2C2B4">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51F53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9354"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9F938">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sz w:val="21"/>
                <w:szCs w:val="21"/>
                <w:lang w:val="en-US" w:eastAsia="zh-CN"/>
              </w:rPr>
              <w:t>综合布线主要施工内容</w:t>
            </w:r>
          </w:p>
        </w:tc>
      </w:tr>
      <w:tr w14:paraId="23778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113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lang w:val="en-US" w:eastAsia="zh-CN"/>
              </w:rPr>
            </w:pPr>
            <w:r>
              <w:rPr>
                <w:rFonts w:hint="eastAsia" w:cs="宋体"/>
                <w:i w:val="0"/>
                <w:iCs w:val="0"/>
                <w:color w:val="000000"/>
                <w:sz w:val="21"/>
                <w:szCs w:val="21"/>
                <w:u w:val="none"/>
                <w:lang w:val="en-US" w:eastAsia="zh-CN"/>
              </w:rPr>
              <w:t>一</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D272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线缆施工</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A9019">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23CA7">
            <w:pPr>
              <w:spacing w:line="240" w:lineRule="auto"/>
              <w:jc w:val="center"/>
              <w:rPr>
                <w:rFonts w:hint="eastAsia" w:ascii="宋体" w:hAnsi="宋体" w:eastAsia="宋体" w:cs="宋体"/>
                <w:i w:val="0"/>
                <w:iCs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45D8A">
            <w:pPr>
              <w:spacing w:line="240" w:lineRule="auto"/>
              <w:jc w:val="center"/>
              <w:rPr>
                <w:rFonts w:hint="eastAsia" w:ascii="宋体" w:hAnsi="宋体" w:eastAsia="宋体" w:cs="宋体"/>
                <w:i w:val="0"/>
                <w:iCs w:val="0"/>
                <w:color w:val="000000"/>
                <w:sz w:val="21"/>
                <w:szCs w:val="21"/>
                <w:u w:val="none"/>
              </w:rPr>
            </w:pPr>
            <w:r>
              <w:rPr>
                <w:rFonts w:hint="eastAsia"/>
                <w:color w:val="000000"/>
                <w:kern w:val="0"/>
                <w:sz w:val="20"/>
                <w:szCs w:val="20"/>
                <w:lang w:bidi="ar"/>
              </w:rPr>
              <w:t>1</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5A5FC">
            <w:pPr>
              <w:spacing w:line="240" w:lineRule="auto"/>
              <w:jc w:val="center"/>
              <w:rPr>
                <w:rFonts w:hint="eastAsia" w:ascii="宋体" w:hAnsi="宋体" w:eastAsia="宋体" w:cs="宋体"/>
                <w:i w:val="0"/>
                <w:iCs w:val="0"/>
                <w:color w:val="000000"/>
                <w:sz w:val="21"/>
                <w:szCs w:val="21"/>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2A51C">
            <w:pPr>
              <w:spacing w:line="240" w:lineRule="auto"/>
              <w:jc w:val="center"/>
              <w:rPr>
                <w:rFonts w:hint="eastAsia" w:ascii="宋体" w:hAnsi="宋体" w:eastAsia="宋体" w:cs="宋体"/>
                <w:i w:val="0"/>
                <w:iCs w:val="0"/>
                <w:color w:val="000000"/>
                <w:sz w:val="21"/>
                <w:szCs w:val="21"/>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36641">
            <w:pPr>
              <w:spacing w:line="240" w:lineRule="auto"/>
              <w:jc w:val="center"/>
              <w:rPr>
                <w:rFonts w:hint="eastAsia" w:ascii="宋体" w:hAnsi="宋体" w:eastAsia="宋体" w:cs="宋体"/>
                <w:i w:val="0"/>
                <w:iCs w:val="0"/>
                <w:color w:val="000000"/>
                <w:sz w:val="21"/>
                <w:szCs w:val="21"/>
                <w:u w:val="none"/>
              </w:rPr>
            </w:pPr>
          </w:p>
        </w:tc>
      </w:tr>
      <w:tr w14:paraId="39310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3D967">
            <w:pPr>
              <w:keepNext w:val="0"/>
              <w:keepLines w:val="0"/>
              <w:widowControl/>
              <w:suppressLineNumbers w:val="0"/>
              <w:spacing w:line="240" w:lineRule="auto"/>
              <w:jc w:val="center"/>
              <w:textAlignment w:val="center"/>
              <w:rPr>
                <w:rFonts w:hint="default" w:ascii="宋体" w:hAnsi="宋体" w:eastAsia="宋体" w:cs="宋体"/>
                <w:bCs/>
                <w:i w:val="0"/>
                <w:iCs w:val="0"/>
                <w:color w:val="000000"/>
                <w:kern w:val="0"/>
                <w:sz w:val="21"/>
                <w:szCs w:val="21"/>
                <w:u w:val="none"/>
                <w:lang w:val="en-US" w:eastAsia="zh-CN" w:bidi="ar"/>
              </w:rPr>
            </w:pPr>
            <w:r>
              <w:rPr>
                <w:rFonts w:hint="eastAsia" w:cs="宋体"/>
                <w:bCs/>
                <w:i w:val="0"/>
                <w:iCs w:val="0"/>
                <w:color w:val="000000"/>
                <w:kern w:val="0"/>
                <w:sz w:val="21"/>
                <w:szCs w:val="21"/>
                <w:u w:val="none"/>
                <w:lang w:val="en-US" w:eastAsia="zh-CN" w:bidi="ar"/>
              </w:rPr>
              <w:t>二</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7363A">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插座工程</w:t>
            </w:r>
          </w:p>
        </w:tc>
        <w:tc>
          <w:tcPr>
            <w:tcW w:w="6503"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255F5">
            <w:pPr>
              <w:spacing w:line="240" w:lineRule="auto"/>
              <w:jc w:val="center"/>
              <w:rPr>
                <w:rFonts w:hint="eastAsia" w:ascii="宋体" w:hAnsi="宋体" w:eastAsia="宋体" w:cs="宋体"/>
                <w:i w:val="0"/>
                <w:iCs w:val="0"/>
                <w:color w:val="000000"/>
                <w:sz w:val="21"/>
                <w:szCs w:val="21"/>
                <w:u w:val="none"/>
              </w:rPr>
            </w:pPr>
          </w:p>
        </w:tc>
      </w:tr>
      <w:tr w14:paraId="7AED6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1C573">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D239B">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5#楼</w:t>
            </w:r>
          </w:p>
        </w:tc>
        <w:tc>
          <w:tcPr>
            <w:tcW w:w="6503"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82BB8">
            <w:pPr>
              <w:spacing w:line="240" w:lineRule="auto"/>
              <w:jc w:val="center"/>
              <w:rPr>
                <w:rFonts w:hint="eastAsia" w:ascii="宋体" w:hAnsi="宋体" w:eastAsia="宋体" w:cs="宋体"/>
                <w:i w:val="0"/>
                <w:iCs w:val="0"/>
                <w:color w:val="000000"/>
                <w:sz w:val="21"/>
                <w:szCs w:val="21"/>
                <w:u w:val="none"/>
              </w:rPr>
            </w:pPr>
          </w:p>
        </w:tc>
      </w:tr>
      <w:tr w14:paraId="07F77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75259">
            <w:pPr>
              <w:keepNext w:val="0"/>
              <w:keepLines w:val="0"/>
              <w:widowControl/>
              <w:suppressLineNumbers w:val="0"/>
              <w:spacing w:line="240" w:lineRule="auto"/>
              <w:jc w:val="center"/>
              <w:textAlignment w:val="center"/>
              <w:rPr>
                <w:rFonts w:hint="default" w:ascii="宋体" w:hAnsi="宋体" w:eastAsia="宋体" w:cs="宋体"/>
                <w:bCs/>
                <w:i w:val="0"/>
                <w:iCs w:val="0"/>
                <w:color w:val="000000"/>
                <w:kern w:val="0"/>
                <w:sz w:val="21"/>
                <w:szCs w:val="21"/>
                <w:u w:val="none"/>
                <w:lang w:val="en-US" w:eastAsia="zh-CN" w:bidi="ar"/>
              </w:rPr>
            </w:pPr>
            <w:r>
              <w:rPr>
                <w:rFonts w:hint="eastAsia" w:cs="宋体"/>
                <w:bCs/>
                <w:i w:val="0"/>
                <w:iCs w:val="0"/>
                <w:color w:val="000000"/>
                <w:kern w:val="0"/>
                <w:sz w:val="21"/>
                <w:szCs w:val="21"/>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D9828">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地毯下引接电源</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33B82">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84973">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72DD8">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186</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93518">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CD2AC">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26383">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4BB17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04146">
            <w:pPr>
              <w:keepNext w:val="0"/>
              <w:keepLines w:val="0"/>
              <w:widowControl/>
              <w:suppressLineNumbers w:val="0"/>
              <w:spacing w:line="240" w:lineRule="auto"/>
              <w:jc w:val="center"/>
              <w:textAlignment w:val="center"/>
              <w:rPr>
                <w:rFonts w:hint="default" w:ascii="宋体" w:hAnsi="宋体" w:eastAsia="宋体" w:cs="宋体"/>
                <w:bCs/>
                <w:i w:val="0"/>
                <w:iCs w:val="0"/>
                <w:color w:val="000000"/>
                <w:kern w:val="0"/>
                <w:sz w:val="21"/>
                <w:szCs w:val="21"/>
                <w:u w:val="none"/>
                <w:lang w:val="en-US" w:eastAsia="zh-CN" w:bidi="ar"/>
              </w:rPr>
            </w:pPr>
            <w:r>
              <w:rPr>
                <w:rFonts w:hint="eastAsia" w:cs="宋体"/>
                <w:bCs/>
                <w:i w:val="0"/>
                <w:iCs w:val="0"/>
                <w:color w:val="000000"/>
                <w:kern w:val="0"/>
                <w:sz w:val="21"/>
                <w:szCs w:val="21"/>
                <w:u w:val="none"/>
                <w:lang w:val="en-US" w:eastAsia="zh-CN" w:bidi="ar"/>
              </w:rPr>
              <w:t>2</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3AF74">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地板下引接电源点</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CCE82">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01428">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F79B5">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100</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64293">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1379D">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6364A">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11118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07B68">
            <w:pPr>
              <w:keepNext w:val="0"/>
              <w:keepLines w:val="0"/>
              <w:widowControl/>
              <w:suppressLineNumbers w:val="0"/>
              <w:spacing w:line="240" w:lineRule="auto"/>
              <w:jc w:val="center"/>
              <w:textAlignment w:val="center"/>
              <w:rPr>
                <w:rFonts w:hint="default" w:ascii="宋体" w:hAnsi="宋体" w:eastAsia="宋体" w:cs="宋体"/>
                <w:bCs/>
                <w:i w:val="0"/>
                <w:iCs w:val="0"/>
                <w:color w:val="000000"/>
                <w:kern w:val="0"/>
                <w:sz w:val="21"/>
                <w:szCs w:val="21"/>
                <w:u w:val="none"/>
                <w:lang w:val="en-US" w:eastAsia="zh-CN" w:bidi="ar"/>
              </w:rPr>
            </w:pPr>
            <w:r>
              <w:rPr>
                <w:rFonts w:hint="eastAsia" w:cs="宋体"/>
                <w:bCs/>
                <w:i w:val="0"/>
                <w:iCs w:val="0"/>
                <w:color w:val="000000"/>
                <w:kern w:val="0"/>
                <w:sz w:val="21"/>
                <w:szCs w:val="21"/>
                <w:u w:val="none"/>
                <w:lang w:val="en-US" w:eastAsia="zh-CN" w:bidi="ar"/>
              </w:rPr>
              <w:t>3</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6EDD0">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插座安装</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52477">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E55B9">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13DD9">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2104</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1A7C4">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D68A1">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39733">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1131B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9FD74">
            <w:pPr>
              <w:keepNext w:val="0"/>
              <w:keepLines w:val="0"/>
              <w:widowControl/>
              <w:suppressLineNumbers w:val="0"/>
              <w:spacing w:line="240" w:lineRule="auto"/>
              <w:jc w:val="center"/>
              <w:textAlignment w:val="center"/>
              <w:rPr>
                <w:rFonts w:hint="default" w:ascii="宋体" w:hAnsi="宋体" w:eastAsia="宋体" w:cs="宋体"/>
                <w:bCs/>
                <w:i w:val="0"/>
                <w:iCs w:val="0"/>
                <w:color w:val="000000"/>
                <w:kern w:val="0"/>
                <w:sz w:val="21"/>
                <w:szCs w:val="21"/>
                <w:u w:val="none"/>
                <w:lang w:val="en-US" w:eastAsia="zh-CN" w:bidi="ar"/>
              </w:rPr>
            </w:pPr>
            <w:r>
              <w:rPr>
                <w:rFonts w:hint="eastAsia" w:cs="宋体"/>
                <w:bCs/>
                <w:i w:val="0"/>
                <w:iCs w:val="0"/>
                <w:color w:val="000000"/>
                <w:kern w:val="0"/>
                <w:sz w:val="21"/>
                <w:szCs w:val="21"/>
                <w:u w:val="none"/>
                <w:lang w:val="en-US" w:eastAsia="zh-CN" w:bidi="ar"/>
              </w:rPr>
              <w:t>4</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951AC">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电源线穿管布放</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C53A5">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3223D">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A9D4A">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12870</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32FB0">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9C57C">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56649">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27BC1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D5A46">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67F13">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2#楼</w:t>
            </w:r>
          </w:p>
        </w:tc>
        <w:tc>
          <w:tcPr>
            <w:tcW w:w="6503"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391">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5240E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1C185">
            <w:pPr>
              <w:keepNext w:val="0"/>
              <w:keepLines w:val="0"/>
              <w:widowControl/>
              <w:suppressLineNumbers w:val="0"/>
              <w:spacing w:line="240" w:lineRule="auto"/>
              <w:jc w:val="center"/>
              <w:textAlignment w:val="center"/>
              <w:rPr>
                <w:rFonts w:hint="default" w:ascii="宋体" w:hAnsi="宋体" w:eastAsia="宋体" w:cs="宋体"/>
                <w:bCs/>
                <w:i w:val="0"/>
                <w:iCs w:val="0"/>
                <w:color w:val="000000"/>
                <w:kern w:val="0"/>
                <w:sz w:val="21"/>
                <w:szCs w:val="21"/>
                <w:u w:val="none"/>
                <w:lang w:val="en-US" w:eastAsia="zh-CN" w:bidi="ar"/>
              </w:rPr>
            </w:pPr>
            <w:r>
              <w:rPr>
                <w:rFonts w:hint="eastAsia" w:cs="宋体"/>
                <w:bCs/>
                <w:i w:val="0"/>
                <w:iCs w:val="0"/>
                <w:color w:val="000000"/>
                <w:kern w:val="0"/>
                <w:sz w:val="21"/>
                <w:szCs w:val="21"/>
                <w:u w:val="none"/>
                <w:lang w:val="en-US" w:eastAsia="zh-CN" w:bidi="ar"/>
              </w:rPr>
              <w:t>5</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CBFE9">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地毯下引接电源</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186F6">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5C154">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1B7D9">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125</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8DE2C">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60F3B">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9BEFB">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27723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62C89">
            <w:pPr>
              <w:keepNext w:val="0"/>
              <w:keepLines w:val="0"/>
              <w:widowControl/>
              <w:suppressLineNumbers w:val="0"/>
              <w:spacing w:line="240" w:lineRule="auto"/>
              <w:jc w:val="center"/>
              <w:textAlignment w:val="center"/>
              <w:rPr>
                <w:rFonts w:hint="default" w:ascii="宋体" w:hAnsi="宋体" w:eastAsia="宋体" w:cs="宋体"/>
                <w:bCs/>
                <w:i w:val="0"/>
                <w:iCs w:val="0"/>
                <w:color w:val="000000"/>
                <w:kern w:val="0"/>
                <w:sz w:val="21"/>
                <w:szCs w:val="21"/>
                <w:u w:val="none"/>
                <w:lang w:val="en-US" w:eastAsia="zh-CN" w:bidi="ar"/>
              </w:rPr>
            </w:pPr>
            <w:r>
              <w:rPr>
                <w:rFonts w:hint="eastAsia" w:cs="宋体"/>
                <w:bCs/>
                <w:i w:val="0"/>
                <w:iCs w:val="0"/>
                <w:color w:val="000000"/>
                <w:kern w:val="0"/>
                <w:sz w:val="21"/>
                <w:szCs w:val="21"/>
                <w:u w:val="none"/>
                <w:lang w:val="en-US" w:eastAsia="zh-CN" w:bidi="ar"/>
              </w:rPr>
              <w:t>6</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AE835">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防静电地板下引接电源点</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27B34">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83882">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84036">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60</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D89FC">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6C685">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82847">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408B5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B676C">
            <w:pPr>
              <w:keepNext w:val="0"/>
              <w:keepLines w:val="0"/>
              <w:widowControl/>
              <w:suppressLineNumbers w:val="0"/>
              <w:spacing w:line="240" w:lineRule="auto"/>
              <w:jc w:val="center"/>
              <w:textAlignment w:val="center"/>
              <w:rPr>
                <w:rFonts w:hint="default" w:ascii="宋体" w:hAnsi="宋体" w:eastAsia="宋体" w:cs="宋体"/>
                <w:bCs/>
                <w:i w:val="0"/>
                <w:iCs w:val="0"/>
                <w:color w:val="000000"/>
                <w:kern w:val="0"/>
                <w:sz w:val="21"/>
                <w:szCs w:val="21"/>
                <w:u w:val="none"/>
                <w:lang w:val="en-US" w:eastAsia="zh-CN" w:bidi="ar"/>
              </w:rPr>
            </w:pPr>
            <w:r>
              <w:rPr>
                <w:rFonts w:hint="eastAsia" w:cs="宋体"/>
                <w:bCs/>
                <w:i w:val="0"/>
                <w:iCs w:val="0"/>
                <w:color w:val="000000"/>
                <w:kern w:val="0"/>
                <w:sz w:val="21"/>
                <w:szCs w:val="21"/>
                <w:u w:val="none"/>
                <w:lang w:val="en-US" w:eastAsia="zh-CN" w:bidi="ar"/>
              </w:rPr>
              <w:t>7</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A28DB">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插座安装</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62033">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1921A">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45D61">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2220</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9E5E0">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60B95">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7F5D4">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17E9C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6916E">
            <w:pPr>
              <w:keepNext w:val="0"/>
              <w:keepLines w:val="0"/>
              <w:widowControl/>
              <w:suppressLineNumbers w:val="0"/>
              <w:spacing w:line="240" w:lineRule="auto"/>
              <w:jc w:val="center"/>
              <w:textAlignment w:val="center"/>
              <w:rPr>
                <w:rFonts w:hint="default" w:ascii="宋体" w:hAnsi="宋体" w:eastAsia="宋体" w:cs="宋体"/>
                <w:bCs/>
                <w:i w:val="0"/>
                <w:iCs w:val="0"/>
                <w:color w:val="000000"/>
                <w:kern w:val="0"/>
                <w:sz w:val="21"/>
                <w:szCs w:val="21"/>
                <w:u w:val="none"/>
                <w:lang w:val="en-US" w:eastAsia="zh-CN" w:bidi="ar"/>
              </w:rPr>
            </w:pPr>
            <w:r>
              <w:rPr>
                <w:rFonts w:hint="eastAsia" w:cs="宋体"/>
                <w:bCs/>
                <w:i w:val="0"/>
                <w:iCs w:val="0"/>
                <w:color w:val="000000"/>
                <w:kern w:val="0"/>
                <w:sz w:val="21"/>
                <w:szCs w:val="21"/>
                <w:u w:val="none"/>
                <w:lang w:val="en-US" w:eastAsia="zh-CN" w:bidi="ar"/>
              </w:rPr>
              <w:t>8</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788AC">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电源线穿管布放</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6AE8C">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B48AE">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07083">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8325</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0A435">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F0691">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A902D">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702B2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96E2D">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48051">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3#楼</w:t>
            </w:r>
          </w:p>
        </w:tc>
        <w:tc>
          <w:tcPr>
            <w:tcW w:w="6503"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A177F">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6B209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C2A9D">
            <w:pPr>
              <w:keepNext w:val="0"/>
              <w:keepLines w:val="0"/>
              <w:widowControl/>
              <w:suppressLineNumbers w:val="0"/>
              <w:spacing w:line="240" w:lineRule="auto"/>
              <w:jc w:val="center"/>
              <w:textAlignment w:val="center"/>
              <w:rPr>
                <w:rFonts w:hint="default" w:ascii="宋体" w:hAnsi="宋体" w:eastAsia="宋体" w:cs="宋体"/>
                <w:bCs/>
                <w:i w:val="0"/>
                <w:iCs w:val="0"/>
                <w:color w:val="000000"/>
                <w:kern w:val="0"/>
                <w:sz w:val="21"/>
                <w:szCs w:val="21"/>
                <w:u w:val="none"/>
                <w:lang w:val="en-US" w:eastAsia="zh-CN" w:bidi="ar"/>
              </w:rPr>
            </w:pPr>
            <w:r>
              <w:rPr>
                <w:rFonts w:hint="eastAsia" w:cs="宋体"/>
                <w:bCs/>
                <w:i w:val="0"/>
                <w:iCs w:val="0"/>
                <w:color w:val="000000"/>
                <w:kern w:val="0"/>
                <w:sz w:val="21"/>
                <w:szCs w:val="21"/>
                <w:u w:val="none"/>
                <w:lang w:val="en-US" w:eastAsia="zh-CN" w:bidi="ar"/>
              </w:rPr>
              <w:t>9</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18DFB">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地毯下引接电源</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21F7F">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27AA2">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9765">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134</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A0483">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D19DB">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04290">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15EF4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C1245">
            <w:pPr>
              <w:keepNext w:val="0"/>
              <w:keepLines w:val="0"/>
              <w:widowControl/>
              <w:suppressLineNumbers w:val="0"/>
              <w:spacing w:line="240" w:lineRule="auto"/>
              <w:jc w:val="center"/>
              <w:textAlignment w:val="center"/>
              <w:rPr>
                <w:rFonts w:hint="default" w:ascii="宋体" w:hAnsi="宋体" w:eastAsia="宋体" w:cs="宋体"/>
                <w:bCs/>
                <w:i w:val="0"/>
                <w:iCs w:val="0"/>
                <w:color w:val="000000"/>
                <w:kern w:val="0"/>
                <w:sz w:val="21"/>
                <w:szCs w:val="21"/>
                <w:u w:val="none"/>
                <w:lang w:val="en-US" w:eastAsia="zh-CN" w:bidi="ar"/>
              </w:rPr>
            </w:pPr>
            <w:r>
              <w:rPr>
                <w:rFonts w:hint="eastAsia" w:cs="宋体"/>
                <w:bCs/>
                <w:i w:val="0"/>
                <w:iCs w:val="0"/>
                <w:color w:val="000000"/>
                <w:kern w:val="0"/>
                <w:sz w:val="21"/>
                <w:szCs w:val="21"/>
                <w:u w:val="none"/>
                <w:lang w:val="en-US" w:eastAsia="zh-CN" w:bidi="ar"/>
              </w:rPr>
              <w:t>10</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64E5F">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防静电地板下引接电源点</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805F1">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7D475">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2B31D">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70</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20888">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CA6AE">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A4E45">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6B417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CDFCE">
            <w:pPr>
              <w:keepNext w:val="0"/>
              <w:keepLines w:val="0"/>
              <w:widowControl/>
              <w:suppressLineNumbers w:val="0"/>
              <w:spacing w:line="240" w:lineRule="auto"/>
              <w:jc w:val="center"/>
              <w:textAlignment w:val="center"/>
              <w:rPr>
                <w:rFonts w:hint="default" w:ascii="宋体" w:hAnsi="宋体" w:eastAsia="宋体" w:cs="宋体"/>
                <w:bCs/>
                <w:i w:val="0"/>
                <w:iCs w:val="0"/>
                <w:color w:val="000000"/>
                <w:kern w:val="0"/>
                <w:sz w:val="21"/>
                <w:szCs w:val="21"/>
                <w:u w:val="none"/>
                <w:lang w:val="en-US" w:eastAsia="zh-CN" w:bidi="ar"/>
              </w:rPr>
            </w:pPr>
            <w:r>
              <w:rPr>
                <w:rFonts w:hint="eastAsia" w:cs="宋体"/>
                <w:bCs/>
                <w:i w:val="0"/>
                <w:iCs w:val="0"/>
                <w:color w:val="000000"/>
                <w:kern w:val="0"/>
                <w:sz w:val="21"/>
                <w:szCs w:val="21"/>
                <w:u w:val="none"/>
                <w:lang w:val="en-US" w:eastAsia="zh-CN" w:bidi="ar"/>
              </w:rPr>
              <w:t>11</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209A2">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插座安装</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81645">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2B35A">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A000C">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2496</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BB1C1">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4C910">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F11C6">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5B9A2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70568">
            <w:pPr>
              <w:keepNext w:val="0"/>
              <w:keepLines w:val="0"/>
              <w:widowControl/>
              <w:suppressLineNumbers w:val="0"/>
              <w:spacing w:line="240" w:lineRule="auto"/>
              <w:jc w:val="center"/>
              <w:textAlignment w:val="center"/>
              <w:rPr>
                <w:rFonts w:hint="default" w:ascii="宋体" w:hAnsi="宋体" w:eastAsia="宋体" w:cs="宋体"/>
                <w:bCs/>
                <w:i w:val="0"/>
                <w:iCs w:val="0"/>
                <w:color w:val="000000"/>
                <w:kern w:val="0"/>
                <w:sz w:val="21"/>
                <w:szCs w:val="21"/>
                <w:u w:val="none"/>
                <w:lang w:val="en-US" w:eastAsia="zh-CN" w:bidi="ar"/>
              </w:rPr>
            </w:pPr>
            <w:r>
              <w:rPr>
                <w:rFonts w:hint="eastAsia" w:cs="宋体"/>
                <w:bCs/>
                <w:i w:val="0"/>
                <w:iCs w:val="0"/>
                <w:color w:val="000000"/>
                <w:kern w:val="0"/>
                <w:sz w:val="21"/>
                <w:szCs w:val="21"/>
                <w:u w:val="none"/>
                <w:lang w:val="en-US" w:eastAsia="zh-CN" w:bidi="ar"/>
              </w:rPr>
              <w:t>12</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35D16">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电源线穿管布放</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9D394">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3E259">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2DCAC">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9180</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7B3D6">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167C8">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6C19A">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6EACE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34ACD">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A4467">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1#楼</w:t>
            </w:r>
          </w:p>
        </w:tc>
        <w:tc>
          <w:tcPr>
            <w:tcW w:w="6503"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62FF7">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61658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30BCE">
            <w:pPr>
              <w:keepNext w:val="0"/>
              <w:keepLines w:val="0"/>
              <w:widowControl/>
              <w:suppressLineNumbers w:val="0"/>
              <w:spacing w:line="240" w:lineRule="auto"/>
              <w:jc w:val="center"/>
              <w:textAlignment w:val="center"/>
              <w:rPr>
                <w:rFonts w:hint="default" w:ascii="宋体" w:hAnsi="宋体" w:eastAsia="宋体" w:cs="宋体"/>
                <w:bCs/>
                <w:i w:val="0"/>
                <w:iCs w:val="0"/>
                <w:color w:val="000000"/>
                <w:kern w:val="0"/>
                <w:sz w:val="21"/>
                <w:szCs w:val="21"/>
                <w:u w:val="none"/>
                <w:lang w:val="en-US" w:eastAsia="zh-CN" w:bidi="ar"/>
              </w:rPr>
            </w:pPr>
            <w:r>
              <w:rPr>
                <w:rFonts w:hint="eastAsia" w:cs="宋体"/>
                <w:bCs/>
                <w:i w:val="0"/>
                <w:iCs w:val="0"/>
                <w:color w:val="000000"/>
                <w:kern w:val="0"/>
                <w:sz w:val="21"/>
                <w:szCs w:val="21"/>
                <w:u w:val="none"/>
                <w:lang w:val="en-US" w:eastAsia="zh-CN" w:bidi="ar"/>
              </w:rPr>
              <w:t>13</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95E9D">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地毯下引接电源</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B526B">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706DB">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622FD">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125</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DBA91">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00AFF">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A6355">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4E63B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1ED20">
            <w:pPr>
              <w:keepNext w:val="0"/>
              <w:keepLines w:val="0"/>
              <w:widowControl/>
              <w:suppressLineNumbers w:val="0"/>
              <w:spacing w:line="240" w:lineRule="auto"/>
              <w:jc w:val="center"/>
              <w:textAlignment w:val="center"/>
              <w:rPr>
                <w:rFonts w:hint="default" w:ascii="宋体" w:hAnsi="宋体" w:eastAsia="宋体" w:cs="宋体"/>
                <w:bCs/>
                <w:i w:val="0"/>
                <w:iCs w:val="0"/>
                <w:color w:val="000000"/>
                <w:kern w:val="0"/>
                <w:sz w:val="21"/>
                <w:szCs w:val="21"/>
                <w:u w:val="none"/>
                <w:lang w:val="en-US" w:eastAsia="zh-CN" w:bidi="ar"/>
              </w:rPr>
            </w:pPr>
            <w:r>
              <w:rPr>
                <w:rFonts w:hint="eastAsia" w:cs="宋体"/>
                <w:bCs/>
                <w:i w:val="0"/>
                <w:iCs w:val="0"/>
                <w:color w:val="000000"/>
                <w:kern w:val="0"/>
                <w:sz w:val="21"/>
                <w:szCs w:val="21"/>
                <w:u w:val="none"/>
                <w:lang w:val="en-US" w:eastAsia="zh-CN" w:bidi="ar"/>
              </w:rPr>
              <w:t>14</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23C9B">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防静电地板下引接电源点</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5C19A">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51FB4">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CBF19">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60</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CBCAA">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11EA5">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F5DA5">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39F71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65F87">
            <w:pPr>
              <w:keepNext w:val="0"/>
              <w:keepLines w:val="0"/>
              <w:widowControl/>
              <w:suppressLineNumbers w:val="0"/>
              <w:spacing w:line="240" w:lineRule="auto"/>
              <w:jc w:val="center"/>
              <w:textAlignment w:val="center"/>
              <w:rPr>
                <w:rFonts w:hint="default" w:ascii="宋体" w:hAnsi="宋体" w:eastAsia="宋体" w:cs="宋体"/>
                <w:bCs/>
                <w:i w:val="0"/>
                <w:iCs w:val="0"/>
                <w:color w:val="000000"/>
                <w:kern w:val="0"/>
                <w:sz w:val="21"/>
                <w:szCs w:val="21"/>
                <w:u w:val="none"/>
                <w:lang w:val="en-US" w:eastAsia="zh-CN" w:bidi="ar"/>
              </w:rPr>
            </w:pPr>
            <w:r>
              <w:rPr>
                <w:rFonts w:hint="eastAsia" w:cs="宋体"/>
                <w:bCs/>
                <w:i w:val="0"/>
                <w:iCs w:val="0"/>
                <w:color w:val="000000"/>
                <w:kern w:val="0"/>
                <w:sz w:val="21"/>
                <w:szCs w:val="21"/>
                <w:u w:val="none"/>
                <w:lang w:val="en-US" w:eastAsia="zh-CN" w:bidi="ar"/>
              </w:rPr>
              <w:t>15</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53454">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插座安装</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49CD0">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5C9B2">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38669">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2220</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12B28">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05D80">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36221">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1073B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A4EB2">
            <w:pPr>
              <w:keepNext w:val="0"/>
              <w:keepLines w:val="0"/>
              <w:widowControl/>
              <w:suppressLineNumbers w:val="0"/>
              <w:spacing w:line="240" w:lineRule="auto"/>
              <w:jc w:val="center"/>
              <w:textAlignment w:val="center"/>
              <w:rPr>
                <w:rFonts w:hint="default" w:ascii="宋体" w:hAnsi="宋体" w:eastAsia="宋体" w:cs="宋体"/>
                <w:bCs/>
                <w:i w:val="0"/>
                <w:iCs w:val="0"/>
                <w:color w:val="000000"/>
                <w:kern w:val="0"/>
                <w:sz w:val="21"/>
                <w:szCs w:val="21"/>
                <w:u w:val="none"/>
                <w:lang w:val="en-US" w:eastAsia="zh-CN" w:bidi="ar"/>
              </w:rPr>
            </w:pPr>
            <w:r>
              <w:rPr>
                <w:rFonts w:hint="eastAsia" w:cs="宋体"/>
                <w:bCs/>
                <w:i w:val="0"/>
                <w:iCs w:val="0"/>
                <w:color w:val="000000"/>
                <w:kern w:val="0"/>
                <w:sz w:val="21"/>
                <w:szCs w:val="21"/>
                <w:u w:val="none"/>
                <w:lang w:val="en-US" w:eastAsia="zh-CN" w:bidi="ar"/>
              </w:rPr>
              <w:t>16</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718DA">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电源线穿管布放</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F9022">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81110">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43E6A">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8325</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0FBA0">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BC1F6">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CE69C">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60310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9354"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A2BEA">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r>
              <w:rPr>
                <w:rFonts w:hint="eastAsia" w:ascii="宋体" w:hAnsi="宋体" w:eastAsia="宋体" w:cs="宋体"/>
                <w:bCs/>
                <w:i w:val="0"/>
                <w:iCs w:val="0"/>
                <w:color w:val="000000"/>
                <w:kern w:val="0"/>
                <w:sz w:val="21"/>
                <w:szCs w:val="21"/>
                <w:u w:val="none"/>
                <w:lang w:val="en-US" w:eastAsia="zh-CN" w:bidi="ar"/>
              </w:rPr>
              <w:t>综合布线配套设备及材料</w:t>
            </w:r>
          </w:p>
        </w:tc>
      </w:tr>
      <w:tr w14:paraId="5D869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AEC0B">
            <w:pPr>
              <w:keepNext w:val="0"/>
              <w:keepLines w:val="0"/>
              <w:widowControl/>
              <w:suppressLineNumbers w:val="0"/>
              <w:spacing w:line="240" w:lineRule="auto"/>
              <w:jc w:val="center"/>
              <w:textAlignment w:val="center"/>
              <w:rPr>
                <w:rFonts w:hint="default" w:ascii="宋体" w:hAnsi="宋体" w:eastAsia="宋体" w:cs="宋体"/>
                <w:i w:val="0"/>
                <w:iCs w:val="0"/>
                <w:color w:val="000000"/>
                <w:sz w:val="21"/>
                <w:szCs w:val="21"/>
                <w:u w:val="none"/>
                <w:lang w:val="en-US" w:eastAsia="zh-CN"/>
              </w:rPr>
            </w:pPr>
            <w:r>
              <w:rPr>
                <w:rFonts w:hint="eastAsia" w:cs="宋体"/>
                <w:i w:val="0"/>
                <w:iCs w:val="0"/>
                <w:color w:val="000000"/>
                <w:sz w:val="21"/>
                <w:szCs w:val="21"/>
                <w:u w:val="none"/>
                <w:lang w:val="en-US" w:eastAsia="zh-CN"/>
              </w:rPr>
              <w:t>一</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D9C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综合布线工程</w:t>
            </w:r>
          </w:p>
        </w:tc>
        <w:tc>
          <w:tcPr>
            <w:tcW w:w="6503"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2D909">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34A36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E7F1C">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2"/>
                <w:sz w:val="21"/>
                <w:szCs w:val="21"/>
                <w:u w:val="none"/>
                <w:lang w:val="en-US" w:eastAsia="zh-CN" w:bidi="ar-SA"/>
              </w:rPr>
            </w:pPr>
            <w:r>
              <w:rPr>
                <w:rFonts w:hint="eastAsia" w:ascii="宋体" w:hAnsi="宋体" w:eastAsia="宋体" w:cs="宋体"/>
                <w:bCs/>
                <w:i w:val="0"/>
                <w:iCs w:val="0"/>
                <w:color w:val="000000"/>
                <w:kern w:val="0"/>
                <w:sz w:val="21"/>
                <w:szCs w:val="21"/>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6DE3A">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2"/>
                <w:sz w:val="21"/>
                <w:szCs w:val="21"/>
                <w:u w:val="none"/>
                <w:lang w:val="en-US" w:eastAsia="zh-CN" w:bidi="ar-SA"/>
              </w:rPr>
            </w:pPr>
            <w:r>
              <w:rPr>
                <w:rFonts w:hint="eastAsia" w:ascii="宋体" w:hAnsi="宋体" w:eastAsia="宋体" w:cs="宋体"/>
                <w:bCs/>
                <w:i w:val="0"/>
                <w:iCs w:val="0"/>
                <w:color w:val="000000"/>
                <w:kern w:val="0"/>
                <w:sz w:val="21"/>
                <w:szCs w:val="21"/>
                <w:u w:val="none"/>
                <w:lang w:val="en-US" w:eastAsia="zh-CN" w:bidi="ar"/>
              </w:rPr>
              <w:t>标准六类非屏蔽网线</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13E77">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02736">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2"/>
                <w:sz w:val="21"/>
                <w:szCs w:val="21"/>
                <w:u w:val="none"/>
                <w:lang w:val="en-US" w:eastAsia="zh-CN" w:bidi="ar-SA"/>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F204E">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2"/>
                <w:sz w:val="21"/>
                <w:szCs w:val="21"/>
                <w:u w:val="none"/>
                <w:lang w:val="en-US" w:eastAsia="zh-CN" w:bidi="ar-SA"/>
              </w:rPr>
            </w:pPr>
            <w:r>
              <w:rPr>
                <w:rFonts w:hint="eastAsia" w:ascii="宋体" w:hAnsi="宋体" w:eastAsia="宋体" w:cs="宋体"/>
                <w:bCs/>
                <w:i w:val="0"/>
                <w:iCs w:val="0"/>
                <w:color w:val="000000"/>
                <w:kern w:val="0"/>
                <w:sz w:val="21"/>
                <w:szCs w:val="21"/>
                <w:u w:val="none"/>
                <w:lang w:val="en-US" w:eastAsia="zh-CN" w:bidi="ar"/>
              </w:rPr>
              <w:t>39600</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BFEF0">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ABF99">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018FA">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63098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E9D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2</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7C9CB">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盒式24芯ODF子框</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63C2D">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A252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816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208</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9D4C3">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95B2C">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F558C">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04139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E625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3</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7B8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盒式48芯ODF子框</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53BDE">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BD0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ABD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72</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99F5B">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E2567">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04A44">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2747C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A79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4</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54104">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48芯ODF子框 机架式</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7F39B">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0E5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0C81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15</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13C66">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ABDF7">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6977B">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74BCB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2AC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5</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FC35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6类24口网络配线架</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00B64">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F374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94B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39</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D2934">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B5C56">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03357">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28D0A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DAF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6</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1EC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理线架 1U</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76B0A">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ABBDA">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CC96C">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39</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1FC0A">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40924">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5D6A5">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7E55A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9C38A">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7</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B49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48芯单模光缆</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12D09">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507E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D89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10000</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B6B2D">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B772B">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7F4FA">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490E3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E9F4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8</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B7B6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双芯皮线光缆</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3278B">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A32F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56E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3168</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4A21C">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D8413">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6DCD7">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6A9B5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5D94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9</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7523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信息箱</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AEE60">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65F4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4C1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154</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9C6B0">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BB215">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CB3DC">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6E83C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2905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10</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039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信息柜（600*800*1200）</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2BF8B">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8D0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1DA8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66</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74165">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8B1C2">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EF98B">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2007D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B268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11</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A0B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机柜（600*800*2200）</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942D0">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9C7C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398F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30</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4645C">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F604D">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56A8D">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0AA27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0E7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12</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1406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ODF机柜</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27C64">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C830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C9A4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4</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95BEC">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409E2">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E291E">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2CAC0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2FC7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13</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6D4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弱电井/间柜内光跳纤</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F51F8">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A52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693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1510</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714C0">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A726C">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8EB80">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675F0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47D54">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14</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C882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网线跳线</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F43DD">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814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51C0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376</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9C635">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B0C78">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1F0AD">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48E20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2DB2B">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15</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2A26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2/4/6芯皮线光缆分线盒</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2324B">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90E01">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4F08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154</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1A257">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F1D1C">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5B798">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701DB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711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16</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D1C0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光纤耦合器</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A8B6F">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BE1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EF3AC">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924</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7F0EC">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296D0">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53048">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1E21C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238E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17</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D2F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用户终端侧光跳纤</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7128B">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B654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D5C7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2468</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1AAC5">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CAD56">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7195A">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54E32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0E8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18</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60B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插排</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7DCD7">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058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8C8A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154</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13BEF">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C95A3">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F2D3F">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36314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C27C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19</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18E6C">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辅材费</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91788">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D4E8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4C65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1</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F918D">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017B4">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C2D51">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2860A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F0BCA">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二</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6F7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插座工程</w:t>
            </w:r>
          </w:p>
        </w:tc>
        <w:tc>
          <w:tcPr>
            <w:tcW w:w="6503"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725AF">
            <w:pPr>
              <w:spacing w:line="240" w:lineRule="auto"/>
              <w:jc w:val="center"/>
              <w:rPr>
                <w:rFonts w:hint="eastAsia" w:ascii="宋体" w:hAnsi="宋体" w:eastAsia="宋体" w:cs="宋体"/>
                <w:i w:val="0"/>
                <w:iCs w:val="0"/>
                <w:color w:val="000000"/>
                <w:sz w:val="21"/>
                <w:szCs w:val="21"/>
                <w:u w:val="none"/>
              </w:rPr>
            </w:pPr>
          </w:p>
        </w:tc>
      </w:tr>
      <w:tr w14:paraId="1075D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08F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(一)</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07F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5#楼</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B90CC">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9618C">
            <w:pPr>
              <w:spacing w:line="240" w:lineRule="auto"/>
              <w:jc w:val="center"/>
              <w:rPr>
                <w:rFonts w:hint="eastAsia" w:ascii="宋体" w:hAnsi="宋体" w:eastAsia="宋体" w:cs="宋体"/>
                <w:i w:val="0"/>
                <w:iCs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70A0E">
            <w:pPr>
              <w:spacing w:line="240" w:lineRule="auto"/>
              <w:jc w:val="center"/>
              <w:rPr>
                <w:rFonts w:hint="eastAsia" w:ascii="宋体" w:hAnsi="宋体" w:eastAsia="宋体" w:cs="宋体"/>
                <w:i w:val="0"/>
                <w:iCs w:val="0"/>
                <w:color w:val="000000"/>
                <w:sz w:val="21"/>
                <w:szCs w:val="21"/>
                <w:u w:val="none"/>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E60B6">
            <w:pPr>
              <w:spacing w:line="240" w:lineRule="auto"/>
              <w:jc w:val="center"/>
              <w:rPr>
                <w:rFonts w:hint="eastAsia" w:ascii="宋体" w:hAnsi="宋体" w:eastAsia="宋体" w:cs="宋体"/>
                <w:i w:val="0"/>
                <w:iCs w:val="0"/>
                <w:color w:val="000000"/>
                <w:sz w:val="21"/>
                <w:szCs w:val="21"/>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35B90">
            <w:pPr>
              <w:spacing w:line="240" w:lineRule="auto"/>
              <w:jc w:val="center"/>
              <w:rPr>
                <w:rFonts w:hint="eastAsia" w:ascii="宋体" w:hAnsi="宋体" w:eastAsia="宋体" w:cs="宋体"/>
                <w:i w:val="0"/>
                <w:iCs w:val="0"/>
                <w:color w:val="000000"/>
                <w:sz w:val="21"/>
                <w:szCs w:val="21"/>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030D0">
            <w:pPr>
              <w:spacing w:line="240" w:lineRule="auto"/>
              <w:jc w:val="center"/>
              <w:rPr>
                <w:rFonts w:hint="eastAsia" w:ascii="宋体" w:hAnsi="宋体" w:eastAsia="宋体" w:cs="宋体"/>
                <w:i w:val="0"/>
                <w:iCs w:val="0"/>
                <w:color w:val="000000"/>
                <w:sz w:val="21"/>
                <w:szCs w:val="21"/>
                <w:u w:val="none"/>
              </w:rPr>
            </w:pPr>
          </w:p>
        </w:tc>
      </w:tr>
      <w:tr w14:paraId="0E473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5B98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EFF7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蛇形走线管</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73A6C">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E8D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690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286</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FAB3D">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EADE5">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60F3C">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11008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385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2</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4A268">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电源线</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3944E">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C78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B17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12870</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C7FDD">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8AAA0">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6C7C9">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1B4C0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821B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cs="宋体"/>
                <w:bCs/>
                <w:i w:val="0"/>
                <w:iCs w:val="0"/>
                <w:color w:val="000000"/>
                <w:kern w:val="0"/>
                <w:sz w:val="21"/>
                <w:szCs w:val="21"/>
                <w:u w:val="none"/>
                <w:lang w:val="en-US" w:eastAsia="zh-CN" w:bidi="ar"/>
              </w:rPr>
              <w:t>3</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772B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辅材</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D821C">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BA28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B149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1</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3C33D">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75CE8">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2EF3F">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18A88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1F2C1">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(二)</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675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2#楼</w:t>
            </w:r>
          </w:p>
        </w:tc>
        <w:tc>
          <w:tcPr>
            <w:tcW w:w="6503"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158C8">
            <w:pPr>
              <w:spacing w:line="240" w:lineRule="auto"/>
              <w:jc w:val="center"/>
              <w:rPr>
                <w:rFonts w:hint="eastAsia" w:ascii="宋体" w:hAnsi="宋体" w:eastAsia="宋体" w:cs="宋体"/>
                <w:i w:val="0"/>
                <w:iCs w:val="0"/>
                <w:color w:val="000000"/>
                <w:sz w:val="21"/>
                <w:szCs w:val="21"/>
                <w:u w:val="none"/>
              </w:rPr>
            </w:pPr>
          </w:p>
        </w:tc>
      </w:tr>
      <w:tr w14:paraId="512E5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BAEC1">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B0F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蛇形走线管</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9FAF3">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B22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BF4F4">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185</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83B8E">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C6579">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9BEC9">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7E668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A8FC8">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2</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134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电源线</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4FBCD">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83EB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891E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8325</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67DCD">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4A950">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54499">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2F681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311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cs="宋体"/>
                <w:bCs/>
                <w:i w:val="0"/>
                <w:iCs w:val="0"/>
                <w:color w:val="000000"/>
                <w:kern w:val="0"/>
                <w:sz w:val="21"/>
                <w:szCs w:val="21"/>
                <w:u w:val="none"/>
                <w:lang w:val="en-US" w:eastAsia="zh-CN" w:bidi="ar"/>
              </w:rPr>
              <w:t>3</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E04E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辅材</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8449E">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938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4F80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1</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B2507">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D15B0">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4784A">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2F78B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77E7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(三)</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08E5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3#楼</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D26B0">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2D049">
            <w:pPr>
              <w:spacing w:line="240" w:lineRule="auto"/>
              <w:jc w:val="center"/>
              <w:rPr>
                <w:rFonts w:hint="eastAsia" w:ascii="宋体" w:hAnsi="宋体" w:eastAsia="宋体" w:cs="宋体"/>
                <w:i w:val="0"/>
                <w:iCs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EFBED">
            <w:pPr>
              <w:spacing w:line="240" w:lineRule="auto"/>
              <w:jc w:val="center"/>
              <w:rPr>
                <w:rFonts w:hint="eastAsia" w:ascii="宋体" w:hAnsi="宋体" w:eastAsia="宋体" w:cs="宋体"/>
                <w:i w:val="0"/>
                <w:iCs w:val="0"/>
                <w:color w:val="000000"/>
                <w:sz w:val="21"/>
                <w:szCs w:val="21"/>
                <w:u w:val="none"/>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67F6B">
            <w:pPr>
              <w:spacing w:line="240" w:lineRule="auto"/>
              <w:jc w:val="center"/>
              <w:rPr>
                <w:rFonts w:hint="eastAsia" w:ascii="宋体" w:hAnsi="宋体" w:eastAsia="宋体" w:cs="宋体"/>
                <w:i w:val="0"/>
                <w:iCs w:val="0"/>
                <w:color w:val="000000"/>
                <w:sz w:val="21"/>
                <w:szCs w:val="21"/>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307A2">
            <w:pPr>
              <w:spacing w:line="240" w:lineRule="auto"/>
              <w:jc w:val="center"/>
              <w:rPr>
                <w:rFonts w:hint="eastAsia" w:ascii="宋体" w:hAnsi="宋体" w:eastAsia="宋体" w:cs="宋体"/>
                <w:i w:val="0"/>
                <w:iCs w:val="0"/>
                <w:color w:val="000000"/>
                <w:sz w:val="21"/>
                <w:szCs w:val="21"/>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B5228">
            <w:pPr>
              <w:spacing w:line="240" w:lineRule="auto"/>
              <w:jc w:val="center"/>
              <w:rPr>
                <w:rFonts w:hint="eastAsia" w:ascii="宋体" w:hAnsi="宋体" w:eastAsia="宋体" w:cs="宋体"/>
                <w:i w:val="0"/>
                <w:iCs w:val="0"/>
                <w:color w:val="000000"/>
                <w:sz w:val="21"/>
                <w:szCs w:val="21"/>
                <w:u w:val="none"/>
              </w:rPr>
            </w:pPr>
          </w:p>
        </w:tc>
      </w:tr>
      <w:tr w14:paraId="57A91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3127B">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1F7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蛇形走线管</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8D3A4">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C527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8F02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204</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9AE21">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036BD">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FBC1E">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4A053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8E7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2</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C684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电源线</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34B93">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0AFE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2A2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9180</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317D1">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C5D0D">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A5FB8">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5915A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02D2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cs="宋体"/>
                <w:bCs/>
                <w:i w:val="0"/>
                <w:iCs w:val="0"/>
                <w:color w:val="000000"/>
                <w:kern w:val="0"/>
                <w:sz w:val="21"/>
                <w:szCs w:val="21"/>
                <w:u w:val="none"/>
                <w:lang w:val="en-US" w:eastAsia="zh-CN" w:bidi="ar"/>
              </w:rPr>
              <w:t>3</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4BC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辅材</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DCD51">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AA2F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B72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1</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CAA8A">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BFE6C">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823D9">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4135B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22B1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(四)</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C4EE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1#楼</w:t>
            </w:r>
          </w:p>
        </w:tc>
        <w:tc>
          <w:tcPr>
            <w:tcW w:w="6503"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678A3">
            <w:pPr>
              <w:spacing w:line="240" w:lineRule="auto"/>
              <w:jc w:val="center"/>
              <w:rPr>
                <w:rFonts w:hint="eastAsia" w:ascii="宋体" w:hAnsi="宋体" w:eastAsia="宋体" w:cs="宋体"/>
                <w:i w:val="0"/>
                <w:iCs w:val="0"/>
                <w:color w:val="000000"/>
                <w:sz w:val="21"/>
                <w:szCs w:val="21"/>
                <w:u w:val="none"/>
              </w:rPr>
            </w:pPr>
          </w:p>
        </w:tc>
      </w:tr>
      <w:tr w14:paraId="24741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B205E">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0AA0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蛇形走线管</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789A3">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A92F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124E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185</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ED26C">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21CAF">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1C8B7">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27AA2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1C8B8">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2</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EFD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电源线</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E3360">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15E34">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D8B3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8325</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7B41A">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50B81">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6A167">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1BE06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B38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cs="宋体"/>
                <w:bCs/>
                <w:i w:val="0"/>
                <w:iCs w:val="0"/>
                <w:color w:val="000000"/>
                <w:kern w:val="0"/>
                <w:sz w:val="21"/>
                <w:szCs w:val="21"/>
                <w:u w:val="none"/>
                <w:lang w:val="en-US" w:eastAsia="zh-CN" w:bidi="ar"/>
              </w:rPr>
              <w:t>3</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C3F6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辅材</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FBC64">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513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D2401">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Cs/>
                <w:i w:val="0"/>
                <w:iCs w:val="0"/>
                <w:color w:val="000000"/>
                <w:kern w:val="0"/>
                <w:sz w:val="21"/>
                <w:szCs w:val="21"/>
                <w:u w:val="none"/>
                <w:lang w:val="en-US" w:eastAsia="zh-CN" w:bidi="ar"/>
              </w:rPr>
              <w:t>1</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02E90">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9A59A">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D6FE5">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r w14:paraId="39ADB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DDDA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合计</w:t>
            </w:r>
            <w:r>
              <w:rPr>
                <w:rFonts w:hint="eastAsia" w:cs="宋体"/>
                <w:i w:val="0"/>
                <w:iCs w:val="0"/>
                <w:color w:val="000000"/>
                <w:sz w:val="21"/>
                <w:szCs w:val="21"/>
                <w:u w:val="none"/>
                <w:lang w:val="en-US" w:eastAsia="zh-CN"/>
              </w:rPr>
              <w:t>金额</w:t>
            </w:r>
            <w:r>
              <w:rPr>
                <w:rFonts w:hint="eastAsia" w:ascii="宋体" w:hAnsi="宋体" w:eastAsia="宋体" w:cs="宋体"/>
                <w:i w:val="0"/>
                <w:iCs w:val="0"/>
                <w:color w:val="000000"/>
                <w:sz w:val="21"/>
                <w:szCs w:val="21"/>
                <w:u w:val="none"/>
                <w:lang w:val="en-US" w:eastAsia="zh-CN"/>
              </w:rPr>
              <w:t>（元）</w:t>
            </w:r>
          </w:p>
        </w:tc>
        <w:tc>
          <w:tcPr>
            <w:tcW w:w="424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A7D40">
            <w:pPr>
              <w:keepNext w:val="0"/>
              <w:keepLines w:val="0"/>
              <w:widowControl/>
              <w:suppressLineNumbers w:val="0"/>
              <w:spacing w:line="240" w:lineRule="auto"/>
              <w:jc w:val="center"/>
              <w:textAlignment w:val="center"/>
              <w:rPr>
                <w:rFonts w:hint="eastAsia" w:ascii="宋体" w:hAnsi="宋体" w:eastAsia="宋体" w:cs="宋体"/>
                <w:bCs/>
                <w:i w:val="0"/>
                <w:iCs w:val="0"/>
                <w:color w:val="000000"/>
                <w:kern w:val="0"/>
                <w:sz w:val="21"/>
                <w:szCs w:val="21"/>
                <w:u w:val="none"/>
                <w:lang w:val="en-US" w:eastAsia="zh-CN" w:bidi="ar"/>
              </w:rPr>
            </w:pPr>
          </w:p>
        </w:tc>
      </w:tr>
    </w:tbl>
    <w:p w14:paraId="31313727">
      <w:pPr>
        <w:pStyle w:val="2"/>
        <w:ind w:left="0" w:leftChars="0" w:firstLine="0" w:firstLineChars="0"/>
        <w:rPr>
          <w:rFonts w:hint="eastAsia" w:ascii="宋体" w:hAnsi="宋体" w:eastAsia="宋体" w:cs="宋体"/>
          <w:bCs/>
          <w:sz w:val="21"/>
          <w:szCs w:val="21"/>
        </w:rPr>
      </w:pPr>
    </w:p>
    <w:p w14:paraId="08A53F00">
      <w:pPr>
        <w:spacing w:line="560" w:lineRule="exact"/>
        <w:rPr>
          <w:rFonts w:hint="default" w:cs="宋体"/>
          <w:bCs/>
          <w:sz w:val="21"/>
          <w:szCs w:val="21"/>
          <w:lang w:val="en-US" w:eastAsia="zh-CN"/>
        </w:rPr>
      </w:pPr>
      <w:r>
        <w:rPr>
          <w:rFonts w:hint="eastAsia" w:cs="宋体"/>
          <w:bCs/>
          <w:sz w:val="21"/>
          <w:szCs w:val="21"/>
          <w:lang w:val="en-US" w:eastAsia="zh-CN"/>
        </w:rPr>
        <w:t>1.本部分报价为上述表格所列全部内容，包括：1、多模态网络底座主设备，2、多模态网络底座设备集成，3、综合布线配套设备及材料，4、综合布线施工等四部分</w:t>
      </w:r>
      <w:r>
        <w:rPr>
          <w:rFonts w:hint="eastAsia" w:cs="宋体"/>
          <w:sz w:val="21"/>
          <w:szCs w:val="21"/>
          <w:lang w:val="en-US" w:eastAsia="zh-CN"/>
        </w:rPr>
        <w:t>。投标供应商结合本招标文件及图纸自主报价。</w:t>
      </w:r>
    </w:p>
    <w:p w14:paraId="09697318">
      <w:pPr>
        <w:spacing w:line="560" w:lineRule="exact"/>
        <w:rPr>
          <w:rFonts w:hint="default" w:ascii="宋体" w:hAnsi="宋体" w:eastAsia="宋体" w:cs="宋体"/>
          <w:bCs/>
          <w:sz w:val="21"/>
          <w:szCs w:val="21"/>
          <w:lang w:val="en-US" w:eastAsia="zh-CN"/>
        </w:rPr>
      </w:pPr>
      <w:r>
        <w:rPr>
          <w:rFonts w:hint="eastAsia" w:cs="宋体"/>
          <w:bCs/>
          <w:sz w:val="21"/>
          <w:szCs w:val="21"/>
          <w:lang w:val="en-US" w:eastAsia="zh-CN"/>
        </w:rPr>
        <w:t>2.本表合计金额需与开标一览表中总报价保持一致。</w:t>
      </w:r>
    </w:p>
    <w:p w14:paraId="4D421DB0">
      <w:pPr>
        <w:spacing w:line="560" w:lineRule="exact"/>
        <w:rPr>
          <w:rFonts w:hint="eastAsia" w:ascii="宋体" w:hAnsi="宋体" w:eastAsia="宋体" w:cs="宋体"/>
          <w:bCs/>
          <w:sz w:val="21"/>
          <w:szCs w:val="21"/>
        </w:rPr>
      </w:pPr>
      <w:r>
        <w:rPr>
          <w:rFonts w:hint="eastAsia" w:cs="宋体"/>
          <w:bCs/>
          <w:sz w:val="21"/>
          <w:szCs w:val="21"/>
          <w:lang w:val="en-US" w:eastAsia="zh-CN"/>
        </w:rPr>
        <w:t>3</w:t>
      </w:r>
      <w:r>
        <w:rPr>
          <w:rFonts w:hint="eastAsia" w:ascii="宋体" w:hAnsi="宋体" w:eastAsia="宋体" w:cs="宋体"/>
          <w:bCs/>
          <w:sz w:val="21"/>
          <w:szCs w:val="21"/>
        </w:rPr>
        <w:t>.除投标产品按上表规定格式列示外，投标人可根据本企业投标情况，在上表列示备品备件、专用工具、安装调试费、技术服务费、培训费、运输费和保险费等。</w:t>
      </w:r>
    </w:p>
    <w:p w14:paraId="785E7695">
      <w:pPr>
        <w:spacing w:line="560" w:lineRule="exact"/>
        <w:rPr>
          <w:rFonts w:hint="eastAsia" w:ascii="宋体" w:hAnsi="宋体" w:eastAsia="宋体" w:cs="宋体"/>
          <w:bCs/>
          <w:sz w:val="21"/>
          <w:szCs w:val="21"/>
        </w:rPr>
      </w:pPr>
      <w:r>
        <w:rPr>
          <w:rFonts w:hint="eastAsia" w:cs="宋体"/>
          <w:bCs/>
          <w:sz w:val="21"/>
          <w:szCs w:val="21"/>
          <w:lang w:val="en-US" w:eastAsia="zh-CN"/>
        </w:rPr>
        <w:t>4</w:t>
      </w:r>
      <w:r>
        <w:rPr>
          <w:rFonts w:hint="eastAsia" w:ascii="宋体" w:hAnsi="宋体" w:eastAsia="宋体" w:cs="宋体"/>
          <w:bCs/>
          <w:sz w:val="21"/>
          <w:szCs w:val="21"/>
        </w:rPr>
        <w:t>.投标人可根据需要自行增减表格行数。</w:t>
      </w:r>
    </w:p>
    <w:p w14:paraId="27338DA3">
      <w:pPr>
        <w:spacing w:line="560" w:lineRule="exact"/>
        <w:rPr>
          <w:rFonts w:hint="eastAsia" w:ascii="宋体" w:hAnsi="宋体" w:eastAsia="宋体" w:cs="宋体"/>
          <w:bCs/>
          <w:sz w:val="21"/>
          <w:szCs w:val="21"/>
        </w:rPr>
      </w:pPr>
      <w:r>
        <w:rPr>
          <w:rFonts w:hint="eastAsia" w:cs="宋体"/>
          <w:bCs/>
          <w:sz w:val="21"/>
          <w:szCs w:val="21"/>
          <w:lang w:val="en-US" w:eastAsia="zh-CN"/>
        </w:rPr>
        <w:t>5</w:t>
      </w:r>
      <w:r>
        <w:rPr>
          <w:rFonts w:hint="eastAsia" w:ascii="宋体" w:hAnsi="宋体" w:eastAsia="宋体" w:cs="宋体"/>
          <w:bCs/>
          <w:sz w:val="21"/>
          <w:szCs w:val="21"/>
        </w:rPr>
        <w:t>.投标人对所报相关内容的真实性负责，采购代理机构有权将相关内容进行公示，因弄虚作假导致的后果由投标人自行承担。</w:t>
      </w:r>
    </w:p>
    <w:p w14:paraId="2497F959">
      <w:pPr>
        <w:spacing w:line="560" w:lineRule="exact"/>
        <w:rPr>
          <w:rFonts w:hint="default" w:ascii="宋体" w:hAnsi="宋体" w:eastAsia="宋体" w:cs="宋体"/>
          <w:bCs/>
          <w:sz w:val="21"/>
          <w:szCs w:val="21"/>
          <w:lang w:val="en-US" w:eastAsia="zh-CN"/>
        </w:rPr>
      </w:pPr>
    </w:p>
    <w:p w14:paraId="2010A90B">
      <w:pPr>
        <w:spacing w:line="560" w:lineRule="exact"/>
        <w:rPr>
          <w:rFonts w:hint="default" w:ascii="宋体" w:hAnsi="宋体" w:eastAsia="宋体" w:cs="宋体"/>
          <w:bCs/>
          <w:sz w:val="21"/>
          <w:szCs w:val="21"/>
          <w:lang w:val="en-US" w:eastAsia="zh-CN"/>
        </w:rPr>
      </w:pPr>
    </w:p>
    <w:p w14:paraId="0FFF30CE">
      <w:pPr>
        <w:wordWrap w:val="0"/>
        <w:spacing w:line="560" w:lineRule="exact"/>
        <w:ind w:firstLine="3150" w:firstLineChars="1500"/>
        <w:jc w:val="right"/>
        <w:rPr>
          <w:rFonts w:hint="default" w:ascii="宋体" w:hAnsi="宋体" w:eastAsia="宋体" w:cs="宋体"/>
          <w:bCs/>
          <w:sz w:val="21"/>
          <w:szCs w:val="21"/>
          <w:u w:val="single"/>
          <w:lang w:val="en-US" w:eastAsia="zh-CN"/>
        </w:rPr>
      </w:pPr>
      <w:r>
        <w:rPr>
          <w:rFonts w:hint="eastAsia" w:ascii="宋体" w:hAnsi="宋体" w:eastAsia="宋体" w:cs="宋体"/>
          <w:bCs/>
          <w:sz w:val="21"/>
          <w:szCs w:val="21"/>
        </w:rPr>
        <w:t>投标人名称（盖公章）：</w:t>
      </w:r>
      <w:r>
        <w:rPr>
          <w:rFonts w:hint="eastAsia" w:cs="宋体"/>
          <w:bCs/>
          <w:sz w:val="21"/>
          <w:szCs w:val="21"/>
          <w:u w:val="single"/>
          <w:lang w:val="en-US" w:eastAsia="zh-CN"/>
        </w:rPr>
        <w:t xml:space="preserve">                              </w:t>
      </w:r>
    </w:p>
    <w:p w14:paraId="4CC61BD6">
      <w:pPr>
        <w:wordWrap w:val="0"/>
        <w:spacing w:line="560" w:lineRule="exact"/>
        <w:ind w:firstLine="3150" w:firstLineChars="1500"/>
        <w:jc w:val="right"/>
        <w:rPr>
          <w:rFonts w:hint="default" w:ascii="宋体" w:hAnsi="宋体" w:eastAsia="宋体" w:cs="宋体"/>
          <w:bCs/>
          <w:sz w:val="21"/>
          <w:szCs w:val="21"/>
          <w:u w:val="single"/>
          <w:lang w:val="en-US" w:eastAsia="zh-CN"/>
        </w:rPr>
      </w:pPr>
      <w:r>
        <w:rPr>
          <w:rFonts w:hint="eastAsia" w:ascii="宋体" w:hAnsi="宋体" w:eastAsia="宋体" w:cs="宋体"/>
          <w:bCs/>
          <w:sz w:val="21"/>
          <w:szCs w:val="21"/>
        </w:rPr>
        <w:t>法定代表人或其授权代理人（签字或盖章）：</w:t>
      </w:r>
      <w:r>
        <w:rPr>
          <w:rFonts w:hint="eastAsia" w:cs="宋体"/>
          <w:bCs/>
          <w:sz w:val="21"/>
          <w:szCs w:val="21"/>
          <w:u w:val="single"/>
          <w:lang w:val="en-US" w:eastAsia="zh-CN"/>
        </w:rPr>
        <w:t xml:space="preserve">            </w:t>
      </w:r>
    </w:p>
    <w:p w14:paraId="5F145E81">
      <w:pPr>
        <w:spacing w:line="560" w:lineRule="exact"/>
        <w:ind w:firstLine="3150" w:firstLineChars="1500"/>
        <w:jc w:val="right"/>
        <w:rPr>
          <w:rFonts w:hint="eastAsia" w:ascii="宋体" w:hAnsi="宋体" w:eastAsia="宋体" w:cs="宋体"/>
          <w:bCs/>
          <w:sz w:val="21"/>
          <w:szCs w:val="21"/>
        </w:rPr>
      </w:pPr>
      <w:r>
        <w:rPr>
          <w:rFonts w:hint="eastAsia" w:ascii="宋体" w:hAnsi="宋体" w:eastAsia="宋体" w:cs="宋体"/>
          <w:bCs/>
          <w:sz w:val="21"/>
          <w:szCs w:val="21"/>
        </w:rPr>
        <w:t>年    月     日</w:t>
      </w:r>
    </w:p>
    <w:p w14:paraId="3002F4D7">
      <w:pPr>
        <w:rPr>
          <w:rFonts w:hint="eastAsia" w:ascii="宋体" w:hAnsi="宋体" w:eastAsia="宋体" w:cs="宋体"/>
          <w:sz w:val="21"/>
          <w:szCs w:val="21"/>
          <w:u w:val="single"/>
          <w:lang w:val="en-US" w:eastAsia="zh-CN"/>
        </w:rPr>
      </w:pPr>
      <w:r>
        <w:rPr>
          <w:rFonts w:hint="eastAsia" w:ascii="宋体" w:hAnsi="宋体" w:eastAsia="宋体" w:cs="宋体"/>
          <w:sz w:val="21"/>
          <w:szCs w:val="21"/>
          <w:u w:val="single"/>
          <w:lang w:val="en-US" w:eastAsia="zh-CN"/>
        </w:rPr>
        <w:br w:type="page"/>
      </w:r>
    </w:p>
    <w:p w14:paraId="387C8CD1">
      <w:pPr>
        <w:pStyle w:val="6"/>
        <w:bidi w:val="0"/>
        <w:rPr>
          <w:rFonts w:hint="eastAsia"/>
          <w:lang w:val="en-US" w:eastAsia="zh-CN"/>
        </w:rPr>
      </w:pPr>
      <w:bookmarkStart w:id="409" w:name="_Toc2504"/>
      <w:r>
        <w:rPr>
          <w:rFonts w:hint="eastAsia"/>
          <w:lang w:val="en-US" w:eastAsia="zh-CN"/>
        </w:rPr>
        <w:t>四、法定代表人身份证明</w:t>
      </w:r>
      <w:bookmarkEnd w:id="409"/>
    </w:p>
    <w:p w14:paraId="35DC6FBF">
      <w:pPr>
        <w:pStyle w:val="9"/>
        <w:ind w:left="0" w:leftChars="0" w:firstLine="0" w:firstLineChars="0"/>
        <w:rPr>
          <w:rFonts w:hint="eastAsia" w:ascii="宋体" w:hAnsi="宋体" w:eastAsia="宋体" w:cs="宋体"/>
          <w:sz w:val="21"/>
          <w:szCs w:val="21"/>
          <w:u w:val="single"/>
          <w:lang w:val="en-US" w:eastAsia="zh-CN"/>
        </w:rPr>
      </w:pPr>
    </w:p>
    <w:p w14:paraId="05742E19">
      <w:pPr>
        <w:pStyle w:val="9"/>
        <w:keepNext w:val="0"/>
        <w:keepLines w:val="0"/>
        <w:pageBreakBefore w:val="0"/>
        <w:widowControl w:val="0"/>
        <w:kinsoku/>
        <w:wordWrap/>
        <w:overflowPunct/>
        <w:topLinePunct w:val="0"/>
        <w:autoSpaceDE/>
        <w:autoSpaceDN/>
        <w:bidi w:val="0"/>
        <w:adjustRightInd/>
        <w:snapToGrid/>
        <w:ind w:left="0" w:leftChars="0" w:firstLine="630" w:firstLineChars="300"/>
        <w:jc w:val="left"/>
        <w:textAlignment w:val="auto"/>
        <w:rPr>
          <w:rFonts w:hint="default"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投标人名称：</w:t>
      </w:r>
      <w:r>
        <w:rPr>
          <w:rFonts w:hint="eastAsia" w:cs="宋体"/>
          <w:sz w:val="21"/>
          <w:szCs w:val="21"/>
          <w:u w:val="single"/>
          <w:lang w:val="en-US" w:eastAsia="zh-CN"/>
        </w:rPr>
        <w:t xml:space="preserve">                               </w:t>
      </w:r>
    </w:p>
    <w:p w14:paraId="43C2D8C6">
      <w:pPr>
        <w:pStyle w:val="9"/>
        <w:keepNext w:val="0"/>
        <w:keepLines w:val="0"/>
        <w:pageBreakBefore w:val="0"/>
        <w:widowControl w:val="0"/>
        <w:kinsoku/>
        <w:wordWrap/>
        <w:overflowPunct/>
        <w:topLinePunct w:val="0"/>
        <w:autoSpaceDE/>
        <w:autoSpaceDN/>
        <w:bidi w:val="0"/>
        <w:adjustRightInd/>
        <w:snapToGrid/>
        <w:ind w:left="0" w:leftChars="0" w:firstLine="630" w:firstLineChars="300"/>
        <w:jc w:val="left"/>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单位性质：</w:t>
      </w:r>
      <w:r>
        <w:rPr>
          <w:rFonts w:hint="eastAsia" w:cs="宋体"/>
          <w:sz w:val="21"/>
          <w:szCs w:val="21"/>
          <w:u w:val="single"/>
          <w:lang w:val="en-US" w:eastAsia="zh-CN"/>
        </w:rPr>
        <w:t xml:space="preserve">                               </w:t>
      </w:r>
    </w:p>
    <w:p w14:paraId="06EA4516">
      <w:pPr>
        <w:pStyle w:val="9"/>
        <w:keepNext w:val="0"/>
        <w:keepLines w:val="0"/>
        <w:pageBreakBefore w:val="0"/>
        <w:widowControl w:val="0"/>
        <w:kinsoku/>
        <w:wordWrap/>
        <w:overflowPunct/>
        <w:topLinePunct w:val="0"/>
        <w:autoSpaceDE/>
        <w:autoSpaceDN/>
        <w:bidi w:val="0"/>
        <w:adjustRightInd/>
        <w:snapToGrid/>
        <w:ind w:left="0" w:leftChars="0" w:firstLine="630" w:firstLineChars="300"/>
        <w:jc w:val="left"/>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地址：</w:t>
      </w:r>
      <w:r>
        <w:rPr>
          <w:rFonts w:hint="eastAsia" w:cs="宋体"/>
          <w:sz w:val="21"/>
          <w:szCs w:val="21"/>
          <w:u w:val="single"/>
          <w:lang w:val="en-US" w:eastAsia="zh-CN"/>
        </w:rPr>
        <w:t xml:space="preserve">                               </w:t>
      </w:r>
    </w:p>
    <w:p w14:paraId="7723F9F6">
      <w:pPr>
        <w:pStyle w:val="9"/>
        <w:keepNext w:val="0"/>
        <w:keepLines w:val="0"/>
        <w:pageBreakBefore w:val="0"/>
        <w:widowControl w:val="0"/>
        <w:kinsoku/>
        <w:wordWrap/>
        <w:overflowPunct/>
        <w:topLinePunct w:val="0"/>
        <w:autoSpaceDE/>
        <w:autoSpaceDN/>
        <w:bidi w:val="0"/>
        <w:adjustRightInd/>
        <w:snapToGrid/>
        <w:ind w:left="0" w:leftChars="0" w:firstLine="630" w:firstLineChars="300"/>
        <w:jc w:val="left"/>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成立时间：</w:t>
      </w:r>
      <w:r>
        <w:rPr>
          <w:rFonts w:hint="eastAsia" w:cs="宋体"/>
          <w:sz w:val="21"/>
          <w:szCs w:val="21"/>
          <w:u w:val="single"/>
          <w:lang w:val="en-US" w:eastAsia="zh-CN"/>
        </w:rPr>
        <w:t xml:space="preserve">      </w:t>
      </w:r>
      <w:r>
        <w:rPr>
          <w:rFonts w:hint="eastAsia" w:ascii="宋体" w:hAnsi="宋体" w:eastAsia="宋体" w:cs="宋体"/>
          <w:sz w:val="21"/>
          <w:szCs w:val="21"/>
          <w:u w:val="none"/>
          <w:lang w:val="en-US" w:eastAsia="zh-CN"/>
        </w:rPr>
        <w:t>年</w:t>
      </w:r>
      <w:r>
        <w:rPr>
          <w:rFonts w:hint="eastAsia" w:cs="宋体"/>
          <w:sz w:val="21"/>
          <w:szCs w:val="21"/>
          <w:u w:val="single"/>
          <w:lang w:val="en-US" w:eastAsia="zh-CN"/>
        </w:rPr>
        <w:t xml:space="preserve">      </w:t>
      </w:r>
      <w:r>
        <w:rPr>
          <w:rFonts w:hint="eastAsia" w:ascii="宋体" w:hAnsi="宋体" w:eastAsia="宋体" w:cs="宋体"/>
          <w:sz w:val="21"/>
          <w:szCs w:val="21"/>
          <w:u w:val="none"/>
          <w:lang w:val="en-US" w:eastAsia="zh-CN"/>
        </w:rPr>
        <w:t>月</w:t>
      </w:r>
      <w:r>
        <w:rPr>
          <w:rFonts w:hint="eastAsia" w:cs="宋体"/>
          <w:sz w:val="21"/>
          <w:szCs w:val="21"/>
          <w:u w:val="single"/>
          <w:lang w:val="en-US" w:eastAsia="zh-CN"/>
        </w:rPr>
        <w:t xml:space="preserve">      </w:t>
      </w:r>
      <w:r>
        <w:rPr>
          <w:rFonts w:hint="eastAsia" w:ascii="宋体" w:hAnsi="宋体" w:eastAsia="宋体" w:cs="宋体"/>
          <w:sz w:val="21"/>
          <w:szCs w:val="21"/>
          <w:u w:val="none"/>
          <w:lang w:val="en-US" w:eastAsia="zh-CN"/>
        </w:rPr>
        <w:t>日</w:t>
      </w:r>
    </w:p>
    <w:p w14:paraId="170D4AA9">
      <w:pPr>
        <w:pStyle w:val="9"/>
        <w:keepNext w:val="0"/>
        <w:keepLines w:val="0"/>
        <w:pageBreakBefore w:val="0"/>
        <w:widowControl w:val="0"/>
        <w:kinsoku/>
        <w:wordWrap/>
        <w:overflowPunct/>
        <w:topLinePunct w:val="0"/>
        <w:autoSpaceDE/>
        <w:autoSpaceDN/>
        <w:bidi w:val="0"/>
        <w:adjustRightInd/>
        <w:snapToGrid/>
        <w:ind w:left="0" w:leftChars="0" w:firstLine="630" w:firstLineChars="300"/>
        <w:jc w:val="left"/>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经营期限：</w:t>
      </w:r>
      <w:r>
        <w:rPr>
          <w:rFonts w:hint="eastAsia" w:cs="宋体"/>
          <w:sz w:val="21"/>
          <w:szCs w:val="21"/>
          <w:u w:val="single"/>
          <w:lang w:val="en-US" w:eastAsia="zh-CN"/>
        </w:rPr>
        <w:t xml:space="preserve">                               </w:t>
      </w:r>
    </w:p>
    <w:p w14:paraId="6511471F">
      <w:pPr>
        <w:pStyle w:val="9"/>
        <w:keepNext w:val="0"/>
        <w:keepLines w:val="0"/>
        <w:pageBreakBefore w:val="0"/>
        <w:widowControl w:val="0"/>
        <w:kinsoku/>
        <w:wordWrap/>
        <w:overflowPunct/>
        <w:topLinePunct w:val="0"/>
        <w:autoSpaceDE/>
        <w:autoSpaceDN/>
        <w:bidi w:val="0"/>
        <w:adjustRightInd/>
        <w:snapToGrid/>
        <w:ind w:left="0" w:leftChars="0" w:firstLine="630" w:firstLineChars="300"/>
        <w:jc w:val="left"/>
        <w:textAlignment w:val="auto"/>
        <w:rPr>
          <w:rFonts w:hint="default"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姓名：</w:t>
      </w:r>
      <w:r>
        <w:rPr>
          <w:rFonts w:hint="eastAsia" w:ascii="宋体" w:hAnsi="宋体" w:eastAsia="宋体" w:cs="宋体"/>
          <w:sz w:val="21"/>
          <w:szCs w:val="21"/>
          <w:u w:val="single"/>
          <w:lang w:val="en-US" w:eastAsia="zh-CN"/>
        </w:rPr>
        <w:t xml:space="preserve">   </w:t>
      </w:r>
      <w:r>
        <w:rPr>
          <w:rFonts w:hint="eastAsia" w:cs="宋体"/>
          <w:sz w:val="21"/>
          <w:szCs w:val="21"/>
          <w:u w:val="single"/>
          <w:lang w:val="en-US" w:eastAsia="zh-CN"/>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性别：</w:t>
      </w:r>
      <w:r>
        <w:rPr>
          <w:rFonts w:hint="eastAsia"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cs="宋体"/>
          <w:sz w:val="21"/>
          <w:szCs w:val="21"/>
          <w:u w:val="none"/>
          <w:lang w:val="en-US" w:eastAsia="zh-CN"/>
        </w:rPr>
        <w:t xml:space="preserve">  </w:t>
      </w:r>
      <w:r>
        <w:rPr>
          <w:rFonts w:hint="eastAsia" w:ascii="宋体" w:hAnsi="宋体" w:eastAsia="宋体" w:cs="宋体"/>
          <w:sz w:val="21"/>
          <w:szCs w:val="21"/>
          <w:u w:val="none"/>
          <w:lang w:val="en-US" w:eastAsia="zh-CN"/>
        </w:rPr>
        <w:t>年龄：</w:t>
      </w:r>
      <w:r>
        <w:rPr>
          <w:rFonts w:hint="eastAsia" w:cs="宋体"/>
          <w:sz w:val="21"/>
          <w:szCs w:val="21"/>
          <w:u w:val="single"/>
          <w:lang w:val="en-US" w:eastAsia="zh-CN"/>
        </w:rPr>
        <w:t xml:space="preserve">        </w:t>
      </w:r>
      <w:r>
        <w:rPr>
          <w:rFonts w:hint="eastAsia" w:cs="宋体"/>
          <w:sz w:val="21"/>
          <w:szCs w:val="21"/>
          <w:u w:val="none"/>
          <w:lang w:val="en-US" w:eastAsia="zh-CN"/>
        </w:rPr>
        <w:t xml:space="preserve">  </w:t>
      </w:r>
      <w:r>
        <w:rPr>
          <w:rFonts w:hint="eastAsia" w:ascii="宋体" w:hAnsi="宋体" w:eastAsia="宋体" w:cs="宋体"/>
          <w:sz w:val="21"/>
          <w:szCs w:val="21"/>
          <w:u w:val="none"/>
          <w:lang w:val="en-US" w:eastAsia="zh-CN"/>
        </w:rPr>
        <w:t>职务：</w:t>
      </w:r>
      <w:r>
        <w:rPr>
          <w:rFonts w:hint="eastAsia" w:cs="宋体"/>
          <w:sz w:val="21"/>
          <w:szCs w:val="21"/>
          <w:u w:val="single"/>
          <w:lang w:val="en-US" w:eastAsia="zh-CN"/>
        </w:rPr>
        <w:t xml:space="preserve">         </w:t>
      </w:r>
    </w:p>
    <w:p w14:paraId="269E99B2">
      <w:pPr>
        <w:pStyle w:val="9"/>
        <w:keepNext w:val="0"/>
        <w:keepLines w:val="0"/>
        <w:pageBreakBefore w:val="0"/>
        <w:widowControl w:val="0"/>
        <w:kinsoku/>
        <w:wordWrap/>
        <w:overflowPunct/>
        <w:topLinePunct w:val="0"/>
        <w:autoSpaceDE/>
        <w:autoSpaceDN/>
        <w:bidi w:val="0"/>
        <w:adjustRightInd/>
        <w:snapToGrid/>
        <w:ind w:left="0" w:leftChars="0" w:firstLine="630" w:firstLineChars="300"/>
        <w:jc w:val="left"/>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系</w:t>
      </w:r>
      <w:r>
        <w:rPr>
          <w:rFonts w:hint="eastAsia" w:cs="宋体"/>
          <w:sz w:val="21"/>
          <w:szCs w:val="21"/>
          <w:u w:val="single"/>
          <w:lang w:val="en-US" w:eastAsia="zh-CN"/>
        </w:rPr>
        <w:t xml:space="preserve">                               </w:t>
      </w:r>
      <w:r>
        <w:rPr>
          <w:rFonts w:hint="eastAsia" w:ascii="宋体" w:hAnsi="宋体" w:eastAsia="宋体" w:cs="宋体"/>
          <w:sz w:val="21"/>
          <w:szCs w:val="21"/>
          <w:u w:val="none"/>
          <w:lang w:val="en-US" w:eastAsia="zh-CN"/>
        </w:rPr>
        <w:t>（投标人名称）的法定代表人。</w:t>
      </w:r>
    </w:p>
    <w:p w14:paraId="2BE8F22D">
      <w:pPr>
        <w:pStyle w:val="9"/>
        <w:keepNext w:val="0"/>
        <w:keepLines w:val="0"/>
        <w:pageBreakBefore w:val="0"/>
        <w:widowControl w:val="0"/>
        <w:kinsoku/>
        <w:wordWrap/>
        <w:overflowPunct/>
        <w:topLinePunct w:val="0"/>
        <w:autoSpaceDE/>
        <w:autoSpaceDN/>
        <w:bidi w:val="0"/>
        <w:adjustRightInd/>
        <w:snapToGrid/>
        <w:ind w:left="0" w:leftChars="0" w:firstLine="630" w:firstLineChars="300"/>
        <w:jc w:val="left"/>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特此证明。</w:t>
      </w:r>
    </w:p>
    <w:p w14:paraId="11BFF52F">
      <w:pPr>
        <w:pStyle w:val="9"/>
        <w:keepNext w:val="0"/>
        <w:keepLines w:val="0"/>
        <w:pageBreakBefore w:val="0"/>
        <w:widowControl w:val="0"/>
        <w:kinsoku/>
        <w:wordWrap/>
        <w:overflowPunct/>
        <w:topLinePunct w:val="0"/>
        <w:autoSpaceDE/>
        <w:autoSpaceDN/>
        <w:bidi w:val="0"/>
        <w:adjustRightInd/>
        <w:snapToGrid/>
        <w:ind w:left="0" w:leftChars="0" w:firstLine="630" w:firstLineChars="300"/>
        <w:jc w:val="left"/>
        <w:textAlignment w:val="auto"/>
        <w:rPr>
          <w:rFonts w:hint="eastAsia" w:ascii="宋体" w:hAnsi="宋体" w:eastAsia="宋体" w:cs="宋体"/>
          <w:sz w:val="21"/>
          <w:szCs w:val="21"/>
          <w:u w:val="none"/>
          <w:lang w:val="en-US" w:eastAsia="zh-CN"/>
        </w:rPr>
      </w:pPr>
    </w:p>
    <w:p w14:paraId="2474B2CD">
      <w:pPr>
        <w:pStyle w:val="9"/>
        <w:keepNext w:val="0"/>
        <w:keepLines w:val="0"/>
        <w:pageBreakBefore w:val="0"/>
        <w:widowControl w:val="0"/>
        <w:kinsoku/>
        <w:wordWrap/>
        <w:overflowPunct/>
        <w:topLinePunct w:val="0"/>
        <w:autoSpaceDE/>
        <w:autoSpaceDN/>
        <w:bidi w:val="0"/>
        <w:adjustRightInd/>
        <w:snapToGrid/>
        <w:ind w:left="0" w:leftChars="0" w:firstLine="630" w:firstLineChars="300"/>
        <w:jc w:val="left"/>
        <w:textAlignment w:val="auto"/>
        <w:rPr>
          <w:rFonts w:hint="eastAsia" w:ascii="宋体" w:hAnsi="宋体" w:eastAsia="宋体" w:cs="宋体"/>
          <w:sz w:val="21"/>
          <w:szCs w:val="21"/>
          <w:u w:val="none"/>
          <w:lang w:val="en-US" w:eastAsia="zh-CN"/>
        </w:rPr>
      </w:pPr>
    </w:p>
    <w:p w14:paraId="0B8EFD3C">
      <w:pPr>
        <w:pStyle w:val="9"/>
        <w:keepNext w:val="0"/>
        <w:keepLines w:val="0"/>
        <w:pageBreakBefore w:val="0"/>
        <w:widowControl w:val="0"/>
        <w:kinsoku/>
        <w:wordWrap/>
        <w:overflowPunct/>
        <w:topLinePunct w:val="0"/>
        <w:autoSpaceDE/>
        <w:autoSpaceDN/>
        <w:bidi w:val="0"/>
        <w:adjustRightInd/>
        <w:snapToGrid/>
        <w:ind w:left="0" w:leftChars="0" w:firstLine="630" w:firstLineChars="300"/>
        <w:jc w:val="left"/>
        <w:textAlignment w:val="auto"/>
        <w:rPr>
          <w:rFonts w:hint="eastAsia" w:ascii="宋体" w:hAnsi="宋体" w:eastAsia="宋体" w:cs="宋体"/>
          <w:sz w:val="21"/>
          <w:szCs w:val="21"/>
          <w:u w:val="none"/>
          <w:lang w:val="en-US" w:eastAsia="zh-CN"/>
        </w:rPr>
      </w:pPr>
    </w:p>
    <w:p w14:paraId="7433FDB5">
      <w:pPr>
        <w:pStyle w:val="9"/>
        <w:keepNext w:val="0"/>
        <w:keepLines w:val="0"/>
        <w:pageBreakBefore w:val="0"/>
        <w:widowControl w:val="0"/>
        <w:kinsoku/>
        <w:wordWrap/>
        <w:overflowPunct/>
        <w:topLinePunct w:val="0"/>
        <w:autoSpaceDE/>
        <w:autoSpaceDN/>
        <w:bidi w:val="0"/>
        <w:adjustRightInd/>
        <w:snapToGrid/>
        <w:ind w:left="0" w:leftChars="0" w:firstLine="630" w:firstLineChars="300"/>
        <w:jc w:val="right"/>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投标人名称：</w:t>
      </w:r>
      <w:r>
        <w:rPr>
          <w:rFonts w:hint="eastAsia" w:ascii="宋体" w:hAnsi="宋体" w:eastAsia="宋体" w:cs="宋体"/>
          <w:sz w:val="21"/>
          <w:szCs w:val="21"/>
          <w:u w:val="single"/>
          <w:lang w:val="en-US" w:eastAsia="zh-CN"/>
        </w:rPr>
        <w:t xml:space="preserve"> </w:t>
      </w:r>
      <w:r>
        <w:rPr>
          <w:rFonts w:hint="eastAsia" w:cs="宋体"/>
          <w:sz w:val="21"/>
          <w:szCs w:val="21"/>
          <w:u w:val="single"/>
          <w:lang w:val="en-US" w:eastAsia="zh-CN"/>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（盖公章）</w:t>
      </w:r>
    </w:p>
    <w:p w14:paraId="65F6D9DF">
      <w:pPr>
        <w:pStyle w:val="9"/>
        <w:keepNext w:val="0"/>
        <w:keepLines w:val="0"/>
        <w:pageBreakBefore w:val="0"/>
        <w:widowControl w:val="0"/>
        <w:kinsoku/>
        <w:wordWrap/>
        <w:overflowPunct/>
        <w:topLinePunct w:val="0"/>
        <w:autoSpaceDE/>
        <w:autoSpaceDN/>
        <w:bidi w:val="0"/>
        <w:adjustRightInd/>
        <w:snapToGrid/>
        <w:ind w:left="0" w:leftChars="0" w:firstLine="630" w:firstLineChars="300"/>
        <w:jc w:val="right"/>
        <w:textAlignment w:val="auto"/>
        <w:rPr>
          <w:rFonts w:hint="eastAsia" w:ascii="宋体" w:hAnsi="宋体" w:eastAsia="宋体" w:cs="宋体"/>
          <w:sz w:val="21"/>
          <w:szCs w:val="21"/>
          <w:u w:val="none"/>
          <w:lang w:val="en-US" w:eastAsia="zh-CN"/>
        </w:rPr>
      </w:pPr>
      <w:r>
        <w:rPr>
          <w:rFonts w:hint="eastAsia" w:cs="宋体"/>
          <w:sz w:val="21"/>
          <w:szCs w:val="21"/>
          <w:u w:val="none"/>
          <w:lang w:val="en-US" w:eastAsia="zh-CN"/>
        </w:rPr>
        <w:t xml:space="preserve">    </w:t>
      </w:r>
      <w:r>
        <w:rPr>
          <w:rFonts w:hint="eastAsia" w:ascii="宋体" w:hAnsi="宋体" w:eastAsia="宋体" w:cs="宋体"/>
          <w:sz w:val="21"/>
          <w:szCs w:val="21"/>
          <w:u w:val="none"/>
          <w:lang w:val="en-US" w:eastAsia="zh-CN"/>
        </w:rPr>
        <w:t>年</w:t>
      </w:r>
      <w:r>
        <w:rPr>
          <w:rFonts w:hint="eastAsia" w:cs="宋体"/>
          <w:sz w:val="21"/>
          <w:szCs w:val="21"/>
          <w:u w:val="none"/>
          <w:lang w:val="en-US" w:eastAsia="zh-CN"/>
        </w:rPr>
        <w:t xml:space="preserve">    </w:t>
      </w:r>
      <w:r>
        <w:rPr>
          <w:rFonts w:hint="eastAsia" w:ascii="宋体" w:hAnsi="宋体" w:eastAsia="宋体" w:cs="宋体"/>
          <w:sz w:val="21"/>
          <w:szCs w:val="21"/>
          <w:u w:val="none"/>
          <w:lang w:val="en-US" w:eastAsia="zh-CN"/>
        </w:rPr>
        <w:t>月</w:t>
      </w:r>
      <w:r>
        <w:rPr>
          <w:rFonts w:hint="eastAsia" w:cs="宋体"/>
          <w:sz w:val="21"/>
          <w:szCs w:val="21"/>
          <w:u w:val="none"/>
          <w:lang w:val="en-US" w:eastAsia="zh-CN"/>
        </w:rPr>
        <w:t xml:space="preserve">    </w:t>
      </w:r>
      <w:r>
        <w:rPr>
          <w:rFonts w:hint="eastAsia" w:ascii="宋体" w:hAnsi="宋体" w:eastAsia="宋体" w:cs="宋体"/>
          <w:sz w:val="21"/>
          <w:szCs w:val="21"/>
          <w:u w:val="none"/>
          <w:lang w:val="en-US" w:eastAsia="zh-CN"/>
        </w:rPr>
        <w:t>日</w:t>
      </w:r>
    </w:p>
    <w:p w14:paraId="300F3235">
      <w:pPr>
        <w:pStyle w:val="9"/>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u w:val="none"/>
          <w:lang w:val="en-US" w:eastAsia="zh-CN"/>
        </w:rPr>
      </w:pPr>
    </w:p>
    <w:p w14:paraId="00CB0427">
      <w:pPr>
        <w:pStyle w:val="9"/>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u w:val="none"/>
          <w:lang w:val="en-US" w:eastAsia="zh-CN"/>
        </w:rPr>
      </w:pPr>
    </w:p>
    <w:p w14:paraId="7264786C">
      <w:pPr>
        <w:rPr>
          <w:rFonts w:hint="eastAsia" w:ascii="宋体" w:hAnsi="宋体" w:eastAsia="宋体" w:cs="宋体"/>
          <w:sz w:val="21"/>
          <w:szCs w:val="21"/>
          <w:u w:val="single"/>
          <w:lang w:val="en-US" w:eastAsia="zh-CN"/>
        </w:rPr>
      </w:pPr>
      <w:r>
        <w:rPr>
          <w:rFonts w:hint="eastAsia" w:ascii="宋体" w:hAnsi="宋体" w:eastAsia="宋体" w:cs="宋体"/>
          <w:sz w:val="21"/>
          <w:szCs w:val="21"/>
          <w:u w:val="single"/>
          <w:lang w:val="en-US" w:eastAsia="zh-CN"/>
        </w:rPr>
        <w:br w:type="page"/>
      </w:r>
    </w:p>
    <w:p w14:paraId="3208F91C">
      <w:pPr>
        <w:pStyle w:val="6"/>
        <w:bidi w:val="0"/>
        <w:rPr>
          <w:rFonts w:hint="eastAsia"/>
          <w:lang w:val="en-US" w:eastAsia="zh-CN"/>
        </w:rPr>
      </w:pPr>
      <w:bookmarkStart w:id="410" w:name="_Toc1592"/>
      <w:r>
        <w:rPr>
          <w:rFonts w:hint="eastAsia"/>
          <w:lang w:val="en-US" w:eastAsia="zh-CN"/>
        </w:rPr>
        <w:t>五、法定代表人授权委托书</w:t>
      </w:r>
      <w:bookmarkEnd w:id="410"/>
    </w:p>
    <w:p w14:paraId="558A7EA9">
      <w:pPr>
        <w:pStyle w:val="9"/>
        <w:keepNext w:val="0"/>
        <w:keepLines w:val="0"/>
        <w:pageBreakBefore w:val="0"/>
        <w:widowControl w:val="0"/>
        <w:kinsoku/>
        <w:wordWrap/>
        <w:overflowPunct/>
        <w:topLinePunct w:val="0"/>
        <w:autoSpaceDE/>
        <w:autoSpaceDN/>
        <w:bidi w:val="0"/>
        <w:adjustRightInd/>
        <w:snapToGrid/>
        <w:spacing w:line="396" w:lineRule="auto"/>
        <w:ind w:left="0" w:leftChars="0" w:firstLine="0" w:firstLineChars="0"/>
        <w:textAlignment w:val="auto"/>
        <w:rPr>
          <w:rFonts w:hint="eastAsia" w:ascii="宋体" w:hAnsi="宋体" w:eastAsia="宋体" w:cs="宋体"/>
          <w:sz w:val="21"/>
          <w:szCs w:val="21"/>
          <w:u w:val="none"/>
          <w:lang w:val="en-US" w:eastAsia="zh-CN"/>
        </w:rPr>
      </w:pPr>
    </w:p>
    <w:p w14:paraId="41081AAB">
      <w:pPr>
        <w:pStyle w:val="9"/>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本人</w:t>
      </w:r>
      <w:r>
        <w:rPr>
          <w:rFonts w:hint="eastAsia" w:cs="宋体"/>
          <w:sz w:val="21"/>
          <w:szCs w:val="21"/>
          <w:u w:val="single"/>
          <w:lang w:val="en-US" w:eastAsia="zh-CN"/>
        </w:rPr>
        <w:t xml:space="preserve">           </w:t>
      </w:r>
      <w:r>
        <w:rPr>
          <w:rFonts w:hint="eastAsia" w:ascii="宋体" w:hAnsi="宋体" w:eastAsia="宋体" w:cs="宋体"/>
          <w:sz w:val="21"/>
          <w:szCs w:val="21"/>
          <w:u w:val="none"/>
          <w:lang w:val="en-US" w:eastAsia="zh-CN"/>
        </w:rPr>
        <w:t>（姓名）系</w:t>
      </w:r>
      <w:r>
        <w:rPr>
          <w:rFonts w:hint="eastAsia" w:cs="宋体"/>
          <w:sz w:val="21"/>
          <w:szCs w:val="21"/>
          <w:u w:val="single"/>
          <w:lang w:val="en-US" w:eastAsia="zh-CN"/>
        </w:rPr>
        <w:t xml:space="preserve">                      </w:t>
      </w:r>
      <w:r>
        <w:rPr>
          <w:rFonts w:hint="eastAsia" w:ascii="宋体" w:hAnsi="宋体" w:eastAsia="宋体" w:cs="宋体"/>
          <w:sz w:val="21"/>
          <w:szCs w:val="21"/>
          <w:u w:val="none"/>
          <w:lang w:val="en-US" w:eastAsia="zh-CN"/>
        </w:rPr>
        <w:t>（投标人名称）的法定代表人，现委托</w:t>
      </w:r>
      <w:r>
        <w:rPr>
          <w:rFonts w:hint="eastAsia" w:cs="宋体"/>
          <w:sz w:val="21"/>
          <w:szCs w:val="21"/>
          <w:u w:val="single"/>
          <w:lang w:val="en-US" w:eastAsia="zh-CN"/>
        </w:rPr>
        <w:t xml:space="preserve">           </w:t>
      </w:r>
      <w:r>
        <w:rPr>
          <w:rFonts w:hint="eastAsia" w:ascii="宋体" w:hAnsi="宋体" w:eastAsia="宋体" w:cs="宋体"/>
          <w:sz w:val="21"/>
          <w:szCs w:val="21"/>
          <w:u w:val="none"/>
          <w:lang w:val="en-US" w:eastAsia="zh-CN"/>
        </w:rPr>
        <w:t>（姓名）为我方代理人。代理人根据授权，以我方名义签署、澄清、说明、补正、递交、撤回、修改</w:t>
      </w:r>
      <w:r>
        <w:rPr>
          <w:rFonts w:hint="eastAsia" w:cs="宋体"/>
          <w:sz w:val="21"/>
          <w:szCs w:val="21"/>
          <w:u w:val="single"/>
          <w:lang w:val="en-US" w:eastAsia="zh-CN"/>
        </w:rPr>
        <w:t xml:space="preserve">           </w:t>
      </w:r>
      <w:r>
        <w:rPr>
          <w:rFonts w:hint="eastAsia" w:ascii="宋体" w:hAnsi="宋体" w:eastAsia="宋体" w:cs="宋体"/>
          <w:sz w:val="21"/>
          <w:szCs w:val="21"/>
          <w:u w:val="none"/>
          <w:lang w:val="en-US" w:eastAsia="zh-CN"/>
        </w:rPr>
        <w:t>（项目名称）投标文件、签订合同和处理有关事宜，其法律后果由我方承担。</w:t>
      </w:r>
    </w:p>
    <w:p w14:paraId="558DE84C">
      <w:pPr>
        <w:pStyle w:val="9"/>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委托期限：_________。</w:t>
      </w:r>
    </w:p>
    <w:p w14:paraId="690211FE">
      <w:pPr>
        <w:pStyle w:val="9"/>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代理人无转委托权。</w:t>
      </w:r>
    </w:p>
    <w:p w14:paraId="40047DFC">
      <w:pPr>
        <w:pStyle w:val="9"/>
        <w:keepNext w:val="0"/>
        <w:keepLines w:val="0"/>
        <w:pageBreakBefore w:val="0"/>
        <w:widowControl w:val="0"/>
        <w:kinsoku/>
        <w:wordWrap/>
        <w:overflowPunct/>
        <w:topLinePunct w:val="0"/>
        <w:autoSpaceDE/>
        <w:autoSpaceDN/>
        <w:bidi w:val="0"/>
        <w:adjustRightInd/>
        <w:snapToGrid/>
        <w:spacing w:line="396" w:lineRule="auto"/>
        <w:ind w:left="0" w:leftChars="0" w:firstLine="420" w:firstLineChars="20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附：法定代表人及委托代理人身份证</w:t>
      </w:r>
    </w:p>
    <w:p w14:paraId="67648AA2">
      <w:pPr>
        <w:pStyle w:val="9"/>
        <w:keepNext w:val="0"/>
        <w:keepLines w:val="0"/>
        <w:pageBreakBefore w:val="0"/>
        <w:widowControl w:val="0"/>
        <w:kinsoku/>
        <w:wordWrap/>
        <w:overflowPunct/>
        <w:topLinePunct w:val="0"/>
        <w:autoSpaceDE/>
        <w:autoSpaceDN/>
        <w:bidi w:val="0"/>
        <w:adjustRightInd/>
        <w:snapToGrid/>
        <w:spacing w:line="396" w:lineRule="auto"/>
        <w:ind w:left="0" w:leftChars="0" w:firstLine="0" w:firstLineChars="0"/>
        <w:textAlignment w:val="auto"/>
        <w:rPr>
          <w:rFonts w:hint="eastAsia" w:ascii="宋体" w:hAnsi="宋体" w:eastAsia="宋体" w:cs="宋体"/>
          <w:sz w:val="21"/>
          <w:szCs w:val="21"/>
          <w:u w:val="none"/>
          <w:lang w:val="en-US" w:eastAsia="zh-CN"/>
        </w:rPr>
      </w:pPr>
    </w:p>
    <w:p w14:paraId="2FFC227C">
      <w:pPr>
        <w:pStyle w:val="9"/>
        <w:keepNext w:val="0"/>
        <w:keepLines w:val="0"/>
        <w:pageBreakBefore w:val="0"/>
        <w:widowControl w:val="0"/>
        <w:kinsoku/>
        <w:wordWrap/>
        <w:overflowPunct/>
        <w:topLinePunct w:val="0"/>
        <w:autoSpaceDE/>
        <w:autoSpaceDN/>
        <w:bidi w:val="0"/>
        <w:adjustRightInd/>
        <w:snapToGrid/>
        <w:spacing w:line="396" w:lineRule="auto"/>
        <w:ind w:left="0" w:leftChars="0" w:firstLine="0" w:firstLineChars="0"/>
        <w:textAlignment w:val="auto"/>
        <w:rPr>
          <w:rFonts w:hint="eastAsia" w:ascii="宋体" w:hAnsi="宋体" w:eastAsia="宋体" w:cs="宋体"/>
          <w:sz w:val="21"/>
          <w:szCs w:val="21"/>
          <w:u w:val="none"/>
          <w:lang w:val="en-US" w:eastAsia="zh-CN"/>
        </w:rPr>
      </w:pPr>
    </w:p>
    <w:p w14:paraId="57D5BA22">
      <w:pPr>
        <w:pStyle w:val="9"/>
        <w:keepNext w:val="0"/>
        <w:keepLines w:val="0"/>
        <w:pageBreakBefore w:val="0"/>
        <w:widowControl w:val="0"/>
        <w:kinsoku/>
        <w:wordWrap/>
        <w:overflowPunct/>
        <w:topLinePunct w:val="0"/>
        <w:autoSpaceDE/>
        <w:autoSpaceDN/>
        <w:bidi w:val="0"/>
        <w:adjustRightInd/>
        <w:snapToGrid/>
        <w:spacing w:line="396" w:lineRule="auto"/>
        <w:ind w:left="0" w:leftChars="0" w:firstLine="0" w:firstLineChars="0"/>
        <w:textAlignment w:val="auto"/>
        <w:rPr>
          <w:rFonts w:hint="eastAsia" w:ascii="宋体" w:hAnsi="宋体" w:eastAsia="宋体" w:cs="宋体"/>
          <w:sz w:val="21"/>
          <w:szCs w:val="21"/>
          <w:u w:val="none"/>
          <w:lang w:val="en-US" w:eastAsia="zh-CN"/>
        </w:rPr>
      </w:pPr>
    </w:p>
    <w:p w14:paraId="0F4C1FB1">
      <w:pPr>
        <w:pStyle w:val="9"/>
        <w:keepNext w:val="0"/>
        <w:keepLines w:val="0"/>
        <w:pageBreakBefore w:val="0"/>
        <w:widowControl w:val="0"/>
        <w:kinsoku/>
        <w:wordWrap w:val="0"/>
        <w:overflowPunct/>
        <w:topLinePunct w:val="0"/>
        <w:autoSpaceDE/>
        <w:autoSpaceDN/>
        <w:bidi w:val="0"/>
        <w:adjustRightInd/>
        <w:snapToGrid/>
        <w:spacing w:line="396" w:lineRule="auto"/>
        <w:ind w:left="0" w:leftChars="0" w:firstLine="0" w:firstLineChars="0"/>
        <w:jc w:val="right"/>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投标人名称：</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（盖单位公章）</w:t>
      </w:r>
    </w:p>
    <w:p w14:paraId="05801E8A">
      <w:pPr>
        <w:pStyle w:val="9"/>
        <w:keepNext w:val="0"/>
        <w:keepLines w:val="0"/>
        <w:pageBreakBefore w:val="0"/>
        <w:widowControl w:val="0"/>
        <w:kinsoku/>
        <w:wordWrap w:val="0"/>
        <w:overflowPunct/>
        <w:topLinePunct w:val="0"/>
        <w:autoSpaceDE/>
        <w:autoSpaceDN/>
        <w:bidi w:val="0"/>
        <w:adjustRightInd/>
        <w:snapToGrid/>
        <w:spacing w:line="396" w:lineRule="auto"/>
        <w:ind w:left="0" w:leftChars="0" w:firstLine="0" w:firstLineChars="0"/>
        <w:jc w:val="right"/>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法定代表人：</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（签字或盖章）</w:t>
      </w:r>
    </w:p>
    <w:p w14:paraId="289390D3">
      <w:pPr>
        <w:pStyle w:val="9"/>
        <w:keepNext w:val="0"/>
        <w:keepLines w:val="0"/>
        <w:pageBreakBefore w:val="0"/>
        <w:widowControl w:val="0"/>
        <w:kinsoku/>
        <w:wordWrap w:val="0"/>
        <w:overflowPunct/>
        <w:topLinePunct w:val="0"/>
        <w:autoSpaceDE/>
        <w:autoSpaceDN/>
        <w:bidi w:val="0"/>
        <w:adjustRightInd/>
        <w:snapToGrid/>
        <w:spacing w:line="396" w:lineRule="auto"/>
        <w:ind w:left="0" w:leftChars="0" w:firstLine="0" w:firstLineChars="0"/>
        <w:jc w:val="right"/>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身份证号码：</w:t>
      </w:r>
      <w:r>
        <w:rPr>
          <w:rFonts w:hint="eastAsia" w:ascii="宋体" w:hAnsi="宋体" w:eastAsia="宋体" w:cs="宋体"/>
          <w:sz w:val="21"/>
          <w:szCs w:val="21"/>
          <w:u w:val="single"/>
          <w:lang w:val="en-US" w:eastAsia="zh-CN"/>
        </w:rPr>
        <w:t xml:space="preserve">                          </w:t>
      </w:r>
    </w:p>
    <w:p w14:paraId="287C9475">
      <w:pPr>
        <w:pStyle w:val="9"/>
        <w:keepNext w:val="0"/>
        <w:keepLines w:val="0"/>
        <w:pageBreakBefore w:val="0"/>
        <w:widowControl w:val="0"/>
        <w:kinsoku/>
        <w:wordWrap w:val="0"/>
        <w:overflowPunct/>
        <w:topLinePunct w:val="0"/>
        <w:autoSpaceDE/>
        <w:autoSpaceDN/>
        <w:bidi w:val="0"/>
        <w:adjustRightInd/>
        <w:snapToGrid/>
        <w:spacing w:line="396" w:lineRule="auto"/>
        <w:ind w:left="0" w:leftChars="0" w:firstLine="0" w:firstLineChars="0"/>
        <w:jc w:val="right"/>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委托代理人：</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（签字或盖章）</w:t>
      </w:r>
    </w:p>
    <w:p w14:paraId="4ABF7D40">
      <w:pPr>
        <w:pStyle w:val="9"/>
        <w:keepNext w:val="0"/>
        <w:keepLines w:val="0"/>
        <w:pageBreakBefore w:val="0"/>
        <w:widowControl w:val="0"/>
        <w:kinsoku/>
        <w:wordWrap w:val="0"/>
        <w:overflowPunct/>
        <w:topLinePunct w:val="0"/>
        <w:autoSpaceDE/>
        <w:autoSpaceDN/>
        <w:bidi w:val="0"/>
        <w:adjustRightInd/>
        <w:snapToGrid/>
        <w:spacing w:line="396" w:lineRule="auto"/>
        <w:ind w:left="0" w:leftChars="0" w:firstLine="0" w:firstLineChars="0"/>
        <w:jc w:val="right"/>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身份证号码：</w:t>
      </w:r>
      <w:r>
        <w:rPr>
          <w:rFonts w:hint="eastAsia" w:ascii="宋体" w:hAnsi="宋体" w:eastAsia="宋体" w:cs="宋体"/>
          <w:sz w:val="21"/>
          <w:szCs w:val="21"/>
          <w:u w:val="single"/>
          <w:lang w:val="en-US" w:eastAsia="zh-CN"/>
        </w:rPr>
        <w:t xml:space="preserve">                          </w:t>
      </w:r>
    </w:p>
    <w:p w14:paraId="54654DAC">
      <w:pPr>
        <w:pStyle w:val="9"/>
        <w:keepNext w:val="0"/>
        <w:keepLines w:val="0"/>
        <w:pageBreakBefore w:val="0"/>
        <w:widowControl w:val="0"/>
        <w:kinsoku/>
        <w:wordWrap w:val="0"/>
        <w:overflowPunct/>
        <w:topLinePunct w:val="0"/>
        <w:autoSpaceDE/>
        <w:autoSpaceDN/>
        <w:bidi w:val="0"/>
        <w:adjustRightInd/>
        <w:snapToGrid/>
        <w:spacing w:line="396" w:lineRule="auto"/>
        <w:ind w:left="0" w:leftChars="0" w:firstLine="0" w:firstLineChars="0"/>
        <w:jc w:val="right"/>
        <w:textAlignment w:val="auto"/>
        <w:rPr>
          <w:rFonts w:hint="default"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日      期：</w:t>
      </w:r>
      <w:r>
        <w:rPr>
          <w:rFonts w:hint="eastAsia" w:cs="宋体"/>
          <w:sz w:val="21"/>
          <w:szCs w:val="21"/>
          <w:u w:val="single"/>
          <w:lang w:val="en-US" w:eastAsia="zh-CN"/>
        </w:rPr>
        <w:t xml:space="preserve">                          </w:t>
      </w:r>
    </w:p>
    <w:p w14:paraId="3FB2F6E8">
      <w:pPr>
        <w:pStyle w:val="9"/>
        <w:keepNext w:val="0"/>
        <w:keepLines w:val="0"/>
        <w:pageBreakBefore w:val="0"/>
        <w:widowControl w:val="0"/>
        <w:kinsoku/>
        <w:wordWrap/>
        <w:overflowPunct/>
        <w:topLinePunct w:val="0"/>
        <w:autoSpaceDE/>
        <w:autoSpaceDN/>
        <w:bidi w:val="0"/>
        <w:adjustRightInd/>
        <w:snapToGrid/>
        <w:spacing w:line="396" w:lineRule="auto"/>
        <w:ind w:left="0" w:leftChars="0" w:firstLine="0" w:firstLineChars="0"/>
        <w:textAlignment w:val="auto"/>
        <w:rPr>
          <w:rFonts w:hint="eastAsia" w:ascii="宋体" w:hAnsi="宋体" w:eastAsia="宋体" w:cs="宋体"/>
          <w:sz w:val="21"/>
          <w:szCs w:val="21"/>
          <w:u w:val="none"/>
          <w:lang w:val="en-US" w:eastAsia="zh-CN"/>
        </w:rPr>
      </w:pPr>
    </w:p>
    <w:p w14:paraId="5813C8CF">
      <w:pPr>
        <w:pStyle w:val="9"/>
        <w:ind w:left="0" w:leftChars="0" w:firstLine="0" w:firstLineChars="0"/>
        <w:rPr>
          <w:rFonts w:hint="eastAsia" w:ascii="宋体" w:hAnsi="宋体" w:eastAsia="宋体" w:cs="宋体"/>
          <w:sz w:val="21"/>
          <w:szCs w:val="21"/>
          <w:u w:val="single"/>
          <w:lang w:val="en-US" w:eastAsia="zh-CN"/>
        </w:rPr>
      </w:pPr>
    </w:p>
    <w:p w14:paraId="34ACAB4F">
      <w:pPr>
        <w:rPr>
          <w:rFonts w:hint="eastAsia" w:ascii="宋体" w:hAnsi="宋体" w:eastAsia="宋体" w:cs="宋体"/>
          <w:sz w:val="21"/>
          <w:szCs w:val="21"/>
          <w:u w:val="single"/>
          <w:lang w:val="en-US" w:eastAsia="zh-CN"/>
        </w:rPr>
      </w:pPr>
      <w:r>
        <w:rPr>
          <w:rFonts w:hint="eastAsia" w:ascii="宋体" w:hAnsi="宋体" w:eastAsia="宋体" w:cs="宋体"/>
          <w:sz w:val="21"/>
          <w:szCs w:val="21"/>
          <w:u w:val="single"/>
          <w:lang w:val="en-US" w:eastAsia="zh-CN"/>
        </w:rPr>
        <w:br w:type="page"/>
      </w:r>
    </w:p>
    <w:p w14:paraId="3D61210B">
      <w:pPr>
        <w:pStyle w:val="6"/>
        <w:tabs>
          <w:tab w:val="left" w:pos="840"/>
        </w:tabs>
        <w:bidi w:val="0"/>
        <w:rPr>
          <w:rFonts w:hint="eastAsia" w:ascii="宋体" w:hAnsi="宋体" w:eastAsia="宋体" w:cs="宋体"/>
          <w:color w:val="auto"/>
        </w:rPr>
      </w:pPr>
      <w:bookmarkStart w:id="411" w:name="_Toc20882"/>
      <w:bookmarkStart w:id="412" w:name="_Toc7692"/>
      <w:r>
        <w:rPr>
          <w:rFonts w:hint="eastAsia" w:cs="宋体"/>
          <w:color w:val="auto"/>
          <w:lang w:val="en-US" w:eastAsia="zh-CN"/>
        </w:rPr>
        <w:t>六</w:t>
      </w:r>
      <w:r>
        <w:rPr>
          <w:rFonts w:hint="eastAsia" w:ascii="宋体" w:hAnsi="宋体" w:eastAsia="宋体" w:cs="宋体"/>
          <w:color w:val="auto"/>
        </w:rPr>
        <w:t>、</w:t>
      </w:r>
      <w:r>
        <w:rPr>
          <w:rFonts w:hint="eastAsia" w:cs="宋体"/>
          <w:color w:val="auto"/>
          <w:lang w:val="en-US" w:eastAsia="zh-CN"/>
        </w:rPr>
        <w:t>投标人</w:t>
      </w:r>
      <w:r>
        <w:rPr>
          <w:rFonts w:hint="eastAsia" w:ascii="宋体" w:hAnsi="宋体" w:eastAsia="宋体" w:cs="宋体"/>
          <w:color w:val="auto"/>
        </w:rPr>
        <w:t>承诺函</w:t>
      </w:r>
      <w:bookmarkEnd w:id="411"/>
      <w:bookmarkEnd w:id="412"/>
    </w:p>
    <w:p w14:paraId="1B2E702F">
      <w:pPr>
        <w:pStyle w:val="7"/>
        <w:bidi w:val="0"/>
        <w:jc w:val="center"/>
        <w:rPr>
          <w:rFonts w:hint="eastAsia" w:ascii="宋体" w:hAnsi="宋体" w:eastAsia="宋体" w:cs="宋体"/>
          <w:color w:val="auto"/>
          <w:sz w:val="24"/>
          <w:szCs w:val="24"/>
        </w:rPr>
      </w:pPr>
      <w:bookmarkStart w:id="413" w:name="_Toc22580"/>
      <w:bookmarkStart w:id="414" w:name="_Toc20897"/>
      <w:bookmarkStart w:id="415" w:name="_Toc10258"/>
      <w:r>
        <w:rPr>
          <w:rFonts w:hint="eastAsia" w:cs="宋体"/>
          <w:color w:val="auto"/>
          <w:sz w:val="24"/>
          <w:szCs w:val="24"/>
          <w:lang w:eastAsia="zh-CN"/>
        </w:rPr>
        <w:t>（</w:t>
      </w:r>
      <w:r>
        <w:rPr>
          <w:rFonts w:hint="eastAsia" w:cs="宋体"/>
          <w:color w:val="auto"/>
          <w:sz w:val="24"/>
          <w:szCs w:val="24"/>
          <w:lang w:val="en-US" w:eastAsia="zh-CN"/>
        </w:rPr>
        <w:t>一</w:t>
      </w:r>
      <w:r>
        <w:rPr>
          <w:rFonts w:hint="eastAsia" w:cs="宋体"/>
          <w:color w:val="auto"/>
          <w:sz w:val="24"/>
          <w:szCs w:val="24"/>
          <w:lang w:eastAsia="zh-CN"/>
        </w:rPr>
        <w:t>）</w:t>
      </w:r>
      <w:r>
        <w:rPr>
          <w:rFonts w:hint="eastAsia" w:ascii="宋体" w:hAnsi="宋体" w:eastAsia="宋体" w:cs="宋体"/>
          <w:color w:val="auto"/>
          <w:sz w:val="24"/>
          <w:szCs w:val="24"/>
        </w:rPr>
        <w:t>投标承诺函</w:t>
      </w:r>
      <w:bookmarkEnd w:id="413"/>
      <w:bookmarkEnd w:id="414"/>
      <w:bookmarkEnd w:id="415"/>
    </w:p>
    <w:p w14:paraId="6BD5F619">
      <w:pPr>
        <w:keepNext w:val="0"/>
        <w:keepLines w:val="0"/>
        <w:pageBreakBefore w:val="0"/>
        <w:widowControl w:val="0"/>
        <w:kinsoku/>
        <w:wordWrap/>
        <w:overflowPunct/>
        <w:topLinePunct w:val="0"/>
        <w:autoSpaceDE/>
        <w:autoSpaceDN/>
        <w:bidi w:val="0"/>
        <w:adjustRightInd/>
        <w:snapToGrid/>
        <w:textAlignment w:val="auto"/>
        <w:rPr>
          <w:rFonts w:hint="eastAsia"/>
          <w:sz w:val="21"/>
          <w:szCs w:val="21"/>
        </w:rPr>
      </w:pPr>
      <w:r>
        <w:rPr>
          <w:rFonts w:hint="eastAsia"/>
          <w:sz w:val="21"/>
          <w:szCs w:val="21"/>
        </w:rPr>
        <w:t>致</w:t>
      </w:r>
      <w:r>
        <w:rPr>
          <w:rFonts w:hint="eastAsia"/>
          <w:sz w:val="21"/>
          <w:szCs w:val="21"/>
          <w:u w:val="single"/>
          <w:lang w:val="en-US" w:eastAsia="zh-CN"/>
        </w:rPr>
        <w:t xml:space="preserve">             </w:t>
      </w:r>
      <w:r>
        <w:rPr>
          <w:rFonts w:hint="eastAsia"/>
          <w:sz w:val="21"/>
          <w:szCs w:val="21"/>
        </w:rPr>
        <w:t>（采购人或采购代理机构）：</w:t>
      </w:r>
    </w:p>
    <w:p w14:paraId="021686E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sz w:val="21"/>
          <w:szCs w:val="21"/>
        </w:rPr>
      </w:pPr>
      <w:r>
        <w:rPr>
          <w:rFonts w:hint="eastAsia"/>
          <w:sz w:val="21"/>
          <w:szCs w:val="21"/>
        </w:rPr>
        <w:t>我公司作为本次采购项目的</w:t>
      </w:r>
      <w:r>
        <w:rPr>
          <w:rFonts w:hint="eastAsia"/>
          <w:sz w:val="21"/>
          <w:szCs w:val="21"/>
          <w:lang w:eastAsia="zh-CN"/>
        </w:rPr>
        <w:t>供应商</w:t>
      </w:r>
      <w:r>
        <w:rPr>
          <w:rFonts w:hint="eastAsia"/>
          <w:sz w:val="21"/>
          <w:szCs w:val="21"/>
        </w:rPr>
        <w:t>，根据</w:t>
      </w:r>
      <w:r>
        <w:rPr>
          <w:rFonts w:hint="eastAsia"/>
          <w:sz w:val="21"/>
          <w:szCs w:val="21"/>
          <w:lang w:val="en-US" w:eastAsia="zh-CN"/>
        </w:rPr>
        <w:t>招标</w:t>
      </w:r>
      <w:r>
        <w:rPr>
          <w:rFonts w:hint="eastAsia"/>
          <w:sz w:val="21"/>
          <w:szCs w:val="21"/>
          <w:lang w:eastAsia="zh-CN"/>
        </w:rPr>
        <w:t>文件</w:t>
      </w:r>
      <w:r>
        <w:rPr>
          <w:rFonts w:hint="eastAsia"/>
          <w:sz w:val="21"/>
          <w:szCs w:val="21"/>
        </w:rPr>
        <w:t>要求，现郑重承诺如下：</w:t>
      </w:r>
    </w:p>
    <w:p w14:paraId="5C3C1486">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sz w:val="21"/>
          <w:szCs w:val="21"/>
        </w:rPr>
      </w:pPr>
      <w:r>
        <w:rPr>
          <w:rFonts w:hint="eastAsia"/>
          <w:sz w:val="21"/>
          <w:szCs w:val="21"/>
        </w:rPr>
        <w:t>一、具备《中华人民共和国政府采购法》第二十二条第一款和本项目规定的条件。</w:t>
      </w:r>
    </w:p>
    <w:p w14:paraId="65BD9F5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sz w:val="21"/>
          <w:szCs w:val="21"/>
        </w:rPr>
      </w:pPr>
      <w:r>
        <w:rPr>
          <w:rFonts w:hint="eastAsia"/>
          <w:sz w:val="21"/>
          <w:szCs w:val="21"/>
        </w:rPr>
        <w:t>二、完全接受和满足本项目</w:t>
      </w:r>
      <w:r>
        <w:rPr>
          <w:rFonts w:hint="eastAsia"/>
          <w:sz w:val="21"/>
          <w:szCs w:val="21"/>
          <w:lang w:val="en-US" w:eastAsia="zh-CN"/>
        </w:rPr>
        <w:t>招标</w:t>
      </w:r>
      <w:r>
        <w:rPr>
          <w:rFonts w:hint="eastAsia"/>
          <w:sz w:val="21"/>
          <w:szCs w:val="21"/>
          <w:lang w:eastAsia="zh-CN"/>
        </w:rPr>
        <w:t>文件</w:t>
      </w:r>
      <w:r>
        <w:rPr>
          <w:rFonts w:hint="eastAsia"/>
          <w:sz w:val="21"/>
          <w:szCs w:val="21"/>
        </w:rPr>
        <w:t>中规定的实质性要求，如对</w:t>
      </w:r>
      <w:r>
        <w:rPr>
          <w:rFonts w:hint="eastAsia"/>
          <w:sz w:val="21"/>
          <w:szCs w:val="21"/>
          <w:lang w:val="en-US" w:eastAsia="zh-CN"/>
        </w:rPr>
        <w:t>招标</w:t>
      </w:r>
      <w:r>
        <w:rPr>
          <w:rFonts w:hint="eastAsia"/>
          <w:sz w:val="21"/>
          <w:szCs w:val="21"/>
          <w:lang w:eastAsia="zh-CN"/>
        </w:rPr>
        <w:t>文件</w:t>
      </w:r>
      <w:r>
        <w:rPr>
          <w:rFonts w:hint="eastAsia"/>
          <w:sz w:val="21"/>
          <w:szCs w:val="21"/>
        </w:rPr>
        <w:t>有异议，已经在投标截止时间届满前依法进行维权救济，不存在对</w:t>
      </w:r>
      <w:r>
        <w:rPr>
          <w:rFonts w:hint="eastAsia"/>
          <w:sz w:val="21"/>
          <w:szCs w:val="21"/>
          <w:lang w:val="en-US" w:eastAsia="zh-CN"/>
        </w:rPr>
        <w:t>招标</w:t>
      </w:r>
      <w:r>
        <w:rPr>
          <w:rFonts w:hint="eastAsia"/>
          <w:sz w:val="21"/>
          <w:szCs w:val="21"/>
          <w:lang w:eastAsia="zh-CN"/>
        </w:rPr>
        <w:t>文件</w:t>
      </w:r>
      <w:r>
        <w:rPr>
          <w:rFonts w:hint="eastAsia"/>
          <w:sz w:val="21"/>
          <w:szCs w:val="21"/>
        </w:rPr>
        <w:t>有异议的同时又参加投标以求侥幸中标或者为实现其他非法目的的行为。</w:t>
      </w:r>
    </w:p>
    <w:p w14:paraId="2491ADD9">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sz w:val="21"/>
          <w:szCs w:val="21"/>
        </w:rPr>
      </w:pPr>
      <w:r>
        <w:rPr>
          <w:rFonts w:hint="eastAsia"/>
          <w:sz w:val="21"/>
          <w:szCs w:val="21"/>
        </w:rPr>
        <w:t>三、参加本次招标采购活动，不存在和其他</w:t>
      </w:r>
      <w:r>
        <w:rPr>
          <w:rFonts w:hint="eastAsia"/>
          <w:sz w:val="21"/>
          <w:szCs w:val="21"/>
          <w:lang w:eastAsia="zh-CN"/>
        </w:rPr>
        <w:t>供应商</w:t>
      </w:r>
      <w:r>
        <w:rPr>
          <w:rFonts w:hint="eastAsia"/>
          <w:sz w:val="21"/>
          <w:szCs w:val="21"/>
        </w:rPr>
        <w:t>在同一合同项下的采购项目中，同时委托同一个自然人、同一家庭的人员、同一单位的人员作为代理人的行为。</w:t>
      </w:r>
    </w:p>
    <w:p w14:paraId="7E0B0DC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sz w:val="21"/>
          <w:szCs w:val="21"/>
        </w:rPr>
      </w:pPr>
      <w:r>
        <w:rPr>
          <w:rFonts w:hint="eastAsia"/>
          <w:sz w:val="21"/>
          <w:szCs w:val="21"/>
          <w:lang w:val="en-US" w:eastAsia="zh-CN"/>
        </w:rPr>
        <w:t>四</w:t>
      </w:r>
      <w:r>
        <w:rPr>
          <w:rFonts w:hint="eastAsia"/>
          <w:sz w:val="21"/>
          <w:szCs w:val="21"/>
        </w:rPr>
        <w:t>、</w:t>
      </w:r>
      <w:r>
        <w:rPr>
          <w:rFonts w:hint="eastAsia"/>
          <w:sz w:val="21"/>
          <w:szCs w:val="21"/>
          <w:lang w:eastAsia="zh-CN"/>
        </w:rPr>
        <w:t>响应文件</w:t>
      </w:r>
      <w:r>
        <w:rPr>
          <w:rFonts w:hint="eastAsia"/>
          <w:sz w:val="21"/>
          <w:szCs w:val="21"/>
        </w:rPr>
        <w:t>中提供的能够给予我公司带来优惠、好处的任何材料资料和技术、服务、商务等响应承诺情况都是真实的、有效的、合法的。</w:t>
      </w:r>
    </w:p>
    <w:p w14:paraId="75C66DB6">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sz w:val="21"/>
          <w:szCs w:val="21"/>
        </w:rPr>
      </w:pPr>
      <w:r>
        <w:rPr>
          <w:rFonts w:hint="eastAsia"/>
          <w:sz w:val="21"/>
          <w:szCs w:val="21"/>
          <w:lang w:val="en-US" w:eastAsia="zh-CN"/>
        </w:rPr>
        <w:t>五</w:t>
      </w:r>
      <w:r>
        <w:rPr>
          <w:rFonts w:hint="eastAsia"/>
          <w:sz w:val="21"/>
          <w:szCs w:val="21"/>
        </w:rPr>
        <w:t>、存在以下行为之一的愿意接受相关部门的处理：</w:t>
      </w:r>
    </w:p>
    <w:p w14:paraId="573FE19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sz w:val="21"/>
          <w:szCs w:val="21"/>
        </w:rPr>
      </w:pPr>
      <w:r>
        <w:rPr>
          <w:rFonts w:hint="eastAsia"/>
          <w:sz w:val="21"/>
          <w:szCs w:val="21"/>
        </w:rPr>
        <w:t>（一）</w:t>
      </w:r>
      <w:r>
        <w:rPr>
          <w:rFonts w:hint="eastAsia"/>
          <w:sz w:val="21"/>
          <w:szCs w:val="21"/>
          <w:lang w:val="en-US" w:eastAsia="zh-CN"/>
        </w:rPr>
        <w:t>投标</w:t>
      </w:r>
      <w:r>
        <w:rPr>
          <w:rFonts w:hint="eastAsia"/>
          <w:sz w:val="21"/>
          <w:szCs w:val="21"/>
          <w:lang w:eastAsia="zh-CN"/>
        </w:rPr>
        <w:t>有效期</w:t>
      </w:r>
      <w:r>
        <w:rPr>
          <w:rFonts w:hint="eastAsia"/>
          <w:sz w:val="21"/>
          <w:szCs w:val="21"/>
        </w:rPr>
        <w:t>内撤销</w:t>
      </w:r>
      <w:r>
        <w:rPr>
          <w:rFonts w:hint="eastAsia"/>
          <w:sz w:val="21"/>
          <w:szCs w:val="21"/>
          <w:lang w:val="en-US" w:eastAsia="zh-CN"/>
        </w:rPr>
        <w:t>投标</w:t>
      </w:r>
      <w:r>
        <w:rPr>
          <w:rFonts w:hint="eastAsia"/>
          <w:sz w:val="21"/>
          <w:szCs w:val="21"/>
          <w:lang w:eastAsia="zh-CN"/>
        </w:rPr>
        <w:t>文件</w:t>
      </w:r>
      <w:r>
        <w:rPr>
          <w:rFonts w:hint="eastAsia"/>
          <w:sz w:val="21"/>
          <w:szCs w:val="21"/>
        </w:rPr>
        <w:t>的；</w:t>
      </w:r>
    </w:p>
    <w:p w14:paraId="588B9E0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sz w:val="21"/>
          <w:szCs w:val="21"/>
        </w:rPr>
      </w:pPr>
      <w:r>
        <w:rPr>
          <w:rFonts w:hint="eastAsia"/>
          <w:sz w:val="21"/>
          <w:szCs w:val="21"/>
        </w:rPr>
        <w:t>（二）在采购人确定</w:t>
      </w:r>
      <w:r>
        <w:rPr>
          <w:rFonts w:hint="eastAsia"/>
          <w:sz w:val="21"/>
          <w:szCs w:val="21"/>
          <w:lang w:val="en-US" w:eastAsia="zh-CN"/>
        </w:rPr>
        <w:t>中标</w:t>
      </w:r>
      <w:r>
        <w:rPr>
          <w:rFonts w:hint="eastAsia"/>
          <w:sz w:val="21"/>
          <w:szCs w:val="21"/>
          <w:lang w:eastAsia="zh-CN"/>
        </w:rPr>
        <w:t>人</w:t>
      </w:r>
      <w:r>
        <w:rPr>
          <w:rFonts w:hint="eastAsia"/>
          <w:sz w:val="21"/>
          <w:szCs w:val="21"/>
        </w:rPr>
        <w:t>以前放弃中标候选资格的；</w:t>
      </w:r>
    </w:p>
    <w:p w14:paraId="2F8158E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sz w:val="21"/>
          <w:szCs w:val="21"/>
        </w:rPr>
      </w:pPr>
      <w:r>
        <w:rPr>
          <w:rFonts w:hint="eastAsia"/>
          <w:sz w:val="21"/>
          <w:szCs w:val="21"/>
        </w:rPr>
        <w:t>（三）由于</w:t>
      </w:r>
      <w:r>
        <w:rPr>
          <w:rFonts w:hint="eastAsia"/>
          <w:sz w:val="21"/>
          <w:szCs w:val="21"/>
          <w:lang w:val="en-US" w:eastAsia="zh-CN"/>
        </w:rPr>
        <w:t>中标</w:t>
      </w:r>
      <w:r>
        <w:rPr>
          <w:rFonts w:hint="eastAsia"/>
          <w:sz w:val="21"/>
          <w:szCs w:val="21"/>
          <w:lang w:eastAsia="zh-CN"/>
        </w:rPr>
        <w:t>人</w:t>
      </w:r>
      <w:r>
        <w:rPr>
          <w:rFonts w:hint="eastAsia"/>
          <w:sz w:val="21"/>
          <w:szCs w:val="21"/>
        </w:rPr>
        <w:t>的原因未能按照</w:t>
      </w:r>
      <w:r>
        <w:rPr>
          <w:rFonts w:hint="eastAsia"/>
          <w:sz w:val="21"/>
          <w:szCs w:val="21"/>
          <w:lang w:val="en-US" w:eastAsia="zh-CN"/>
        </w:rPr>
        <w:t>招标</w:t>
      </w:r>
      <w:r>
        <w:rPr>
          <w:rFonts w:hint="eastAsia"/>
          <w:sz w:val="21"/>
          <w:szCs w:val="21"/>
          <w:lang w:eastAsia="zh-CN"/>
        </w:rPr>
        <w:t>文件</w:t>
      </w:r>
      <w:r>
        <w:rPr>
          <w:rFonts w:hint="eastAsia"/>
          <w:sz w:val="21"/>
          <w:szCs w:val="21"/>
        </w:rPr>
        <w:t>的规定与采购人签订合同；</w:t>
      </w:r>
    </w:p>
    <w:p w14:paraId="50D9F8B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sz w:val="21"/>
          <w:szCs w:val="21"/>
        </w:rPr>
      </w:pPr>
      <w:r>
        <w:rPr>
          <w:rFonts w:hint="eastAsia"/>
          <w:sz w:val="21"/>
          <w:szCs w:val="21"/>
        </w:rPr>
        <w:t>（四）在</w:t>
      </w:r>
      <w:r>
        <w:rPr>
          <w:rFonts w:hint="eastAsia"/>
          <w:sz w:val="21"/>
          <w:szCs w:val="21"/>
          <w:lang w:val="en-US" w:eastAsia="zh-CN"/>
        </w:rPr>
        <w:t>投标</w:t>
      </w:r>
      <w:r>
        <w:rPr>
          <w:rFonts w:hint="eastAsia"/>
          <w:sz w:val="21"/>
          <w:szCs w:val="21"/>
          <w:lang w:eastAsia="zh-CN"/>
        </w:rPr>
        <w:t>文件</w:t>
      </w:r>
      <w:r>
        <w:rPr>
          <w:rFonts w:hint="eastAsia"/>
          <w:sz w:val="21"/>
          <w:szCs w:val="21"/>
        </w:rPr>
        <w:t>中提供虚假材料谋取中标；</w:t>
      </w:r>
    </w:p>
    <w:p w14:paraId="76C4D7D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sz w:val="21"/>
          <w:szCs w:val="21"/>
        </w:rPr>
      </w:pPr>
      <w:r>
        <w:rPr>
          <w:rFonts w:hint="eastAsia"/>
          <w:sz w:val="21"/>
          <w:szCs w:val="21"/>
        </w:rPr>
        <w:t>（五）与采购人、其他</w:t>
      </w:r>
      <w:r>
        <w:rPr>
          <w:rFonts w:hint="eastAsia"/>
          <w:sz w:val="21"/>
          <w:szCs w:val="21"/>
          <w:lang w:eastAsia="zh-CN"/>
        </w:rPr>
        <w:t>供应商</w:t>
      </w:r>
      <w:r>
        <w:rPr>
          <w:rFonts w:hint="eastAsia"/>
          <w:sz w:val="21"/>
          <w:szCs w:val="21"/>
        </w:rPr>
        <w:t>或者采购代理机构恶意串通的；</w:t>
      </w:r>
    </w:p>
    <w:p w14:paraId="7D21DD2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sz w:val="21"/>
          <w:szCs w:val="21"/>
        </w:rPr>
      </w:pPr>
      <w:r>
        <w:rPr>
          <w:rFonts w:hint="eastAsia"/>
          <w:sz w:val="21"/>
          <w:szCs w:val="21"/>
        </w:rPr>
        <w:t>（六）</w:t>
      </w:r>
      <w:r>
        <w:rPr>
          <w:rFonts w:hint="eastAsia"/>
          <w:sz w:val="21"/>
          <w:szCs w:val="21"/>
          <w:lang w:val="en-US" w:eastAsia="zh-CN"/>
        </w:rPr>
        <w:t>投标</w:t>
      </w:r>
      <w:r>
        <w:rPr>
          <w:rFonts w:hint="eastAsia"/>
          <w:sz w:val="21"/>
          <w:szCs w:val="21"/>
          <w:lang w:eastAsia="zh-CN"/>
        </w:rPr>
        <w:t>有效期</w:t>
      </w:r>
      <w:r>
        <w:rPr>
          <w:rFonts w:hint="eastAsia"/>
          <w:sz w:val="21"/>
          <w:szCs w:val="21"/>
        </w:rPr>
        <w:t>内，</w:t>
      </w:r>
      <w:r>
        <w:rPr>
          <w:rFonts w:hint="eastAsia"/>
          <w:sz w:val="21"/>
          <w:szCs w:val="21"/>
          <w:lang w:eastAsia="zh-CN"/>
        </w:rPr>
        <w:t>供应商</w:t>
      </w:r>
      <w:r>
        <w:rPr>
          <w:rFonts w:hint="eastAsia"/>
          <w:sz w:val="21"/>
          <w:szCs w:val="21"/>
        </w:rPr>
        <w:t>在政府采购活动中有违法、违规、违纪行为。</w:t>
      </w:r>
    </w:p>
    <w:p w14:paraId="5AE0448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sz w:val="21"/>
          <w:szCs w:val="21"/>
        </w:rPr>
      </w:pPr>
      <w:r>
        <w:rPr>
          <w:rFonts w:hint="eastAsia"/>
          <w:sz w:val="21"/>
          <w:szCs w:val="21"/>
        </w:rPr>
        <w:t>由此产生的一切法律后果和责任由我公司承担。我公司声明放弃对此提出任何异议和追索的权利。</w:t>
      </w:r>
    </w:p>
    <w:p w14:paraId="5B250B46">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sz w:val="21"/>
          <w:szCs w:val="21"/>
        </w:rPr>
      </w:pPr>
      <w:r>
        <w:rPr>
          <w:rFonts w:hint="eastAsia"/>
          <w:sz w:val="21"/>
          <w:szCs w:val="21"/>
        </w:rPr>
        <w:t>本公司对上述承诺的内容事项真实性负责。如经查实上述承诺的内容事项存在虚假，我公司愿意接受以提供虚假材料谋取中标追究法律责任。</w:t>
      </w:r>
    </w:p>
    <w:p w14:paraId="0F4CF7AC">
      <w:pPr>
        <w:keepNext w:val="0"/>
        <w:keepLines w:val="0"/>
        <w:pageBreakBefore w:val="0"/>
        <w:widowControl w:val="0"/>
        <w:kinsoku/>
        <w:wordWrap/>
        <w:overflowPunct/>
        <w:topLinePunct w:val="0"/>
        <w:autoSpaceDE/>
        <w:autoSpaceDN/>
        <w:bidi w:val="0"/>
        <w:adjustRightInd/>
        <w:snapToGrid/>
        <w:textAlignment w:val="auto"/>
        <w:rPr>
          <w:rFonts w:hint="eastAsia"/>
          <w:sz w:val="21"/>
          <w:szCs w:val="21"/>
        </w:rPr>
      </w:pPr>
    </w:p>
    <w:p w14:paraId="370F3C60">
      <w:pPr>
        <w:keepNext w:val="0"/>
        <w:keepLines w:val="0"/>
        <w:pageBreakBefore w:val="0"/>
        <w:widowControl w:val="0"/>
        <w:kinsoku/>
        <w:wordWrap w:val="0"/>
        <w:overflowPunct/>
        <w:topLinePunct w:val="0"/>
        <w:autoSpaceDE/>
        <w:autoSpaceDN/>
        <w:bidi w:val="0"/>
        <w:adjustRightInd/>
        <w:snapToGrid/>
        <w:ind w:firstLine="420" w:firstLineChars="200"/>
        <w:jc w:val="right"/>
        <w:textAlignment w:val="auto"/>
        <w:rPr>
          <w:rFonts w:hint="default"/>
          <w:sz w:val="21"/>
          <w:szCs w:val="21"/>
          <w:lang w:val="en-US" w:eastAsia="zh-CN"/>
        </w:rPr>
      </w:pPr>
      <w:r>
        <w:rPr>
          <w:rFonts w:hint="eastAsia"/>
          <w:sz w:val="21"/>
          <w:szCs w:val="21"/>
        </w:rPr>
        <w:t>投标人名称（盖公章）：</w:t>
      </w:r>
      <w:r>
        <w:rPr>
          <w:rFonts w:hint="eastAsia"/>
          <w:sz w:val="21"/>
          <w:szCs w:val="21"/>
          <w:u w:val="single"/>
          <w:lang w:val="en-US" w:eastAsia="zh-CN"/>
        </w:rPr>
        <w:t xml:space="preserve">                              </w:t>
      </w:r>
    </w:p>
    <w:p w14:paraId="4C9EAF5E">
      <w:pPr>
        <w:keepNext w:val="0"/>
        <w:keepLines w:val="0"/>
        <w:pageBreakBefore w:val="0"/>
        <w:widowControl w:val="0"/>
        <w:kinsoku/>
        <w:wordWrap w:val="0"/>
        <w:overflowPunct/>
        <w:topLinePunct w:val="0"/>
        <w:autoSpaceDE/>
        <w:autoSpaceDN/>
        <w:bidi w:val="0"/>
        <w:adjustRightInd/>
        <w:snapToGrid/>
        <w:ind w:firstLine="420" w:firstLineChars="200"/>
        <w:jc w:val="right"/>
        <w:textAlignment w:val="auto"/>
        <w:rPr>
          <w:rFonts w:hint="default"/>
          <w:sz w:val="21"/>
          <w:szCs w:val="21"/>
          <w:lang w:val="en-US" w:eastAsia="zh-CN"/>
        </w:rPr>
      </w:pPr>
      <w:r>
        <w:rPr>
          <w:rFonts w:hint="eastAsia"/>
          <w:sz w:val="21"/>
          <w:szCs w:val="21"/>
        </w:rPr>
        <w:t>法定代表人或其授权代理人（签字或盖章）：</w:t>
      </w:r>
      <w:r>
        <w:rPr>
          <w:rFonts w:hint="eastAsia"/>
          <w:sz w:val="21"/>
          <w:szCs w:val="21"/>
          <w:u w:val="single"/>
          <w:lang w:val="en-US" w:eastAsia="zh-CN"/>
        </w:rPr>
        <w:t xml:space="preserve">            </w:t>
      </w:r>
    </w:p>
    <w:p w14:paraId="74AD5782">
      <w:pPr>
        <w:keepNext w:val="0"/>
        <w:keepLines w:val="0"/>
        <w:pageBreakBefore w:val="0"/>
        <w:widowControl w:val="0"/>
        <w:kinsoku/>
        <w:wordWrap w:val="0"/>
        <w:overflowPunct/>
        <w:topLinePunct w:val="0"/>
        <w:autoSpaceDE/>
        <w:autoSpaceDN/>
        <w:bidi w:val="0"/>
        <w:adjustRightInd/>
        <w:snapToGrid/>
        <w:ind w:firstLine="420" w:firstLineChars="200"/>
        <w:jc w:val="right"/>
        <w:textAlignment w:val="auto"/>
        <w:rPr>
          <w:rFonts w:hint="eastAsia"/>
          <w:sz w:val="21"/>
          <w:szCs w:val="21"/>
        </w:rPr>
      </w:pPr>
      <w:r>
        <w:rPr>
          <w:rFonts w:hint="eastAsia"/>
          <w:sz w:val="21"/>
          <w:szCs w:val="21"/>
        </w:rPr>
        <w:t>年    月     日</w:t>
      </w:r>
    </w:p>
    <w:p w14:paraId="23D5F06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sz w:val="21"/>
          <w:szCs w:val="21"/>
        </w:rPr>
      </w:pPr>
      <w:r>
        <w:rPr>
          <w:rFonts w:hint="eastAsia"/>
          <w:sz w:val="21"/>
          <w:szCs w:val="21"/>
        </w:rPr>
        <w:br w:type="page"/>
      </w:r>
    </w:p>
    <w:p w14:paraId="51BB842D">
      <w:pPr>
        <w:pStyle w:val="7"/>
        <w:bidi w:val="0"/>
        <w:jc w:val="center"/>
        <w:rPr>
          <w:rFonts w:hint="eastAsia"/>
        </w:rPr>
      </w:pPr>
      <w:bookmarkStart w:id="416" w:name="_Toc3625"/>
      <w:bookmarkStart w:id="417" w:name="_Toc7237"/>
      <w:bookmarkStart w:id="418" w:name="_Toc18991"/>
      <w:r>
        <w:rPr>
          <w:rFonts w:hint="eastAsia"/>
          <w:lang w:eastAsia="zh-CN"/>
        </w:rPr>
        <w:t>（</w:t>
      </w:r>
      <w:r>
        <w:rPr>
          <w:rFonts w:hint="eastAsia"/>
          <w:lang w:val="en-US" w:eastAsia="zh-CN"/>
        </w:rPr>
        <w:t>二</w:t>
      </w:r>
      <w:r>
        <w:rPr>
          <w:rFonts w:hint="eastAsia"/>
          <w:lang w:eastAsia="zh-CN"/>
        </w:rPr>
        <w:t>）</w:t>
      </w:r>
      <w:r>
        <w:rPr>
          <w:rFonts w:hint="eastAsia"/>
        </w:rPr>
        <w:t>招标代理服务费承诺函</w:t>
      </w:r>
      <w:bookmarkEnd w:id="416"/>
      <w:bookmarkEnd w:id="417"/>
      <w:bookmarkEnd w:id="418"/>
    </w:p>
    <w:p w14:paraId="6F2118B5">
      <w:pPr>
        <w:keepNext w:val="0"/>
        <w:keepLines w:val="0"/>
        <w:pageBreakBefore w:val="0"/>
        <w:widowControl w:val="0"/>
        <w:kinsoku/>
        <w:wordWrap/>
        <w:overflowPunct/>
        <w:topLinePunct w:val="0"/>
        <w:autoSpaceDE/>
        <w:autoSpaceDN/>
        <w:bidi w:val="0"/>
        <w:adjustRightInd/>
        <w:snapToGrid/>
        <w:textAlignment w:val="auto"/>
        <w:rPr>
          <w:rFonts w:hint="eastAsia"/>
          <w:sz w:val="21"/>
          <w:szCs w:val="21"/>
        </w:rPr>
      </w:pPr>
    </w:p>
    <w:p w14:paraId="6802B4B7">
      <w:pPr>
        <w:keepNext w:val="0"/>
        <w:keepLines w:val="0"/>
        <w:pageBreakBefore w:val="0"/>
        <w:widowControl w:val="0"/>
        <w:kinsoku/>
        <w:wordWrap/>
        <w:overflowPunct/>
        <w:topLinePunct w:val="0"/>
        <w:autoSpaceDE/>
        <w:autoSpaceDN/>
        <w:bidi w:val="0"/>
        <w:adjustRightInd/>
        <w:snapToGrid/>
        <w:spacing w:line="396" w:lineRule="auto"/>
        <w:textAlignment w:val="auto"/>
        <w:rPr>
          <w:rFonts w:hint="eastAsia"/>
          <w:sz w:val="21"/>
          <w:szCs w:val="21"/>
        </w:rPr>
      </w:pPr>
      <w:r>
        <w:rPr>
          <w:rFonts w:hint="eastAsia"/>
          <w:sz w:val="21"/>
          <w:szCs w:val="21"/>
        </w:rPr>
        <w:t>致</w:t>
      </w:r>
      <w:r>
        <w:rPr>
          <w:rFonts w:hint="eastAsia"/>
          <w:sz w:val="21"/>
          <w:szCs w:val="21"/>
          <w:u w:val="single"/>
          <w:lang w:val="en-US" w:eastAsia="zh-CN"/>
        </w:rPr>
        <w:t xml:space="preserve">             </w:t>
      </w:r>
      <w:r>
        <w:rPr>
          <w:rFonts w:hint="eastAsia"/>
          <w:sz w:val="21"/>
          <w:szCs w:val="21"/>
        </w:rPr>
        <w:t>（采购人或采购代理机构）：</w:t>
      </w:r>
    </w:p>
    <w:p w14:paraId="38ACDAA3">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sz w:val="21"/>
          <w:szCs w:val="21"/>
        </w:rPr>
      </w:pPr>
      <w:r>
        <w:rPr>
          <w:rFonts w:hint="eastAsia"/>
          <w:sz w:val="21"/>
          <w:szCs w:val="21"/>
        </w:rPr>
        <w:t>我们在贵公司组织的（项目名称：</w:t>
      </w:r>
      <w:r>
        <w:rPr>
          <w:rFonts w:hint="eastAsia"/>
          <w:sz w:val="21"/>
          <w:szCs w:val="21"/>
          <w:u w:val="single"/>
        </w:rPr>
        <w:t xml:space="preserve">     </w:t>
      </w:r>
      <w:r>
        <w:rPr>
          <w:rFonts w:hint="eastAsia"/>
          <w:sz w:val="21"/>
          <w:szCs w:val="21"/>
        </w:rPr>
        <w:t>，采购代理编号：</w:t>
      </w:r>
      <w:r>
        <w:rPr>
          <w:rFonts w:hint="eastAsia"/>
          <w:sz w:val="21"/>
          <w:szCs w:val="21"/>
          <w:u w:val="single"/>
        </w:rPr>
        <w:t xml:space="preserve">      </w:t>
      </w:r>
      <w:r>
        <w:rPr>
          <w:rFonts w:hint="eastAsia"/>
          <w:sz w:val="21"/>
          <w:szCs w:val="21"/>
        </w:rPr>
        <w:t>）招标中若获中标，我们保证在</w:t>
      </w:r>
      <w:r>
        <w:rPr>
          <w:rFonts w:hint="eastAsia"/>
          <w:sz w:val="21"/>
          <w:szCs w:val="21"/>
          <w:lang w:val="en-US" w:eastAsia="zh-CN"/>
        </w:rPr>
        <w:t>中标</w:t>
      </w:r>
      <w:r>
        <w:rPr>
          <w:rFonts w:hint="eastAsia"/>
          <w:sz w:val="21"/>
          <w:szCs w:val="21"/>
          <w:lang w:eastAsia="zh-CN"/>
        </w:rPr>
        <w:t>公告</w:t>
      </w:r>
      <w:r>
        <w:rPr>
          <w:rFonts w:hint="eastAsia"/>
          <w:sz w:val="21"/>
          <w:szCs w:val="21"/>
        </w:rPr>
        <w:t>发布后5个工作日内，按</w:t>
      </w:r>
      <w:r>
        <w:rPr>
          <w:rFonts w:hint="eastAsia"/>
          <w:sz w:val="21"/>
          <w:szCs w:val="21"/>
          <w:lang w:val="en-US" w:eastAsia="zh-CN"/>
        </w:rPr>
        <w:t>招标</w:t>
      </w:r>
      <w:r>
        <w:rPr>
          <w:rFonts w:hint="eastAsia"/>
          <w:sz w:val="21"/>
          <w:szCs w:val="21"/>
          <w:lang w:eastAsia="zh-CN"/>
        </w:rPr>
        <w:t>文件</w:t>
      </w:r>
      <w:r>
        <w:rPr>
          <w:rFonts w:hint="eastAsia"/>
          <w:sz w:val="21"/>
          <w:szCs w:val="21"/>
        </w:rPr>
        <w:t>的规定，以银行转账或现金，向贵公司一次性支付招标代理服务费用。否则，由此产生的一切法律后果和责任由我公司承担。我公司声明放弃对此提出任何异议和追索的权利。</w:t>
      </w:r>
    </w:p>
    <w:p w14:paraId="066BF5AD">
      <w:pPr>
        <w:keepNext w:val="0"/>
        <w:keepLines w:val="0"/>
        <w:pageBreakBefore w:val="0"/>
        <w:widowControl w:val="0"/>
        <w:kinsoku/>
        <w:wordWrap/>
        <w:overflowPunct/>
        <w:topLinePunct w:val="0"/>
        <w:autoSpaceDE/>
        <w:autoSpaceDN/>
        <w:bidi w:val="0"/>
        <w:adjustRightInd/>
        <w:snapToGrid/>
        <w:spacing w:line="396" w:lineRule="auto"/>
        <w:textAlignment w:val="auto"/>
        <w:rPr>
          <w:rFonts w:hint="eastAsia"/>
          <w:sz w:val="21"/>
          <w:szCs w:val="21"/>
        </w:rPr>
      </w:pPr>
    </w:p>
    <w:p w14:paraId="0A9A2795">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sz w:val="21"/>
          <w:szCs w:val="21"/>
        </w:rPr>
      </w:pPr>
      <w:r>
        <w:rPr>
          <w:rFonts w:hint="eastAsia"/>
          <w:sz w:val="21"/>
          <w:szCs w:val="21"/>
        </w:rPr>
        <w:t>特此承诺。</w:t>
      </w:r>
    </w:p>
    <w:p w14:paraId="2245C72C">
      <w:pPr>
        <w:keepNext w:val="0"/>
        <w:keepLines w:val="0"/>
        <w:pageBreakBefore w:val="0"/>
        <w:widowControl w:val="0"/>
        <w:kinsoku/>
        <w:wordWrap/>
        <w:overflowPunct/>
        <w:topLinePunct w:val="0"/>
        <w:autoSpaceDE/>
        <w:autoSpaceDN/>
        <w:bidi w:val="0"/>
        <w:adjustRightInd/>
        <w:snapToGrid/>
        <w:spacing w:line="396" w:lineRule="auto"/>
        <w:textAlignment w:val="auto"/>
        <w:rPr>
          <w:rFonts w:hint="eastAsia"/>
          <w:sz w:val="21"/>
          <w:szCs w:val="21"/>
        </w:rPr>
      </w:pPr>
    </w:p>
    <w:p w14:paraId="333144AF">
      <w:pPr>
        <w:keepNext w:val="0"/>
        <w:keepLines w:val="0"/>
        <w:pageBreakBefore w:val="0"/>
        <w:widowControl w:val="0"/>
        <w:kinsoku/>
        <w:wordWrap/>
        <w:overflowPunct/>
        <w:topLinePunct w:val="0"/>
        <w:autoSpaceDE/>
        <w:autoSpaceDN/>
        <w:bidi w:val="0"/>
        <w:adjustRightInd/>
        <w:snapToGrid/>
        <w:spacing w:line="396" w:lineRule="auto"/>
        <w:textAlignment w:val="auto"/>
        <w:rPr>
          <w:rFonts w:hint="eastAsia"/>
          <w:sz w:val="21"/>
          <w:szCs w:val="21"/>
        </w:rPr>
      </w:pPr>
    </w:p>
    <w:p w14:paraId="0DE60C84">
      <w:pPr>
        <w:keepNext w:val="0"/>
        <w:keepLines w:val="0"/>
        <w:pageBreakBefore w:val="0"/>
        <w:widowControl w:val="0"/>
        <w:kinsoku/>
        <w:wordWrap/>
        <w:overflowPunct/>
        <w:topLinePunct w:val="0"/>
        <w:autoSpaceDE/>
        <w:autoSpaceDN/>
        <w:bidi w:val="0"/>
        <w:adjustRightInd/>
        <w:snapToGrid/>
        <w:spacing w:line="396" w:lineRule="auto"/>
        <w:textAlignment w:val="auto"/>
        <w:rPr>
          <w:rFonts w:hint="eastAsia"/>
          <w:sz w:val="21"/>
          <w:szCs w:val="21"/>
        </w:rPr>
      </w:pPr>
    </w:p>
    <w:p w14:paraId="5D39B0E6">
      <w:pPr>
        <w:keepNext w:val="0"/>
        <w:keepLines w:val="0"/>
        <w:pageBreakBefore w:val="0"/>
        <w:widowControl w:val="0"/>
        <w:kinsoku/>
        <w:wordWrap w:val="0"/>
        <w:overflowPunct/>
        <w:topLinePunct w:val="0"/>
        <w:autoSpaceDE/>
        <w:autoSpaceDN/>
        <w:bidi w:val="0"/>
        <w:adjustRightInd/>
        <w:snapToGrid/>
        <w:spacing w:line="396" w:lineRule="auto"/>
        <w:ind w:firstLine="420" w:firstLineChars="200"/>
        <w:jc w:val="right"/>
        <w:textAlignment w:val="auto"/>
        <w:rPr>
          <w:rFonts w:hint="default"/>
          <w:sz w:val="21"/>
          <w:szCs w:val="21"/>
          <w:lang w:val="en-US" w:eastAsia="zh-CN"/>
        </w:rPr>
      </w:pPr>
      <w:r>
        <w:rPr>
          <w:rFonts w:hint="eastAsia"/>
          <w:sz w:val="21"/>
          <w:szCs w:val="21"/>
        </w:rPr>
        <w:t>投标人名称（盖公章）：</w:t>
      </w:r>
      <w:r>
        <w:rPr>
          <w:rFonts w:hint="eastAsia"/>
          <w:sz w:val="21"/>
          <w:szCs w:val="21"/>
          <w:u w:val="single"/>
          <w:lang w:val="en-US" w:eastAsia="zh-CN"/>
        </w:rPr>
        <w:t xml:space="preserve">                              </w:t>
      </w:r>
    </w:p>
    <w:p w14:paraId="76D29765">
      <w:pPr>
        <w:keepNext w:val="0"/>
        <w:keepLines w:val="0"/>
        <w:pageBreakBefore w:val="0"/>
        <w:widowControl w:val="0"/>
        <w:kinsoku/>
        <w:wordWrap w:val="0"/>
        <w:overflowPunct/>
        <w:topLinePunct w:val="0"/>
        <w:autoSpaceDE/>
        <w:autoSpaceDN/>
        <w:bidi w:val="0"/>
        <w:adjustRightInd/>
        <w:snapToGrid/>
        <w:spacing w:line="396" w:lineRule="auto"/>
        <w:ind w:firstLine="420" w:firstLineChars="200"/>
        <w:jc w:val="right"/>
        <w:textAlignment w:val="auto"/>
        <w:rPr>
          <w:rFonts w:hint="default"/>
          <w:sz w:val="21"/>
          <w:szCs w:val="21"/>
          <w:lang w:val="en-US" w:eastAsia="zh-CN"/>
        </w:rPr>
      </w:pPr>
      <w:r>
        <w:rPr>
          <w:rFonts w:hint="eastAsia"/>
          <w:sz w:val="21"/>
          <w:szCs w:val="21"/>
        </w:rPr>
        <w:t>法定代表人或其授权代理人（签字或盖章）：</w:t>
      </w:r>
      <w:r>
        <w:rPr>
          <w:rFonts w:hint="eastAsia"/>
          <w:sz w:val="21"/>
          <w:szCs w:val="21"/>
          <w:u w:val="single"/>
          <w:lang w:val="en-US" w:eastAsia="zh-CN"/>
        </w:rPr>
        <w:t xml:space="preserve">            </w:t>
      </w:r>
    </w:p>
    <w:p w14:paraId="6A0F4E97">
      <w:pPr>
        <w:keepNext w:val="0"/>
        <w:keepLines w:val="0"/>
        <w:pageBreakBefore w:val="0"/>
        <w:widowControl w:val="0"/>
        <w:kinsoku/>
        <w:wordWrap w:val="0"/>
        <w:overflowPunct/>
        <w:topLinePunct w:val="0"/>
        <w:autoSpaceDE/>
        <w:autoSpaceDN/>
        <w:bidi w:val="0"/>
        <w:adjustRightInd/>
        <w:snapToGrid/>
        <w:spacing w:line="396" w:lineRule="auto"/>
        <w:ind w:firstLine="420" w:firstLineChars="200"/>
        <w:jc w:val="right"/>
        <w:textAlignment w:val="auto"/>
        <w:rPr>
          <w:rFonts w:hint="eastAsia"/>
          <w:sz w:val="21"/>
          <w:szCs w:val="21"/>
        </w:rPr>
      </w:pPr>
      <w:r>
        <w:rPr>
          <w:rFonts w:hint="eastAsia"/>
          <w:sz w:val="21"/>
          <w:szCs w:val="21"/>
        </w:rPr>
        <w:t>年    月     日</w:t>
      </w:r>
    </w:p>
    <w:p w14:paraId="17B76754">
      <w:pPr>
        <w:keepNext w:val="0"/>
        <w:keepLines w:val="0"/>
        <w:pageBreakBefore w:val="0"/>
        <w:widowControl w:val="0"/>
        <w:kinsoku/>
        <w:wordWrap w:val="0"/>
        <w:overflowPunct/>
        <w:topLinePunct w:val="0"/>
        <w:autoSpaceDE/>
        <w:autoSpaceDN/>
        <w:bidi w:val="0"/>
        <w:adjustRightInd/>
        <w:snapToGrid/>
        <w:jc w:val="both"/>
        <w:textAlignment w:val="auto"/>
        <w:rPr>
          <w:rFonts w:hint="eastAsia"/>
          <w:sz w:val="21"/>
          <w:szCs w:val="21"/>
        </w:rPr>
      </w:pPr>
    </w:p>
    <w:p w14:paraId="551959DC">
      <w:pPr>
        <w:keepNext w:val="0"/>
        <w:keepLines w:val="0"/>
        <w:pageBreakBefore w:val="0"/>
        <w:widowControl w:val="0"/>
        <w:kinsoku/>
        <w:wordWrap/>
        <w:overflowPunct/>
        <w:topLinePunct w:val="0"/>
        <w:autoSpaceDE/>
        <w:autoSpaceDN/>
        <w:bidi w:val="0"/>
        <w:adjustRightInd/>
        <w:snapToGrid/>
        <w:textAlignment w:val="auto"/>
        <w:rPr>
          <w:rFonts w:hint="eastAsia"/>
          <w:sz w:val="21"/>
          <w:szCs w:val="21"/>
        </w:rPr>
      </w:pPr>
    </w:p>
    <w:p w14:paraId="104BF63B">
      <w:pPr>
        <w:pStyle w:val="9"/>
        <w:ind w:left="0" w:leftChars="0" w:firstLine="0" w:firstLineChars="0"/>
        <w:rPr>
          <w:rFonts w:hint="eastAsia" w:ascii="宋体" w:hAnsi="宋体" w:eastAsia="宋体" w:cs="宋体"/>
          <w:sz w:val="21"/>
          <w:szCs w:val="21"/>
          <w:u w:val="single"/>
          <w:lang w:val="en-US" w:eastAsia="zh-CN"/>
        </w:rPr>
      </w:pPr>
    </w:p>
    <w:p w14:paraId="6C5781FA">
      <w:pPr>
        <w:rPr>
          <w:rFonts w:hint="eastAsia" w:ascii="宋体" w:hAnsi="宋体" w:eastAsia="宋体" w:cs="宋体"/>
          <w:bCs/>
          <w:sz w:val="21"/>
          <w:szCs w:val="21"/>
        </w:rPr>
      </w:pPr>
      <w:bookmarkStart w:id="419" w:name="_Toc237920953"/>
      <w:bookmarkStart w:id="420" w:name="_Toc82222718"/>
      <w:bookmarkStart w:id="421" w:name="_Toc71881273"/>
      <w:bookmarkStart w:id="422" w:name="_Toc71968894"/>
      <w:bookmarkStart w:id="423" w:name="_Toc71967775"/>
      <w:bookmarkStart w:id="424" w:name="_Toc71968699"/>
      <w:bookmarkStart w:id="425" w:name="_Toc71968006"/>
      <w:bookmarkStart w:id="426" w:name="_Toc237920725"/>
      <w:bookmarkStart w:id="427" w:name="_Toc71968192"/>
      <w:bookmarkStart w:id="428" w:name="_Toc118878852"/>
      <w:r>
        <w:rPr>
          <w:rFonts w:hint="eastAsia" w:ascii="宋体" w:hAnsi="宋体" w:eastAsia="宋体" w:cs="宋体"/>
          <w:bCs/>
          <w:sz w:val="21"/>
          <w:szCs w:val="21"/>
        </w:rPr>
        <w:br w:type="page"/>
      </w:r>
    </w:p>
    <w:p w14:paraId="4DB38300">
      <w:pPr>
        <w:pStyle w:val="6"/>
        <w:bidi w:val="0"/>
        <w:rPr>
          <w:rFonts w:hint="eastAsia"/>
        </w:rPr>
      </w:pPr>
      <w:bookmarkStart w:id="429" w:name="_Toc25288"/>
      <w:r>
        <w:rPr>
          <w:rFonts w:hint="eastAsia"/>
          <w:lang w:val="en-US" w:eastAsia="zh-CN"/>
        </w:rPr>
        <w:t>七</w:t>
      </w:r>
      <w:r>
        <w:rPr>
          <w:rFonts w:hint="eastAsia"/>
          <w:lang w:eastAsia="zh-CN"/>
        </w:rPr>
        <w:t>、</w:t>
      </w:r>
      <w:r>
        <w:rPr>
          <w:rFonts w:hint="eastAsia"/>
        </w:rPr>
        <w:t>采购需求响应表</w:t>
      </w:r>
      <w:bookmarkEnd w:id="419"/>
      <w:bookmarkEnd w:id="420"/>
      <w:bookmarkEnd w:id="421"/>
      <w:bookmarkEnd w:id="422"/>
      <w:bookmarkEnd w:id="423"/>
      <w:bookmarkEnd w:id="424"/>
      <w:bookmarkEnd w:id="425"/>
      <w:bookmarkEnd w:id="426"/>
      <w:bookmarkEnd w:id="427"/>
      <w:bookmarkEnd w:id="428"/>
      <w:bookmarkEnd w:id="429"/>
    </w:p>
    <w:tbl>
      <w:tblPr>
        <w:tblStyle w:val="23"/>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160"/>
        <w:gridCol w:w="3147"/>
        <w:gridCol w:w="3045"/>
        <w:gridCol w:w="1301"/>
      </w:tblGrid>
      <w:tr w14:paraId="1F95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01" w:type="dxa"/>
            <w:vMerge w:val="restart"/>
            <w:vAlign w:val="center"/>
          </w:tcPr>
          <w:p w14:paraId="73BA9F89">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rPr>
              <w:t>序号</w:t>
            </w:r>
          </w:p>
        </w:tc>
        <w:tc>
          <w:tcPr>
            <w:tcW w:w="1160" w:type="dxa"/>
            <w:vMerge w:val="restart"/>
            <w:vAlign w:val="center"/>
          </w:tcPr>
          <w:p w14:paraId="712B3E95">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rPr>
              <w:t>服务名称</w:t>
            </w:r>
          </w:p>
        </w:tc>
        <w:tc>
          <w:tcPr>
            <w:tcW w:w="3147" w:type="dxa"/>
            <w:vAlign w:val="center"/>
          </w:tcPr>
          <w:p w14:paraId="1741501E">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rPr>
              <w:t>招标文件规定</w:t>
            </w:r>
          </w:p>
        </w:tc>
        <w:tc>
          <w:tcPr>
            <w:tcW w:w="3045" w:type="dxa"/>
            <w:vAlign w:val="center"/>
          </w:tcPr>
          <w:p w14:paraId="4179C814">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rPr>
              <w:t>投标文件响应情况</w:t>
            </w:r>
          </w:p>
        </w:tc>
        <w:tc>
          <w:tcPr>
            <w:tcW w:w="1301" w:type="dxa"/>
            <w:vMerge w:val="restart"/>
            <w:vAlign w:val="center"/>
          </w:tcPr>
          <w:p w14:paraId="7F61BAD3">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rPr>
              <w:t>偏离情况</w:t>
            </w:r>
          </w:p>
        </w:tc>
      </w:tr>
      <w:tr w14:paraId="284E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01" w:type="dxa"/>
            <w:vMerge w:val="continue"/>
            <w:vAlign w:val="center"/>
          </w:tcPr>
          <w:p w14:paraId="3FA17151">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1160" w:type="dxa"/>
            <w:vMerge w:val="continue"/>
            <w:vAlign w:val="center"/>
          </w:tcPr>
          <w:p w14:paraId="51F0AADF">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3147" w:type="dxa"/>
            <w:vAlign w:val="center"/>
          </w:tcPr>
          <w:p w14:paraId="33F9AA18">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pacing w:val="-6"/>
                <w:sz w:val="21"/>
                <w:szCs w:val="21"/>
              </w:rPr>
            </w:pPr>
            <w:r>
              <w:rPr>
                <w:rFonts w:hint="eastAsia" w:ascii="宋体" w:hAnsi="宋体" w:eastAsia="宋体" w:cs="宋体"/>
                <w:bCs/>
                <w:sz w:val="21"/>
                <w:szCs w:val="21"/>
              </w:rPr>
              <w:t>服务内容</w:t>
            </w:r>
          </w:p>
        </w:tc>
        <w:tc>
          <w:tcPr>
            <w:tcW w:w="3045" w:type="dxa"/>
            <w:vAlign w:val="center"/>
          </w:tcPr>
          <w:p w14:paraId="68E58BAB">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rPr>
              <w:t>服务内容</w:t>
            </w:r>
          </w:p>
        </w:tc>
        <w:tc>
          <w:tcPr>
            <w:tcW w:w="1301" w:type="dxa"/>
            <w:vMerge w:val="continue"/>
            <w:vAlign w:val="center"/>
          </w:tcPr>
          <w:p w14:paraId="182BDF4A">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r>
      <w:tr w14:paraId="1F396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01" w:type="dxa"/>
            <w:vAlign w:val="center"/>
          </w:tcPr>
          <w:p w14:paraId="10F8982F">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rPr>
              <w:t>1</w:t>
            </w:r>
          </w:p>
        </w:tc>
        <w:tc>
          <w:tcPr>
            <w:tcW w:w="1160" w:type="dxa"/>
            <w:vAlign w:val="center"/>
          </w:tcPr>
          <w:p w14:paraId="1907334D">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3147" w:type="dxa"/>
            <w:vAlign w:val="center"/>
          </w:tcPr>
          <w:p w14:paraId="601A3404">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3045" w:type="dxa"/>
            <w:vAlign w:val="center"/>
          </w:tcPr>
          <w:p w14:paraId="505ACFFE">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1301" w:type="dxa"/>
            <w:vAlign w:val="center"/>
          </w:tcPr>
          <w:p w14:paraId="69219E6B">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r>
      <w:tr w14:paraId="76126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01" w:type="dxa"/>
            <w:vAlign w:val="center"/>
          </w:tcPr>
          <w:p w14:paraId="2734BADA">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rPr>
              <w:t>2</w:t>
            </w:r>
          </w:p>
        </w:tc>
        <w:tc>
          <w:tcPr>
            <w:tcW w:w="1160" w:type="dxa"/>
            <w:vAlign w:val="center"/>
          </w:tcPr>
          <w:p w14:paraId="069C335E">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3147" w:type="dxa"/>
            <w:vAlign w:val="center"/>
          </w:tcPr>
          <w:p w14:paraId="06393470">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3045" w:type="dxa"/>
            <w:vAlign w:val="center"/>
          </w:tcPr>
          <w:p w14:paraId="4698D244">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1301" w:type="dxa"/>
            <w:vAlign w:val="center"/>
          </w:tcPr>
          <w:p w14:paraId="4AC6864F">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r>
      <w:tr w14:paraId="24091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01" w:type="dxa"/>
            <w:vAlign w:val="center"/>
          </w:tcPr>
          <w:p w14:paraId="7DAECF46">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rPr>
              <w:t>3</w:t>
            </w:r>
          </w:p>
        </w:tc>
        <w:tc>
          <w:tcPr>
            <w:tcW w:w="1160" w:type="dxa"/>
            <w:vAlign w:val="center"/>
          </w:tcPr>
          <w:p w14:paraId="20BD9972">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3147" w:type="dxa"/>
            <w:vAlign w:val="center"/>
          </w:tcPr>
          <w:p w14:paraId="67CEE8A7">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3045" w:type="dxa"/>
            <w:vAlign w:val="center"/>
          </w:tcPr>
          <w:p w14:paraId="041A8343">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1301" w:type="dxa"/>
            <w:vAlign w:val="center"/>
          </w:tcPr>
          <w:p w14:paraId="70205AAD">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r>
      <w:tr w14:paraId="4770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01" w:type="dxa"/>
            <w:vAlign w:val="center"/>
          </w:tcPr>
          <w:p w14:paraId="7C972861">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rPr>
              <w:t>4</w:t>
            </w:r>
          </w:p>
        </w:tc>
        <w:tc>
          <w:tcPr>
            <w:tcW w:w="1160" w:type="dxa"/>
            <w:vAlign w:val="center"/>
          </w:tcPr>
          <w:p w14:paraId="2CC8ED8B">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3147" w:type="dxa"/>
            <w:vAlign w:val="center"/>
          </w:tcPr>
          <w:p w14:paraId="6B48501E">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3045" w:type="dxa"/>
            <w:vAlign w:val="center"/>
          </w:tcPr>
          <w:p w14:paraId="0B6BBCC9">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1301" w:type="dxa"/>
            <w:vAlign w:val="center"/>
          </w:tcPr>
          <w:p w14:paraId="4AD6B781">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r>
      <w:tr w14:paraId="263FD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01" w:type="dxa"/>
            <w:vAlign w:val="center"/>
          </w:tcPr>
          <w:p w14:paraId="4A49CE04">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rPr>
              <w:t>5</w:t>
            </w:r>
          </w:p>
        </w:tc>
        <w:tc>
          <w:tcPr>
            <w:tcW w:w="1160" w:type="dxa"/>
            <w:vAlign w:val="center"/>
          </w:tcPr>
          <w:p w14:paraId="725BEB5A">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3147" w:type="dxa"/>
            <w:vAlign w:val="center"/>
          </w:tcPr>
          <w:p w14:paraId="49CD8A79">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3045" w:type="dxa"/>
            <w:vAlign w:val="center"/>
          </w:tcPr>
          <w:p w14:paraId="1C166590">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1301" w:type="dxa"/>
            <w:vAlign w:val="center"/>
          </w:tcPr>
          <w:p w14:paraId="02355A3B">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r>
      <w:tr w14:paraId="263D5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01" w:type="dxa"/>
            <w:vAlign w:val="center"/>
          </w:tcPr>
          <w:p w14:paraId="5C9325CB">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rPr>
              <w:t>…</w:t>
            </w:r>
          </w:p>
        </w:tc>
        <w:tc>
          <w:tcPr>
            <w:tcW w:w="1160" w:type="dxa"/>
            <w:vAlign w:val="center"/>
          </w:tcPr>
          <w:p w14:paraId="31CEA630">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3147" w:type="dxa"/>
            <w:vAlign w:val="center"/>
          </w:tcPr>
          <w:p w14:paraId="7B4D9380">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3045" w:type="dxa"/>
            <w:vAlign w:val="center"/>
          </w:tcPr>
          <w:p w14:paraId="65D2F35E">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c>
          <w:tcPr>
            <w:tcW w:w="1301" w:type="dxa"/>
            <w:vAlign w:val="center"/>
          </w:tcPr>
          <w:p w14:paraId="3E18B099">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宋体"/>
                <w:bCs/>
                <w:sz w:val="21"/>
                <w:szCs w:val="21"/>
              </w:rPr>
            </w:pPr>
          </w:p>
        </w:tc>
      </w:tr>
    </w:tbl>
    <w:p w14:paraId="7DAA2A80">
      <w:pPr>
        <w:keepNext w:val="0"/>
        <w:keepLines w:val="0"/>
        <w:pageBreakBefore w:val="0"/>
        <w:widowControl w:val="0"/>
        <w:tabs>
          <w:tab w:val="left" w:pos="630"/>
        </w:tabs>
        <w:kinsoku/>
        <w:wordWrap/>
        <w:overflowPunct/>
        <w:topLinePunct w:val="0"/>
        <w:autoSpaceDE/>
        <w:autoSpaceDN/>
        <w:bidi w:val="0"/>
        <w:adjustRightInd/>
        <w:snapToGrid/>
        <w:spacing w:line="396" w:lineRule="auto"/>
        <w:textAlignment w:val="auto"/>
        <w:rPr>
          <w:rFonts w:hint="eastAsia" w:ascii="宋体" w:hAnsi="宋体" w:eastAsia="宋体" w:cs="宋体"/>
          <w:sz w:val="21"/>
          <w:szCs w:val="21"/>
        </w:rPr>
      </w:pPr>
      <w:r>
        <w:rPr>
          <w:rFonts w:hint="eastAsia" w:ascii="宋体" w:hAnsi="宋体" w:eastAsia="宋体" w:cs="宋体"/>
          <w:sz w:val="21"/>
          <w:szCs w:val="21"/>
        </w:rPr>
        <w:t>注：</w:t>
      </w:r>
    </w:p>
    <w:p w14:paraId="2CB1BE84">
      <w:pPr>
        <w:keepNext w:val="0"/>
        <w:keepLines w:val="0"/>
        <w:pageBreakBefore w:val="0"/>
        <w:widowControl w:val="0"/>
        <w:tabs>
          <w:tab w:val="left" w:pos="630"/>
        </w:tabs>
        <w:kinsoku/>
        <w:wordWrap/>
        <w:overflowPunct/>
        <w:topLinePunct w:val="0"/>
        <w:autoSpaceDE/>
        <w:autoSpaceDN/>
        <w:bidi w:val="0"/>
        <w:adjustRightInd/>
        <w:snapToGrid/>
        <w:spacing w:line="396" w:lineRule="auto"/>
        <w:textAlignment w:val="auto"/>
        <w:rPr>
          <w:rFonts w:hint="eastAsia" w:ascii="宋体" w:hAnsi="宋体" w:eastAsia="宋体" w:cs="宋体"/>
          <w:sz w:val="21"/>
          <w:szCs w:val="21"/>
        </w:rPr>
      </w:pPr>
      <w:r>
        <w:rPr>
          <w:rFonts w:hint="eastAsia" w:ascii="宋体" w:hAnsi="宋体" w:eastAsia="宋体" w:cs="宋体"/>
          <w:sz w:val="21"/>
          <w:szCs w:val="21"/>
        </w:rPr>
        <w:t>1、投标人应根据招标要求逐条逐项表述说明投标响应情况。</w:t>
      </w:r>
    </w:p>
    <w:p w14:paraId="17BCF0B1">
      <w:pPr>
        <w:keepNext w:val="0"/>
        <w:keepLines w:val="0"/>
        <w:pageBreakBefore w:val="0"/>
        <w:widowControl w:val="0"/>
        <w:tabs>
          <w:tab w:val="left" w:pos="630"/>
        </w:tabs>
        <w:kinsoku/>
        <w:wordWrap/>
        <w:overflowPunct/>
        <w:topLinePunct w:val="0"/>
        <w:autoSpaceDE/>
        <w:autoSpaceDN/>
        <w:bidi w:val="0"/>
        <w:adjustRightInd/>
        <w:snapToGrid/>
        <w:spacing w:line="396" w:lineRule="auto"/>
        <w:textAlignment w:val="auto"/>
        <w:rPr>
          <w:rFonts w:hint="eastAsia" w:ascii="宋体" w:hAnsi="宋体" w:eastAsia="宋体" w:cs="宋体"/>
          <w:sz w:val="21"/>
          <w:szCs w:val="21"/>
        </w:rPr>
      </w:pPr>
      <w:r>
        <w:rPr>
          <w:rFonts w:hint="eastAsia" w:ascii="宋体" w:hAnsi="宋体" w:eastAsia="宋体" w:cs="宋体"/>
          <w:sz w:val="21"/>
          <w:szCs w:val="21"/>
        </w:rPr>
        <w:t>2、投标人提交的投标文件中的技术参数与招标文件的技术要求、技术参数不同时，应逐条逐项</w:t>
      </w:r>
    </w:p>
    <w:p w14:paraId="17688051">
      <w:pPr>
        <w:keepNext w:val="0"/>
        <w:keepLines w:val="0"/>
        <w:pageBreakBefore w:val="0"/>
        <w:widowControl w:val="0"/>
        <w:tabs>
          <w:tab w:val="left" w:pos="630"/>
        </w:tabs>
        <w:kinsoku/>
        <w:wordWrap/>
        <w:overflowPunct/>
        <w:topLinePunct w:val="0"/>
        <w:autoSpaceDE/>
        <w:autoSpaceDN/>
        <w:bidi w:val="0"/>
        <w:adjustRightInd/>
        <w:snapToGrid/>
        <w:spacing w:line="396" w:lineRule="auto"/>
        <w:textAlignment w:val="auto"/>
        <w:rPr>
          <w:rFonts w:hint="eastAsia" w:ascii="宋体" w:hAnsi="宋体" w:eastAsia="宋体" w:cs="宋体"/>
          <w:sz w:val="21"/>
          <w:szCs w:val="21"/>
        </w:rPr>
      </w:pPr>
      <w:r>
        <w:rPr>
          <w:rFonts w:hint="eastAsia" w:ascii="宋体" w:hAnsi="宋体" w:eastAsia="宋体" w:cs="宋体"/>
          <w:sz w:val="21"/>
          <w:szCs w:val="21"/>
        </w:rPr>
        <w:t>如实填列在偏离表中。投标人不如实填写偏离情况、存在弄虚作假行为的，将依法承担相应的法律责任。</w:t>
      </w:r>
    </w:p>
    <w:p w14:paraId="53E6C519">
      <w:pPr>
        <w:keepNext w:val="0"/>
        <w:keepLines w:val="0"/>
        <w:pageBreakBefore w:val="0"/>
        <w:widowControl w:val="0"/>
        <w:tabs>
          <w:tab w:val="left" w:pos="630"/>
        </w:tabs>
        <w:kinsoku/>
        <w:wordWrap/>
        <w:overflowPunct/>
        <w:topLinePunct w:val="0"/>
        <w:autoSpaceDE/>
        <w:autoSpaceDN/>
        <w:bidi w:val="0"/>
        <w:adjustRightInd/>
        <w:snapToGrid/>
        <w:spacing w:line="396" w:lineRule="auto"/>
        <w:textAlignment w:val="auto"/>
        <w:rPr>
          <w:rFonts w:hint="eastAsia" w:ascii="宋体" w:hAnsi="宋体" w:eastAsia="宋体" w:cs="宋体"/>
          <w:sz w:val="21"/>
          <w:szCs w:val="21"/>
        </w:rPr>
      </w:pPr>
      <w:r>
        <w:rPr>
          <w:rFonts w:hint="eastAsia" w:ascii="宋体" w:hAnsi="宋体" w:eastAsia="宋体" w:cs="宋体"/>
          <w:sz w:val="21"/>
          <w:szCs w:val="21"/>
        </w:rPr>
        <w:t>3、投标人应结合所投产品说明或描述其实际技术参数和性能。如果完全复制粘贴本招标文件技术参数和性能描述，或者只注明“符合”、“满足”等类似无具体内容的表述，因此而产生的不利于投标人的评审风险由投标人自行承担。</w:t>
      </w:r>
    </w:p>
    <w:p w14:paraId="70D04781">
      <w:pPr>
        <w:keepNext w:val="0"/>
        <w:keepLines w:val="0"/>
        <w:pageBreakBefore w:val="0"/>
        <w:widowControl w:val="0"/>
        <w:tabs>
          <w:tab w:val="left" w:pos="630"/>
        </w:tabs>
        <w:kinsoku/>
        <w:wordWrap/>
        <w:overflowPunct/>
        <w:topLinePunct w:val="0"/>
        <w:autoSpaceDE/>
        <w:autoSpaceDN/>
        <w:bidi w:val="0"/>
        <w:adjustRightInd/>
        <w:snapToGrid/>
        <w:spacing w:line="396"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4、投标人可根据需要自行增减表格行数。 </w:t>
      </w:r>
    </w:p>
    <w:p w14:paraId="5023B118">
      <w:pPr>
        <w:wordWrap w:val="0"/>
        <w:spacing w:line="560" w:lineRule="exact"/>
        <w:ind w:firstLine="3150" w:firstLineChars="1500"/>
        <w:jc w:val="right"/>
        <w:rPr>
          <w:rFonts w:hint="eastAsia" w:ascii="宋体" w:hAnsi="宋体" w:eastAsia="宋体" w:cs="宋体"/>
          <w:bCs/>
          <w:sz w:val="21"/>
          <w:szCs w:val="21"/>
        </w:rPr>
      </w:pPr>
    </w:p>
    <w:p w14:paraId="5CE55743">
      <w:pPr>
        <w:wordWrap w:val="0"/>
        <w:spacing w:line="560" w:lineRule="exact"/>
        <w:ind w:firstLine="3150" w:firstLineChars="1500"/>
        <w:jc w:val="right"/>
        <w:rPr>
          <w:rFonts w:hint="default" w:ascii="宋体" w:hAnsi="宋体" w:eastAsia="宋体" w:cs="宋体"/>
          <w:bCs/>
          <w:sz w:val="21"/>
          <w:szCs w:val="21"/>
          <w:u w:val="single"/>
          <w:lang w:val="en-US" w:eastAsia="zh-CN"/>
        </w:rPr>
      </w:pPr>
      <w:r>
        <w:rPr>
          <w:rFonts w:hint="eastAsia" w:ascii="宋体" w:hAnsi="宋体" w:eastAsia="宋体" w:cs="宋体"/>
          <w:bCs/>
          <w:sz w:val="21"/>
          <w:szCs w:val="21"/>
        </w:rPr>
        <w:t>投标人名称（盖公章）：</w:t>
      </w:r>
      <w:r>
        <w:rPr>
          <w:rFonts w:hint="eastAsia" w:cs="宋体"/>
          <w:bCs/>
          <w:sz w:val="21"/>
          <w:szCs w:val="21"/>
          <w:u w:val="single"/>
          <w:lang w:val="en-US" w:eastAsia="zh-CN"/>
        </w:rPr>
        <w:t xml:space="preserve">                              </w:t>
      </w:r>
    </w:p>
    <w:p w14:paraId="04BB5C2A">
      <w:pPr>
        <w:wordWrap w:val="0"/>
        <w:spacing w:line="560" w:lineRule="exact"/>
        <w:ind w:firstLine="3150" w:firstLineChars="1500"/>
        <w:jc w:val="right"/>
        <w:rPr>
          <w:rFonts w:hint="default" w:ascii="宋体" w:hAnsi="宋体" w:eastAsia="宋体" w:cs="宋体"/>
          <w:bCs/>
          <w:sz w:val="21"/>
          <w:szCs w:val="21"/>
          <w:u w:val="single"/>
          <w:lang w:val="en-US" w:eastAsia="zh-CN"/>
        </w:rPr>
      </w:pPr>
      <w:r>
        <w:rPr>
          <w:rFonts w:hint="eastAsia" w:ascii="宋体" w:hAnsi="宋体" w:eastAsia="宋体" w:cs="宋体"/>
          <w:bCs/>
          <w:sz w:val="21"/>
          <w:szCs w:val="21"/>
        </w:rPr>
        <w:t>法定代表人或其授权代理人（签字或盖章）：</w:t>
      </w:r>
      <w:r>
        <w:rPr>
          <w:rFonts w:hint="eastAsia" w:cs="宋体"/>
          <w:bCs/>
          <w:sz w:val="21"/>
          <w:szCs w:val="21"/>
          <w:u w:val="single"/>
          <w:lang w:val="en-US" w:eastAsia="zh-CN"/>
        </w:rPr>
        <w:t xml:space="preserve">            </w:t>
      </w:r>
    </w:p>
    <w:p w14:paraId="0B127F7F">
      <w:pPr>
        <w:spacing w:line="560" w:lineRule="exact"/>
        <w:ind w:firstLine="3150" w:firstLineChars="1500"/>
        <w:jc w:val="right"/>
        <w:rPr>
          <w:rFonts w:hint="eastAsia" w:ascii="宋体" w:hAnsi="宋体" w:eastAsia="宋体" w:cs="宋体"/>
          <w:bCs/>
          <w:sz w:val="21"/>
          <w:szCs w:val="21"/>
        </w:rPr>
      </w:pPr>
      <w:r>
        <w:rPr>
          <w:rFonts w:hint="eastAsia" w:ascii="宋体" w:hAnsi="宋体" w:eastAsia="宋体" w:cs="宋体"/>
          <w:bCs/>
          <w:sz w:val="21"/>
          <w:szCs w:val="21"/>
        </w:rPr>
        <w:t>年    月     日</w:t>
      </w:r>
    </w:p>
    <w:p w14:paraId="49EC8A94">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br w:type="page"/>
      </w:r>
    </w:p>
    <w:p w14:paraId="0300F7C1">
      <w:pPr>
        <w:pStyle w:val="6"/>
        <w:bidi w:val="0"/>
        <w:rPr>
          <w:rFonts w:hint="eastAsia"/>
        </w:rPr>
      </w:pPr>
      <w:bookmarkStart w:id="430" w:name="_Toc3280"/>
      <w:r>
        <w:rPr>
          <w:rFonts w:hint="eastAsia"/>
          <w:lang w:val="en-US" w:eastAsia="zh-CN"/>
        </w:rPr>
        <w:t>八</w:t>
      </w:r>
      <w:r>
        <w:rPr>
          <w:rFonts w:hint="eastAsia"/>
          <w:lang w:eastAsia="zh-CN"/>
        </w:rPr>
        <w:t>、</w:t>
      </w:r>
      <w:r>
        <w:rPr>
          <w:rFonts w:hint="eastAsia"/>
        </w:rPr>
        <w:t>采购方案和相应的承诺</w:t>
      </w:r>
      <w:bookmarkEnd w:id="430"/>
    </w:p>
    <w:p w14:paraId="61798858">
      <w:pPr>
        <w:spacing w:before="120" w:after="120" w:line="560" w:lineRule="exact"/>
        <w:rPr>
          <w:rFonts w:hint="eastAsia" w:ascii="宋体" w:hAnsi="宋体" w:eastAsia="宋体" w:cs="宋体"/>
          <w:bCs/>
          <w:caps/>
          <w:color w:val="000000"/>
          <w:sz w:val="21"/>
          <w:szCs w:val="21"/>
        </w:rPr>
      </w:pPr>
    </w:p>
    <w:p w14:paraId="31E1C862">
      <w:pPr>
        <w:spacing w:before="120" w:after="120" w:line="560" w:lineRule="exact"/>
        <w:jc w:val="center"/>
        <w:rPr>
          <w:rFonts w:hint="eastAsia" w:ascii="宋体" w:hAnsi="宋体" w:eastAsia="宋体" w:cs="宋体"/>
          <w:bCs/>
          <w:caps/>
          <w:color w:val="000000"/>
          <w:sz w:val="21"/>
          <w:szCs w:val="21"/>
        </w:rPr>
      </w:pPr>
      <w:r>
        <w:rPr>
          <w:rFonts w:hint="eastAsia" w:ascii="宋体" w:hAnsi="宋体" w:eastAsia="宋体" w:cs="宋体"/>
          <w:bCs/>
          <w:caps/>
          <w:color w:val="000000"/>
          <w:sz w:val="21"/>
          <w:szCs w:val="21"/>
        </w:rPr>
        <w:t>投标人根据招标项目要求及自身情况自行填报。</w:t>
      </w:r>
    </w:p>
    <w:p w14:paraId="7E4CD256">
      <w:pPr>
        <w:tabs>
          <w:tab w:val="left" w:pos="630"/>
        </w:tabs>
        <w:spacing w:line="560" w:lineRule="exact"/>
        <w:rPr>
          <w:rFonts w:hint="eastAsia" w:ascii="宋体" w:hAnsi="宋体" w:eastAsia="宋体" w:cs="宋体"/>
          <w:sz w:val="21"/>
          <w:szCs w:val="21"/>
        </w:rPr>
      </w:pPr>
    </w:p>
    <w:p w14:paraId="085C1031">
      <w:pPr>
        <w:rPr>
          <w:rFonts w:hint="eastAsia" w:ascii="宋体" w:hAnsi="宋体" w:eastAsia="宋体" w:cs="宋体"/>
          <w:bCs/>
          <w:sz w:val="21"/>
          <w:szCs w:val="21"/>
        </w:rPr>
      </w:pPr>
      <w:r>
        <w:rPr>
          <w:rFonts w:hint="eastAsia" w:ascii="宋体" w:hAnsi="宋体" w:eastAsia="宋体" w:cs="宋体"/>
          <w:bCs/>
          <w:sz w:val="21"/>
          <w:szCs w:val="21"/>
        </w:rPr>
        <w:br w:type="page"/>
      </w:r>
    </w:p>
    <w:p w14:paraId="23F81A6B">
      <w:pPr>
        <w:pStyle w:val="6"/>
        <w:bidi w:val="0"/>
        <w:rPr>
          <w:rFonts w:hint="eastAsia"/>
          <w:lang w:val="en-US" w:eastAsia="zh-CN"/>
        </w:rPr>
      </w:pPr>
      <w:bookmarkStart w:id="431" w:name="_Toc7329"/>
      <w:bookmarkStart w:id="432" w:name="_Toc13547"/>
      <w:bookmarkStart w:id="433" w:name="_Toc20654"/>
      <w:r>
        <w:rPr>
          <w:rFonts w:hint="eastAsia"/>
          <w:lang w:val="en-US" w:eastAsia="zh-CN"/>
        </w:rPr>
        <w:t>九、</w:t>
      </w:r>
      <w:bookmarkEnd w:id="431"/>
      <w:r>
        <w:rPr>
          <w:rFonts w:hint="eastAsia"/>
          <w:lang w:val="en-US" w:eastAsia="zh-CN"/>
        </w:rPr>
        <w:t>同类业绩</w:t>
      </w:r>
      <w:bookmarkEnd w:id="432"/>
      <w:bookmarkEnd w:id="433"/>
    </w:p>
    <w:tbl>
      <w:tblPr>
        <w:tblStyle w:val="24"/>
        <w:tblW w:w="92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1164"/>
        <w:gridCol w:w="1164"/>
        <w:gridCol w:w="1164"/>
        <w:gridCol w:w="1165"/>
        <w:gridCol w:w="1165"/>
        <w:gridCol w:w="1723"/>
        <w:gridCol w:w="898"/>
      </w:tblGrid>
      <w:tr w14:paraId="07634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0" w:hRule="atLeast"/>
        </w:trPr>
        <w:tc>
          <w:tcPr>
            <w:tcW w:w="793" w:type="dxa"/>
            <w:vAlign w:val="center"/>
          </w:tcPr>
          <w:p w14:paraId="3A1F75D7">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kern w:val="0"/>
                <w:sz w:val="21"/>
                <w:szCs w:val="21"/>
                <w:lang w:val="en-US" w:eastAsia="zh-CN" w:bidi="ar"/>
              </w:rPr>
              <w:t>序号</w:t>
            </w:r>
          </w:p>
        </w:tc>
        <w:tc>
          <w:tcPr>
            <w:tcW w:w="1164" w:type="dxa"/>
            <w:vAlign w:val="center"/>
          </w:tcPr>
          <w:p w14:paraId="0BCBAEA5">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kern w:val="0"/>
                <w:sz w:val="21"/>
                <w:szCs w:val="21"/>
                <w:lang w:val="en-US" w:eastAsia="zh-CN" w:bidi="ar"/>
              </w:rPr>
              <w:t>项目名称</w:t>
            </w:r>
          </w:p>
        </w:tc>
        <w:tc>
          <w:tcPr>
            <w:tcW w:w="1164" w:type="dxa"/>
            <w:vAlign w:val="center"/>
          </w:tcPr>
          <w:p w14:paraId="44507A1B">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kern w:val="0"/>
                <w:sz w:val="21"/>
                <w:szCs w:val="21"/>
                <w:lang w:val="en-US" w:eastAsia="zh-CN" w:bidi="ar"/>
              </w:rPr>
              <w:t>项目地点</w:t>
            </w:r>
          </w:p>
        </w:tc>
        <w:tc>
          <w:tcPr>
            <w:tcW w:w="1164" w:type="dxa"/>
            <w:vAlign w:val="center"/>
          </w:tcPr>
          <w:p w14:paraId="7FF2F17F">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kern w:val="0"/>
                <w:sz w:val="21"/>
                <w:szCs w:val="21"/>
                <w:lang w:val="en-US" w:eastAsia="zh-CN" w:bidi="ar"/>
              </w:rPr>
              <w:t>用户单位</w:t>
            </w:r>
          </w:p>
        </w:tc>
        <w:tc>
          <w:tcPr>
            <w:tcW w:w="1165" w:type="dxa"/>
            <w:vAlign w:val="center"/>
          </w:tcPr>
          <w:p w14:paraId="0EED9E8C">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联系方式</w:t>
            </w:r>
          </w:p>
        </w:tc>
        <w:tc>
          <w:tcPr>
            <w:tcW w:w="1165" w:type="dxa"/>
            <w:vAlign w:val="center"/>
          </w:tcPr>
          <w:p w14:paraId="4CF9A0DF">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kern w:val="0"/>
                <w:sz w:val="21"/>
                <w:szCs w:val="21"/>
                <w:lang w:val="en-US" w:eastAsia="zh-CN" w:bidi="ar"/>
              </w:rPr>
              <w:t>合同金额</w:t>
            </w:r>
          </w:p>
        </w:tc>
        <w:tc>
          <w:tcPr>
            <w:tcW w:w="1723" w:type="dxa"/>
            <w:vAlign w:val="center"/>
          </w:tcPr>
          <w:p w14:paraId="00B831B3">
            <w:pPr>
              <w:keepNext w:val="0"/>
              <w:keepLines w:val="0"/>
              <w:widowControl/>
              <w:suppressLineNumbers w:val="0"/>
              <w:jc w:val="center"/>
              <w:rPr>
                <w:rFonts w:hint="eastAsia" w:ascii="宋体" w:hAnsi="宋体" w:eastAsia="宋体" w:cs="宋体"/>
                <w:color w:val="auto"/>
                <w:sz w:val="21"/>
                <w:szCs w:val="21"/>
                <w:vertAlign w:val="baseline"/>
              </w:rPr>
            </w:pPr>
            <w:r>
              <w:rPr>
                <w:rFonts w:hint="eastAsia" w:ascii="宋体" w:hAnsi="宋体" w:eastAsia="宋体" w:cs="宋体"/>
                <w:color w:val="auto"/>
                <w:kern w:val="0"/>
                <w:sz w:val="21"/>
                <w:szCs w:val="21"/>
                <w:lang w:val="en-US" w:eastAsia="zh-CN" w:bidi="ar"/>
              </w:rPr>
              <w:t>合同签定时间</w:t>
            </w:r>
          </w:p>
        </w:tc>
        <w:tc>
          <w:tcPr>
            <w:tcW w:w="898" w:type="dxa"/>
            <w:vAlign w:val="center"/>
          </w:tcPr>
          <w:p w14:paraId="1C8DD0AF">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kern w:val="0"/>
                <w:sz w:val="21"/>
                <w:szCs w:val="21"/>
                <w:lang w:val="en-US" w:eastAsia="zh-CN" w:bidi="ar"/>
              </w:rPr>
              <w:t>备注</w:t>
            </w:r>
          </w:p>
        </w:tc>
      </w:tr>
      <w:tr w14:paraId="47A1B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93" w:type="dxa"/>
            <w:vAlign w:val="center"/>
          </w:tcPr>
          <w:p w14:paraId="3BEA71AA">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1164" w:type="dxa"/>
            <w:vAlign w:val="center"/>
          </w:tcPr>
          <w:p w14:paraId="1AE2A03B">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1164" w:type="dxa"/>
            <w:vAlign w:val="center"/>
          </w:tcPr>
          <w:p w14:paraId="3251ACD2">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1164" w:type="dxa"/>
            <w:vAlign w:val="center"/>
          </w:tcPr>
          <w:p w14:paraId="2CDE05C0">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1165" w:type="dxa"/>
            <w:vAlign w:val="center"/>
          </w:tcPr>
          <w:p w14:paraId="2573512E">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1165" w:type="dxa"/>
            <w:vAlign w:val="center"/>
          </w:tcPr>
          <w:p w14:paraId="17CD581C">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1723" w:type="dxa"/>
            <w:vAlign w:val="center"/>
          </w:tcPr>
          <w:p w14:paraId="76BD7525">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898" w:type="dxa"/>
            <w:vAlign w:val="center"/>
          </w:tcPr>
          <w:p w14:paraId="09E12520">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r>
      <w:tr w14:paraId="3315C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93" w:type="dxa"/>
            <w:vAlign w:val="center"/>
          </w:tcPr>
          <w:p w14:paraId="55EDD6CD">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1164" w:type="dxa"/>
            <w:vAlign w:val="center"/>
          </w:tcPr>
          <w:p w14:paraId="347FFCC5">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1164" w:type="dxa"/>
            <w:vAlign w:val="center"/>
          </w:tcPr>
          <w:p w14:paraId="6F60C066">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1164" w:type="dxa"/>
            <w:vAlign w:val="center"/>
          </w:tcPr>
          <w:p w14:paraId="5F920825">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1165" w:type="dxa"/>
            <w:vAlign w:val="center"/>
          </w:tcPr>
          <w:p w14:paraId="184BF868">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1165" w:type="dxa"/>
            <w:vAlign w:val="center"/>
          </w:tcPr>
          <w:p w14:paraId="6837E448">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1723" w:type="dxa"/>
            <w:vAlign w:val="center"/>
          </w:tcPr>
          <w:p w14:paraId="22B6FD51">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898" w:type="dxa"/>
            <w:vAlign w:val="center"/>
          </w:tcPr>
          <w:p w14:paraId="59BA2792">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r>
      <w:tr w14:paraId="5C69B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93" w:type="dxa"/>
            <w:vAlign w:val="center"/>
          </w:tcPr>
          <w:p w14:paraId="07F4197A">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1164" w:type="dxa"/>
            <w:vAlign w:val="center"/>
          </w:tcPr>
          <w:p w14:paraId="1FECAFDB">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1164" w:type="dxa"/>
            <w:vAlign w:val="center"/>
          </w:tcPr>
          <w:p w14:paraId="21BB6C5F">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1164" w:type="dxa"/>
            <w:vAlign w:val="center"/>
          </w:tcPr>
          <w:p w14:paraId="183F58D3">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1165" w:type="dxa"/>
            <w:vAlign w:val="center"/>
          </w:tcPr>
          <w:p w14:paraId="1EE6767B">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1165" w:type="dxa"/>
            <w:vAlign w:val="center"/>
          </w:tcPr>
          <w:p w14:paraId="72F1D3DE">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1723" w:type="dxa"/>
            <w:vAlign w:val="center"/>
          </w:tcPr>
          <w:p w14:paraId="45DCCA02">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898" w:type="dxa"/>
            <w:vAlign w:val="center"/>
          </w:tcPr>
          <w:p w14:paraId="6E8F830F">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r>
      <w:tr w14:paraId="6FE23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93" w:type="dxa"/>
            <w:vAlign w:val="center"/>
          </w:tcPr>
          <w:p w14:paraId="6C8E1FC2">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1164" w:type="dxa"/>
            <w:vAlign w:val="center"/>
          </w:tcPr>
          <w:p w14:paraId="204D3286">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1164" w:type="dxa"/>
            <w:vAlign w:val="center"/>
          </w:tcPr>
          <w:p w14:paraId="304375FA">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1164" w:type="dxa"/>
            <w:vAlign w:val="center"/>
          </w:tcPr>
          <w:p w14:paraId="633FD155">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1165" w:type="dxa"/>
            <w:vAlign w:val="center"/>
          </w:tcPr>
          <w:p w14:paraId="04220A2D">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1165" w:type="dxa"/>
            <w:vAlign w:val="center"/>
          </w:tcPr>
          <w:p w14:paraId="6D4F430A">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1723" w:type="dxa"/>
            <w:vAlign w:val="center"/>
          </w:tcPr>
          <w:p w14:paraId="43BEF746">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898" w:type="dxa"/>
            <w:vAlign w:val="center"/>
          </w:tcPr>
          <w:p w14:paraId="58A7542B">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r>
      <w:tr w14:paraId="133D0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93" w:type="dxa"/>
            <w:vAlign w:val="center"/>
          </w:tcPr>
          <w:p w14:paraId="76E1CA79">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1164" w:type="dxa"/>
            <w:vAlign w:val="center"/>
          </w:tcPr>
          <w:p w14:paraId="6C34406C">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1164" w:type="dxa"/>
            <w:vAlign w:val="center"/>
          </w:tcPr>
          <w:p w14:paraId="579A73BA">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1164" w:type="dxa"/>
            <w:vAlign w:val="center"/>
          </w:tcPr>
          <w:p w14:paraId="20257C47">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1165" w:type="dxa"/>
            <w:vAlign w:val="center"/>
          </w:tcPr>
          <w:p w14:paraId="3AAB9732">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1165" w:type="dxa"/>
            <w:vAlign w:val="center"/>
          </w:tcPr>
          <w:p w14:paraId="6356CE12">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1723" w:type="dxa"/>
            <w:vAlign w:val="center"/>
          </w:tcPr>
          <w:p w14:paraId="7B61388C">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c>
          <w:tcPr>
            <w:tcW w:w="898" w:type="dxa"/>
            <w:vAlign w:val="center"/>
          </w:tcPr>
          <w:p w14:paraId="5CB17148">
            <w:pPr>
              <w:keepNext w:val="0"/>
              <w:keepLines w:val="0"/>
              <w:pageBreakBefore w:val="0"/>
              <w:widowControl/>
              <w:suppressLineNumbers w:val="0"/>
              <w:kinsoku/>
              <w:wordWrap/>
              <w:overflowPunct/>
              <w:topLinePunct w:val="0"/>
              <w:autoSpaceDE/>
              <w:autoSpaceDN/>
              <w:bidi w:val="0"/>
              <w:adjustRightInd/>
              <w:snapToGrid/>
              <w:spacing w:line="276" w:lineRule="auto"/>
              <w:jc w:val="center"/>
              <w:textAlignment w:val="auto"/>
              <w:rPr>
                <w:rFonts w:hint="eastAsia" w:ascii="宋体" w:hAnsi="宋体" w:eastAsia="宋体" w:cs="宋体"/>
                <w:color w:val="auto"/>
                <w:sz w:val="21"/>
                <w:szCs w:val="21"/>
                <w:vertAlign w:val="baseline"/>
              </w:rPr>
            </w:pPr>
          </w:p>
        </w:tc>
      </w:tr>
    </w:tbl>
    <w:p w14:paraId="3E0C101B">
      <w:pPr>
        <w:keepNext w:val="0"/>
        <w:keepLines w:val="0"/>
        <w:widowControl/>
        <w:suppressLineNumbers w:val="0"/>
        <w:jc w:val="left"/>
        <w:rPr>
          <w:color w:val="auto"/>
        </w:rPr>
      </w:pPr>
    </w:p>
    <w:p w14:paraId="5F0C9A06">
      <w:pPr>
        <w:pStyle w:val="3"/>
        <w:rPr>
          <w:rFonts w:hint="eastAsia"/>
          <w:sz w:val="21"/>
          <w:szCs w:val="21"/>
        </w:rPr>
      </w:pPr>
      <w:r>
        <w:rPr>
          <w:rFonts w:hint="eastAsia" w:ascii="宋体" w:hAnsi="宋体" w:eastAsia="宋体" w:cs="宋体"/>
          <w:color w:val="auto"/>
          <w:kern w:val="0"/>
          <w:sz w:val="21"/>
          <w:szCs w:val="21"/>
          <w:lang w:val="en-US" w:eastAsia="zh-CN" w:bidi="ar"/>
        </w:rPr>
        <w:t>注：附与本项目评审相关的证明资料及投标单位认为需要提供的其他材料。</w:t>
      </w:r>
    </w:p>
    <w:p w14:paraId="777EB496">
      <w:pPr>
        <w:rPr>
          <w:rFonts w:hint="eastAsia" w:ascii="宋体" w:hAnsi="宋体" w:eastAsia="宋体" w:cs="宋体"/>
          <w:sz w:val="21"/>
          <w:szCs w:val="21"/>
          <w:lang w:eastAsia="zh-CN"/>
        </w:rPr>
      </w:pPr>
      <w:r>
        <w:rPr>
          <w:rFonts w:hint="eastAsia" w:ascii="宋体" w:hAnsi="宋体" w:eastAsia="宋体" w:cs="宋体"/>
          <w:sz w:val="21"/>
          <w:szCs w:val="21"/>
          <w:lang w:eastAsia="zh-CN"/>
        </w:rPr>
        <w:br w:type="page"/>
      </w:r>
    </w:p>
    <w:p w14:paraId="7DEB6D81">
      <w:pPr>
        <w:pStyle w:val="6"/>
        <w:bidi w:val="0"/>
        <w:rPr>
          <w:rFonts w:hint="eastAsia"/>
        </w:rPr>
      </w:pPr>
      <w:bookmarkStart w:id="434" w:name="_Toc1267"/>
      <w:r>
        <w:rPr>
          <w:rFonts w:hint="eastAsia"/>
          <w:lang w:val="en-US" w:eastAsia="zh-CN"/>
        </w:rPr>
        <w:t>十</w:t>
      </w:r>
      <w:r>
        <w:rPr>
          <w:rFonts w:hint="eastAsia"/>
          <w:lang w:eastAsia="zh-CN"/>
        </w:rPr>
        <w:t>、</w:t>
      </w:r>
      <w:r>
        <w:rPr>
          <w:rFonts w:hint="eastAsia"/>
        </w:rPr>
        <w:t>资格证明文件</w:t>
      </w:r>
      <w:bookmarkEnd w:id="434"/>
    </w:p>
    <w:p w14:paraId="5E980228">
      <w:pPr>
        <w:pStyle w:val="7"/>
        <w:bidi w:val="0"/>
        <w:jc w:val="center"/>
        <w:rPr>
          <w:rFonts w:hint="eastAsia"/>
        </w:rPr>
      </w:pPr>
      <w:bookmarkStart w:id="435" w:name="_Toc515647805"/>
      <w:bookmarkStart w:id="436" w:name="_Toc29899"/>
      <w:bookmarkStart w:id="437" w:name="_Toc532473496"/>
      <w:bookmarkStart w:id="438" w:name="_Toc2582310"/>
      <w:bookmarkStart w:id="439" w:name="_Toc19197"/>
      <w:bookmarkStart w:id="440" w:name="_Toc17577"/>
      <w:r>
        <w:rPr>
          <w:rFonts w:hint="eastAsia"/>
          <w:lang w:eastAsia="zh-CN"/>
        </w:rPr>
        <w:t>（一）具有独立承担民事责任的能力</w:t>
      </w:r>
      <w:bookmarkEnd w:id="435"/>
      <w:bookmarkEnd w:id="436"/>
      <w:bookmarkEnd w:id="437"/>
      <w:bookmarkEnd w:id="438"/>
      <w:bookmarkEnd w:id="439"/>
      <w:bookmarkEnd w:id="440"/>
    </w:p>
    <w:p w14:paraId="674E1A5A">
      <w:pPr>
        <w:pStyle w:val="13"/>
        <w:tabs>
          <w:tab w:val="left" w:pos="5580"/>
        </w:tabs>
        <w:spacing w:line="560" w:lineRule="exact"/>
        <w:jc w:val="both"/>
        <w:rPr>
          <w:rFonts w:hint="eastAsia" w:ascii="宋体" w:hAnsi="宋体" w:eastAsia="宋体" w:cs="宋体"/>
          <w:b/>
          <w:sz w:val="21"/>
          <w:szCs w:val="21"/>
          <w:lang w:eastAsia="zh-CN"/>
        </w:rPr>
      </w:pPr>
    </w:p>
    <w:p w14:paraId="07F621E0">
      <w:pPr>
        <w:pStyle w:val="13"/>
        <w:tabs>
          <w:tab w:val="left" w:pos="5580"/>
        </w:tabs>
        <w:spacing w:line="560" w:lineRule="exact"/>
        <w:ind w:firstLine="420" w:firstLineChars="200"/>
        <w:rPr>
          <w:rFonts w:hint="eastAsia" w:ascii="宋体" w:hAnsi="宋体" w:eastAsia="宋体" w:cs="宋体"/>
          <w:b/>
          <w:sz w:val="21"/>
          <w:szCs w:val="21"/>
          <w:lang w:eastAsia="zh-CN"/>
        </w:rPr>
      </w:pPr>
      <w:r>
        <w:rPr>
          <w:rFonts w:hint="eastAsia" w:hAnsi="宋体" w:cs="宋体"/>
          <w:sz w:val="21"/>
          <w:szCs w:val="21"/>
          <w:lang w:val="en-US" w:eastAsia="zh-CN"/>
        </w:rPr>
        <w:t>注：提供法人或者非法人组织的营业执照等证明文件或自然人的身份证明，</w:t>
      </w:r>
      <w:r>
        <w:rPr>
          <w:rFonts w:hint="eastAsia" w:ascii="宋体" w:hAnsi="宋体" w:eastAsia="宋体" w:cs="宋体"/>
          <w:sz w:val="21"/>
          <w:szCs w:val="21"/>
          <w:lang w:eastAsia="zh-CN"/>
        </w:rPr>
        <w:t>供应商是企业（包括合伙企业），应提供在工商部门注册的有效“企业法人营业执照”或“营业执照”；供应商是事业单位，应提供有效的“事业单位法人证书”；供应商是非企业专业服务机构的，应提供执业许可证等证明文件；供应商是个体工商户，应提供有效的“个体工商户营业执照”；供应商是自然人，应提供有效的自然人身份证明。</w:t>
      </w:r>
    </w:p>
    <w:p w14:paraId="6B5EF87B">
      <w:pPr>
        <w:pStyle w:val="13"/>
        <w:tabs>
          <w:tab w:val="left" w:pos="5580"/>
        </w:tabs>
        <w:spacing w:line="560" w:lineRule="exact"/>
        <w:rPr>
          <w:rFonts w:hint="eastAsia" w:ascii="宋体" w:hAnsi="宋体" w:eastAsia="宋体" w:cs="宋体"/>
          <w:b/>
          <w:sz w:val="21"/>
          <w:szCs w:val="21"/>
          <w:lang w:eastAsia="zh-CN"/>
        </w:rPr>
      </w:pPr>
    </w:p>
    <w:p w14:paraId="44D5A8F8">
      <w:pPr>
        <w:pStyle w:val="13"/>
        <w:tabs>
          <w:tab w:val="left" w:pos="5580"/>
        </w:tabs>
        <w:spacing w:line="560" w:lineRule="exact"/>
        <w:rPr>
          <w:rFonts w:hint="eastAsia" w:ascii="宋体" w:hAnsi="宋体" w:eastAsia="宋体" w:cs="宋体"/>
          <w:sz w:val="21"/>
          <w:szCs w:val="21"/>
          <w:lang w:eastAsia="zh-CN"/>
        </w:rPr>
      </w:pPr>
    </w:p>
    <w:p w14:paraId="384EEF96">
      <w:pPr>
        <w:pStyle w:val="13"/>
        <w:tabs>
          <w:tab w:val="left" w:pos="5580"/>
        </w:tabs>
        <w:spacing w:line="560" w:lineRule="exact"/>
        <w:rPr>
          <w:rFonts w:hint="eastAsia" w:ascii="宋体" w:hAnsi="宋体" w:eastAsia="宋体" w:cs="宋体"/>
          <w:sz w:val="21"/>
          <w:szCs w:val="21"/>
          <w:lang w:eastAsia="zh-CN"/>
        </w:rPr>
      </w:pPr>
    </w:p>
    <w:p w14:paraId="2D5235CB">
      <w:pPr>
        <w:rPr>
          <w:rFonts w:hint="eastAsia" w:ascii="宋体" w:hAnsi="宋体" w:eastAsia="宋体" w:cs="宋体"/>
          <w:sz w:val="21"/>
          <w:szCs w:val="21"/>
          <w:lang w:eastAsia="zh-CN"/>
        </w:rPr>
      </w:pPr>
      <w:r>
        <w:rPr>
          <w:rFonts w:hint="eastAsia" w:ascii="宋体" w:hAnsi="宋体" w:eastAsia="宋体" w:cs="宋体"/>
          <w:sz w:val="21"/>
          <w:szCs w:val="21"/>
          <w:lang w:eastAsia="zh-CN"/>
        </w:rPr>
        <w:br w:type="page"/>
      </w:r>
    </w:p>
    <w:p w14:paraId="106976B1">
      <w:pPr>
        <w:pStyle w:val="7"/>
        <w:bidi w:val="0"/>
        <w:jc w:val="center"/>
        <w:rPr>
          <w:rFonts w:hint="eastAsia"/>
        </w:rPr>
      </w:pPr>
      <w:bookmarkStart w:id="441" w:name="_Toc2582314"/>
      <w:bookmarkStart w:id="442" w:name="_Toc26858"/>
      <w:r>
        <w:rPr>
          <w:rFonts w:hint="eastAsia"/>
          <w:lang w:eastAsia="zh-CN"/>
        </w:rPr>
        <w:t>（</w:t>
      </w:r>
      <w:r>
        <w:rPr>
          <w:rFonts w:hint="eastAsia"/>
          <w:lang w:val="en-US" w:eastAsia="zh-CN"/>
        </w:rPr>
        <w:t>二</w:t>
      </w:r>
      <w:r>
        <w:rPr>
          <w:rFonts w:hint="eastAsia"/>
          <w:lang w:eastAsia="zh-CN"/>
        </w:rPr>
        <w:t>）</w:t>
      </w:r>
      <w:bookmarkEnd w:id="441"/>
      <w:r>
        <w:rPr>
          <w:rFonts w:hint="eastAsia"/>
          <w:lang w:eastAsia="zh-CN"/>
        </w:rPr>
        <w:t>具有良好的商业信誉和健全的财务会计制度</w:t>
      </w:r>
      <w:bookmarkEnd w:id="442"/>
    </w:p>
    <w:p w14:paraId="7DB66561">
      <w:pPr>
        <w:keepNext w:val="0"/>
        <w:keepLines w:val="0"/>
        <w:pageBreakBefore w:val="0"/>
        <w:widowControl w:val="0"/>
        <w:kinsoku/>
        <w:wordWrap/>
        <w:overflowPunct/>
        <w:topLinePunct w:val="0"/>
        <w:autoSpaceDE/>
        <w:autoSpaceDN/>
        <w:bidi w:val="0"/>
        <w:adjustRightInd/>
        <w:snapToGrid/>
        <w:spacing w:line="396" w:lineRule="auto"/>
        <w:jc w:val="both"/>
        <w:textAlignment w:val="auto"/>
        <w:rPr>
          <w:rFonts w:hint="eastAsia" w:ascii="宋体" w:hAnsi="宋体" w:eastAsia="宋体" w:cs="宋体"/>
          <w:b/>
          <w:bCs w:val="0"/>
          <w:sz w:val="21"/>
          <w:szCs w:val="21"/>
          <w:lang w:eastAsia="zh-CN"/>
        </w:rPr>
      </w:pPr>
    </w:p>
    <w:p w14:paraId="3E86E4E3">
      <w:pPr>
        <w:keepNext w:val="0"/>
        <w:keepLines w:val="0"/>
        <w:pageBreakBefore w:val="0"/>
        <w:widowControl w:val="0"/>
        <w:kinsoku/>
        <w:wordWrap/>
        <w:overflowPunct/>
        <w:topLinePunct w:val="0"/>
        <w:autoSpaceDE/>
        <w:autoSpaceDN/>
        <w:bidi w:val="0"/>
        <w:adjustRightInd/>
        <w:snapToGrid/>
        <w:spacing w:line="396" w:lineRule="auto"/>
        <w:jc w:val="both"/>
        <w:textAlignment w:val="auto"/>
        <w:rPr>
          <w:rFonts w:hint="eastAsia" w:ascii="宋体" w:hAnsi="宋体" w:eastAsia="宋体" w:cs="宋体"/>
          <w:b/>
          <w:bCs w:val="0"/>
          <w:sz w:val="21"/>
          <w:szCs w:val="21"/>
          <w:lang w:eastAsia="zh-CN"/>
        </w:rPr>
      </w:pPr>
    </w:p>
    <w:p w14:paraId="75E59E21">
      <w:pPr>
        <w:keepNext w:val="0"/>
        <w:keepLines w:val="0"/>
        <w:pageBreakBefore w:val="0"/>
        <w:widowControl w:val="0"/>
        <w:kinsoku/>
        <w:wordWrap/>
        <w:overflowPunct/>
        <w:topLinePunct w:val="0"/>
        <w:autoSpaceDE/>
        <w:autoSpaceDN/>
        <w:bidi w:val="0"/>
        <w:adjustRightInd/>
        <w:snapToGrid/>
        <w:spacing w:line="396" w:lineRule="auto"/>
        <w:textAlignment w:val="auto"/>
        <w:rPr>
          <w:rFonts w:hint="eastAsia" w:ascii="宋体" w:hAnsi="宋体" w:eastAsia="宋体" w:cs="宋体"/>
          <w:sz w:val="21"/>
          <w:szCs w:val="21"/>
          <w:lang w:eastAsia="zh-CN"/>
        </w:rPr>
      </w:pPr>
    </w:p>
    <w:p w14:paraId="21E39184">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sz w:val="21"/>
          <w:szCs w:val="21"/>
          <w:u w:val="none"/>
          <w:lang w:val="en-US" w:eastAsia="zh-CN"/>
        </w:rPr>
      </w:pPr>
      <w:r>
        <w:rPr>
          <w:rFonts w:hint="eastAsia" w:ascii="宋体" w:hAnsi="宋体" w:eastAsia="宋体" w:cs="宋体"/>
          <w:kern w:val="0"/>
          <w:sz w:val="21"/>
          <w:szCs w:val="21"/>
        </w:rPr>
        <w:t>提供202</w:t>
      </w:r>
      <w:r>
        <w:rPr>
          <w:rFonts w:hint="eastAsia" w:ascii="宋体" w:hAnsi="宋体" w:eastAsia="宋体" w:cs="宋体"/>
          <w:kern w:val="0"/>
          <w:sz w:val="21"/>
          <w:szCs w:val="21"/>
          <w:lang w:val="en-US" w:eastAsia="zh-CN"/>
        </w:rPr>
        <w:t>3</w:t>
      </w:r>
      <w:r>
        <w:rPr>
          <w:rFonts w:hint="eastAsia" w:ascii="宋体" w:hAnsi="宋体" w:eastAsia="宋体" w:cs="宋体"/>
          <w:kern w:val="0"/>
          <w:sz w:val="21"/>
          <w:szCs w:val="21"/>
        </w:rPr>
        <w:t>年度经审计的财务报告或基本开户银行出具的资信证明或财政部门认可的政府采购专业担保机构出具的投标担保函。如供应商提供财务报告的，</w:t>
      </w:r>
      <w:r>
        <w:rPr>
          <w:rFonts w:hint="eastAsia" w:ascii="宋体" w:hAnsi="宋体" w:eastAsia="宋体" w:cs="宋体"/>
          <w:sz w:val="21"/>
          <w:szCs w:val="21"/>
          <w:u w:val="none"/>
          <w:lang w:val="en-US" w:eastAsia="zh-CN"/>
        </w:rPr>
        <w:t>财务报告应包括“四表一注”</w:t>
      </w:r>
      <w:r>
        <w:rPr>
          <w:rFonts w:hint="eastAsia" w:cs="宋体"/>
          <w:sz w:val="21"/>
          <w:szCs w:val="21"/>
          <w:u w:val="none"/>
          <w:lang w:val="en-US" w:eastAsia="zh-CN"/>
        </w:rPr>
        <w:t>或</w:t>
      </w:r>
      <w:r>
        <w:rPr>
          <w:rFonts w:hint="eastAsia" w:ascii="宋体" w:hAnsi="宋体" w:eastAsia="宋体" w:cs="宋体"/>
          <w:sz w:val="21"/>
          <w:szCs w:val="21"/>
          <w:u w:val="none"/>
          <w:lang w:val="en-US" w:eastAsia="zh-CN"/>
        </w:rPr>
        <w:t>“</w:t>
      </w:r>
      <w:r>
        <w:rPr>
          <w:rFonts w:hint="eastAsia" w:cs="宋体"/>
          <w:sz w:val="21"/>
          <w:szCs w:val="21"/>
          <w:u w:val="none"/>
          <w:lang w:val="en-US" w:eastAsia="zh-CN"/>
        </w:rPr>
        <w:t>三</w:t>
      </w:r>
      <w:r>
        <w:rPr>
          <w:rFonts w:hint="eastAsia" w:ascii="宋体" w:hAnsi="宋体" w:eastAsia="宋体" w:cs="宋体"/>
          <w:sz w:val="21"/>
          <w:szCs w:val="21"/>
          <w:u w:val="none"/>
          <w:lang w:val="en-US" w:eastAsia="zh-CN"/>
        </w:rPr>
        <w:t>表一注”，即资产负债表、利润表、现金流量表、所有者权益变动表</w:t>
      </w:r>
      <w:r>
        <w:rPr>
          <w:rFonts w:hint="eastAsia" w:cs="宋体"/>
          <w:sz w:val="21"/>
          <w:szCs w:val="21"/>
          <w:u w:val="none"/>
          <w:lang w:val="en-US" w:eastAsia="zh-CN"/>
        </w:rPr>
        <w:t>（如有）</w:t>
      </w:r>
      <w:r>
        <w:rPr>
          <w:rFonts w:hint="eastAsia" w:ascii="宋体" w:hAnsi="宋体" w:eastAsia="宋体" w:cs="宋体"/>
          <w:sz w:val="21"/>
          <w:szCs w:val="21"/>
          <w:u w:val="none"/>
          <w:lang w:val="en-US" w:eastAsia="zh-CN"/>
        </w:rPr>
        <w:t>及其附注</w:t>
      </w:r>
      <w:r>
        <w:rPr>
          <w:rFonts w:hint="eastAsia" w:ascii="宋体" w:hAnsi="宋体" w:eastAsia="宋体" w:cs="宋体"/>
          <w:kern w:val="0"/>
          <w:sz w:val="21"/>
          <w:szCs w:val="21"/>
        </w:rPr>
        <w:t>。</w:t>
      </w:r>
    </w:p>
    <w:p w14:paraId="7158D2A1">
      <w:pPr>
        <w:rPr>
          <w:rFonts w:hint="eastAsia" w:ascii="宋体" w:hAnsi="宋体" w:eastAsia="宋体" w:cs="宋体"/>
          <w:sz w:val="21"/>
          <w:szCs w:val="21"/>
          <w:lang w:eastAsia="zh-CN"/>
        </w:rPr>
      </w:pPr>
      <w:r>
        <w:rPr>
          <w:rFonts w:hint="eastAsia" w:ascii="宋体" w:hAnsi="宋体" w:eastAsia="宋体" w:cs="宋体"/>
          <w:sz w:val="21"/>
          <w:szCs w:val="21"/>
          <w:lang w:eastAsia="zh-CN"/>
        </w:rPr>
        <w:br w:type="page"/>
      </w:r>
    </w:p>
    <w:p w14:paraId="7C8D2226">
      <w:pPr>
        <w:pStyle w:val="7"/>
        <w:bidi w:val="0"/>
        <w:jc w:val="center"/>
        <w:rPr>
          <w:rFonts w:hint="eastAsia" w:ascii="宋体" w:hAnsi="宋体" w:eastAsia="宋体" w:cs="宋体"/>
          <w:sz w:val="21"/>
          <w:szCs w:val="21"/>
          <w:lang w:eastAsia="zh-CN"/>
        </w:rPr>
      </w:pPr>
      <w:bookmarkStart w:id="443" w:name="_Toc18356"/>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三</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具有履行合同所必需的设备和专业技术能力</w:t>
      </w:r>
      <w:bookmarkEnd w:id="443"/>
    </w:p>
    <w:p w14:paraId="5E638B7E">
      <w:pPr>
        <w:pStyle w:val="3"/>
        <w:rPr>
          <w:rFonts w:hint="eastAsia" w:ascii="宋体" w:hAnsi="宋体" w:eastAsia="宋体" w:cs="宋体"/>
          <w:sz w:val="21"/>
          <w:szCs w:val="21"/>
          <w:lang w:eastAsia="zh-CN"/>
        </w:rPr>
      </w:pPr>
    </w:p>
    <w:p w14:paraId="4A75FD80">
      <w:pPr>
        <w:keepNext w:val="0"/>
        <w:keepLines w:val="0"/>
        <w:pageBreakBefore w:val="0"/>
        <w:widowControl w:val="0"/>
        <w:kinsoku/>
        <w:wordWrap/>
        <w:overflowPunct/>
        <w:topLinePunct w:val="0"/>
        <w:autoSpaceDE/>
        <w:autoSpaceDN/>
        <w:bidi w:val="0"/>
        <w:adjustRightInd/>
        <w:snapToGrid/>
        <w:spacing w:line="396" w:lineRule="auto"/>
        <w:jc w:val="center"/>
        <w:textAlignment w:val="auto"/>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资格承诺函</w:t>
      </w:r>
    </w:p>
    <w:p w14:paraId="72BB2543">
      <w:pPr>
        <w:keepNext w:val="0"/>
        <w:keepLines w:val="0"/>
        <w:pageBreakBefore w:val="0"/>
        <w:widowControl w:val="0"/>
        <w:kinsoku/>
        <w:wordWrap/>
        <w:overflowPunct/>
        <w:topLinePunct w:val="0"/>
        <w:autoSpaceDE/>
        <w:autoSpaceDN/>
        <w:bidi w:val="0"/>
        <w:adjustRightInd/>
        <w:snapToGrid/>
        <w:spacing w:line="396" w:lineRule="auto"/>
        <w:textAlignment w:val="auto"/>
        <w:rPr>
          <w:rFonts w:hint="eastAsia" w:ascii="宋体" w:hAnsi="宋体" w:eastAsia="宋体" w:cs="宋体"/>
          <w:sz w:val="21"/>
          <w:szCs w:val="21"/>
          <w:lang w:eastAsia="zh-CN"/>
        </w:rPr>
      </w:pPr>
    </w:p>
    <w:p w14:paraId="181A809A">
      <w:pPr>
        <w:keepNext w:val="0"/>
        <w:keepLines w:val="0"/>
        <w:pageBreakBefore w:val="0"/>
        <w:widowControl w:val="0"/>
        <w:kinsoku/>
        <w:wordWrap/>
        <w:overflowPunct/>
        <w:topLinePunct w:val="0"/>
        <w:autoSpaceDE/>
        <w:autoSpaceDN/>
        <w:bidi w:val="0"/>
        <w:adjustRightInd/>
        <w:snapToGrid/>
        <w:spacing w:line="396" w:lineRule="auto"/>
        <w:textAlignment w:val="auto"/>
        <w:rPr>
          <w:rFonts w:hint="eastAsia" w:ascii="宋体" w:hAnsi="宋体" w:eastAsia="宋体" w:cs="宋体"/>
          <w:sz w:val="21"/>
          <w:szCs w:val="21"/>
          <w:u w:val="single"/>
          <w:lang w:eastAsia="zh-CN"/>
        </w:rPr>
      </w:pPr>
      <w:r>
        <w:rPr>
          <w:rFonts w:hint="eastAsia" w:ascii="宋体" w:hAnsi="宋体" w:eastAsia="宋体" w:cs="宋体"/>
          <w:sz w:val="21"/>
          <w:szCs w:val="21"/>
          <w:lang w:eastAsia="zh-CN"/>
        </w:rPr>
        <w:t>致：</w:t>
      </w:r>
      <w:r>
        <w:rPr>
          <w:rFonts w:hint="eastAsia" w:ascii="宋体" w:hAnsi="宋体" w:eastAsia="宋体" w:cs="宋体"/>
          <w:sz w:val="21"/>
          <w:szCs w:val="21"/>
          <w:u w:val="single"/>
          <w:lang w:eastAsia="zh-CN"/>
        </w:rPr>
        <w:t>（采购人、采购代理机构）</w:t>
      </w:r>
    </w:p>
    <w:p w14:paraId="5FFC27ED">
      <w:pPr>
        <w:keepNext w:val="0"/>
        <w:keepLines w:val="0"/>
        <w:pageBreakBefore w:val="0"/>
        <w:widowControl w:val="0"/>
        <w:kinsoku/>
        <w:wordWrap/>
        <w:overflowPunct/>
        <w:topLinePunct w:val="0"/>
        <w:autoSpaceDE/>
        <w:autoSpaceDN/>
        <w:bidi w:val="0"/>
        <w:adjustRightInd/>
        <w:snapToGrid/>
        <w:spacing w:line="396" w:lineRule="auto"/>
        <w:ind w:firstLine="64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我单位参与</w:t>
      </w:r>
      <w:r>
        <w:rPr>
          <w:rFonts w:hint="eastAsia" w:ascii="宋体" w:hAnsi="宋体" w:eastAsia="宋体" w:cs="宋体"/>
          <w:sz w:val="21"/>
          <w:szCs w:val="21"/>
          <w:u w:val="single"/>
          <w:lang w:val="en-US" w:eastAsia="zh-CN"/>
        </w:rPr>
        <w:t>（项目名称）（项目编号：         ）</w:t>
      </w:r>
      <w:r>
        <w:rPr>
          <w:rFonts w:hint="eastAsia" w:ascii="宋体" w:hAnsi="宋体" w:eastAsia="宋体" w:cs="宋体"/>
          <w:sz w:val="21"/>
          <w:szCs w:val="21"/>
          <w:lang w:val="en-US" w:eastAsia="zh-CN"/>
        </w:rPr>
        <w:t>项目的政府采购活动，现承诺如下：</w:t>
      </w:r>
    </w:p>
    <w:p w14:paraId="1805F3D0">
      <w:pPr>
        <w:keepNext w:val="0"/>
        <w:keepLines w:val="0"/>
        <w:pageBreakBefore w:val="0"/>
        <w:widowControl w:val="0"/>
        <w:kinsoku/>
        <w:wordWrap/>
        <w:overflowPunct/>
        <w:topLinePunct w:val="0"/>
        <w:autoSpaceDE/>
        <w:autoSpaceDN/>
        <w:bidi w:val="0"/>
        <w:adjustRightInd/>
        <w:snapToGrid/>
        <w:spacing w:line="396" w:lineRule="auto"/>
        <w:ind w:firstLine="64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我单位具有符合《中华人民共和国政府采购法》《中华人民共和国政府采购法实施条例》及采购文件资格要求规定的具有履行合同所必需的设备和专业技术能力。</w:t>
      </w:r>
    </w:p>
    <w:p w14:paraId="1D032AD3">
      <w:pPr>
        <w:keepNext w:val="0"/>
        <w:keepLines w:val="0"/>
        <w:pageBreakBefore w:val="0"/>
        <w:widowControl w:val="0"/>
        <w:kinsoku/>
        <w:wordWrap/>
        <w:overflowPunct/>
        <w:topLinePunct w:val="0"/>
        <w:autoSpaceDE/>
        <w:autoSpaceDN/>
        <w:bidi w:val="0"/>
        <w:adjustRightInd/>
        <w:snapToGrid/>
        <w:spacing w:line="396" w:lineRule="auto"/>
        <w:ind w:firstLine="64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若我单位以上承诺不实，自愿承担提供虚假材料谋取中标、成交的法律责任。</w:t>
      </w:r>
    </w:p>
    <w:p w14:paraId="1556D16F">
      <w:pPr>
        <w:keepNext w:val="0"/>
        <w:keepLines w:val="0"/>
        <w:pageBreakBefore w:val="0"/>
        <w:widowControl w:val="0"/>
        <w:kinsoku/>
        <w:wordWrap/>
        <w:overflowPunct/>
        <w:topLinePunct w:val="0"/>
        <w:autoSpaceDE/>
        <w:autoSpaceDN/>
        <w:bidi w:val="0"/>
        <w:adjustRightInd/>
        <w:snapToGrid/>
        <w:spacing w:line="396" w:lineRule="auto"/>
        <w:ind w:firstLine="640"/>
        <w:textAlignment w:val="auto"/>
        <w:rPr>
          <w:rFonts w:hint="eastAsia" w:ascii="宋体" w:hAnsi="宋体" w:eastAsia="宋体" w:cs="宋体"/>
          <w:sz w:val="21"/>
          <w:szCs w:val="21"/>
          <w:lang w:val="en-US" w:eastAsia="zh-CN"/>
        </w:rPr>
      </w:pPr>
    </w:p>
    <w:p w14:paraId="7C2B67EE">
      <w:pPr>
        <w:keepNext w:val="0"/>
        <w:keepLines w:val="0"/>
        <w:pageBreakBefore w:val="0"/>
        <w:widowControl w:val="0"/>
        <w:kinsoku/>
        <w:wordWrap/>
        <w:overflowPunct/>
        <w:topLinePunct w:val="0"/>
        <w:autoSpaceDE/>
        <w:autoSpaceDN/>
        <w:bidi w:val="0"/>
        <w:adjustRightInd/>
        <w:snapToGrid/>
        <w:spacing w:line="396" w:lineRule="auto"/>
        <w:ind w:firstLine="640"/>
        <w:textAlignment w:val="auto"/>
        <w:rPr>
          <w:rFonts w:hint="eastAsia" w:ascii="宋体" w:hAnsi="宋体" w:eastAsia="宋体" w:cs="宋体"/>
          <w:sz w:val="21"/>
          <w:szCs w:val="21"/>
          <w:lang w:val="en-US" w:eastAsia="zh-CN"/>
        </w:rPr>
      </w:pPr>
    </w:p>
    <w:p w14:paraId="5FC73005">
      <w:pPr>
        <w:wordWrap w:val="0"/>
        <w:spacing w:line="560" w:lineRule="exact"/>
        <w:ind w:firstLine="3150" w:firstLineChars="1500"/>
        <w:jc w:val="right"/>
        <w:rPr>
          <w:rFonts w:hint="default" w:ascii="宋体" w:hAnsi="宋体" w:eastAsia="宋体" w:cs="宋体"/>
          <w:bCs/>
          <w:sz w:val="21"/>
          <w:szCs w:val="21"/>
          <w:u w:val="single"/>
          <w:lang w:val="en-US" w:eastAsia="zh-CN"/>
        </w:rPr>
      </w:pPr>
      <w:r>
        <w:rPr>
          <w:rFonts w:hint="eastAsia" w:ascii="宋体" w:hAnsi="宋体" w:eastAsia="宋体" w:cs="宋体"/>
          <w:bCs/>
          <w:sz w:val="21"/>
          <w:szCs w:val="21"/>
        </w:rPr>
        <w:t>投标人名称（盖公章）：</w:t>
      </w:r>
      <w:r>
        <w:rPr>
          <w:rFonts w:hint="eastAsia" w:cs="宋体"/>
          <w:bCs/>
          <w:sz w:val="21"/>
          <w:szCs w:val="21"/>
          <w:u w:val="single"/>
          <w:lang w:val="en-US" w:eastAsia="zh-CN"/>
        </w:rPr>
        <w:t xml:space="preserve">                              </w:t>
      </w:r>
    </w:p>
    <w:p w14:paraId="125D4174">
      <w:pPr>
        <w:wordWrap w:val="0"/>
        <w:spacing w:line="560" w:lineRule="exact"/>
        <w:ind w:firstLine="3150" w:firstLineChars="1500"/>
        <w:jc w:val="right"/>
        <w:rPr>
          <w:rFonts w:hint="default" w:ascii="宋体" w:hAnsi="宋体" w:eastAsia="宋体" w:cs="宋体"/>
          <w:bCs/>
          <w:sz w:val="21"/>
          <w:szCs w:val="21"/>
          <w:u w:val="single"/>
          <w:lang w:val="en-US" w:eastAsia="zh-CN"/>
        </w:rPr>
      </w:pPr>
      <w:r>
        <w:rPr>
          <w:rFonts w:hint="eastAsia" w:ascii="宋体" w:hAnsi="宋体" w:eastAsia="宋体" w:cs="宋体"/>
          <w:bCs/>
          <w:sz w:val="21"/>
          <w:szCs w:val="21"/>
        </w:rPr>
        <w:t>法定代表人或其授权代理人（签字或盖章）：</w:t>
      </w:r>
      <w:r>
        <w:rPr>
          <w:rFonts w:hint="eastAsia" w:cs="宋体"/>
          <w:bCs/>
          <w:sz w:val="21"/>
          <w:szCs w:val="21"/>
          <w:u w:val="single"/>
          <w:lang w:val="en-US" w:eastAsia="zh-CN"/>
        </w:rPr>
        <w:t xml:space="preserve">            </w:t>
      </w:r>
    </w:p>
    <w:p w14:paraId="60A24BD7">
      <w:pPr>
        <w:spacing w:line="560" w:lineRule="exact"/>
        <w:ind w:firstLine="3150" w:firstLineChars="1500"/>
        <w:jc w:val="right"/>
        <w:rPr>
          <w:rFonts w:hint="eastAsia" w:ascii="宋体" w:hAnsi="宋体" w:eastAsia="宋体" w:cs="宋体"/>
          <w:bCs/>
          <w:sz w:val="21"/>
          <w:szCs w:val="21"/>
        </w:rPr>
      </w:pPr>
      <w:r>
        <w:rPr>
          <w:rFonts w:hint="eastAsia" w:ascii="宋体" w:hAnsi="宋体" w:eastAsia="宋体" w:cs="宋体"/>
          <w:bCs/>
          <w:sz w:val="21"/>
          <w:szCs w:val="21"/>
        </w:rPr>
        <w:t>年    月     日</w:t>
      </w:r>
    </w:p>
    <w:p w14:paraId="3BB2196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u w:val="none"/>
          <w:lang w:val="en-US" w:eastAsia="zh-CN"/>
        </w:rPr>
      </w:pPr>
    </w:p>
    <w:p w14:paraId="1BB574E3">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说明：供应商可自行选择是否提供本承诺函，若不提供本承诺函，应按《中华人民共和国政府采购法》《中华人民共和国政府采购法实施条例》及采购文件资格要求提供</w:t>
      </w:r>
      <w:r>
        <w:rPr>
          <w:rFonts w:hint="eastAsia" w:cs="宋体"/>
          <w:sz w:val="21"/>
          <w:szCs w:val="21"/>
          <w:u w:val="none"/>
          <w:lang w:val="en-US" w:eastAsia="zh-CN"/>
        </w:rPr>
        <w:t>相应</w:t>
      </w:r>
      <w:r>
        <w:rPr>
          <w:rFonts w:hint="eastAsia" w:ascii="宋体" w:hAnsi="宋体" w:eastAsia="宋体" w:cs="宋体"/>
          <w:sz w:val="21"/>
          <w:szCs w:val="21"/>
          <w:u w:val="none"/>
          <w:lang w:val="en-US" w:eastAsia="zh-CN"/>
        </w:rPr>
        <w:t>设备证明及人员证件。</w:t>
      </w:r>
    </w:p>
    <w:p w14:paraId="76DCEB46">
      <w:pPr>
        <w:pStyle w:val="3"/>
        <w:rPr>
          <w:rFonts w:hint="eastAsia" w:ascii="宋体" w:hAnsi="宋体" w:eastAsia="宋体" w:cs="宋体"/>
          <w:sz w:val="21"/>
          <w:szCs w:val="21"/>
          <w:lang w:eastAsia="zh-CN"/>
        </w:rPr>
      </w:pPr>
    </w:p>
    <w:p w14:paraId="7F17893D">
      <w:pPr>
        <w:pStyle w:val="3"/>
        <w:rPr>
          <w:rFonts w:hint="eastAsia" w:ascii="宋体" w:hAnsi="宋体" w:eastAsia="宋体" w:cs="宋体"/>
          <w:sz w:val="21"/>
          <w:szCs w:val="21"/>
          <w:lang w:eastAsia="zh-CN"/>
        </w:rPr>
      </w:pPr>
    </w:p>
    <w:p w14:paraId="05D84A2D">
      <w:pPr>
        <w:pStyle w:val="3"/>
        <w:rPr>
          <w:rFonts w:hint="eastAsia" w:ascii="宋体" w:hAnsi="宋体" w:eastAsia="宋体" w:cs="宋体"/>
          <w:sz w:val="21"/>
          <w:szCs w:val="21"/>
          <w:lang w:eastAsia="zh-CN"/>
        </w:rPr>
      </w:pPr>
    </w:p>
    <w:p w14:paraId="4C78F0FF">
      <w:pPr>
        <w:pStyle w:val="6"/>
        <w:bidi w:val="0"/>
        <w:rPr>
          <w:rFonts w:hint="eastAsia" w:ascii="宋体" w:hAnsi="宋体" w:eastAsia="宋体" w:cs="宋体"/>
        </w:rPr>
        <w:sectPr>
          <w:footerReference r:id="rId5" w:type="default"/>
          <w:pgSz w:w="11906" w:h="16838"/>
          <w:pgMar w:top="1417" w:right="1587" w:bottom="1417" w:left="1587" w:header="851" w:footer="992" w:gutter="0"/>
          <w:pgNumType w:fmt="decimal"/>
          <w:cols w:space="0" w:num="1"/>
          <w:titlePg/>
          <w:rtlGutter w:val="0"/>
          <w:docGrid w:type="linesAndChars" w:linePitch="312" w:charSpace="0"/>
        </w:sectPr>
      </w:pPr>
    </w:p>
    <w:p w14:paraId="1C19C1DC">
      <w:pPr>
        <w:pStyle w:val="7"/>
        <w:bidi w:val="0"/>
        <w:jc w:val="center"/>
        <w:rPr>
          <w:rFonts w:hint="eastAsia"/>
        </w:rPr>
      </w:pPr>
      <w:bookmarkStart w:id="444" w:name="_Toc10133"/>
      <w:r>
        <w:rPr>
          <w:rFonts w:hint="eastAsia"/>
          <w:lang w:eastAsia="zh-CN"/>
        </w:rPr>
        <w:t>（四）依法缴纳税收和社会保障资金的良好记录</w:t>
      </w:r>
      <w:bookmarkEnd w:id="444"/>
    </w:p>
    <w:p w14:paraId="610BDD22">
      <w:pPr>
        <w:keepNext w:val="0"/>
        <w:keepLines w:val="0"/>
        <w:pageBreakBefore w:val="0"/>
        <w:widowControl w:val="0"/>
        <w:kinsoku/>
        <w:wordWrap/>
        <w:overflowPunct/>
        <w:topLinePunct w:val="0"/>
        <w:autoSpaceDE/>
        <w:autoSpaceDN/>
        <w:bidi w:val="0"/>
        <w:adjustRightInd/>
        <w:snapToGrid/>
        <w:spacing w:line="396" w:lineRule="auto"/>
        <w:jc w:val="center"/>
        <w:textAlignment w:val="auto"/>
        <w:rPr>
          <w:rFonts w:hint="eastAsia" w:ascii="宋体" w:hAnsi="宋体" w:eastAsia="宋体" w:cs="宋体"/>
          <w:sz w:val="21"/>
          <w:szCs w:val="21"/>
          <w:lang w:eastAsia="zh-CN"/>
        </w:rPr>
      </w:pPr>
    </w:p>
    <w:p w14:paraId="1FC99F9D">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提供2024年</w:t>
      </w:r>
      <w:r>
        <w:rPr>
          <w:rFonts w:hint="eastAsia" w:cs="宋体"/>
          <w:sz w:val="21"/>
          <w:szCs w:val="21"/>
          <w:u w:val="none"/>
          <w:lang w:val="en-US" w:eastAsia="zh-CN"/>
        </w:rPr>
        <w:t>10</w:t>
      </w:r>
      <w:r>
        <w:rPr>
          <w:rFonts w:hint="eastAsia" w:ascii="宋体" w:hAnsi="宋体" w:eastAsia="宋体" w:cs="宋体"/>
          <w:sz w:val="21"/>
          <w:szCs w:val="21"/>
          <w:u w:val="none"/>
          <w:lang w:val="en-US" w:eastAsia="zh-CN"/>
        </w:rPr>
        <w:t>月1日以来任意1个月的依法缴纳税收和社会保障资金的证明材料，依法免税或不需要缴纳税收、缴纳社会保障资金，须出具有效证明文件。</w:t>
      </w:r>
    </w:p>
    <w:p w14:paraId="4C2F853E">
      <w:pPr>
        <w:spacing w:line="560" w:lineRule="exact"/>
        <w:ind w:firstLine="0"/>
        <w:rPr>
          <w:rFonts w:hint="eastAsia" w:ascii="宋体" w:hAnsi="宋体" w:eastAsia="宋体" w:cs="宋体"/>
          <w:sz w:val="21"/>
          <w:szCs w:val="21"/>
        </w:rPr>
      </w:pPr>
      <w:r>
        <w:rPr>
          <w:rFonts w:hint="eastAsia" w:ascii="宋体" w:hAnsi="宋体" w:eastAsia="宋体" w:cs="宋体"/>
          <w:b/>
          <w:bCs/>
          <w:caps/>
          <w:color w:val="000000"/>
          <w:sz w:val="21"/>
          <w:szCs w:val="21"/>
        </w:rPr>
        <w:br w:type="page"/>
      </w:r>
    </w:p>
    <w:p w14:paraId="2EDFF492">
      <w:pPr>
        <w:pStyle w:val="7"/>
        <w:bidi w:val="0"/>
        <w:jc w:val="center"/>
        <w:rPr>
          <w:rFonts w:hint="eastAsia"/>
        </w:rPr>
      </w:pPr>
      <w:bookmarkStart w:id="445" w:name="_Toc24936"/>
      <w:r>
        <w:rPr>
          <w:rFonts w:hint="eastAsia"/>
          <w:lang w:eastAsia="zh-CN"/>
        </w:rPr>
        <w:t>（五）参加政府采购活动前三年内，在经营活动中没有重大违法记录</w:t>
      </w:r>
      <w:bookmarkEnd w:id="445"/>
    </w:p>
    <w:p w14:paraId="553EFBF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1"/>
          <w:szCs w:val="21"/>
          <w:lang w:eastAsia="zh-CN"/>
        </w:rPr>
      </w:pPr>
    </w:p>
    <w:p w14:paraId="39F1A56B">
      <w:pPr>
        <w:keepNext w:val="0"/>
        <w:keepLines w:val="0"/>
        <w:pageBreakBefore w:val="0"/>
        <w:widowControl w:val="0"/>
        <w:kinsoku/>
        <w:wordWrap/>
        <w:overflowPunct/>
        <w:topLinePunct w:val="0"/>
        <w:autoSpaceDE/>
        <w:autoSpaceDN/>
        <w:bidi w:val="0"/>
        <w:adjustRightInd/>
        <w:snapToGrid/>
        <w:spacing w:line="396" w:lineRule="auto"/>
        <w:jc w:val="center"/>
        <w:textAlignment w:val="auto"/>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资格承诺函</w:t>
      </w:r>
    </w:p>
    <w:p w14:paraId="3E97D3E7">
      <w:pPr>
        <w:keepNext w:val="0"/>
        <w:keepLines w:val="0"/>
        <w:pageBreakBefore w:val="0"/>
        <w:widowControl w:val="0"/>
        <w:kinsoku/>
        <w:wordWrap/>
        <w:overflowPunct/>
        <w:topLinePunct w:val="0"/>
        <w:autoSpaceDE/>
        <w:autoSpaceDN/>
        <w:bidi w:val="0"/>
        <w:adjustRightInd/>
        <w:snapToGrid/>
        <w:spacing w:line="396" w:lineRule="auto"/>
        <w:textAlignment w:val="auto"/>
        <w:rPr>
          <w:rFonts w:hint="eastAsia" w:ascii="宋体" w:hAnsi="宋体" w:eastAsia="宋体" w:cs="宋体"/>
          <w:sz w:val="21"/>
          <w:szCs w:val="21"/>
          <w:lang w:eastAsia="zh-CN"/>
        </w:rPr>
      </w:pPr>
    </w:p>
    <w:p w14:paraId="700515A2">
      <w:pPr>
        <w:keepNext w:val="0"/>
        <w:keepLines w:val="0"/>
        <w:pageBreakBefore w:val="0"/>
        <w:widowControl w:val="0"/>
        <w:kinsoku/>
        <w:wordWrap/>
        <w:overflowPunct/>
        <w:topLinePunct w:val="0"/>
        <w:autoSpaceDE/>
        <w:autoSpaceDN/>
        <w:bidi w:val="0"/>
        <w:adjustRightInd/>
        <w:snapToGrid/>
        <w:spacing w:line="396" w:lineRule="auto"/>
        <w:textAlignment w:val="auto"/>
        <w:rPr>
          <w:rFonts w:hint="eastAsia" w:ascii="宋体" w:hAnsi="宋体" w:eastAsia="宋体" w:cs="宋体"/>
          <w:sz w:val="21"/>
          <w:szCs w:val="21"/>
          <w:u w:val="single"/>
          <w:lang w:eastAsia="zh-CN"/>
        </w:rPr>
      </w:pPr>
      <w:r>
        <w:rPr>
          <w:rFonts w:hint="eastAsia" w:ascii="宋体" w:hAnsi="宋体" w:eastAsia="宋体" w:cs="宋体"/>
          <w:sz w:val="21"/>
          <w:szCs w:val="21"/>
          <w:lang w:eastAsia="zh-CN"/>
        </w:rPr>
        <w:t>致：</w:t>
      </w:r>
      <w:r>
        <w:rPr>
          <w:rFonts w:hint="eastAsia" w:ascii="宋体" w:hAnsi="宋体" w:eastAsia="宋体" w:cs="宋体"/>
          <w:sz w:val="21"/>
          <w:szCs w:val="21"/>
          <w:u w:val="single"/>
          <w:lang w:eastAsia="zh-CN"/>
        </w:rPr>
        <w:t>（采购人、采购代理机构）</w:t>
      </w:r>
    </w:p>
    <w:p w14:paraId="1F4427B8">
      <w:pPr>
        <w:keepNext w:val="0"/>
        <w:keepLines w:val="0"/>
        <w:pageBreakBefore w:val="0"/>
        <w:widowControl w:val="0"/>
        <w:kinsoku/>
        <w:wordWrap/>
        <w:overflowPunct/>
        <w:topLinePunct w:val="0"/>
        <w:autoSpaceDE/>
        <w:autoSpaceDN/>
        <w:bidi w:val="0"/>
        <w:adjustRightInd/>
        <w:snapToGrid/>
        <w:spacing w:line="396" w:lineRule="auto"/>
        <w:ind w:firstLine="64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我单位参与</w:t>
      </w:r>
      <w:r>
        <w:rPr>
          <w:rFonts w:hint="eastAsia" w:ascii="宋体" w:hAnsi="宋体" w:eastAsia="宋体" w:cs="宋体"/>
          <w:sz w:val="21"/>
          <w:szCs w:val="21"/>
          <w:u w:val="single"/>
          <w:lang w:val="en-US" w:eastAsia="zh-CN"/>
        </w:rPr>
        <w:t>（项目名称）（项目编号：         ）</w:t>
      </w:r>
      <w:r>
        <w:rPr>
          <w:rFonts w:hint="eastAsia" w:ascii="宋体" w:hAnsi="宋体" w:eastAsia="宋体" w:cs="宋体"/>
          <w:sz w:val="21"/>
          <w:szCs w:val="21"/>
          <w:lang w:val="en-US" w:eastAsia="zh-CN"/>
        </w:rPr>
        <w:t>项目的政府采购活动，现承诺如下：</w:t>
      </w:r>
    </w:p>
    <w:p w14:paraId="437F4F21">
      <w:pPr>
        <w:keepNext w:val="0"/>
        <w:keepLines w:val="0"/>
        <w:pageBreakBefore w:val="0"/>
        <w:widowControl w:val="0"/>
        <w:kinsoku/>
        <w:wordWrap/>
        <w:overflowPunct/>
        <w:topLinePunct w:val="0"/>
        <w:autoSpaceDE/>
        <w:autoSpaceDN/>
        <w:bidi w:val="0"/>
        <w:adjustRightInd/>
        <w:snapToGrid/>
        <w:spacing w:line="396" w:lineRule="auto"/>
        <w:ind w:firstLine="64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我单位符合《中华人民共和国政府采购法》《中华人民共和国政府采购法实施条例》及采购文件资格要求规定的参加政府采购活动前三年内，在经营活动中没有重大违法记录。</w:t>
      </w:r>
    </w:p>
    <w:p w14:paraId="5B009000">
      <w:pPr>
        <w:keepNext w:val="0"/>
        <w:keepLines w:val="0"/>
        <w:pageBreakBefore w:val="0"/>
        <w:widowControl w:val="0"/>
        <w:kinsoku/>
        <w:wordWrap/>
        <w:overflowPunct/>
        <w:topLinePunct w:val="0"/>
        <w:autoSpaceDE/>
        <w:autoSpaceDN/>
        <w:bidi w:val="0"/>
        <w:adjustRightInd/>
        <w:snapToGrid/>
        <w:spacing w:line="396" w:lineRule="auto"/>
        <w:ind w:firstLine="64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若我单位以上承诺不实，自愿承担提供虚假材料谋取中标、成交的法律责任。</w:t>
      </w:r>
    </w:p>
    <w:p w14:paraId="61B55D75">
      <w:pPr>
        <w:keepNext w:val="0"/>
        <w:keepLines w:val="0"/>
        <w:pageBreakBefore w:val="0"/>
        <w:widowControl w:val="0"/>
        <w:kinsoku/>
        <w:wordWrap/>
        <w:overflowPunct/>
        <w:topLinePunct w:val="0"/>
        <w:autoSpaceDE/>
        <w:autoSpaceDN/>
        <w:bidi w:val="0"/>
        <w:adjustRightInd/>
        <w:snapToGrid/>
        <w:spacing w:line="396" w:lineRule="auto"/>
        <w:ind w:firstLine="0"/>
        <w:textAlignment w:val="auto"/>
        <w:rPr>
          <w:rFonts w:hint="eastAsia" w:ascii="宋体" w:hAnsi="宋体" w:eastAsia="宋体" w:cs="宋体"/>
          <w:sz w:val="21"/>
          <w:szCs w:val="21"/>
          <w:lang w:val="en-US" w:eastAsia="zh-CN"/>
        </w:rPr>
      </w:pPr>
    </w:p>
    <w:p w14:paraId="623ABCF4">
      <w:pPr>
        <w:wordWrap w:val="0"/>
        <w:spacing w:line="560" w:lineRule="exact"/>
        <w:ind w:firstLine="3150" w:firstLineChars="1500"/>
        <w:jc w:val="right"/>
        <w:rPr>
          <w:rFonts w:hint="default" w:ascii="宋体" w:hAnsi="宋体" w:eastAsia="宋体" w:cs="宋体"/>
          <w:bCs/>
          <w:sz w:val="21"/>
          <w:szCs w:val="21"/>
          <w:u w:val="single"/>
          <w:lang w:val="en-US" w:eastAsia="zh-CN"/>
        </w:rPr>
      </w:pPr>
      <w:r>
        <w:rPr>
          <w:rFonts w:hint="eastAsia" w:ascii="宋体" w:hAnsi="宋体" w:eastAsia="宋体" w:cs="宋体"/>
          <w:bCs/>
          <w:sz w:val="21"/>
          <w:szCs w:val="21"/>
        </w:rPr>
        <w:t>投标人名称（盖公章）：</w:t>
      </w:r>
      <w:r>
        <w:rPr>
          <w:rFonts w:hint="eastAsia" w:cs="宋体"/>
          <w:bCs/>
          <w:sz w:val="21"/>
          <w:szCs w:val="21"/>
          <w:u w:val="single"/>
          <w:lang w:val="en-US" w:eastAsia="zh-CN"/>
        </w:rPr>
        <w:t xml:space="preserve">                              </w:t>
      </w:r>
    </w:p>
    <w:p w14:paraId="3E87AA5D">
      <w:pPr>
        <w:wordWrap w:val="0"/>
        <w:spacing w:line="560" w:lineRule="exact"/>
        <w:ind w:firstLine="3150" w:firstLineChars="1500"/>
        <w:jc w:val="right"/>
        <w:rPr>
          <w:rFonts w:hint="default" w:ascii="宋体" w:hAnsi="宋体" w:eastAsia="宋体" w:cs="宋体"/>
          <w:bCs/>
          <w:sz w:val="21"/>
          <w:szCs w:val="21"/>
          <w:u w:val="single"/>
          <w:lang w:val="en-US" w:eastAsia="zh-CN"/>
        </w:rPr>
      </w:pPr>
      <w:r>
        <w:rPr>
          <w:rFonts w:hint="eastAsia" w:ascii="宋体" w:hAnsi="宋体" w:eastAsia="宋体" w:cs="宋体"/>
          <w:bCs/>
          <w:sz w:val="21"/>
          <w:szCs w:val="21"/>
        </w:rPr>
        <w:t>法定代表人或其授权代理人（签字或盖章）：</w:t>
      </w:r>
      <w:r>
        <w:rPr>
          <w:rFonts w:hint="eastAsia" w:cs="宋体"/>
          <w:bCs/>
          <w:sz w:val="21"/>
          <w:szCs w:val="21"/>
          <w:u w:val="single"/>
          <w:lang w:val="en-US" w:eastAsia="zh-CN"/>
        </w:rPr>
        <w:t xml:space="preserve">            </w:t>
      </w:r>
    </w:p>
    <w:p w14:paraId="7F5C2420">
      <w:pPr>
        <w:spacing w:line="560" w:lineRule="exact"/>
        <w:ind w:firstLine="3150" w:firstLineChars="1500"/>
        <w:jc w:val="right"/>
        <w:rPr>
          <w:rFonts w:hint="eastAsia" w:ascii="宋体" w:hAnsi="宋体" w:eastAsia="宋体" w:cs="宋体"/>
          <w:bCs/>
          <w:sz w:val="21"/>
          <w:szCs w:val="21"/>
        </w:rPr>
      </w:pPr>
      <w:r>
        <w:rPr>
          <w:rFonts w:hint="eastAsia" w:ascii="宋体" w:hAnsi="宋体" w:eastAsia="宋体" w:cs="宋体"/>
          <w:bCs/>
          <w:sz w:val="21"/>
          <w:szCs w:val="21"/>
        </w:rPr>
        <w:t>年    月     日</w:t>
      </w:r>
    </w:p>
    <w:p w14:paraId="025CEED3">
      <w:pPr>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br w:type="page"/>
      </w:r>
    </w:p>
    <w:p w14:paraId="15AA2D1E">
      <w:pPr>
        <w:pStyle w:val="7"/>
        <w:bidi w:val="0"/>
        <w:jc w:val="center"/>
        <w:rPr>
          <w:rFonts w:hint="default"/>
          <w:lang w:val="en-US" w:eastAsia="zh-CN"/>
        </w:rPr>
      </w:pPr>
      <w:bookmarkStart w:id="446" w:name="_Toc31996"/>
      <w:r>
        <w:rPr>
          <w:rFonts w:hint="eastAsia"/>
          <w:lang w:val="en-US" w:eastAsia="zh-CN"/>
        </w:rPr>
        <w:t>（六）信用信息记录</w:t>
      </w:r>
      <w:bookmarkEnd w:id="446"/>
    </w:p>
    <w:p w14:paraId="1FD2043E">
      <w:pPr>
        <w:pStyle w:val="2"/>
        <w:ind w:left="0" w:leftChars="0" w:firstLine="0" w:firstLineChars="0"/>
        <w:rPr>
          <w:rFonts w:hint="eastAsia"/>
          <w:lang w:val="en-US" w:eastAsia="zh-CN"/>
        </w:rPr>
      </w:pPr>
    </w:p>
    <w:p w14:paraId="3D02C4D1">
      <w:pPr>
        <w:jc w:val="center"/>
        <w:rPr>
          <w:rFonts w:hint="default"/>
          <w:sz w:val="21"/>
          <w:szCs w:val="21"/>
          <w:lang w:val="en-US" w:eastAsia="zh-CN"/>
        </w:rPr>
      </w:pPr>
      <w:r>
        <w:rPr>
          <w:rFonts w:hint="eastAsia"/>
          <w:sz w:val="21"/>
          <w:szCs w:val="21"/>
          <w:lang w:val="en-US" w:eastAsia="zh-CN"/>
        </w:rPr>
        <w:t>自行提供、格式不限</w:t>
      </w:r>
    </w:p>
    <w:p w14:paraId="4F0470EF">
      <w:pPr>
        <w:rPr>
          <w:rFonts w:ascii="黑体" w:hAnsi="黑体" w:eastAsia="黑体" w:cs="黑体"/>
          <w:color w:val="auto"/>
          <w:sz w:val="28"/>
          <w:szCs w:val="28"/>
          <w:lang w:val="en" w:eastAsia="zh-CN"/>
        </w:rPr>
      </w:pPr>
      <w:bookmarkStart w:id="447" w:name="_Toc1179847034"/>
      <w:bookmarkStart w:id="448" w:name="_Toc1306770718"/>
      <w:bookmarkStart w:id="449" w:name="_Toc1562600580"/>
      <w:bookmarkStart w:id="450" w:name="_Toc807820015"/>
      <w:bookmarkStart w:id="451" w:name="_Toc1888555944"/>
      <w:bookmarkStart w:id="452" w:name="_Toc2035532823"/>
      <w:bookmarkStart w:id="453" w:name="_Toc1445600282"/>
      <w:bookmarkStart w:id="454" w:name="_Toc237482121"/>
      <w:bookmarkStart w:id="455" w:name="_Toc1929226479"/>
      <w:r>
        <w:rPr>
          <w:rFonts w:ascii="黑体" w:hAnsi="黑体" w:eastAsia="黑体" w:cs="黑体"/>
          <w:color w:val="auto"/>
          <w:sz w:val="28"/>
          <w:szCs w:val="28"/>
          <w:lang w:val="en" w:eastAsia="zh-CN"/>
        </w:rPr>
        <w:br w:type="page"/>
      </w:r>
    </w:p>
    <w:p w14:paraId="78159687">
      <w:pPr>
        <w:pStyle w:val="7"/>
        <w:bidi w:val="0"/>
        <w:jc w:val="center"/>
        <w:rPr>
          <w:rFonts w:hint="eastAsia" w:ascii="宋体" w:hAnsi="宋体" w:eastAsia="宋体" w:cs="宋体"/>
          <w:color w:val="auto"/>
          <w:sz w:val="24"/>
          <w:szCs w:val="24"/>
        </w:rPr>
      </w:pPr>
      <w:bookmarkStart w:id="456" w:name="_Toc3786"/>
      <w:r>
        <w:rPr>
          <w:rFonts w:hint="eastAsia" w:ascii="宋体" w:hAnsi="宋体" w:eastAsia="宋体" w:cs="宋体"/>
          <w:color w:val="auto"/>
          <w:sz w:val="24"/>
          <w:szCs w:val="24"/>
          <w:lang w:val="en" w:eastAsia="zh-CN"/>
        </w:rPr>
        <w:t>（</w:t>
      </w:r>
      <w:r>
        <w:rPr>
          <w:rFonts w:hint="eastAsia" w:ascii="宋体" w:hAnsi="宋体" w:eastAsia="宋体" w:cs="宋体"/>
          <w:color w:val="auto"/>
          <w:sz w:val="24"/>
          <w:szCs w:val="24"/>
          <w:lang w:val="en-US" w:eastAsia="zh-CN"/>
        </w:rPr>
        <w:t>七</w:t>
      </w:r>
      <w:r>
        <w:rPr>
          <w:rFonts w:hint="eastAsia" w:ascii="宋体" w:hAnsi="宋体" w:eastAsia="宋体" w:cs="宋体"/>
          <w:color w:val="auto"/>
          <w:sz w:val="24"/>
          <w:szCs w:val="24"/>
          <w:lang w:val="en" w:eastAsia="zh-CN"/>
        </w:rPr>
        <w:t>）</w:t>
      </w:r>
      <w:r>
        <w:rPr>
          <w:rFonts w:hint="eastAsia" w:ascii="宋体" w:hAnsi="宋体" w:eastAsia="宋体" w:cs="宋体"/>
          <w:color w:val="auto"/>
          <w:sz w:val="24"/>
          <w:szCs w:val="24"/>
        </w:rPr>
        <w:t>投标人关联单位的说明</w:t>
      </w:r>
      <w:bookmarkEnd w:id="447"/>
      <w:bookmarkEnd w:id="448"/>
      <w:bookmarkEnd w:id="449"/>
      <w:bookmarkEnd w:id="450"/>
      <w:bookmarkEnd w:id="451"/>
      <w:bookmarkEnd w:id="452"/>
      <w:bookmarkEnd w:id="453"/>
      <w:bookmarkEnd w:id="454"/>
      <w:bookmarkEnd w:id="455"/>
      <w:bookmarkEnd w:id="456"/>
    </w:p>
    <w:p w14:paraId="387DCADD">
      <w:pPr>
        <w:keepNext w:val="0"/>
        <w:keepLines w:val="0"/>
        <w:pageBreakBefore w:val="0"/>
        <w:widowControl w:val="0"/>
        <w:kinsoku/>
        <w:wordWrap/>
        <w:overflowPunct/>
        <w:topLinePunct w:val="0"/>
        <w:autoSpaceDE/>
        <w:autoSpaceDN/>
        <w:bidi w:val="0"/>
        <w:adjustRightInd/>
        <w:snapToGrid/>
        <w:spacing w:line="396" w:lineRule="auto"/>
        <w:jc w:val="center"/>
        <w:textAlignment w:val="auto"/>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资格承诺函</w:t>
      </w:r>
    </w:p>
    <w:p w14:paraId="2295678D">
      <w:pPr>
        <w:keepNext w:val="0"/>
        <w:keepLines w:val="0"/>
        <w:pageBreakBefore w:val="0"/>
        <w:widowControl w:val="0"/>
        <w:kinsoku/>
        <w:wordWrap/>
        <w:overflowPunct/>
        <w:topLinePunct w:val="0"/>
        <w:autoSpaceDE/>
        <w:autoSpaceDN/>
        <w:bidi w:val="0"/>
        <w:adjustRightInd/>
        <w:snapToGrid/>
        <w:spacing w:line="396" w:lineRule="auto"/>
        <w:textAlignment w:val="auto"/>
        <w:rPr>
          <w:rFonts w:hint="eastAsia" w:ascii="宋体" w:hAnsi="宋体" w:eastAsia="宋体" w:cs="宋体"/>
          <w:sz w:val="21"/>
          <w:szCs w:val="21"/>
          <w:lang w:eastAsia="zh-CN"/>
        </w:rPr>
      </w:pPr>
    </w:p>
    <w:p w14:paraId="432CF872">
      <w:pPr>
        <w:keepNext w:val="0"/>
        <w:keepLines w:val="0"/>
        <w:pageBreakBefore w:val="0"/>
        <w:widowControl w:val="0"/>
        <w:kinsoku/>
        <w:wordWrap/>
        <w:overflowPunct/>
        <w:topLinePunct w:val="0"/>
        <w:autoSpaceDE/>
        <w:autoSpaceDN/>
        <w:bidi w:val="0"/>
        <w:adjustRightInd/>
        <w:snapToGrid/>
        <w:spacing w:line="396" w:lineRule="auto"/>
        <w:textAlignment w:val="auto"/>
        <w:rPr>
          <w:rFonts w:hint="eastAsia" w:ascii="宋体" w:hAnsi="宋体" w:eastAsia="宋体" w:cs="宋体"/>
          <w:sz w:val="21"/>
          <w:szCs w:val="21"/>
          <w:u w:val="single"/>
          <w:lang w:eastAsia="zh-CN"/>
        </w:rPr>
      </w:pPr>
      <w:r>
        <w:rPr>
          <w:rFonts w:hint="eastAsia" w:ascii="宋体" w:hAnsi="宋体" w:eastAsia="宋体" w:cs="宋体"/>
          <w:sz w:val="21"/>
          <w:szCs w:val="21"/>
          <w:lang w:eastAsia="zh-CN"/>
        </w:rPr>
        <w:t>致：</w:t>
      </w:r>
      <w:r>
        <w:rPr>
          <w:rFonts w:hint="eastAsia" w:ascii="宋体" w:hAnsi="宋体" w:eastAsia="宋体" w:cs="宋体"/>
          <w:sz w:val="21"/>
          <w:szCs w:val="21"/>
          <w:u w:val="single"/>
          <w:lang w:eastAsia="zh-CN"/>
        </w:rPr>
        <w:t>（采购人、采购代理机构）</w:t>
      </w:r>
    </w:p>
    <w:p w14:paraId="3930E0F8">
      <w:pPr>
        <w:keepNext w:val="0"/>
        <w:keepLines w:val="0"/>
        <w:pageBreakBefore w:val="0"/>
        <w:widowControl w:val="0"/>
        <w:kinsoku/>
        <w:wordWrap/>
        <w:overflowPunct/>
        <w:topLinePunct w:val="0"/>
        <w:autoSpaceDE/>
        <w:autoSpaceDN/>
        <w:bidi w:val="0"/>
        <w:adjustRightInd/>
        <w:snapToGrid/>
        <w:spacing w:line="396" w:lineRule="auto"/>
        <w:ind w:firstLine="64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我单位参与</w:t>
      </w:r>
      <w:r>
        <w:rPr>
          <w:rFonts w:hint="eastAsia" w:ascii="宋体" w:hAnsi="宋体" w:eastAsia="宋体" w:cs="宋体"/>
          <w:sz w:val="21"/>
          <w:szCs w:val="21"/>
          <w:u w:val="single"/>
          <w:lang w:val="en-US" w:eastAsia="zh-CN"/>
        </w:rPr>
        <w:t>（项目名称）（项目编号：         ）</w:t>
      </w:r>
      <w:r>
        <w:rPr>
          <w:rFonts w:hint="eastAsia" w:ascii="宋体" w:hAnsi="宋体" w:eastAsia="宋体" w:cs="宋体"/>
          <w:sz w:val="21"/>
          <w:szCs w:val="21"/>
          <w:lang w:val="en-US" w:eastAsia="zh-CN"/>
        </w:rPr>
        <w:t>项目的政府采购活动，现承诺如下：</w:t>
      </w:r>
    </w:p>
    <w:p w14:paraId="79688D82">
      <w:pPr>
        <w:keepNext w:val="0"/>
        <w:keepLines w:val="0"/>
        <w:pageBreakBefore w:val="0"/>
        <w:widowControl w:val="0"/>
        <w:kinsoku/>
        <w:wordWrap/>
        <w:overflowPunct/>
        <w:topLinePunct w:val="0"/>
        <w:autoSpaceDE/>
        <w:autoSpaceDN/>
        <w:bidi w:val="0"/>
        <w:adjustRightInd/>
        <w:snapToGrid/>
        <w:spacing w:line="396" w:lineRule="auto"/>
        <w:ind w:firstLine="64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我单位符合《中华人民共和国政府采购法》《中华人民共和国政府采购法实施条例》及采购文件资格要求规定的单位负责人为同一人或者存在直接控股、管理关系的不同供应商，</w:t>
      </w:r>
      <w:r>
        <w:rPr>
          <w:rFonts w:hint="eastAsia" w:cs="宋体"/>
          <w:sz w:val="21"/>
          <w:szCs w:val="21"/>
          <w:lang w:val="en-US" w:eastAsia="zh-CN"/>
        </w:rPr>
        <w:t>未同时</w:t>
      </w:r>
      <w:r>
        <w:rPr>
          <w:rFonts w:hint="eastAsia" w:ascii="宋体" w:hAnsi="宋体" w:eastAsia="宋体" w:cs="宋体"/>
          <w:sz w:val="21"/>
          <w:szCs w:val="21"/>
          <w:lang w:val="en-US" w:eastAsia="zh-CN"/>
        </w:rPr>
        <w:t>参加同一合同项下的政府采购活动。</w:t>
      </w:r>
    </w:p>
    <w:p w14:paraId="13CFAEE8">
      <w:pPr>
        <w:keepNext w:val="0"/>
        <w:keepLines w:val="0"/>
        <w:pageBreakBefore w:val="0"/>
        <w:widowControl w:val="0"/>
        <w:kinsoku/>
        <w:wordWrap/>
        <w:overflowPunct/>
        <w:topLinePunct w:val="0"/>
        <w:autoSpaceDE/>
        <w:autoSpaceDN/>
        <w:bidi w:val="0"/>
        <w:adjustRightInd/>
        <w:snapToGrid/>
        <w:spacing w:line="396" w:lineRule="auto"/>
        <w:ind w:firstLine="64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若我单位以上承诺不实，自愿承担提供虚假材料谋取中标、成交的法律责任。</w:t>
      </w:r>
    </w:p>
    <w:p w14:paraId="2169C798">
      <w:pPr>
        <w:keepNext w:val="0"/>
        <w:keepLines w:val="0"/>
        <w:pageBreakBefore w:val="0"/>
        <w:widowControl w:val="0"/>
        <w:kinsoku/>
        <w:wordWrap/>
        <w:overflowPunct/>
        <w:topLinePunct w:val="0"/>
        <w:autoSpaceDE/>
        <w:autoSpaceDN/>
        <w:bidi w:val="0"/>
        <w:adjustRightInd/>
        <w:snapToGrid/>
        <w:spacing w:line="396" w:lineRule="auto"/>
        <w:textAlignment w:val="auto"/>
        <w:rPr>
          <w:rFonts w:hint="eastAsia" w:ascii="宋体" w:hAnsi="宋体" w:eastAsia="宋体" w:cs="宋体"/>
          <w:sz w:val="21"/>
          <w:szCs w:val="21"/>
          <w:lang w:val="en-US" w:eastAsia="zh-CN"/>
        </w:rPr>
      </w:pPr>
    </w:p>
    <w:p w14:paraId="39576D5D">
      <w:pPr>
        <w:keepNext w:val="0"/>
        <w:keepLines w:val="0"/>
        <w:pageBreakBefore w:val="0"/>
        <w:widowControl w:val="0"/>
        <w:kinsoku/>
        <w:wordWrap/>
        <w:overflowPunct/>
        <w:topLinePunct w:val="0"/>
        <w:autoSpaceDE/>
        <w:autoSpaceDN/>
        <w:bidi w:val="0"/>
        <w:adjustRightInd/>
        <w:snapToGrid/>
        <w:spacing w:line="396" w:lineRule="auto"/>
        <w:textAlignment w:val="auto"/>
        <w:rPr>
          <w:rFonts w:hint="eastAsia" w:ascii="宋体" w:hAnsi="宋体" w:eastAsia="宋体" w:cs="宋体"/>
          <w:sz w:val="21"/>
          <w:szCs w:val="21"/>
          <w:lang w:val="en-US" w:eastAsia="zh-CN"/>
        </w:rPr>
      </w:pPr>
    </w:p>
    <w:p w14:paraId="31E91962">
      <w:pPr>
        <w:wordWrap w:val="0"/>
        <w:spacing w:line="560" w:lineRule="exact"/>
        <w:ind w:firstLine="3150" w:firstLineChars="1500"/>
        <w:jc w:val="right"/>
        <w:rPr>
          <w:rFonts w:hint="default" w:ascii="宋体" w:hAnsi="宋体" w:eastAsia="宋体" w:cs="宋体"/>
          <w:bCs/>
          <w:sz w:val="21"/>
          <w:szCs w:val="21"/>
          <w:u w:val="single"/>
          <w:lang w:val="en-US" w:eastAsia="zh-CN"/>
        </w:rPr>
      </w:pPr>
      <w:r>
        <w:rPr>
          <w:rFonts w:hint="eastAsia" w:ascii="宋体" w:hAnsi="宋体" w:eastAsia="宋体" w:cs="宋体"/>
          <w:bCs/>
          <w:sz w:val="21"/>
          <w:szCs w:val="21"/>
        </w:rPr>
        <w:t>投标人名称（盖公章）：</w:t>
      </w:r>
      <w:r>
        <w:rPr>
          <w:rFonts w:hint="eastAsia" w:cs="宋体"/>
          <w:bCs/>
          <w:sz w:val="21"/>
          <w:szCs w:val="21"/>
          <w:u w:val="single"/>
          <w:lang w:val="en-US" w:eastAsia="zh-CN"/>
        </w:rPr>
        <w:t xml:space="preserve">                              </w:t>
      </w:r>
    </w:p>
    <w:p w14:paraId="4DB81A4A">
      <w:pPr>
        <w:wordWrap w:val="0"/>
        <w:spacing w:line="560" w:lineRule="exact"/>
        <w:ind w:firstLine="3150" w:firstLineChars="1500"/>
        <w:jc w:val="right"/>
        <w:rPr>
          <w:rFonts w:hint="default" w:ascii="宋体" w:hAnsi="宋体" w:eastAsia="宋体" w:cs="宋体"/>
          <w:bCs/>
          <w:sz w:val="21"/>
          <w:szCs w:val="21"/>
          <w:u w:val="single"/>
          <w:lang w:val="en-US" w:eastAsia="zh-CN"/>
        </w:rPr>
      </w:pPr>
      <w:r>
        <w:rPr>
          <w:rFonts w:hint="eastAsia" w:ascii="宋体" w:hAnsi="宋体" w:eastAsia="宋体" w:cs="宋体"/>
          <w:bCs/>
          <w:sz w:val="21"/>
          <w:szCs w:val="21"/>
        </w:rPr>
        <w:t>法定代表人或其授权代理人（签字或盖章）：</w:t>
      </w:r>
      <w:r>
        <w:rPr>
          <w:rFonts w:hint="eastAsia" w:cs="宋体"/>
          <w:bCs/>
          <w:sz w:val="21"/>
          <w:szCs w:val="21"/>
          <w:u w:val="single"/>
          <w:lang w:val="en-US" w:eastAsia="zh-CN"/>
        </w:rPr>
        <w:t xml:space="preserve">            </w:t>
      </w:r>
    </w:p>
    <w:p w14:paraId="0D6A5A5E">
      <w:pPr>
        <w:spacing w:line="560" w:lineRule="exact"/>
        <w:ind w:firstLine="3150" w:firstLineChars="1500"/>
        <w:jc w:val="right"/>
        <w:rPr>
          <w:rFonts w:hint="eastAsia" w:ascii="宋体" w:hAnsi="宋体" w:eastAsia="宋体" w:cs="宋体"/>
          <w:bCs/>
          <w:sz w:val="21"/>
          <w:szCs w:val="21"/>
        </w:rPr>
      </w:pPr>
      <w:r>
        <w:rPr>
          <w:rFonts w:hint="eastAsia" w:ascii="宋体" w:hAnsi="宋体" w:eastAsia="宋体" w:cs="宋体"/>
          <w:bCs/>
          <w:sz w:val="21"/>
          <w:szCs w:val="21"/>
        </w:rPr>
        <w:t>年    月     日</w:t>
      </w:r>
    </w:p>
    <w:p w14:paraId="1F948111">
      <w:pPr>
        <w:keepNext w:val="0"/>
        <w:keepLines w:val="0"/>
        <w:pageBreakBefore w:val="0"/>
        <w:widowControl w:val="0"/>
        <w:kinsoku/>
        <w:wordWrap/>
        <w:overflowPunct/>
        <w:topLinePunct w:val="0"/>
        <w:autoSpaceDE/>
        <w:autoSpaceDN/>
        <w:bidi w:val="0"/>
        <w:adjustRightInd/>
        <w:snapToGrid/>
        <w:spacing w:line="396" w:lineRule="auto"/>
        <w:textAlignment w:val="auto"/>
        <w:rPr>
          <w:rFonts w:hint="eastAsia" w:ascii="宋体" w:hAnsi="宋体" w:eastAsia="宋体" w:cs="宋体"/>
          <w:sz w:val="21"/>
          <w:szCs w:val="21"/>
          <w:u w:val="single"/>
          <w:lang w:val="en-US" w:eastAsia="zh-CN"/>
        </w:rPr>
      </w:pPr>
    </w:p>
    <w:p w14:paraId="431F1F7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u w:val="single"/>
          <w:lang w:val="en-US" w:eastAsia="zh-CN"/>
        </w:rPr>
      </w:pPr>
    </w:p>
    <w:p w14:paraId="328DFF0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u w:val="none"/>
          <w:lang w:val="en-US" w:eastAsia="zh-CN"/>
        </w:rPr>
      </w:pPr>
    </w:p>
    <w:p w14:paraId="65C30AED">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说明：供应商可自行选择是否提供本承诺函，若不提供本承诺函，应按《中华人民共和国政府采购法》《中华人民共和国政府采购法实施条例》及采购文件资格要求提供供公司章程或“全国企业信用信息公示系统”中公示的公司信息、股东或投资人信息。</w:t>
      </w:r>
    </w:p>
    <w:p w14:paraId="1D318CCC">
      <w:pPr>
        <w:pStyle w:val="2"/>
        <w:ind w:left="0" w:leftChars="0" w:firstLine="0" w:firstLineChars="0"/>
        <w:rPr>
          <w:rFonts w:hint="eastAsia"/>
          <w:lang w:val="en-US" w:eastAsia="zh-CN"/>
        </w:rPr>
      </w:pPr>
    </w:p>
    <w:p w14:paraId="0B09B3D3">
      <w:pPr>
        <w:pStyle w:val="2"/>
        <w:ind w:left="0" w:leftChars="0" w:firstLine="0" w:firstLineChars="0"/>
        <w:rPr>
          <w:rFonts w:hint="eastAsia"/>
          <w:lang w:val="en-US" w:eastAsia="zh-CN"/>
        </w:rPr>
      </w:pPr>
    </w:p>
    <w:p w14:paraId="441416BD">
      <w:pPr>
        <w:tabs>
          <w:tab w:val="left" w:pos="5580"/>
        </w:tabs>
        <w:spacing w:line="560" w:lineRule="exact"/>
        <w:jc w:val="left"/>
        <w:rPr>
          <w:rFonts w:hint="eastAsia" w:ascii="宋体" w:hAnsi="宋体" w:eastAsia="宋体" w:cs="宋体"/>
          <w:b/>
          <w:spacing w:val="6"/>
          <w:sz w:val="21"/>
          <w:szCs w:val="21"/>
          <w:lang w:eastAsia="zh-CN"/>
        </w:rPr>
      </w:pPr>
      <w:r>
        <w:rPr>
          <w:rFonts w:hint="eastAsia" w:ascii="宋体" w:hAnsi="宋体" w:eastAsia="宋体" w:cs="宋体"/>
          <w:b/>
          <w:spacing w:val="6"/>
          <w:sz w:val="21"/>
          <w:szCs w:val="21"/>
          <w:lang w:eastAsia="zh-CN"/>
        </w:rPr>
        <w:br w:type="page"/>
      </w:r>
    </w:p>
    <w:p w14:paraId="53D9A612">
      <w:pPr>
        <w:pStyle w:val="6"/>
        <w:bidi w:val="0"/>
        <w:rPr>
          <w:rFonts w:hint="eastAsia"/>
          <w:lang w:val="en-US" w:eastAsia="zh-CN"/>
        </w:rPr>
      </w:pPr>
      <w:bookmarkStart w:id="457" w:name="_Toc17574"/>
      <w:bookmarkStart w:id="458" w:name="_Toc11437"/>
      <w:r>
        <w:rPr>
          <w:rFonts w:hint="eastAsia"/>
          <w:lang w:val="en-US" w:eastAsia="zh-CN"/>
        </w:rPr>
        <w:t>十一、中小企业声明函</w:t>
      </w:r>
      <w:bookmarkEnd w:id="457"/>
      <w:bookmarkEnd w:id="458"/>
    </w:p>
    <w:p w14:paraId="01C82B57">
      <w:pPr>
        <w:pStyle w:val="7"/>
        <w:bidi w:val="0"/>
        <w:jc w:val="center"/>
        <w:rPr>
          <w:rFonts w:hint="eastAsia"/>
        </w:rPr>
      </w:pPr>
      <w:bookmarkStart w:id="459" w:name="_Toc5710"/>
      <w:r>
        <w:rPr>
          <w:rFonts w:hint="eastAsia"/>
          <w:lang w:eastAsia="zh-CN"/>
        </w:rPr>
        <w:t>（</w:t>
      </w:r>
      <w:r>
        <w:rPr>
          <w:rFonts w:hint="eastAsia"/>
          <w:lang w:val="en-US" w:eastAsia="zh-CN"/>
        </w:rPr>
        <w:t>一</w:t>
      </w:r>
      <w:r>
        <w:rPr>
          <w:rFonts w:hint="eastAsia"/>
          <w:lang w:eastAsia="zh-CN"/>
        </w:rPr>
        <w:t>）</w:t>
      </w:r>
      <w:r>
        <w:rPr>
          <w:rFonts w:hint="eastAsia"/>
        </w:rPr>
        <w:t>中小企业声明函</w:t>
      </w:r>
      <w:bookmarkEnd w:id="459"/>
    </w:p>
    <w:p w14:paraId="52D53068">
      <w:pPr>
        <w:keepNext w:val="0"/>
        <w:keepLines w:val="0"/>
        <w:pageBreakBefore w:val="0"/>
        <w:widowControl/>
        <w:kinsoku/>
        <w:wordWrap/>
        <w:overflowPunct/>
        <w:topLinePunct w:val="0"/>
        <w:autoSpaceDE/>
        <w:autoSpaceDN/>
        <w:bidi w:val="0"/>
        <w:adjustRightInd/>
        <w:snapToGrid/>
        <w:spacing w:line="396" w:lineRule="auto"/>
        <w:ind w:firstLine="420" w:firstLineChars="200"/>
        <w:jc w:val="left"/>
        <w:textAlignment w:val="baseline"/>
        <w:rPr>
          <w:rFonts w:hint="eastAsia" w:ascii="宋体" w:hAnsi="宋体" w:eastAsia="宋体" w:cs="宋体"/>
          <w:bCs/>
          <w:color w:val="auto"/>
          <w:sz w:val="21"/>
          <w:szCs w:val="21"/>
        </w:rPr>
      </w:pPr>
      <w:bookmarkStart w:id="460" w:name="_Hlk113357012"/>
      <w:r>
        <w:rPr>
          <w:rFonts w:hint="eastAsia" w:ascii="宋体" w:hAnsi="宋体" w:eastAsia="宋体" w:cs="宋体"/>
          <w:bCs/>
          <w:color w:val="auto"/>
          <w:sz w:val="21"/>
          <w:szCs w:val="21"/>
        </w:rPr>
        <w:t>本公司（联合体）郑重声明，根据《政府采购促进中小企业发展管理办法》（财库﹝2020﹞46 号）的规定，本公司（联合体）参加</w:t>
      </w:r>
      <w:r>
        <w:rPr>
          <w:rFonts w:hint="eastAsia" w:ascii="宋体" w:hAnsi="宋体" w:eastAsia="宋体" w:cs="宋体"/>
          <w:bCs/>
          <w:i/>
          <w:color w:val="auto"/>
          <w:sz w:val="21"/>
          <w:szCs w:val="21"/>
          <w:u w:val="single"/>
        </w:rPr>
        <w:t>（单位名称）</w:t>
      </w:r>
      <w:r>
        <w:rPr>
          <w:rFonts w:hint="eastAsia" w:ascii="宋体" w:hAnsi="宋体" w:eastAsia="宋体" w:cs="宋体"/>
          <w:bCs/>
          <w:color w:val="auto"/>
          <w:sz w:val="21"/>
          <w:szCs w:val="21"/>
        </w:rPr>
        <w:t>的</w:t>
      </w:r>
      <w:r>
        <w:rPr>
          <w:rFonts w:hint="eastAsia" w:ascii="宋体" w:hAnsi="宋体" w:eastAsia="宋体" w:cs="宋体"/>
          <w:bCs/>
          <w:i/>
          <w:color w:val="auto"/>
          <w:sz w:val="21"/>
          <w:szCs w:val="21"/>
          <w:u w:val="single"/>
        </w:rPr>
        <w:t>（项目名称）</w:t>
      </w:r>
      <w:r>
        <w:rPr>
          <w:rFonts w:hint="eastAsia" w:ascii="宋体" w:hAnsi="宋体" w:eastAsia="宋体" w:cs="宋体"/>
          <w:bCs/>
          <w:color w:val="auto"/>
          <w:sz w:val="21"/>
          <w:szCs w:val="21"/>
        </w:rPr>
        <w:t>采购活动，提供的货物全部由符合政策要求的中小企业制造。相关企业（含联合体中的中小企业、签订分包意向协议的中小企业）的具体情况如下：</w:t>
      </w:r>
    </w:p>
    <w:p w14:paraId="5CF40B84">
      <w:pPr>
        <w:keepNext w:val="0"/>
        <w:keepLines w:val="0"/>
        <w:pageBreakBefore w:val="0"/>
        <w:widowControl/>
        <w:kinsoku/>
        <w:wordWrap/>
        <w:overflowPunct/>
        <w:topLinePunct w:val="0"/>
        <w:autoSpaceDE/>
        <w:autoSpaceDN/>
        <w:bidi w:val="0"/>
        <w:adjustRightInd/>
        <w:snapToGrid/>
        <w:spacing w:line="396" w:lineRule="auto"/>
        <w:ind w:firstLine="420" w:firstLineChars="200"/>
        <w:jc w:val="left"/>
        <w:textAlignment w:val="baseline"/>
        <w:rPr>
          <w:rFonts w:hint="eastAsia" w:ascii="宋体" w:hAnsi="宋体" w:eastAsia="宋体" w:cs="宋体"/>
          <w:bCs/>
          <w:color w:val="auto"/>
          <w:sz w:val="21"/>
          <w:szCs w:val="21"/>
        </w:rPr>
      </w:pPr>
      <w:r>
        <w:rPr>
          <w:rFonts w:hint="eastAsia" w:ascii="宋体" w:hAnsi="宋体" w:eastAsia="宋体" w:cs="宋体"/>
          <w:bCs/>
          <w:color w:val="auto"/>
          <w:sz w:val="21"/>
          <w:szCs w:val="21"/>
        </w:rPr>
        <w:t xml:space="preserve">1. </w:t>
      </w:r>
      <w:r>
        <w:rPr>
          <w:rFonts w:hint="eastAsia" w:ascii="宋体" w:hAnsi="宋体" w:eastAsia="宋体" w:cs="宋体"/>
          <w:bCs/>
          <w:i/>
          <w:color w:val="auto"/>
          <w:sz w:val="21"/>
          <w:szCs w:val="21"/>
          <w:u w:val="single"/>
        </w:rPr>
        <w:t xml:space="preserve">（标的名称） </w:t>
      </w:r>
      <w:r>
        <w:rPr>
          <w:rFonts w:hint="eastAsia" w:ascii="宋体" w:hAnsi="宋体" w:eastAsia="宋体" w:cs="宋体"/>
          <w:bCs/>
          <w:color w:val="auto"/>
          <w:sz w:val="21"/>
          <w:szCs w:val="21"/>
        </w:rPr>
        <w:t>，属于</w:t>
      </w:r>
      <w:r>
        <w:rPr>
          <w:rFonts w:hint="eastAsia" w:ascii="宋体" w:hAnsi="宋体" w:eastAsia="宋体" w:cs="宋体"/>
          <w:bCs/>
          <w:i/>
          <w:color w:val="auto"/>
          <w:sz w:val="21"/>
          <w:szCs w:val="21"/>
          <w:u w:val="single"/>
        </w:rPr>
        <w:t>（采购文件中明确的所属行业）</w:t>
      </w:r>
      <w:r>
        <w:rPr>
          <w:rFonts w:hint="eastAsia" w:ascii="宋体" w:hAnsi="宋体" w:eastAsia="宋体" w:cs="宋体"/>
          <w:bCs/>
          <w:color w:val="auto"/>
          <w:sz w:val="21"/>
          <w:szCs w:val="21"/>
        </w:rPr>
        <w:t>；制造商为</w:t>
      </w:r>
      <w:r>
        <w:rPr>
          <w:rFonts w:hint="eastAsia" w:ascii="宋体" w:hAnsi="宋体" w:eastAsia="宋体" w:cs="宋体"/>
          <w:bCs/>
          <w:i/>
          <w:color w:val="auto"/>
          <w:sz w:val="21"/>
          <w:szCs w:val="21"/>
          <w:u w:val="single"/>
        </w:rPr>
        <w:t>（企业名称）</w:t>
      </w:r>
      <w:r>
        <w:rPr>
          <w:rFonts w:hint="eastAsia" w:ascii="宋体" w:hAnsi="宋体" w:eastAsia="宋体" w:cs="宋体"/>
          <w:bCs/>
          <w:color w:val="auto"/>
          <w:sz w:val="21"/>
          <w:szCs w:val="21"/>
        </w:rPr>
        <w:t>，从业人员</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人，营业收入为</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万元（从业人员、营业收入、资产总额填报上一年度数据，无上一年度数据的新成立企业可不填报），资产总额为</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万元，属于</w:t>
      </w:r>
      <w:r>
        <w:rPr>
          <w:rFonts w:hint="eastAsia" w:ascii="宋体" w:hAnsi="宋体" w:eastAsia="宋体" w:cs="宋体"/>
          <w:bCs/>
          <w:i/>
          <w:color w:val="auto"/>
          <w:sz w:val="21"/>
          <w:szCs w:val="21"/>
          <w:u w:val="single"/>
        </w:rPr>
        <w:t>（中型企业、小型企业、微型企业）</w:t>
      </w:r>
      <w:r>
        <w:rPr>
          <w:rFonts w:hint="eastAsia" w:ascii="宋体" w:hAnsi="宋体" w:eastAsia="宋体" w:cs="宋体"/>
          <w:bCs/>
          <w:color w:val="auto"/>
          <w:sz w:val="21"/>
          <w:szCs w:val="21"/>
        </w:rPr>
        <w:t>；</w:t>
      </w:r>
    </w:p>
    <w:p w14:paraId="19E228E7">
      <w:pPr>
        <w:keepNext w:val="0"/>
        <w:keepLines w:val="0"/>
        <w:pageBreakBefore w:val="0"/>
        <w:widowControl/>
        <w:kinsoku/>
        <w:wordWrap/>
        <w:overflowPunct/>
        <w:topLinePunct w:val="0"/>
        <w:autoSpaceDE/>
        <w:autoSpaceDN/>
        <w:bidi w:val="0"/>
        <w:adjustRightInd/>
        <w:snapToGrid/>
        <w:spacing w:line="396" w:lineRule="auto"/>
        <w:ind w:firstLine="420" w:firstLineChars="200"/>
        <w:jc w:val="left"/>
        <w:textAlignment w:val="baseline"/>
        <w:rPr>
          <w:rFonts w:hint="eastAsia" w:ascii="宋体" w:hAnsi="宋体" w:eastAsia="宋体" w:cs="宋体"/>
          <w:bCs/>
          <w:color w:val="auto"/>
          <w:sz w:val="21"/>
          <w:szCs w:val="21"/>
        </w:rPr>
      </w:pPr>
      <w:r>
        <w:rPr>
          <w:rFonts w:hint="eastAsia" w:ascii="宋体" w:hAnsi="宋体" w:eastAsia="宋体" w:cs="宋体"/>
          <w:bCs/>
          <w:color w:val="auto"/>
          <w:sz w:val="21"/>
          <w:szCs w:val="21"/>
        </w:rPr>
        <w:t xml:space="preserve">2. </w:t>
      </w:r>
      <w:r>
        <w:rPr>
          <w:rFonts w:hint="eastAsia" w:ascii="宋体" w:hAnsi="宋体" w:eastAsia="宋体" w:cs="宋体"/>
          <w:bCs/>
          <w:i/>
          <w:color w:val="auto"/>
          <w:sz w:val="21"/>
          <w:szCs w:val="21"/>
          <w:u w:val="single"/>
        </w:rPr>
        <w:t xml:space="preserve">（标的名称） </w:t>
      </w:r>
      <w:r>
        <w:rPr>
          <w:rFonts w:hint="eastAsia" w:ascii="宋体" w:hAnsi="宋体" w:eastAsia="宋体" w:cs="宋体"/>
          <w:bCs/>
          <w:color w:val="auto"/>
          <w:sz w:val="21"/>
          <w:szCs w:val="21"/>
        </w:rPr>
        <w:t>，属于</w:t>
      </w:r>
      <w:r>
        <w:rPr>
          <w:rFonts w:hint="eastAsia" w:ascii="宋体" w:hAnsi="宋体" w:eastAsia="宋体" w:cs="宋体"/>
          <w:bCs/>
          <w:i/>
          <w:color w:val="auto"/>
          <w:sz w:val="21"/>
          <w:szCs w:val="21"/>
          <w:u w:val="single"/>
        </w:rPr>
        <w:t>（采购文件中明确的所属行业）</w:t>
      </w:r>
      <w:r>
        <w:rPr>
          <w:rFonts w:hint="eastAsia" w:ascii="宋体" w:hAnsi="宋体" w:eastAsia="宋体" w:cs="宋体"/>
          <w:bCs/>
          <w:color w:val="auto"/>
          <w:sz w:val="21"/>
          <w:szCs w:val="21"/>
        </w:rPr>
        <w:t>；制造商为</w:t>
      </w:r>
      <w:r>
        <w:rPr>
          <w:rFonts w:hint="eastAsia" w:ascii="宋体" w:hAnsi="宋体" w:eastAsia="宋体" w:cs="宋体"/>
          <w:bCs/>
          <w:i/>
          <w:color w:val="auto"/>
          <w:sz w:val="21"/>
          <w:szCs w:val="21"/>
          <w:u w:val="single"/>
        </w:rPr>
        <w:t>（企业名称）</w:t>
      </w:r>
      <w:r>
        <w:rPr>
          <w:rFonts w:hint="eastAsia" w:ascii="宋体" w:hAnsi="宋体" w:eastAsia="宋体" w:cs="宋体"/>
          <w:bCs/>
          <w:color w:val="auto"/>
          <w:sz w:val="21"/>
          <w:szCs w:val="21"/>
        </w:rPr>
        <w:t>，从业人员</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人，营业收入为</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万元（从业人员、营业收入、资产总额填报上一年度数据，无上一年度数据的新成立企业可不填报），资产总额为</w:t>
      </w:r>
      <w:r>
        <w:rPr>
          <w:rFonts w:hint="eastAsia" w:ascii="宋体" w:hAnsi="宋体" w:eastAsia="宋体" w:cs="宋体"/>
          <w:bCs/>
          <w:color w:val="auto"/>
          <w:sz w:val="21"/>
          <w:szCs w:val="21"/>
          <w:u w:val="single"/>
        </w:rPr>
        <w:t xml:space="preserve">  </w:t>
      </w:r>
      <w:r>
        <w:rPr>
          <w:rFonts w:hint="eastAsia" w:ascii="宋体" w:hAnsi="宋体" w:eastAsia="宋体" w:cs="宋体"/>
          <w:bCs/>
          <w:color w:val="auto"/>
          <w:sz w:val="21"/>
          <w:szCs w:val="21"/>
        </w:rPr>
        <w:t>万元，属于</w:t>
      </w:r>
      <w:r>
        <w:rPr>
          <w:rFonts w:hint="eastAsia" w:ascii="宋体" w:hAnsi="宋体" w:eastAsia="宋体" w:cs="宋体"/>
          <w:bCs/>
          <w:i/>
          <w:color w:val="auto"/>
          <w:sz w:val="21"/>
          <w:szCs w:val="21"/>
          <w:u w:val="single"/>
        </w:rPr>
        <w:t>（中型企业、小型企业、微型企业）</w:t>
      </w:r>
      <w:r>
        <w:rPr>
          <w:rFonts w:hint="eastAsia" w:ascii="宋体" w:hAnsi="宋体" w:eastAsia="宋体" w:cs="宋体"/>
          <w:bCs/>
          <w:color w:val="auto"/>
          <w:sz w:val="21"/>
          <w:szCs w:val="21"/>
        </w:rPr>
        <w:t>；</w:t>
      </w:r>
    </w:p>
    <w:p w14:paraId="14C6C496">
      <w:pPr>
        <w:keepNext w:val="0"/>
        <w:keepLines w:val="0"/>
        <w:pageBreakBefore w:val="0"/>
        <w:widowControl/>
        <w:kinsoku/>
        <w:wordWrap/>
        <w:overflowPunct/>
        <w:topLinePunct w:val="0"/>
        <w:autoSpaceDE/>
        <w:autoSpaceDN/>
        <w:bidi w:val="0"/>
        <w:adjustRightInd/>
        <w:snapToGrid/>
        <w:spacing w:line="396" w:lineRule="auto"/>
        <w:ind w:firstLine="420" w:firstLineChars="200"/>
        <w:jc w:val="left"/>
        <w:textAlignment w:val="baseline"/>
        <w:rPr>
          <w:rFonts w:hint="eastAsia" w:ascii="宋体" w:hAnsi="宋体" w:eastAsia="宋体" w:cs="宋体"/>
          <w:bCs/>
          <w:color w:val="auto"/>
          <w:sz w:val="21"/>
          <w:szCs w:val="21"/>
        </w:rPr>
      </w:pPr>
      <w:r>
        <w:rPr>
          <w:rFonts w:hint="eastAsia" w:ascii="宋体" w:hAnsi="宋体" w:eastAsia="宋体" w:cs="宋体"/>
          <w:bCs/>
          <w:color w:val="auto"/>
          <w:sz w:val="21"/>
          <w:szCs w:val="21"/>
        </w:rPr>
        <w:t>……</w:t>
      </w:r>
    </w:p>
    <w:p w14:paraId="21F4BD30">
      <w:pPr>
        <w:keepNext w:val="0"/>
        <w:keepLines w:val="0"/>
        <w:pageBreakBefore w:val="0"/>
        <w:widowControl/>
        <w:kinsoku/>
        <w:wordWrap/>
        <w:overflowPunct/>
        <w:topLinePunct w:val="0"/>
        <w:autoSpaceDE/>
        <w:autoSpaceDN/>
        <w:bidi w:val="0"/>
        <w:adjustRightInd/>
        <w:snapToGrid/>
        <w:spacing w:line="396" w:lineRule="auto"/>
        <w:ind w:firstLine="420" w:firstLineChars="200"/>
        <w:jc w:val="left"/>
        <w:textAlignment w:val="baseline"/>
        <w:rPr>
          <w:rFonts w:hint="eastAsia" w:ascii="宋体" w:hAnsi="宋体" w:eastAsia="宋体" w:cs="宋体"/>
          <w:bCs/>
          <w:color w:val="auto"/>
          <w:sz w:val="21"/>
          <w:szCs w:val="21"/>
        </w:rPr>
      </w:pPr>
      <w:r>
        <w:rPr>
          <w:rFonts w:hint="eastAsia" w:ascii="宋体" w:hAnsi="宋体" w:eastAsia="宋体" w:cs="宋体"/>
          <w:bCs/>
          <w:color w:val="auto"/>
          <w:sz w:val="21"/>
          <w:szCs w:val="21"/>
        </w:rPr>
        <w:t>以上企业，不属于大企业的分支机构，不存在控股股东为大企业的情形，也不存在与大企业的负责人为同一人的情形。</w:t>
      </w:r>
    </w:p>
    <w:p w14:paraId="65D7FA07">
      <w:pPr>
        <w:keepNext w:val="0"/>
        <w:keepLines w:val="0"/>
        <w:pageBreakBefore w:val="0"/>
        <w:widowControl/>
        <w:kinsoku/>
        <w:wordWrap/>
        <w:overflowPunct/>
        <w:topLinePunct w:val="0"/>
        <w:autoSpaceDE/>
        <w:autoSpaceDN/>
        <w:bidi w:val="0"/>
        <w:adjustRightInd/>
        <w:snapToGrid/>
        <w:spacing w:line="396" w:lineRule="auto"/>
        <w:ind w:firstLine="420" w:firstLineChars="200"/>
        <w:jc w:val="left"/>
        <w:textAlignment w:val="baseline"/>
        <w:rPr>
          <w:rFonts w:hint="eastAsia" w:ascii="宋体" w:hAnsi="宋体" w:eastAsia="宋体" w:cs="宋体"/>
          <w:bCs/>
          <w:color w:val="auto"/>
          <w:sz w:val="21"/>
          <w:szCs w:val="21"/>
        </w:rPr>
      </w:pPr>
      <w:r>
        <w:rPr>
          <w:rFonts w:hint="eastAsia" w:ascii="宋体" w:hAnsi="宋体" w:eastAsia="宋体" w:cs="宋体"/>
          <w:bCs/>
          <w:color w:val="auto"/>
          <w:sz w:val="21"/>
          <w:szCs w:val="21"/>
        </w:rPr>
        <w:t>本企业对上述声明内容的真实性负责。如有虚假，将依法承担相应责任。</w:t>
      </w:r>
    </w:p>
    <w:p w14:paraId="07F78AC9">
      <w:pPr>
        <w:keepNext w:val="0"/>
        <w:keepLines w:val="0"/>
        <w:pageBreakBefore w:val="0"/>
        <w:widowControl/>
        <w:kinsoku/>
        <w:wordWrap/>
        <w:overflowPunct/>
        <w:topLinePunct w:val="0"/>
        <w:autoSpaceDE/>
        <w:autoSpaceDN/>
        <w:bidi w:val="0"/>
        <w:adjustRightInd/>
        <w:snapToGrid/>
        <w:spacing w:line="396" w:lineRule="auto"/>
        <w:ind w:right="480" w:firstLine="420" w:firstLineChars="200"/>
        <w:textAlignment w:val="baseline"/>
        <w:rPr>
          <w:rFonts w:hint="eastAsia" w:ascii="宋体" w:hAnsi="宋体" w:eastAsia="宋体" w:cs="宋体"/>
          <w:bCs/>
          <w:color w:val="auto"/>
          <w:sz w:val="21"/>
          <w:szCs w:val="21"/>
        </w:rPr>
      </w:pPr>
      <w:r>
        <w:rPr>
          <w:rFonts w:hint="eastAsia" w:ascii="宋体" w:hAnsi="宋体" w:eastAsia="宋体" w:cs="宋体"/>
          <w:bCs/>
          <w:color w:val="auto"/>
          <w:sz w:val="21"/>
          <w:szCs w:val="21"/>
        </w:rPr>
        <w:t>企业名称（盖章）：</w:t>
      </w:r>
    </w:p>
    <w:p w14:paraId="13199602">
      <w:pPr>
        <w:keepNext w:val="0"/>
        <w:keepLines w:val="0"/>
        <w:pageBreakBefore w:val="0"/>
        <w:widowControl/>
        <w:kinsoku/>
        <w:wordWrap/>
        <w:overflowPunct/>
        <w:topLinePunct w:val="0"/>
        <w:autoSpaceDE/>
        <w:autoSpaceDN/>
        <w:bidi w:val="0"/>
        <w:adjustRightInd/>
        <w:snapToGrid/>
        <w:spacing w:line="396" w:lineRule="auto"/>
        <w:ind w:firstLine="420" w:firstLineChars="200"/>
        <w:jc w:val="left"/>
        <w:textAlignment w:val="baseline"/>
        <w:rPr>
          <w:rFonts w:hint="eastAsia" w:ascii="宋体" w:hAnsi="宋体" w:eastAsia="宋体" w:cs="宋体"/>
          <w:color w:val="auto"/>
          <w:kern w:val="0"/>
          <w:sz w:val="21"/>
          <w:szCs w:val="21"/>
        </w:rPr>
      </w:pPr>
      <w:r>
        <w:rPr>
          <w:rFonts w:hint="eastAsia" w:ascii="宋体" w:hAnsi="宋体" w:eastAsia="宋体" w:cs="宋体"/>
          <w:bCs/>
          <w:color w:val="auto"/>
          <w:sz w:val="21"/>
          <w:szCs w:val="21"/>
        </w:rPr>
        <w:t>日 期：</w:t>
      </w:r>
    </w:p>
    <w:p w14:paraId="40C91603">
      <w:pPr>
        <w:keepNext w:val="0"/>
        <w:keepLines w:val="0"/>
        <w:pageBreakBefore w:val="0"/>
        <w:kinsoku/>
        <w:wordWrap/>
        <w:overflowPunct/>
        <w:topLinePunct w:val="0"/>
        <w:autoSpaceDE/>
        <w:autoSpaceDN/>
        <w:bidi w:val="0"/>
        <w:adjustRightInd/>
        <w:snapToGrid/>
        <w:spacing w:line="396" w:lineRule="auto"/>
        <w:ind w:firstLine="420"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说明：</w:t>
      </w:r>
    </w:p>
    <w:p w14:paraId="2719AB5A">
      <w:pPr>
        <w:keepNext w:val="0"/>
        <w:keepLines w:val="0"/>
        <w:pageBreakBefore w:val="0"/>
        <w:kinsoku/>
        <w:wordWrap/>
        <w:overflowPunct/>
        <w:topLinePunct w:val="0"/>
        <w:autoSpaceDE/>
        <w:autoSpaceDN/>
        <w:bidi w:val="0"/>
        <w:adjustRightInd/>
        <w:snapToGrid/>
        <w:spacing w:line="396" w:lineRule="auto"/>
        <w:ind w:firstLine="420"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（1）从业人员、营业收入、资产总额填报上一年度数据，无上一年度数据的新成立企业可不填报。</w:t>
      </w:r>
    </w:p>
    <w:p w14:paraId="6D49BFF8">
      <w:pPr>
        <w:pStyle w:val="13"/>
        <w:keepNext w:val="0"/>
        <w:keepLines w:val="0"/>
        <w:pageBreakBefore w:val="0"/>
        <w:kinsoku/>
        <w:wordWrap/>
        <w:overflowPunct/>
        <w:topLinePunct w:val="0"/>
        <w:autoSpaceDE/>
        <w:autoSpaceDN/>
        <w:bidi w:val="0"/>
        <w:adjustRightInd/>
        <w:snapToGrid/>
        <w:spacing w:line="396" w:lineRule="auto"/>
        <w:ind w:firstLine="420"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（2）</w:t>
      </w:r>
      <w:r>
        <w:rPr>
          <w:rFonts w:hint="eastAsia" w:ascii="宋体" w:hAnsi="宋体" w:eastAsia="宋体" w:cs="宋体"/>
          <w:b/>
          <w:bCs/>
          <w:color w:val="auto"/>
          <w:kern w:val="0"/>
          <w:sz w:val="21"/>
          <w:szCs w:val="21"/>
        </w:rPr>
        <w:t>监狱企业视同小型、微型企业，应当提供省级及以上监狱管理局、戒毒管理局（含新疆生产建设兵团）出具的属于监狱企业的证明文件</w:t>
      </w:r>
      <w:r>
        <w:rPr>
          <w:rFonts w:hint="eastAsia" w:ascii="宋体" w:hAnsi="宋体" w:eastAsia="宋体" w:cs="宋体"/>
          <w:b/>
          <w:bCs/>
          <w:color w:val="auto"/>
          <w:sz w:val="21"/>
          <w:szCs w:val="21"/>
        </w:rPr>
        <w:t>。</w:t>
      </w:r>
    </w:p>
    <w:p w14:paraId="78E6AD02">
      <w:pPr>
        <w:pStyle w:val="13"/>
        <w:keepNext w:val="0"/>
        <w:keepLines w:val="0"/>
        <w:pageBreakBefore w:val="0"/>
        <w:kinsoku/>
        <w:wordWrap/>
        <w:overflowPunct/>
        <w:topLinePunct w:val="0"/>
        <w:autoSpaceDE/>
        <w:autoSpaceDN/>
        <w:bidi w:val="0"/>
        <w:adjustRightInd/>
        <w:snapToGrid/>
        <w:spacing w:line="396" w:lineRule="auto"/>
        <w:ind w:firstLine="420" w:firstLineChars="200"/>
        <w:rPr>
          <w:rFonts w:hint="eastAsia" w:ascii="宋体" w:hAnsi="宋体" w:eastAsia="宋体" w:cs="宋体"/>
          <w:b/>
          <w:bCs/>
          <w:color w:val="auto"/>
          <w:szCs w:val="20"/>
        </w:rPr>
      </w:pPr>
      <w:r>
        <w:rPr>
          <w:rFonts w:hint="eastAsia" w:ascii="宋体" w:hAnsi="宋体" w:eastAsia="宋体" w:cs="宋体"/>
          <w:b/>
          <w:bCs/>
          <w:color w:val="auto"/>
          <w:kern w:val="0"/>
          <w:sz w:val="21"/>
          <w:szCs w:val="21"/>
        </w:rPr>
        <w:t>（3）本采购标的所属行业为</w:t>
      </w:r>
      <w:r>
        <w:rPr>
          <w:rFonts w:hint="eastAsia" w:hAnsi="宋体" w:eastAsia="宋体" w:cs="宋体"/>
          <w:b/>
          <w:bCs/>
          <w:color w:val="auto"/>
          <w:kern w:val="0"/>
          <w:sz w:val="21"/>
          <w:szCs w:val="21"/>
          <w:lang w:val="en-US" w:eastAsia="zh-CN"/>
        </w:rPr>
        <w:t>工业</w:t>
      </w:r>
      <w:r>
        <w:rPr>
          <w:rFonts w:hint="eastAsia" w:ascii="宋体" w:hAnsi="宋体" w:eastAsia="宋体" w:cs="宋体"/>
          <w:b/>
          <w:bCs/>
          <w:color w:val="auto"/>
          <w:kern w:val="0"/>
          <w:sz w:val="21"/>
          <w:szCs w:val="21"/>
        </w:rPr>
        <w:t>。</w:t>
      </w:r>
    </w:p>
    <w:bookmarkEnd w:id="460"/>
    <w:p w14:paraId="1BE6F3B4">
      <w:pPr>
        <w:widowControl/>
        <w:jc w:val="left"/>
        <w:rPr>
          <w:rFonts w:hint="eastAsia" w:ascii="宋体" w:hAnsi="宋体" w:eastAsia="宋体" w:cs="宋体"/>
          <w:b/>
          <w:bCs/>
          <w:color w:val="auto"/>
          <w:sz w:val="24"/>
          <w:szCs w:val="28"/>
        </w:rPr>
      </w:pPr>
      <w:r>
        <w:rPr>
          <w:rFonts w:hint="eastAsia" w:ascii="宋体" w:hAnsi="宋体" w:eastAsia="宋体" w:cs="宋体"/>
          <w:color w:val="auto"/>
          <w:sz w:val="24"/>
        </w:rPr>
        <w:br w:type="page"/>
      </w:r>
    </w:p>
    <w:p w14:paraId="6E2DC66F">
      <w:pPr>
        <w:pStyle w:val="7"/>
        <w:bidi w:val="0"/>
        <w:jc w:val="center"/>
        <w:rPr>
          <w:rFonts w:hint="eastAsia"/>
        </w:rPr>
      </w:pPr>
      <w:bookmarkStart w:id="461" w:name="_Toc6148"/>
      <w:r>
        <w:rPr>
          <w:rFonts w:hint="eastAsia"/>
          <w:lang w:eastAsia="zh-CN"/>
        </w:rPr>
        <w:t>（</w:t>
      </w:r>
      <w:r>
        <w:rPr>
          <w:rFonts w:hint="eastAsia"/>
          <w:lang w:val="en-US" w:eastAsia="zh-CN"/>
        </w:rPr>
        <w:t>二</w:t>
      </w:r>
      <w:r>
        <w:rPr>
          <w:rFonts w:hint="eastAsia"/>
          <w:lang w:eastAsia="zh-CN"/>
        </w:rPr>
        <w:t>）</w:t>
      </w:r>
      <w:r>
        <w:rPr>
          <w:rFonts w:hint="eastAsia"/>
        </w:rPr>
        <w:t>残疾人福利性单位声明函</w:t>
      </w:r>
      <w:bookmarkEnd w:id="461"/>
    </w:p>
    <w:p w14:paraId="4041888A">
      <w:pPr>
        <w:keepNext w:val="0"/>
        <w:keepLines w:val="0"/>
        <w:pageBreakBefore w:val="0"/>
        <w:widowControl w:val="0"/>
        <w:kinsoku/>
        <w:wordWrap w:val="0"/>
        <w:overflowPunct/>
        <w:topLinePunct w:val="0"/>
        <w:autoSpaceDE/>
        <w:autoSpaceDN/>
        <w:bidi w:val="0"/>
        <w:adjustRightInd/>
        <w:snapToGrid/>
        <w:spacing w:line="384" w:lineRule="auto"/>
        <w:ind w:firstLine="630" w:firstLineChars="3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 xml:space="preserve">单位的 </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项目采购活动提供本单位制造的货物（由本单位承担工程/提供服务），或者提供其他残疾人福利性单位制造的货物（不包括使用非残疾人福利性单位注册商标的货物）。</w:t>
      </w:r>
    </w:p>
    <w:p w14:paraId="1132BE09">
      <w:pPr>
        <w:keepNext w:val="0"/>
        <w:keepLines w:val="0"/>
        <w:pageBreakBefore w:val="0"/>
        <w:widowControl w:val="0"/>
        <w:kinsoku/>
        <w:wordWrap w:val="0"/>
        <w:overflowPunct/>
        <w:topLinePunct w:val="0"/>
        <w:autoSpaceDE/>
        <w:autoSpaceDN/>
        <w:bidi w:val="0"/>
        <w:adjustRightInd/>
        <w:snapToGrid/>
        <w:spacing w:line="384"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本单位对上述声明的真实性负责。如有虚假，将依法承担相应责任。</w:t>
      </w:r>
    </w:p>
    <w:p w14:paraId="52AF2AD2">
      <w:pPr>
        <w:keepNext w:val="0"/>
        <w:keepLines w:val="0"/>
        <w:pageBreakBefore w:val="0"/>
        <w:widowControl w:val="0"/>
        <w:kinsoku/>
        <w:wordWrap w:val="0"/>
        <w:overflowPunct/>
        <w:topLinePunct w:val="0"/>
        <w:autoSpaceDE/>
        <w:autoSpaceDN/>
        <w:bidi w:val="0"/>
        <w:adjustRightInd/>
        <w:snapToGrid/>
        <w:spacing w:line="384" w:lineRule="auto"/>
        <w:jc w:val="right"/>
        <w:textAlignment w:val="auto"/>
        <w:rPr>
          <w:rFonts w:hint="eastAsia" w:ascii="宋体" w:hAnsi="宋体" w:eastAsia="宋体" w:cs="宋体"/>
          <w:color w:val="auto"/>
          <w:sz w:val="21"/>
          <w:szCs w:val="21"/>
        </w:rPr>
      </w:pPr>
    </w:p>
    <w:p w14:paraId="31047E18">
      <w:pPr>
        <w:keepNext w:val="0"/>
        <w:keepLines w:val="0"/>
        <w:pageBreakBefore w:val="0"/>
        <w:widowControl w:val="0"/>
        <w:kinsoku/>
        <w:wordWrap w:val="0"/>
        <w:overflowPunct/>
        <w:topLinePunct w:val="0"/>
        <w:autoSpaceDE/>
        <w:autoSpaceDN/>
        <w:bidi w:val="0"/>
        <w:adjustRightInd/>
        <w:snapToGrid/>
        <w:spacing w:line="384" w:lineRule="auto"/>
        <w:ind w:right="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单位名称（</w:t>
      </w:r>
      <w:r>
        <w:rPr>
          <w:rFonts w:hint="eastAsia" w:ascii="宋体" w:hAnsi="宋体" w:eastAsia="宋体" w:cs="宋体"/>
          <w:color w:val="auto"/>
          <w:sz w:val="21"/>
          <w:szCs w:val="21"/>
          <w:lang w:eastAsia="zh-CN"/>
        </w:rPr>
        <w:t>盖单位公章</w:t>
      </w:r>
      <w:r>
        <w:rPr>
          <w:rFonts w:hint="eastAsia" w:ascii="宋体" w:hAnsi="宋体" w:eastAsia="宋体" w:cs="宋体"/>
          <w:color w:val="auto"/>
          <w:sz w:val="21"/>
          <w:szCs w:val="21"/>
        </w:rPr>
        <w:t>）：</w:t>
      </w:r>
    </w:p>
    <w:p w14:paraId="79378130">
      <w:pPr>
        <w:keepNext w:val="0"/>
        <w:keepLines w:val="0"/>
        <w:pageBreakBefore w:val="0"/>
        <w:widowControl w:val="0"/>
        <w:kinsoku/>
        <w:wordWrap w:val="0"/>
        <w:overflowPunct/>
        <w:topLinePunct w:val="0"/>
        <w:autoSpaceDE/>
        <w:autoSpaceDN/>
        <w:bidi w:val="0"/>
        <w:adjustRightInd/>
        <w:snapToGrid/>
        <w:spacing w:line="384" w:lineRule="auto"/>
        <w:ind w:right="0" w:firstLine="5460" w:firstLineChars="2600"/>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日  期：</w:t>
      </w:r>
    </w:p>
    <w:p w14:paraId="425EBE19">
      <w:pPr>
        <w:keepNext w:val="0"/>
        <w:keepLines w:val="0"/>
        <w:pageBreakBefore w:val="0"/>
        <w:widowControl w:val="0"/>
        <w:kinsoku/>
        <w:wordWrap w:val="0"/>
        <w:overflowPunct/>
        <w:topLinePunct w:val="0"/>
        <w:autoSpaceDE/>
        <w:autoSpaceDN/>
        <w:bidi w:val="0"/>
        <w:adjustRightInd/>
        <w:snapToGrid/>
        <w:spacing w:line="384" w:lineRule="auto"/>
        <w:textAlignment w:val="auto"/>
        <w:rPr>
          <w:rFonts w:hint="eastAsia" w:ascii="宋体" w:hAnsi="宋体" w:eastAsia="宋体" w:cs="宋体"/>
          <w:color w:val="auto"/>
          <w:sz w:val="21"/>
          <w:szCs w:val="21"/>
        </w:rPr>
      </w:pPr>
      <w:bookmarkStart w:id="462" w:name="_Hlk113357043"/>
      <w:r>
        <w:rPr>
          <w:rFonts w:hint="eastAsia" w:ascii="宋体" w:hAnsi="宋体" w:eastAsia="宋体" w:cs="宋体"/>
          <w:color w:val="auto"/>
          <w:sz w:val="21"/>
          <w:szCs w:val="21"/>
        </w:rPr>
        <w:t>说明：</w:t>
      </w:r>
    </w:p>
    <w:p w14:paraId="191B8160">
      <w:pPr>
        <w:keepNext w:val="0"/>
        <w:keepLines w:val="0"/>
        <w:pageBreakBefore w:val="0"/>
        <w:widowControl w:val="0"/>
        <w:kinsoku/>
        <w:wordWrap w:val="0"/>
        <w:overflowPunct/>
        <w:topLinePunct w:val="0"/>
        <w:autoSpaceDE/>
        <w:autoSpaceDN/>
        <w:bidi w:val="0"/>
        <w:adjustRightInd/>
        <w:snapToGrid/>
        <w:spacing w:line="384"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一、享受政府采购支持政策的残疾人福利性单位应当同时满足以下条件：</w:t>
      </w:r>
    </w:p>
    <w:p w14:paraId="7665780B">
      <w:pPr>
        <w:keepNext w:val="0"/>
        <w:keepLines w:val="0"/>
        <w:pageBreakBefore w:val="0"/>
        <w:widowControl w:val="0"/>
        <w:kinsoku/>
        <w:wordWrap w:val="0"/>
        <w:overflowPunct/>
        <w:topLinePunct w:val="0"/>
        <w:autoSpaceDE/>
        <w:autoSpaceDN/>
        <w:bidi w:val="0"/>
        <w:adjustRightInd/>
        <w:snapToGrid/>
        <w:spacing w:line="384"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（一）安置的残疾人占本单位在职职工人数的比例不低于25%（含25%），并且安置的残疾人人数不少于10人（含10人）；</w:t>
      </w:r>
    </w:p>
    <w:p w14:paraId="32E55EB3">
      <w:pPr>
        <w:keepNext w:val="0"/>
        <w:keepLines w:val="0"/>
        <w:pageBreakBefore w:val="0"/>
        <w:widowControl w:val="0"/>
        <w:kinsoku/>
        <w:wordWrap w:val="0"/>
        <w:overflowPunct/>
        <w:topLinePunct w:val="0"/>
        <w:autoSpaceDE/>
        <w:autoSpaceDN/>
        <w:bidi w:val="0"/>
        <w:adjustRightInd/>
        <w:snapToGrid/>
        <w:spacing w:line="384"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（二）依法与安置的每位残疾人签订了一年以上（含一年）的劳动合同或服务协议；</w:t>
      </w:r>
    </w:p>
    <w:p w14:paraId="3858984E">
      <w:pPr>
        <w:keepNext w:val="0"/>
        <w:keepLines w:val="0"/>
        <w:pageBreakBefore w:val="0"/>
        <w:widowControl w:val="0"/>
        <w:kinsoku/>
        <w:wordWrap w:val="0"/>
        <w:overflowPunct/>
        <w:topLinePunct w:val="0"/>
        <w:autoSpaceDE/>
        <w:autoSpaceDN/>
        <w:bidi w:val="0"/>
        <w:adjustRightInd/>
        <w:snapToGrid/>
        <w:spacing w:line="384"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（三）为安置的每位残疾人按月足额缴纳了基本养老保险、基本医疗保险、失业保险、工伤保险和生育保险等社会保险费；</w:t>
      </w:r>
    </w:p>
    <w:p w14:paraId="267F3EE0">
      <w:pPr>
        <w:keepNext w:val="0"/>
        <w:keepLines w:val="0"/>
        <w:pageBreakBefore w:val="0"/>
        <w:widowControl w:val="0"/>
        <w:kinsoku/>
        <w:wordWrap w:val="0"/>
        <w:overflowPunct/>
        <w:topLinePunct w:val="0"/>
        <w:autoSpaceDE/>
        <w:autoSpaceDN/>
        <w:bidi w:val="0"/>
        <w:adjustRightInd/>
        <w:snapToGrid/>
        <w:spacing w:line="384"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（四）通过银行等金融机构向安置的每位残疾人，按月支付了不低于单位所在区县适用的经省级人民政府批准的月最低工资标准的工资；</w:t>
      </w:r>
    </w:p>
    <w:p w14:paraId="363D0611">
      <w:pPr>
        <w:keepNext w:val="0"/>
        <w:keepLines w:val="0"/>
        <w:pageBreakBefore w:val="0"/>
        <w:widowControl w:val="0"/>
        <w:kinsoku/>
        <w:wordWrap w:val="0"/>
        <w:overflowPunct/>
        <w:topLinePunct w:val="0"/>
        <w:autoSpaceDE/>
        <w:autoSpaceDN/>
        <w:bidi w:val="0"/>
        <w:adjustRightInd/>
        <w:snapToGrid/>
        <w:spacing w:line="384"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（五）提供本单位制造的货物、承担的工程或者服务（以下简称产品），或者提供其他残疾人福利性单位制造的货物（不包括使用非残疾人福利性单位注册商标的货物）。</w:t>
      </w:r>
    </w:p>
    <w:p w14:paraId="6E7E6705">
      <w:pPr>
        <w:keepNext w:val="0"/>
        <w:keepLines w:val="0"/>
        <w:pageBreakBefore w:val="0"/>
        <w:widowControl w:val="0"/>
        <w:kinsoku/>
        <w:wordWrap w:val="0"/>
        <w:overflowPunct/>
        <w:topLinePunct w:val="0"/>
        <w:autoSpaceDE/>
        <w:autoSpaceDN/>
        <w:bidi w:val="0"/>
        <w:adjustRightInd/>
        <w:snapToGrid/>
        <w:spacing w:line="384" w:lineRule="auto"/>
        <w:ind w:firstLine="396" w:firstLineChars="200"/>
        <w:textAlignment w:val="auto"/>
        <w:rPr>
          <w:rFonts w:hint="eastAsia" w:ascii="宋体" w:hAnsi="宋体" w:eastAsia="宋体" w:cs="宋体"/>
          <w:color w:val="auto"/>
          <w:sz w:val="21"/>
          <w:szCs w:val="21"/>
        </w:rPr>
      </w:pPr>
      <w:r>
        <w:rPr>
          <w:rFonts w:hint="eastAsia" w:ascii="宋体" w:hAnsi="宋体" w:eastAsia="宋体" w:cs="宋体"/>
          <w:bCs/>
          <w:color w:val="auto"/>
          <w:spacing w:val="-6"/>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r>
        <w:rPr>
          <w:rFonts w:hint="eastAsia" w:ascii="宋体" w:hAnsi="宋体" w:eastAsia="宋体" w:cs="宋体"/>
          <w:color w:val="auto"/>
          <w:sz w:val="21"/>
          <w:szCs w:val="21"/>
        </w:rPr>
        <w:t>。</w:t>
      </w:r>
    </w:p>
    <w:p w14:paraId="32BCC247">
      <w:pPr>
        <w:keepNext w:val="0"/>
        <w:keepLines w:val="0"/>
        <w:pageBreakBefore w:val="0"/>
        <w:widowControl w:val="0"/>
        <w:kinsoku/>
        <w:wordWrap w:val="0"/>
        <w:overflowPunct/>
        <w:topLinePunct w:val="0"/>
        <w:autoSpaceDE/>
        <w:autoSpaceDN/>
        <w:bidi w:val="0"/>
        <w:adjustRightInd/>
        <w:snapToGrid/>
        <w:spacing w:line="384" w:lineRule="auto"/>
        <w:ind w:firstLine="420" w:firstLineChars="200"/>
        <w:textAlignment w:val="auto"/>
        <w:rPr>
          <w:rFonts w:hint="eastAsia" w:ascii="宋体" w:hAnsi="宋体" w:eastAsia="宋体" w:cs="宋体"/>
          <w:b/>
          <w:color w:val="auto"/>
        </w:rPr>
      </w:pPr>
      <w:r>
        <w:rPr>
          <w:rFonts w:hint="eastAsia" w:ascii="宋体" w:hAnsi="宋体" w:eastAsia="宋体" w:cs="宋体"/>
          <w:b/>
          <w:color w:val="auto"/>
          <w:sz w:val="21"/>
          <w:szCs w:val="21"/>
        </w:rPr>
        <w:t>注意：如果</w:t>
      </w:r>
      <w:r>
        <w:rPr>
          <w:rFonts w:hint="eastAsia" w:ascii="宋体" w:hAnsi="宋体" w:eastAsia="宋体" w:cs="宋体"/>
          <w:b/>
          <w:color w:val="auto"/>
          <w:sz w:val="21"/>
          <w:szCs w:val="21"/>
          <w:lang w:eastAsia="zh-CN"/>
        </w:rPr>
        <w:t>供应商</w:t>
      </w:r>
      <w:r>
        <w:rPr>
          <w:rFonts w:hint="eastAsia" w:ascii="宋体" w:hAnsi="宋体" w:eastAsia="宋体" w:cs="宋体"/>
          <w:b/>
          <w:color w:val="auto"/>
          <w:sz w:val="21"/>
          <w:szCs w:val="21"/>
        </w:rPr>
        <w:t>不是残疾人福利性单位，则不需要提供《残疾人福利性单位声明函》。否则，因此导致虚假投标的后果由</w:t>
      </w:r>
      <w:r>
        <w:rPr>
          <w:rFonts w:hint="eastAsia" w:ascii="宋体" w:hAnsi="宋体" w:eastAsia="宋体" w:cs="宋体"/>
          <w:b/>
          <w:color w:val="auto"/>
          <w:sz w:val="21"/>
          <w:szCs w:val="21"/>
          <w:lang w:eastAsia="zh-CN"/>
        </w:rPr>
        <w:t>供应商</w:t>
      </w:r>
      <w:r>
        <w:rPr>
          <w:rFonts w:hint="eastAsia" w:ascii="宋体" w:hAnsi="宋体" w:eastAsia="宋体" w:cs="宋体"/>
          <w:b/>
          <w:color w:val="auto"/>
          <w:sz w:val="21"/>
          <w:szCs w:val="21"/>
        </w:rPr>
        <w:t>自行承担。</w:t>
      </w:r>
    </w:p>
    <w:bookmarkEnd w:id="462"/>
    <w:p w14:paraId="7BA13EF6">
      <w:pPr>
        <w:rPr>
          <w:rFonts w:hint="eastAsia" w:ascii="宋体" w:hAnsi="宋体" w:eastAsia="宋体" w:cs="宋体"/>
          <w:color w:val="auto"/>
        </w:rPr>
      </w:pPr>
      <w:r>
        <w:rPr>
          <w:rFonts w:hint="eastAsia" w:ascii="宋体" w:hAnsi="宋体" w:eastAsia="宋体" w:cs="宋体"/>
          <w:color w:val="auto"/>
        </w:rPr>
        <w:br w:type="page"/>
      </w:r>
    </w:p>
    <w:p w14:paraId="5590AA8B">
      <w:pPr>
        <w:pStyle w:val="7"/>
        <w:bidi w:val="0"/>
        <w:jc w:val="center"/>
        <w:rPr>
          <w:rFonts w:hint="eastAsia" w:ascii="宋体" w:hAnsi="宋体" w:eastAsia="宋体" w:cs="宋体"/>
          <w:color w:val="000000"/>
          <w:kern w:val="0"/>
          <w:sz w:val="24"/>
          <w:szCs w:val="24"/>
          <w:lang w:val="zh-CN"/>
        </w:rPr>
      </w:pPr>
      <w:bookmarkStart w:id="463" w:name="_Toc32195"/>
      <w:r>
        <w:rPr>
          <w:rFonts w:hint="eastAsia" w:cs="宋体"/>
          <w:color w:val="000000"/>
          <w:kern w:val="0"/>
          <w:sz w:val="24"/>
          <w:szCs w:val="24"/>
          <w:lang w:val="en-US" w:eastAsia="zh-CN"/>
        </w:rPr>
        <w:t>（三）</w:t>
      </w:r>
      <w:r>
        <w:rPr>
          <w:rFonts w:hint="eastAsia" w:ascii="宋体" w:hAnsi="宋体" w:eastAsia="宋体" w:cs="宋体"/>
          <w:color w:val="000000"/>
          <w:kern w:val="0"/>
          <w:sz w:val="24"/>
          <w:szCs w:val="24"/>
          <w:lang w:val="en-US" w:eastAsia="zh-CN"/>
        </w:rPr>
        <w:t>监狱企业证明文件</w:t>
      </w:r>
      <w:bookmarkEnd w:id="463"/>
    </w:p>
    <w:p w14:paraId="04986D94">
      <w:pPr>
        <w:pStyle w:val="36"/>
        <w:rPr>
          <w:rFonts w:ascii="仿宋" w:hAnsi="仿宋" w:eastAsia="仿宋" w:cs="仿宋"/>
          <w:color w:val="000000"/>
          <w:lang w:val="zh-CN"/>
        </w:rPr>
      </w:pPr>
    </w:p>
    <w:p w14:paraId="7816F620">
      <w:pPr>
        <w:keepNext w:val="0"/>
        <w:keepLines w:val="0"/>
        <w:pageBreakBefore w:val="0"/>
        <w:widowControl w:val="0"/>
        <w:kinsoku/>
        <w:wordWrap/>
        <w:overflowPunct/>
        <w:topLinePunct w:val="0"/>
        <w:autoSpaceDE/>
        <w:autoSpaceDN/>
        <w:bidi w:val="0"/>
        <w:adjustRightInd/>
        <w:snapToGrid/>
        <w:spacing w:line="396"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监狱企业参加政府采购活动时，应当提供由省级以上监狱管理局、戒毒管理局（含新疆生产建设兵团）出具的属于监狱企业的证明文件，视同小型、微型企业，享受评审中价格扣除等政府采购促进中小企业发展的政府采购政策。</w:t>
      </w:r>
    </w:p>
    <w:p w14:paraId="112C8DD3">
      <w:pPr>
        <w:rPr>
          <w:rFonts w:hint="eastAsia" w:ascii="宋体" w:hAnsi="宋体" w:eastAsia="宋体" w:cs="宋体"/>
          <w:color w:val="auto"/>
        </w:rPr>
      </w:pPr>
    </w:p>
    <w:p w14:paraId="26154152">
      <w:pPr>
        <w:rPr>
          <w:rFonts w:hint="eastAsia" w:ascii="宋体" w:hAnsi="宋体" w:eastAsia="宋体" w:cs="宋体"/>
          <w:color w:val="auto"/>
        </w:rPr>
      </w:pPr>
      <w:r>
        <w:rPr>
          <w:rFonts w:hint="eastAsia" w:ascii="宋体" w:hAnsi="宋体" w:eastAsia="宋体" w:cs="宋体"/>
          <w:color w:val="auto"/>
        </w:rPr>
        <w:br w:type="page"/>
      </w:r>
    </w:p>
    <w:p w14:paraId="58BFE068">
      <w:pPr>
        <w:pStyle w:val="7"/>
        <w:bidi w:val="0"/>
        <w:jc w:val="center"/>
        <w:rPr>
          <w:rFonts w:hint="eastAsia"/>
        </w:rPr>
      </w:pPr>
      <w:bookmarkStart w:id="464" w:name="_Toc83283834"/>
      <w:bookmarkStart w:id="465" w:name="_Toc22480"/>
      <w:r>
        <w:rPr>
          <w:rFonts w:hint="eastAsia"/>
          <w:lang w:val="en-US" w:eastAsia="zh-CN"/>
        </w:rPr>
        <w:t>（四）</w:t>
      </w:r>
      <w:r>
        <w:rPr>
          <w:rFonts w:hint="eastAsia"/>
        </w:rPr>
        <w:t>政府强制采购的节能产品证明资料</w:t>
      </w:r>
      <w:bookmarkEnd w:id="464"/>
      <w:bookmarkEnd w:id="465"/>
    </w:p>
    <w:p w14:paraId="7EC29E5F">
      <w:pPr>
        <w:spacing w:line="480" w:lineRule="auto"/>
        <w:rPr>
          <w:rFonts w:ascii="宋体" w:hAnsi="宋体" w:eastAsia="宋体" w:cs="宋体"/>
          <w:color w:val="auto"/>
          <w:sz w:val="24"/>
        </w:rPr>
      </w:pPr>
    </w:p>
    <w:p w14:paraId="15FA3133">
      <w:pPr>
        <w:spacing w:line="480" w:lineRule="auto"/>
        <w:jc w:val="center"/>
        <w:rPr>
          <w:rFonts w:ascii="宋体" w:hAnsi="宋体" w:eastAsia="宋体" w:cs="宋体"/>
          <w:color w:val="auto"/>
          <w:sz w:val="24"/>
        </w:rPr>
      </w:pPr>
      <w:r>
        <w:rPr>
          <w:rFonts w:hint="eastAsia" w:ascii="宋体" w:hAnsi="宋体" w:eastAsia="宋体" w:cs="宋体"/>
          <w:color w:val="auto"/>
          <w:sz w:val="24"/>
        </w:rPr>
        <w:t>如有，应按照</w:t>
      </w:r>
      <w:r>
        <w:rPr>
          <w:rFonts w:hint="eastAsia" w:cs="宋体"/>
          <w:color w:val="auto"/>
          <w:sz w:val="24"/>
          <w:lang w:val="en-US" w:eastAsia="zh-CN"/>
        </w:rPr>
        <w:t>供应商</w:t>
      </w:r>
      <w:r>
        <w:rPr>
          <w:rFonts w:hint="eastAsia" w:ascii="宋体" w:hAnsi="宋体" w:eastAsia="宋体" w:cs="宋体"/>
          <w:color w:val="auto"/>
          <w:sz w:val="24"/>
        </w:rPr>
        <w:t>须知前附表第</w:t>
      </w:r>
      <w:r>
        <w:rPr>
          <w:rFonts w:hint="eastAsia" w:cs="宋体"/>
          <w:color w:val="auto"/>
          <w:sz w:val="24"/>
          <w:lang w:val="en-US" w:eastAsia="zh-CN"/>
        </w:rPr>
        <w:t>29</w:t>
      </w:r>
      <w:r>
        <w:rPr>
          <w:rFonts w:hint="eastAsia" w:ascii="宋体" w:hAnsi="宋体" w:eastAsia="宋体" w:cs="宋体"/>
          <w:color w:val="auto"/>
          <w:sz w:val="24"/>
        </w:rPr>
        <w:t>项有关内容，附证明资料。</w:t>
      </w:r>
    </w:p>
    <w:p w14:paraId="570493F4">
      <w:pPr>
        <w:spacing w:line="480" w:lineRule="auto"/>
        <w:jc w:val="center"/>
        <w:rPr>
          <w:rFonts w:ascii="宋体" w:hAnsi="宋体" w:eastAsia="宋体" w:cs="宋体"/>
          <w:color w:val="auto"/>
          <w:sz w:val="24"/>
        </w:rPr>
      </w:pPr>
      <w:r>
        <w:rPr>
          <w:rFonts w:hint="eastAsia" w:ascii="宋体" w:hAnsi="宋体" w:eastAsia="宋体" w:cs="宋体"/>
          <w:color w:val="auto"/>
          <w:sz w:val="24"/>
        </w:rPr>
        <w:t>（如采购范围内不包含的可不提供）</w:t>
      </w:r>
    </w:p>
    <w:p w14:paraId="4634F160">
      <w:pPr>
        <w:pStyle w:val="13"/>
        <w:ind w:firstLine="482"/>
        <w:jc w:val="center"/>
        <w:rPr>
          <w:rFonts w:hAnsi="宋体" w:eastAsia="宋体" w:cs="宋体"/>
          <w:b/>
          <w:bCs/>
          <w:color w:val="auto"/>
          <w:sz w:val="24"/>
          <w:szCs w:val="28"/>
        </w:rPr>
      </w:pPr>
      <w:r>
        <w:rPr>
          <w:rFonts w:hint="eastAsia" w:hAnsi="宋体" w:eastAsia="宋体" w:cs="宋体"/>
          <w:color w:val="auto"/>
          <w:sz w:val="28"/>
        </w:rPr>
        <w:br w:type="page"/>
      </w:r>
      <w:r>
        <w:rPr>
          <w:rFonts w:hint="eastAsia" w:hAnsi="宋体" w:eastAsia="宋体" w:cs="宋体"/>
          <w:b/>
          <w:bCs/>
          <w:color w:val="auto"/>
          <w:sz w:val="24"/>
          <w:szCs w:val="28"/>
        </w:rPr>
        <w:t>强制节能产品见附件中标★产品</w:t>
      </w:r>
    </w:p>
    <w:p w14:paraId="7127A973">
      <w:pPr>
        <w:pStyle w:val="13"/>
        <w:rPr>
          <w:rFonts w:hAnsi="宋体" w:eastAsia="宋体" w:cs="宋体"/>
          <w:color w:val="auto"/>
        </w:rPr>
      </w:pPr>
      <w:r>
        <w:rPr>
          <w:rFonts w:hint="eastAsia" w:hAnsi="宋体" w:eastAsia="宋体" w:cs="宋体"/>
          <w:color w:val="auto"/>
        </w:rPr>
        <w:drawing>
          <wp:inline distT="0" distB="0" distL="114300" distR="114300">
            <wp:extent cx="5542915" cy="7838440"/>
            <wp:effectExtent l="0" t="0" r="635" b="10160"/>
            <wp:docPr id="5" name="图片 5" descr="节能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节能_00"/>
                    <pic:cNvPicPr>
                      <a:picLocks noChangeAspect="1"/>
                    </pic:cNvPicPr>
                  </pic:nvPicPr>
                  <pic:blipFill>
                    <a:blip r:embed="rId8"/>
                    <a:stretch>
                      <a:fillRect/>
                    </a:stretch>
                  </pic:blipFill>
                  <pic:spPr>
                    <a:xfrm>
                      <a:off x="0" y="0"/>
                      <a:ext cx="5542915" cy="7838440"/>
                    </a:xfrm>
                    <a:prstGeom prst="rect">
                      <a:avLst/>
                    </a:prstGeom>
                  </pic:spPr>
                </pic:pic>
              </a:graphicData>
            </a:graphic>
          </wp:inline>
        </w:drawing>
      </w:r>
      <w:r>
        <w:rPr>
          <w:rFonts w:hint="eastAsia" w:hAnsi="宋体" w:eastAsia="宋体" w:cs="宋体"/>
          <w:color w:val="auto"/>
        </w:rPr>
        <w:drawing>
          <wp:inline distT="0" distB="0" distL="114300" distR="114300">
            <wp:extent cx="5542915" cy="7838440"/>
            <wp:effectExtent l="0" t="0" r="635" b="10160"/>
            <wp:docPr id="4" name="图片 4" descr="节能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节能_01"/>
                    <pic:cNvPicPr>
                      <a:picLocks noChangeAspect="1"/>
                    </pic:cNvPicPr>
                  </pic:nvPicPr>
                  <pic:blipFill>
                    <a:blip r:embed="rId9"/>
                    <a:stretch>
                      <a:fillRect/>
                    </a:stretch>
                  </pic:blipFill>
                  <pic:spPr>
                    <a:xfrm>
                      <a:off x="0" y="0"/>
                      <a:ext cx="5542915" cy="7838440"/>
                    </a:xfrm>
                    <a:prstGeom prst="rect">
                      <a:avLst/>
                    </a:prstGeom>
                  </pic:spPr>
                </pic:pic>
              </a:graphicData>
            </a:graphic>
          </wp:inline>
        </w:drawing>
      </w:r>
      <w:r>
        <w:rPr>
          <w:rFonts w:hint="eastAsia" w:hAnsi="宋体" w:eastAsia="宋体" w:cs="宋体"/>
          <w:color w:val="auto"/>
        </w:rPr>
        <w:drawing>
          <wp:inline distT="0" distB="0" distL="114300" distR="114300">
            <wp:extent cx="5542915" cy="7838440"/>
            <wp:effectExtent l="0" t="0" r="635" b="10160"/>
            <wp:docPr id="3" name="图片 3" descr="节能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节能_02"/>
                    <pic:cNvPicPr>
                      <a:picLocks noChangeAspect="1"/>
                    </pic:cNvPicPr>
                  </pic:nvPicPr>
                  <pic:blipFill>
                    <a:blip r:embed="rId10"/>
                    <a:stretch>
                      <a:fillRect/>
                    </a:stretch>
                  </pic:blipFill>
                  <pic:spPr>
                    <a:xfrm>
                      <a:off x="0" y="0"/>
                      <a:ext cx="5542915" cy="7838440"/>
                    </a:xfrm>
                    <a:prstGeom prst="rect">
                      <a:avLst/>
                    </a:prstGeom>
                  </pic:spPr>
                </pic:pic>
              </a:graphicData>
            </a:graphic>
          </wp:inline>
        </w:drawing>
      </w:r>
      <w:r>
        <w:rPr>
          <w:rFonts w:hint="eastAsia" w:hAnsi="宋体" w:eastAsia="宋体" w:cs="宋体"/>
          <w:color w:val="auto"/>
        </w:rPr>
        <w:drawing>
          <wp:inline distT="0" distB="0" distL="114300" distR="114300">
            <wp:extent cx="5542915" cy="7838440"/>
            <wp:effectExtent l="0" t="0" r="635" b="10160"/>
            <wp:docPr id="2" name="图片 2" descr="节能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节能_03"/>
                    <pic:cNvPicPr>
                      <a:picLocks noChangeAspect="1"/>
                    </pic:cNvPicPr>
                  </pic:nvPicPr>
                  <pic:blipFill>
                    <a:blip r:embed="rId11"/>
                    <a:stretch>
                      <a:fillRect/>
                    </a:stretch>
                  </pic:blipFill>
                  <pic:spPr>
                    <a:xfrm>
                      <a:off x="0" y="0"/>
                      <a:ext cx="5542915" cy="7838440"/>
                    </a:xfrm>
                    <a:prstGeom prst="rect">
                      <a:avLst/>
                    </a:prstGeom>
                  </pic:spPr>
                </pic:pic>
              </a:graphicData>
            </a:graphic>
          </wp:inline>
        </w:drawing>
      </w:r>
    </w:p>
    <w:p w14:paraId="4E18737E">
      <w:pPr>
        <w:rPr>
          <w:rFonts w:ascii="宋体" w:hAnsi="宋体" w:eastAsia="宋体" w:cs="宋体"/>
          <w:color w:val="auto"/>
        </w:rPr>
      </w:pPr>
      <w:r>
        <w:rPr>
          <w:rFonts w:hint="eastAsia" w:ascii="宋体" w:hAnsi="宋体" w:eastAsia="宋体" w:cs="宋体"/>
          <w:color w:val="auto"/>
        </w:rPr>
        <w:br w:type="page"/>
      </w:r>
    </w:p>
    <w:p w14:paraId="770844B7">
      <w:pPr>
        <w:pStyle w:val="3"/>
        <w:jc w:val="center"/>
        <w:rPr>
          <w:rFonts w:hint="eastAsia"/>
          <w:color w:val="auto"/>
        </w:rPr>
      </w:pPr>
      <w:r>
        <w:rPr>
          <w:rFonts w:hint="eastAsia" w:hAnsi="宋体" w:eastAsia="宋体" w:cs="宋体"/>
          <w:b/>
          <w:bCs/>
          <w:color w:val="auto"/>
          <w:sz w:val="24"/>
          <w:szCs w:val="28"/>
        </w:rPr>
        <w:t>环境标志产品政府采购品目清单</w:t>
      </w:r>
      <w:r>
        <w:rPr>
          <w:rFonts w:hint="eastAsia"/>
          <w:color w:val="auto"/>
        </w:rPr>
        <w:drawing>
          <wp:inline distT="0" distB="0" distL="114300" distR="114300">
            <wp:extent cx="5542915" cy="7785735"/>
            <wp:effectExtent l="0" t="0" r="635" b="5715"/>
            <wp:docPr id="9" name="图片 9" descr="环保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环保_00"/>
                    <pic:cNvPicPr>
                      <a:picLocks noChangeAspect="1"/>
                    </pic:cNvPicPr>
                  </pic:nvPicPr>
                  <pic:blipFill>
                    <a:blip r:embed="rId12"/>
                    <a:stretch>
                      <a:fillRect/>
                    </a:stretch>
                  </pic:blipFill>
                  <pic:spPr>
                    <a:xfrm>
                      <a:off x="0" y="0"/>
                      <a:ext cx="5542915" cy="7785735"/>
                    </a:xfrm>
                    <a:prstGeom prst="rect">
                      <a:avLst/>
                    </a:prstGeom>
                  </pic:spPr>
                </pic:pic>
              </a:graphicData>
            </a:graphic>
          </wp:inline>
        </w:drawing>
      </w:r>
      <w:r>
        <w:rPr>
          <w:rFonts w:hint="eastAsia" w:hAnsi="宋体" w:eastAsia="宋体" w:cs="宋体"/>
          <w:color w:val="auto"/>
        </w:rPr>
        <w:drawing>
          <wp:inline distT="0" distB="0" distL="114300" distR="114300">
            <wp:extent cx="5542915" cy="7838440"/>
            <wp:effectExtent l="0" t="0" r="635" b="10160"/>
            <wp:docPr id="8" name="图片 8" descr="环保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环保_01"/>
                    <pic:cNvPicPr>
                      <a:picLocks noChangeAspect="1"/>
                    </pic:cNvPicPr>
                  </pic:nvPicPr>
                  <pic:blipFill>
                    <a:blip r:embed="rId13"/>
                    <a:stretch>
                      <a:fillRect/>
                    </a:stretch>
                  </pic:blipFill>
                  <pic:spPr>
                    <a:xfrm>
                      <a:off x="0" y="0"/>
                      <a:ext cx="5542915" cy="7838440"/>
                    </a:xfrm>
                    <a:prstGeom prst="rect">
                      <a:avLst/>
                    </a:prstGeom>
                  </pic:spPr>
                </pic:pic>
              </a:graphicData>
            </a:graphic>
          </wp:inline>
        </w:drawing>
      </w:r>
      <w:r>
        <w:rPr>
          <w:rFonts w:hint="eastAsia" w:hAnsi="宋体" w:eastAsia="宋体" w:cs="宋体"/>
          <w:color w:val="auto"/>
        </w:rPr>
        <w:drawing>
          <wp:inline distT="0" distB="0" distL="114300" distR="114300">
            <wp:extent cx="5542915" cy="7838440"/>
            <wp:effectExtent l="0" t="0" r="635" b="10160"/>
            <wp:docPr id="7" name="图片 7" descr="环保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环保_02"/>
                    <pic:cNvPicPr>
                      <a:picLocks noChangeAspect="1"/>
                    </pic:cNvPicPr>
                  </pic:nvPicPr>
                  <pic:blipFill>
                    <a:blip r:embed="rId14"/>
                    <a:stretch>
                      <a:fillRect/>
                    </a:stretch>
                  </pic:blipFill>
                  <pic:spPr>
                    <a:xfrm>
                      <a:off x="0" y="0"/>
                      <a:ext cx="5542915" cy="7838440"/>
                    </a:xfrm>
                    <a:prstGeom prst="rect">
                      <a:avLst/>
                    </a:prstGeom>
                  </pic:spPr>
                </pic:pic>
              </a:graphicData>
            </a:graphic>
          </wp:inline>
        </w:drawing>
      </w:r>
      <w:r>
        <w:rPr>
          <w:rFonts w:hint="eastAsia" w:hAnsi="宋体" w:eastAsia="宋体" w:cs="宋体"/>
          <w:color w:val="auto"/>
        </w:rPr>
        <w:drawing>
          <wp:inline distT="0" distB="0" distL="114300" distR="114300">
            <wp:extent cx="5542915" cy="7838440"/>
            <wp:effectExtent l="0" t="0" r="635" b="10160"/>
            <wp:docPr id="6" name="图片 6" descr="环保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环保_03"/>
                    <pic:cNvPicPr>
                      <a:picLocks noChangeAspect="1"/>
                    </pic:cNvPicPr>
                  </pic:nvPicPr>
                  <pic:blipFill>
                    <a:blip r:embed="rId15"/>
                    <a:stretch>
                      <a:fillRect/>
                    </a:stretch>
                  </pic:blipFill>
                  <pic:spPr>
                    <a:xfrm>
                      <a:off x="0" y="0"/>
                      <a:ext cx="5542915" cy="7838440"/>
                    </a:xfrm>
                    <a:prstGeom prst="rect">
                      <a:avLst/>
                    </a:prstGeom>
                  </pic:spPr>
                </pic:pic>
              </a:graphicData>
            </a:graphic>
          </wp:inline>
        </w:drawing>
      </w:r>
    </w:p>
    <w:p w14:paraId="3387C305">
      <w:pPr>
        <w:rPr>
          <w:rFonts w:hint="eastAsia" w:ascii="宋体" w:hAnsi="宋体" w:eastAsia="宋体" w:cs="宋体"/>
          <w:color w:val="auto"/>
          <w:sz w:val="28"/>
        </w:rPr>
      </w:pPr>
      <w:r>
        <w:rPr>
          <w:rFonts w:hint="eastAsia" w:ascii="宋体" w:hAnsi="宋体" w:eastAsia="宋体" w:cs="宋体"/>
          <w:color w:val="auto"/>
          <w:sz w:val="28"/>
        </w:rPr>
        <w:br w:type="page"/>
      </w:r>
    </w:p>
    <w:p w14:paraId="1A05564B">
      <w:pPr>
        <w:pStyle w:val="6"/>
        <w:bidi w:val="0"/>
        <w:rPr>
          <w:rFonts w:hint="eastAsia"/>
          <w:lang w:val="en-US" w:eastAsia="zh-CN"/>
        </w:rPr>
      </w:pPr>
      <w:bookmarkStart w:id="466" w:name="_Toc14450"/>
      <w:bookmarkStart w:id="467" w:name="_Toc1021"/>
      <w:r>
        <w:rPr>
          <w:rFonts w:hint="eastAsia"/>
          <w:lang w:val="en-US" w:eastAsia="zh-CN"/>
        </w:rPr>
        <w:t>十二、供应商认为需要提供的其他资料</w:t>
      </w:r>
      <w:bookmarkEnd w:id="466"/>
      <w:bookmarkEnd w:id="467"/>
    </w:p>
    <w:sectPr>
      <w:pgSz w:w="11906" w:h="16838"/>
      <w:pgMar w:top="1417" w:right="1587" w:bottom="1417" w:left="1587" w:header="851" w:footer="992" w:gutter="0"/>
      <w:pgNumType w:fmt="decimal"/>
      <w:cols w:space="0" w:num="1"/>
      <w:rtlGutter w:val="0"/>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decorative"/>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A4464A2-55A9-4D14-B295-C4C641B9C0E3}"/>
  </w:font>
  <w:font w:name="Arial">
    <w:panose1 w:val="020B0604020202020204"/>
    <w:charset w:val="01"/>
    <w:family w:val="swiss"/>
    <w:pitch w:val="default"/>
    <w:sig w:usb0="E0002EFF" w:usb1="C000785B" w:usb2="00000009" w:usb3="00000000" w:csb0="400001FF" w:csb1="FFFF0000"/>
    <w:embedRegular r:id="rId2" w:fontKey="{39FC52F0-6B81-455C-94B4-97C450ECD967}"/>
  </w:font>
  <w:font w:name="黑体">
    <w:panose1 w:val="02010609060101010101"/>
    <w:charset w:val="86"/>
    <w:family w:val="auto"/>
    <w:pitch w:val="default"/>
    <w:sig w:usb0="800002BF" w:usb1="38CF7CFA" w:usb2="00000016" w:usb3="00000000" w:csb0="00040001" w:csb1="00000000"/>
    <w:embedRegular r:id="rId3" w:fontKey="{97F38FC3-DFEB-4384-A521-6F055CE9EDE3}"/>
  </w:font>
  <w:font w:name="Courier New">
    <w:panose1 w:val="02070309020205020404"/>
    <w:charset w:val="01"/>
    <w:family w:val="modern"/>
    <w:pitch w:val="default"/>
    <w:sig w:usb0="E0002EFF" w:usb1="C0007843" w:usb2="00000009" w:usb3="00000000" w:csb0="400001FF" w:csb1="FFFF0000"/>
    <w:embedRegular r:id="rId4" w:fontKey="{6B99A760-FA4B-4F75-98A1-2391E3A3F73B}"/>
  </w:font>
  <w:font w:name="Symbol">
    <w:panose1 w:val="05050102010706020507"/>
    <w:charset w:val="02"/>
    <w:family w:val="roman"/>
    <w:pitch w:val="default"/>
    <w:sig w:usb0="00000000" w:usb1="00000000" w:usb2="00000000" w:usb3="00000000" w:csb0="80000000" w:csb1="00000000"/>
    <w:embedRegular r:id="rId5" w:fontKey="{8E696C45-B5AA-44F8-A9C0-1B195AEF0A6B}"/>
  </w:font>
  <w:font w:name="Calibri">
    <w:panose1 w:val="020F0502020204030204"/>
    <w:charset w:val="00"/>
    <w:family w:val="swiss"/>
    <w:pitch w:val="default"/>
    <w:sig w:usb0="E4002EFF" w:usb1="C000247B" w:usb2="00000009" w:usb3="00000000" w:csb0="200001FF" w:csb1="00000000"/>
    <w:embedRegular r:id="rId6" w:fontKey="{FF3EF57E-5C85-4163-8DE7-7E1803809155}"/>
  </w:font>
  <w:font w:name="仿宋_GB2312">
    <w:panose1 w:val="02010609030101010101"/>
    <w:charset w:val="86"/>
    <w:family w:val="modern"/>
    <w:pitch w:val="default"/>
    <w:sig w:usb0="00000001" w:usb1="080E0000" w:usb2="00000000" w:usb3="00000000" w:csb0="00040000" w:csb1="00000000"/>
    <w:embedRegular r:id="rId7" w:fontKey="{015DCCD4-11FE-40C7-819B-12576797744E}"/>
  </w:font>
  <w:font w:name="TimesNewRomanPSMT">
    <w:altName w:val="微软雅黑"/>
    <w:panose1 w:val="00000000000000000000"/>
    <w:charset w:val="00"/>
    <w:family w:val="roman"/>
    <w:pitch w:val="default"/>
    <w:sig w:usb0="00000000" w:usb1="00000000" w:usb2="00000010" w:usb3="00000000" w:csb0="00040001" w:csb1="00000000"/>
    <w:embedRegular r:id="rId8" w:fontKey="{AAF249DF-9CEB-438D-9A3F-64FCF0CEB6CE}"/>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embedRegular r:id="rId9" w:fontKey="{22458FC6-5400-486B-BC1C-713B0708650B}"/>
  </w:font>
  <w:font w:name="Arial">
    <w:panose1 w:val="020B0604020202020204"/>
    <w:charset w:val="00"/>
    <w:family w:val="auto"/>
    <w:pitch w:val="default"/>
    <w:sig w:usb0="E0002EFF" w:usb1="C000785B" w:usb2="00000009" w:usb3="00000000" w:csb0="400001FF" w:csb1="FFFF0000"/>
    <w:embedRegular r:id="rId10" w:fontKey="{9121656A-C7BA-4848-92A1-46B7A6440E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A4E8A">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7CCB05">
                          <w:pPr>
                            <w:pStyle w:val="14"/>
                            <w:rPr>
                              <w:sz w:val="21"/>
                              <w:szCs w:val="21"/>
                            </w:rPr>
                          </w:pPr>
                          <w:r>
                            <w:rPr>
                              <w:sz w:val="21"/>
                              <w:szCs w:val="21"/>
                            </w:rPr>
                            <w:t xml:space="preserve">第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r>
                            <w:rPr>
                              <w:sz w:val="21"/>
                              <w:szCs w:val="21"/>
                            </w:rPr>
                            <w:t xml:space="preserve"> 页 共 </w:t>
                          </w:r>
                          <w:r>
                            <w:rPr>
                              <w:sz w:val="21"/>
                              <w:szCs w:val="21"/>
                            </w:rPr>
                            <w:fldChar w:fldCharType="begin"/>
                          </w:r>
                          <w:r>
                            <w:rPr>
                              <w:sz w:val="21"/>
                              <w:szCs w:val="21"/>
                            </w:rPr>
                            <w:instrText xml:space="preserve"> NUMPAGES  \* MERGEFORMAT </w:instrText>
                          </w:r>
                          <w:r>
                            <w:rPr>
                              <w:sz w:val="21"/>
                              <w:szCs w:val="21"/>
                            </w:rPr>
                            <w:fldChar w:fldCharType="separate"/>
                          </w:r>
                          <w:r>
                            <w:rPr>
                              <w:sz w:val="21"/>
                              <w:szCs w:val="21"/>
                            </w:rPr>
                            <w:t>76</w:t>
                          </w:r>
                          <w:r>
                            <w:rPr>
                              <w:sz w:val="21"/>
                              <w:szCs w:val="21"/>
                            </w:rPr>
                            <w:fldChar w:fldCharType="end"/>
                          </w:r>
                          <w:r>
                            <w:rPr>
                              <w:sz w:val="21"/>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B7CCB05">
                    <w:pPr>
                      <w:pStyle w:val="14"/>
                      <w:rPr>
                        <w:sz w:val="21"/>
                        <w:szCs w:val="21"/>
                      </w:rPr>
                    </w:pPr>
                    <w:r>
                      <w:rPr>
                        <w:sz w:val="21"/>
                        <w:szCs w:val="21"/>
                      </w:rPr>
                      <w:t xml:space="preserve">第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r>
                      <w:rPr>
                        <w:sz w:val="21"/>
                        <w:szCs w:val="21"/>
                      </w:rPr>
                      <w:t xml:space="preserve"> 页 共 </w:t>
                    </w:r>
                    <w:r>
                      <w:rPr>
                        <w:sz w:val="21"/>
                        <w:szCs w:val="21"/>
                      </w:rPr>
                      <w:fldChar w:fldCharType="begin"/>
                    </w:r>
                    <w:r>
                      <w:rPr>
                        <w:sz w:val="21"/>
                        <w:szCs w:val="21"/>
                      </w:rPr>
                      <w:instrText xml:space="preserve"> NUMPAGES  \* MERGEFORMAT </w:instrText>
                    </w:r>
                    <w:r>
                      <w:rPr>
                        <w:sz w:val="21"/>
                        <w:szCs w:val="21"/>
                      </w:rPr>
                      <w:fldChar w:fldCharType="separate"/>
                    </w:r>
                    <w:r>
                      <w:rPr>
                        <w:sz w:val="21"/>
                        <w:szCs w:val="21"/>
                      </w:rPr>
                      <w:t>76</w:t>
                    </w:r>
                    <w:r>
                      <w:rPr>
                        <w:sz w:val="21"/>
                        <w:szCs w:val="21"/>
                      </w:rPr>
                      <w:fldChar w:fldCharType="end"/>
                    </w:r>
                    <w:r>
                      <w:rPr>
                        <w:sz w:val="21"/>
                        <w:szCs w:val="21"/>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BE7FEE"/>
    <w:multiLevelType w:val="singleLevel"/>
    <w:tmpl w:val="D1BE7FEE"/>
    <w:lvl w:ilvl="0" w:tentative="0">
      <w:start w:val="1"/>
      <w:numFmt w:val="decimal"/>
      <w:suff w:val="nothing"/>
      <w:lvlText w:val="%1、"/>
      <w:lvlJc w:val="left"/>
    </w:lvl>
  </w:abstractNum>
  <w:abstractNum w:abstractNumId="1">
    <w:nsid w:val="21A890A9"/>
    <w:multiLevelType w:val="multilevel"/>
    <w:tmpl w:val="21A890A9"/>
    <w:lvl w:ilvl="0" w:tentative="0">
      <w:start w:val="1"/>
      <w:numFmt w:val="decimal"/>
      <w:lvlText w:val="%1."/>
      <w:lvlJc w:val="left"/>
      <w:pPr>
        <w:ind w:left="425" w:hanging="425"/>
      </w:pPr>
      <w:rPr>
        <w:rFonts w:hint="default"/>
      </w:rPr>
    </w:lvl>
    <w:lvl w:ilvl="1" w:tentative="0">
      <w:start w:val="1"/>
      <w:numFmt w:val="decimal"/>
      <w:lvlText w:val="%1.%2."/>
      <w:lvlJc w:val="left"/>
      <w:pPr>
        <w:tabs>
          <w:tab w:val="left" w:pos="510"/>
        </w:tabs>
        <w:ind w:left="1020" w:leftChars="0" w:hanging="51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zZGViYWMwNGFjOWFkZjE5ZWI2MTlkMmFjNTc0OGQifQ=="/>
  </w:docVars>
  <w:rsids>
    <w:rsidRoot w:val="00000000"/>
    <w:rsid w:val="00041843"/>
    <w:rsid w:val="01F93068"/>
    <w:rsid w:val="027C3466"/>
    <w:rsid w:val="02AF4146"/>
    <w:rsid w:val="02B80216"/>
    <w:rsid w:val="02CF57C0"/>
    <w:rsid w:val="03092820"/>
    <w:rsid w:val="036225A8"/>
    <w:rsid w:val="03CC65BF"/>
    <w:rsid w:val="03E96391"/>
    <w:rsid w:val="040A684F"/>
    <w:rsid w:val="04272627"/>
    <w:rsid w:val="04C307C7"/>
    <w:rsid w:val="051F457C"/>
    <w:rsid w:val="0520422F"/>
    <w:rsid w:val="05397915"/>
    <w:rsid w:val="055108BB"/>
    <w:rsid w:val="060F639F"/>
    <w:rsid w:val="06255A88"/>
    <w:rsid w:val="066421C7"/>
    <w:rsid w:val="067526A6"/>
    <w:rsid w:val="07671ACA"/>
    <w:rsid w:val="078C182C"/>
    <w:rsid w:val="07AF1BE8"/>
    <w:rsid w:val="08AC24CE"/>
    <w:rsid w:val="08DB6A0C"/>
    <w:rsid w:val="08DC7725"/>
    <w:rsid w:val="091D21CC"/>
    <w:rsid w:val="097F383C"/>
    <w:rsid w:val="09B278C7"/>
    <w:rsid w:val="0A043E59"/>
    <w:rsid w:val="0A216BB3"/>
    <w:rsid w:val="0A5F652B"/>
    <w:rsid w:val="0AB3379D"/>
    <w:rsid w:val="0BD065D0"/>
    <w:rsid w:val="0BEF27AA"/>
    <w:rsid w:val="0C9E047D"/>
    <w:rsid w:val="0CA60ED7"/>
    <w:rsid w:val="0CC7352F"/>
    <w:rsid w:val="0CCD5339"/>
    <w:rsid w:val="0D5B011C"/>
    <w:rsid w:val="0D921B4A"/>
    <w:rsid w:val="0DC7755F"/>
    <w:rsid w:val="0E0D1B45"/>
    <w:rsid w:val="0E236E8B"/>
    <w:rsid w:val="0F515C7A"/>
    <w:rsid w:val="0F8C5334"/>
    <w:rsid w:val="10797237"/>
    <w:rsid w:val="120C0F58"/>
    <w:rsid w:val="123B675B"/>
    <w:rsid w:val="12A62454"/>
    <w:rsid w:val="13051003"/>
    <w:rsid w:val="135F2492"/>
    <w:rsid w:val="13A24CF6"/>
    <w:rsid w:val="13A520F1"/>
    <w:rsid w:val="13EE3A98"/>
    <w:rsid w:val="1425602A"/>
    <w:rsid w:val="144E4BC4"/>
    <w:rsid w:val="14AB3737"/>
    <w:rsid w:val="14CF38C9"/>
    <w:rsid w:val="14DC7D94"/>
    <w:rsid w:val="154D2A40"/>
    <w:rsid w:val="15F24D42"/>
    <w:rsid w:val="15F64E85"/>
    <w:rsid w:val="15F819C1"/>
    <w:rsid w:val="163F0FB3"/>
    <w:rsid w:val="169D71E8"/>
    <w:rsid w:val="16C555A8"/>
    <w:rsid w:val="16CB50C6"/>
    <w:rsid w:val="17E23670"/>
    <w:rsid w:val="17FA6D4D"/>
    <w:rsid w:val="1808630A"/>
    <w:rsid w:val="183049C9"/>
    <w:rsid w:val="18414ADE"/>
    <w:rsid w:val="18532FFB"/>
    <w:rsid w:val="189F6908"/>
    <w:rsid w:val="18CC77BD"/>
    <w:rsid w:val="191D2361"/>
    <w:rsid w:val="19680CDD"/>
    <w:rsid w:val="19706CFD"/>
    <w:rsid w:val="197B1F90"/>
    <w:rsid w:val="1A1D50D7"/>
    <w:rsid w:val="1A245131"/>
    <w:rsid w:val="1B3853CA"/>
    <w:rsid w:val="1B4B7A22"/>
    <w:rsid w:val="1B7D7150"/>
    <w:rsid w:val="1B9962BD"/>
    <w:rsid w:val="1C1C325F"/>
    <w:rsid w:val="1C246AA7"/>
    <w:rsid w:val="1C4050AC"/>
    <w:rsid w:val="1CE65A14"/>
    <w:rsid w:val="1D3F35B6"/>
    <w:rsid w:val="1E4E3AB1"/>
    <w:rsid w:val="1E5F67A8"/>
    <w:rsid w:val="1E763007"/>
    <w:rsid w:val="1E83132C"/>
    <w:rsid w:val="1EDD1894"/>
    <w:rsid w:val="1EEA1E21"/>
    <w:rsid w:val="1F176598"/>
    <w:rsid w:val="1FF609AE"/>
    <w:rsid w:val="20340A84"/>
    <w:rsid w:val="20934995"/>
    <w:rsid w:val="210B3804"/>
    <w:rsid w:val="212E5E1B"/>
    <w:rsid w:val="220254EF"/>
    <w:rsid w:val="220402FD"/>
    <w:rsid w:val="220D5A31"/>
    <w:rsid w:val="22E5075C"/>
    <w:rsid w:val="23637918"/>
    <w:rsid w:val="23664A1C"/>
    <w:rsid w:val="239702A7"/>
    <w:rsid w:val="24A501A2"/>
    <w:rsid w:val="24F53213"/>
    <w:rsid w:val="25616BF7"/>
    <w:rsid w:val="25627E42"/>
    <w:rsid w:val="26860079"/>
    <w:rsid w:val="270A69E3"/>
    <w:rsid w:val="27127645"/>
    <w:rsid w:val="27301857"/>
    <w:rsid w:val="27C2106B"/>
    <w:rsid w:val="27CD5CE4"/>
    <w:rsid w:val="27DB5705"/>
    <w:rsid w:val="28B01215"/>
    <w:rsid w:val="28E650B6"/>
    <w:rsid w:val="2A612DBE"/>
    <w:rsid w:val="2A683FD1"/>
    <w:rsid w:val="2AA131BA"/>
    <w:rsid w:val="2AF21C68"/>
    <w:rsid w:val="2B307DC0"/>
    <w:rsid w:val="2B5B15BB"/>
    <w:rsid w:val="2BA24D09"/>
    <w:rsid w:val="2BE76212"/>
    <w:rsid w:val="2C0A4105"/>
    <w:rsid w:val="2CDB3B57"/>
    <w:rsid w:val="2D212835"/>
    <w:rsid w:val="2DD71DBB"/>
    <w:rsid w:val="2E1E1AE7"/>
    <w:rsid w:val="2EE62575"/>
    <w:rsid w:val="2F4E3708"/>
    <w:rsid w:val="2F61762B"/>
    <w:rsid w:val="2F6E294B"/>
    <w:rsid w:val="2FAB5FAD"/>
    <w:rsid w:val="301377D6"/>
    <w:rsid w:val="301E48FA"/>
    <w:rsid w:val="30661B74"/>
    <w:rsid w:val="308A649E"/>
    <w:rsid w:val="31764F04"/>
    <w:rsid w:val="318F0210"/>
    <w:rsid w:val="31A43590"/>
    <w:rsid w:val="31BE28A4"/>
    <w:rsid w:val="31C91207"/>
    <w:rsid w:val="320549FB"/>
    <w:rsid w:val="3207249C"/>
    <w:rsid w:val="32D14858"/>
    <w:rsid w:val="32E103A0"/>
    <w:rsid w:val="32EE3061"/>
    <w:rsid w:val="32F10A57"/>
    <w:rsid w:val="332647BA"/>
    <w:rsid w:val="33464251"/>
    <w:rsid w:val="33E34B07"/>
    <w:rsid w:val="347A1EC1"/>
    <w:rsid w:val="348558FB"/>
    <w:rsid w:val="34C446EB"/>
    <w:rsid w:val="356F7390"/>
    <w:rsid w:val="368A71F8"/>
    <w:rsid w:val="3734397C"/>
    <w:rsid w:val="37B81B43"/>
    <w:rsid w:val="37BD09EA"/>
    <w:rsid w:val="381551E7"/>
    <w:rsid w:val="386F48F8"/>
    <w:rsid w:val="391D4903"/>
    <w:rsid w:val="39227BBC"/>
    <w:rsid w:val="39311BAD"/>
    <w:rsid w:val="393B4953"/>
    <w:rsid w:val="39433C34"/>
    <w:rsid w:val="394E6C03"/>
    <w:rsid w:val="394F1572"/>
    <w:rsid w:val="3962605C"/>
    <w:rsid w:val="3ABB3E24"/>
    <w:rsid w:val="3AC85F3C"/>
    <w:rsid w:val="3B106ED1"/>
    <w:rsid w:val="3B136D3B"/>
    <w:rsid w:val="3B245CD8"/>
    <w:rsid w:val="3B64626A"/>
    <w:rsid w:val="3BC211E2"/>
    <w:rsid w:val="3BCE07F5"/>
    <w:rsid w:val="3C6F45F5"/>
    <w:rsid w:val="3C8E4050"/>
    <w:rsid w:val="3DAA5DD4"/>
    <w:rsid w:val="3DFA2393"/>
    <w:rsid w:val="3E1A70B4"/>
    <w:rsid w:val="3E682515"/>
    <w:rsid w:val="3E8971C7"/>
    <w:rsid w:val="3F037AB2"/>
    <w:rsid w:val="3F8A6905"/>
    <w:rsid w:val="3FA02D20"/>
    <w:rsid w:val="3FC6535B"/>
    <w:rsid w:val="3FF51B86"/>
    <w:rsid w:val="40B90E06"/>
    <w:rsid w:val="40D12ACA"/>
    <w:rsid w:val="40F21AC4"/>
    <w:rsid w:val="41466412"/>
    <w:rsid w:val="416C3E2A"/>
    <w:rsid w:val="42220C2D"/>
    <w:rsid w:val="42BE6BA7"/>
    <w:rsid w:val="42E72782"/>
    <w:rsid w:val="434F3D59"/>
    <w:rsid w:val="435661B0"/>
    <w:rsid w:val="43C9668D"/>
    <w:rsid w:val="4416305A"/>
    <w:rsid w:val="4537679D"/>
    <w:rsid w:val="454669E0"/>
    <w:rsid w:val="4570263D"/>
    <w:rsid w:val="45E23B5A"/>
    <w:rsid w:val="45F054E5"/>
    <w:rsid w:val="4646138E"/>
    <w:rsid w:val="46633E5E"/>
    <w:rsid w:val="46B67B95"/>
    <w:rsid w:val="472E3BD0"/>
    <w:rsid w:val="477C2B8D"/>
    <w:rsid w:val="47805554"/>
    <w:rsid w:val="47B95DF9"/>
    <w:rsid w:val="47DE602A"/>
    <w:rsid w:val="47F837F7"/>
    <w:rsid w:val="49FB6308"/>
    <w:rsid w:val="4A2F3EE7"/>
    <w:rsid w:val="4ACD5E13"/>
    <w:rsid w:val="4B1834B6"/>
    <w:rsid w:val="4B2E0F3D"/>
    <w:rsid w:val="4B327CC6"/>
    <w:rsid w:val="4B410375"/>
    <w:rsid w:val="4B4E65EF"/>
    <w:rsid w:val="4BC15012"/>
    <w:rsid w:val="4BE62CCB"/>
    <w:rsid w:val="4BE9687B"/>
    <w:rsid w:val="4C650094"/>
    <w:rsid w:val="4C9A25E8"/>
    <w:rsid w:val="4C9D3DC4"/>
    <w:rsid w:val="4D0B7697"/>
    <w:rsid w:val="4D2A4601"/>
    <w:rsid w:val="4D8132CA"/>
    <w:rsid w:val="4E95707A"/>
    <w:rsid w:val="4EA82BD5"/>
    <w:rsid w:val="4EC904E6"/>
    <w:rsid w:val="4ECD188D"/>
    <w:rsid w:val="4EE57E01"/>
    <w:rsid w:val="4F334479"/>
    <w:rsid w:val="4F624D5E"/>
    <w:rsid w:val="503D7CDE"/>
    <w:rsid w:val="5068570A"/>
    <w:rsid w:val="50955E5F"/>
    <w:rsid w:val="50B63C02"/>
    <w:rsid w:val="50FE0903"/>
    <w:rsid w:val="51BA7767"/>
    <w:rsid w:val="51BE1DCA"/>
    <w:rsid w:val="51CB6BEB"/>
    <w:rsid w:val="523F1279"/>
    <w:rsid w:val="527903F5"/>
    <w:rsid w:val="528560F5"/>
    <w:rsid w:val="528D316F"/>
    <w:rsid w:val="52B458D1"/>
    <w:rsid w:val="53186936"/>
    <w:rsid w:val="533062C5"/>
    <w:rsid w:val="54280325"/>
    <w:rsid w:val="5431734E"/>
    <w:rsid w:val="546A5122"/>
    <w:rsid w:val="549D01C5"/>
    <w:rsid w:val="54A148D9"/>
    <w:rsid w:val="557405D2"/>
    <w:rsid w:val="55C73392"/>
    <w:rsid w:val="55CE0A58"/>
    <w:rsid w:val="55E53FF3"/>
    <w:rsid w:val="55FA7A9F"/>
    <w:rsid w:val="564C7BCE"/>
    <w:rsid w:val="569C1BD0"/>
    <w:rsid w:val="56A91FD0"/>
    <w:rsid w:val="56D93FE2"/>
    <w:rsid w:val="56F55413"/>
    <w:rsid w:val="575B6A87"/>
    <w:rsid w:val="5886243F"/>
    <w:rsid w:val="588F4582"/>
    <w:rsid w:val="58BF6D7E"/>
    <w:rsid w:val="58E7052E"/>
    <w:rsid w:val="59372DB8"/>
    <w:rsid w:val="59D275CB"/>
    <w:rsid w:val="59E85E60"/>
    <w:rsid w:val="59EC3EFC"/>
    <w:rsid w:val="5A443BC9"/>
    <w:rsid w:val="5A813F6F"/>
    <w:rsid w:val="5AC02181"/>
    <w:rsid w:val="5AE50FC1"/>
    <w:rsid w:val="5B0614B2"/>
    <w:rsid w:val="5B977B3E"/>
    <w:rsid w:val="5B9E0276"/>
    <w:rsid w:val="5C6E742D"/>
    <w:rsid w:val="5D7D61D4"/>
    <w:rsid w:val="5D7F6ADB"/>
    <w:rsid w:val="5D957D0C"/>
    <w:rsid w:val="5DE00E7B"/>
    <w:rsid w:val="5E2F4070"/>
    <w:rsid w:val="5E4135CD"/>
    <w:rsid w:val="5EBF1885"/>
    <w:rsid w:val="5EF5E5F9"/>
    <w:rsid w:val="5FAB1E0A"/>
    <w:rsid w:val="604C6AAE"/>
    <w:rsid w:val="60675196"/>
    <w:rsid w:val="60B10A9B"/>
    <w:rsid w:val="613167C1"/>
    <w:rsid w:val="61C64A0E"/>
    <w:rsid w:val="61C91735"/>
    <w:rsid w:val="61E00186"/>
    <w:rsid w:val="627C5F72"/>
    <w:rsid w:val="6284369F"/>
    <w:rsid w:val="62AD5D36"/>
    <w:rsid w:val="62B61E66"/>
    <w:rsid w:val="63063677"/>
    <w:rsid w:val="638E5CCA"/>
    <w:rsid w:val="6407611C"/>
    <w:rsid w:val="64B71356"/>
    <w:rsid w:val="64CC0566"/>
    <w:rsid w:val="652A335A"/>
    <w:rsid w:val="6549634D"/>
    <w:rsid w:val="657D4E5B"/>
    <w:rsid w:val="65D8147F"/>
    <w:rsid w:val="664B25CB"/>
    <w:rsid w:val="66C11670"/>
    <w:rsid w:val="66D17D0C"/>
    <w:rsid w:val="674D37A6"/>
    <w:rsid w:val="675C5FA0"/>
    <w:rsid w:val="677350E3"/>
    <w:rsid w:val="677F6056"/>
    <w:rsid w:val="67D60943"/>
    <w:rsid w:val="67E0049D"/>
    <w:rsid w:val="67F24A7A"/>
    <w:rsid w:val="689478DF"/>
    <w:rsid w:val="690F6F65"/>
    <w:rsid w:val="691F5354"/>
    <w:rsid w:val="69356FC7"/>
    <w:rsid w:val="6A902328"/>
    <w:rsid w:val="6B0A7CDD"/>
    <w:rsid w:val="6BB82A0C"/>
    <w:rsid w:val="6C045086"/>
    <w:rsid w:val="6C180827"/>
    <w:rsid w:val="6C320541"/>
    <w:rsid w:val="6C5222E4"/>
    <w:rsid w:val="6C674B5D"/>
    <w:rsid w:val="6CF32E0D"/>
    <w:rsid w:val="6CF622E4"/>
    <w:rsid w:val="6CFB0D6C"/>
    <w:rsid w:val="6D342F98"/>
    <w:rsid w:val="6D3A645A"/>
    <w:rsid w:val="6D9E1DF8"/>
    <w:rsid w:val="6DA87988"/>
    <w:rsid w:val="6DB93296"/>
    <w:rsid w:val="6E161A41"/>
    <w:rsid w:val="6E2C1F47"/>
    <w:rsid w:val="6E3DACCC"/>
    <w:rsid w:val="6E4B6C92"/>
    <w:rsid w:val="6E6C6E8D"/>
    <w:rsid w:val="6E8D72AA"/>
    <w:rsid w:val="6F374EF2"/>
    <w:rsid w:val="6F827F9F"/>
    <w:rsid w:val="70447E3C"/>
    <w:rsid w:val="70D146FF"/>
    <w:rsid w:val="713F488B"/>
    <w:rsid w:val="713FBCD3"/>
    <w:rsid w:val="71627B0C"/>
    <w:rsid w:val="71CD480E"/>
    <w:rsid w:val="71DC4440"/>
    <w:rsid w:val="71FD4747"/>
    <w:rsid w:val="72394575"/>
    <w:rsid w:val="726613A4"/>
    <w:rsid w:val="72663C5A"/>
    <w:rsid w:val="731E721E"/>
    <w:rsid w:val="731F249B"/>
    <w:rsid w:val="735A0468"/>
    <w:rsid w:val="735F4F8D"/>
    <w:rsid w:val="74247931"/>
    <w:rsid w:val="74785353"/>
    <w:rsid w:val="74B65081"/>
    <w:rsid w:val="74F82FA3"/>
    <w:rsid w:val="7504038C"/>
    <w:rsid w:val="76607052"/>
    <w:rsid w:val="76944474"/>
    <w:rsid w:val="76A12CDB"/>
    <w:rsid w:val="76B579A3"/>
    <w:rsid w:val="77C41687"/>
    <w:rsid w:val="77EE570B"/>
    <w:rsid w:val="780860BE"/>
    <w:rsid w:val="78540E39"/>
    <w:rsid w:val="78A43B6E"/>
    <w:rsid w:val="78AB77B5"/>
    <w:rsid w:val="78DB3308"/>
    <w:rsid w:val="78E91B70"/>
    <w:rsid w:val="78F21A0A"/>
    <w:rsid w:val="79600FC2"/>
    <w:rsid w:val="79D27F63"/>
    <w:rsid w:val="79E306C6"/>
    <w:rsid w:val="7A013EC0"/>
    <w:rsid w:val="7A0E4EF2"/>
    <w:rsid w:val="7A7E254E"/>
    <w:rsid w:val="7AAF05A8"/>
    <w:rsid w:val="7AB57A3E"/>
    <w:rsid w:val="7AF41C4A"/>
    <w:rsid w:val="7B340AAD"/>
    <w:rsid w:val="7B6A5C3B"/>
    <w:rsid w:val="7BBE2843"/>
    <w:rsid w:val="7C392FCB"/>
    <w:rsid w:val="7C6A0F66"/>
    <w:rsid w:val="7C7C45B7"/>
    <w:rsid w:val="7C833A9B"/>
    <w:rsid w:val="7CF91954"/>
    <w:rsid w:val="7CFDCF4F"/>
    <w:rsid w:val="7D127334"/>
    <w:rsid w:val="7D52198F"/>
    <w:rsid w:val="7D8C2E23"/>
    <w:rsid w:val="7DAC6B74"/>
    <w:rsid w:val="7DCC7DEE"/>
    <w:rsid w:val="7E160E13"/>
    <w:rsid w:val="7E190142"/>
    <w:rsid w:val="7E1F3C97"/>
    <w:rsid w:val="7F1A45D6"/>
    <w:rsid w:val="7FFB6C9E"/>
    <w:rsid w:val="D7B67769"/>
    <w:rsid w:val="D97C9267"/>
    <w:rsid w:val="FFD46A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keepNext w:val="0"/>
      <w:keepLines w:val="0"/>
      <w:pageBreakBefore w:val="0"/>
      <w:widowControl w:val="0"/>
      <w:kinsoku/>
      <w:wordWrap/>
      <w:overflowPunct/>
      <w:topLinePunct w:val="0"/>
      <w:autoSpaceDE/>
      <w:autoSpaceDN/>
      <w:bidi w:val="0"/>
      <w:adjustRightInd/>
      <w:snapToGrid/>
      <w:spacing w:line="360" w:lineRule="auto"/>
      <w:jc w:val="both"/>
      <w:textAlignment w:val="auto"/>
    </w:pPr>
    <w:rPr>
      <w:rFonts w:ascii="宋体" w:hAnsi="宋体" w:eastAsia="宋体" w:cs="宋体"/>
      <w:bCs/>
      <w:kern w:val="2"/>
      <w:sz w:val="32"/>
      <w:szCs w:val="32"/>
      <w:lang w:val="en-US" w:eastAsia="zh-CN" w:bidi="ar-SA"/>
    </w:rPr>
  </w:style>
  <w:style w:type="paragraph" w:styleId="4">
    <w:name w:val="heading 1"/>
    <w:basedOn w:val="1"/>
    <w:next w:val="5"/>
    <w:autoRedefine/>
    <w:qFormat/>
    <w:uiPriority w:val="0"/>
    <w:pPr>
      <w:keepNext/>
      <w:keepLines/>
      <w:spacing w:line="360" w:lineRule="auto"/>
      <w:jc w:val="center"/>
      <w:outlineLvl w:val="0"/>
    </w:pPr>
    <w:rPr>
      <w:rFonts w:ascii="宋体" w:hAnsi="宋体"/>
      <w:b/>
      <w:kern w:val="44"/>
      <w:sz w:val="32"/>
      <w:szCs w:val="44"/>
    </w:rPr>
  </w:style>
  <w:style w:type="paragraph" w:styleId="6">
    <w:name w:val="heading 2"/>
    <w:basedOn w:val="1"/>
    <w:next w:val="1"/>
    <w:autoRedefine/>
    <w:qFormat/>
    <w:uiPriority w:val="0"/>
    <w:pPr>
      <w:keepNext/>
      <w:keepLines/>
      <w:spacing w:beforeLines="0" w:afterLines="0" w:line="396" w:lineRule="auto"/>
      <w:jc w:val="center"/>
      <w:outlineLvl w:val="1"/>
    </w:pPr>
    <w:rPr>
      <w:rFonts w:ascii="宋体" w:hAnsi="宋体" w:eastAsia="宋体" w:cs="宋体"/>
      <w:b/>
      <w:sz w:val="28"/>
      <w:szCs w:val="21"/>
    </w:rPr>
  </w:style>
  <w:style w:type="paragraph" w:styleId="7">
    <w:name w:val="heading 3"/>
    <w:basedOn w:val="1"/>
    <w:next w:val="5"/>
    <w:autoRedefine/>
    <w:qFormat/>
    <w:uiPriority w:val="0"/>
    <w:pPr>
      <w:keepNext/>
      <w:keepLines/>
      <w:autoSpaceDE w:val="0"/>
      <w:autoSpaceDN w:val="0"/>
      <w:adjustRightInd w:val="0"/>
      <w:jc w:val="left"/>
      <w:outlineLvl w:val="2"/>
    </w:pPr>
    <w:rPr>
      <w:rFonts w:ascii="宋体" w:hAnsi="宋体" w:eastAsia="宋体"/>
      <w:b/>
      <w:kern w:val="0"/>
      <w:sz w:val="24"/>
      <w:szCs w:val="20"/>
      <w:u w:val="none"/>
    </w:rPr>
  </w:style>
  <w:style w:type="paragraph" w:styleId="8">
    <w:name w:val="heading 4"/>
    <w:basedOn w:val="1"/>
    <w:next w:val="1"/>
    <w:autoRedefine/>
    <w:qFormat/>
    <w:uiPriority w:val="0"/>
    <w:pPr>
      <w:keepNext/>
      <w:keepLines/>
      <w:spacing w:before="280" w:beforeLines="0" w:after="290" w:afterLines="0" w:line="376" w:lineRule="auto"/>
      <w:outlineLvl w:val="3"/>
    </w:pPr>
    <w:rPr>
      <w:rFonts w:ascii="Arial" w:hAnsi="Arial" w:eastAsia="黑体"/>
      <w:b/>
      <w:sz w:val="28"/>
      <w:szCs w:val="28"/>
    </w:rPr>
  </w:style>
  <w:style w:type="character" w:default="1" w:styleId="25">
    <w:name w:val="Default Paragraph Font"/>
    <w:autoRedefine/>
    <w:semiHidden/>
    <w:qFormat/>
    <w:uiPriority w:val="0"/>
  </w:style>
  <w:style w:type="table" w:default="1" w:styleId="23">
    <w:name w:val="Normal Table"/>
    <w:autoRedefine/>
    <w:semiHidden/>
    <w:qFormat/>
    <w:uiPriority w:val="0"/>
    <w:tblPr>
      <w:tblCellMar>
        <w:top w:w="0" w:type="dxa"/>
        <w:left w:w="108" w:type="dxa"/>
        <w:bottom w:w="0" w:type="dxa"/>
        <w:right w:w="108" w:type="dxa"/>
      </w:tblCellMar>
    </w:tblPr>
  </w:style>
  <w:style w:type="paragraph" w:styleId="2">
    <w:name w:val="Body Text First Indent"/>
    <w:basedOn w:val="3"/>
    <w:next w:val="1"/>
    <w:autoRedefine/>
    <w:semiHidden/>
    <w:unhideWhenUsed/>
    <w:qFormat/>
    <w:uiPriority w:val="99"/>
    <w:pPr>
      <w:tabs>
        <w:tab w:val="left" w:pos="567"/>
      </w:tabs>
      <w:adjustRightInd/>
      <w:spacing w:after="120"/>
      <w:ind w:firstLine="420" w:firstLineChars="100"/>
      <w:jc w:val="both"/>
      <w:textAlignment w:val="auto"/>
    </w:pPr>
    <w:rPr>
      <w:rFonts w:asciiTheme="minorHAnsi" w:hAnsiTheme="minorHAnsi" w:eastAsiaTheme="minorEastAsia" w:cstheme="minorBidi"/>
      <w:kern w:val="2"/>
      <w:sz w:val="21"/>
      <w:szCs w:val="22"/>
    </w:rPr>
  </w:style>
  <w:style w:type="paragraph" w:styleId="3">
    <w:name w:val="Body Text"/>
    <w:basedOn w:val="1"/>
    <w:next w:val="1"/>
    <w:autoRedefine/>
    <w:qFormat/>
    <w:uiPriority w:val="0"/>
    <w:pPr>
      <w:tabs>
        <w:tab w:val="left" w:pos="567"/>
      </w:tabs>
      <w:spacing w:before="120" w:line="22" w:lineRule="atLeast"/>
    </w:pPr>
    <w:rPr>
      <w:rFonts w:ascii="宋体" w:hAnsi="宋体"/>
      <w:sz w:val="24"/>
    </w:rPr>
  </w:style>
  <w:style w:type="paragraph" w:customStyle="1" w:styleId="5">
    <w:name w:val="文档正文"/>
    <w:basedOn w:val="1"/>
    <w:autoRedefine/>
    <w:qFormat/>
    <w:uiPriority w:val="0"/>
    <w:pPr>
      <w:keepNext w:val="0"/>
      <w:keepLines w:val="0"/>
      <w:widowControl w:val="0"/>
      <w:suppressLineNumbers w:val="0"/>
      <w:adjustRightInd w:val="0"/>
      <w:spacing w:before="0" w:beforeAutospacing="0" w:after="0" w:afterAutospacing="0" w:line="480" w:lineRule="atLeast"/>
      <w:ind w:left="0" w:right="0" w:firstLine="567"/>
      <w:jc w:val="both"/>
    </w:pPr>
    <w:rPr>
      <w:rFonts w:hint="eastAsia" w:ascii="仿宋_GB2312" w:hAnsi="Times New Roman" w:eastAsia="仿宋_GB2312" w:cs="Times New Roman"/>
      <w:kern w:val="0"/>
      <w:sz w:val="28"/>
      <w:szCs w:val="20"/>
      <w:lang w:val="en-US" w:eastAsia="zh-CN" w:bidi="ar"/>
    </w:rPr>
  </w:style>
  <w:style w:type="paragraph" w:styleId="9">
    <w:name w:val="Normal Indent"/>
    <w:basedOn w:val="1"/>
    <w:autoRedefine/>
    <w:qFormat/>
    <w:uiPriority w:val="0"/>
    <w:pPr>
      <w:ind w:firstLine="420"/>
    </w:pPr>
    <w:rPr>
      <w:kern w:val="0"/>
      <w:sz w:val="20"/>
    </w:rPr>
  </w:style>
  <w:style w:type="paragraph" w:styleId="10">
    <w:name w:val="annotation text"/>
    <w:basedOn w:val="1"/>
    <w:qFormat/>
    <w:uiPriority w:val="0"/>
    <w:pPr>
      <w:jc w:val="left"/>
    </w:pPr>
  </w:style>
  <w:style w:type="paragraph" w:styleId="11">
    <w:name w:val="Body Text Indent"/>
    <w:basedOn w:val="1"/>
    <w:autoRedefine/>
    <w:qFormat/>
    <w:uiPriority w:val="0"/>
    <w:pPr>
      <w:ind w:firstLine="645"/>
    </w:pPr>
    <w:rPr>
      <w:rFonts w:ascii="Arial" w:hAnsi="Arial" w:eastAsia="仿宋_GB2312"/>
      <w:sz w:val="28"/>
    </w:rPr>
  </w:style>
  <w:style w:type="paragraph" w:styleId="12">
    <w:name w:val="toc 3"/>
    <w:basedOn w:val="1"/>
    <w:next w:val="1"/>
    <w:qFormat/>
    <w:uiPriority w:val="0"/>
    <w:pPr>
      <w:ind w:left="840" w:leftChars="400"/>
    </w:pPr>
  </w:style>
  <w:style w:type="paragraph" w:styleId="13">
    <w:name w:val="Plain Text"/>
    <w:basedOn w:val="1"/>
    <w:autoRedefine/>
    <w:qFormat/>
    <w:uiPriority w:val="0"/>
    <w:rPr>
      <w:rFonts w:ascii="宋体" w:hAnsi="Courier New"/>
      <w:szCs w:val="20"/>
    </w:rPr>
  </w:style>
  <w:style w:type="paragraph" w:styleId="14">
    <w:name w:val="footer"/>
    <w:basedOn w:val="1"/>
    <w:autoRedefine/>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1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7"/>
    <w:next w:val="1"/>
    <w:autoRedefine/>
    <w:qFormat/>
    <w:uiPriority w:val="0"/>
    <w:pPr>
      <w:spacing w:before="120" w:beforeLines="0" w:after="120" w:afterLines="0"/>
    </w:pPr>
    <w:rPr>
      <w:rFonts w:eastAsia="宋体"/>
      <w:caps/>
      <w:sz w:val="30"/>
      <w:szCs w:val="30"/>
    </w:rPr>
  </w:style>
  <w:style w:type="paragraph" w:styleId="17">
    <w:name w:val="index 1"/>
    <w:basedOn w:val="1"/>
    <w:next w:val="1"/>
    <w:autoRedefine/>
    <w:qFormat/>
    <w:uiPriority w:val="0"/>
    <w:rPr>
      <w:rFonts w:eastAsia="仿宋_GB2312"/>
      <w:b/>
      <w:sz w:val="24"/>
    </w:rPr>
  </w:style>
  <w:style w:type="paragraph" w:styleId="18">
    <w:name w:val="footnote text"/>
    <w:basedOn w:val="1"/>
    <w:autoRedefine/>
    <w:qFormat/>
    <w:uiPriority w:val="0"/>
    <w:pPr>
      <w:snapToGrid w:val="0"/>
      <w:jc w:val="left"/>
    </w:pPr>
    <w:rPr>
      <w:sz w:val="18"/>
    </w:rPr>
  </w:style>
  <w:style w:type="paragraph" w:styleId="19">
    <w:name w:val="toc 2"/>
    <w:basedOn w:val="1"/>
    <w:next w:val="1"/>
    <w:qFormat/>
    <w:uiPriority w:val="0"/>
    <w:pPr>
      <w:ind w:left="420" w:leftChars="200"/>
    </w:pPr>
  </w:style>
  <w:style w:type="paragraph" w:styleId="20">
    <w:name w:val="Body Text 2"/>
    <w:basedOn w:val="1"/>
    <w:autoRedefine/>
    <w:qFormat/>
    <w:uiPriority w:val="0"/>
    <w:pPr>
      <w:spacing w:line="360" w:lineRule="auto"/>
    </w:pPr>
    <w:rPr>
      <w:sz w:val="24"/>
    </w:rPr>
  </w:style>
  <w:style w:type="paragraph" w:styleId="21">
    <w:name w:val="Normal (Web)"/>
    <w:basedOn w:val="1"/>
    <w:autoRedefine/>
    <w:qFormat/>
    <w:uiPriority w:val="0"/>
    <w:rPr>
      <w:sz w:val="24"/>
    </w:rPr>
  </w:style>
  <w:style w:type="paragraph" w:styleId="22">
    <w:name w:val="Body Text First Indent 2"/>
    <w:basedOn w:val="11"/>
    <w:next w:val="1"/>
    <w:unhideWhenUsed/>
    <w:qFormat/>
    <w:uiPriority w:val="0"/>
    <w:pPr>
      <w:ind w:firstLine="420" w:firstLineChars="200"/>
    </w:pPr>
  </w:style>
  <w:style w:type="table" w:styleId="24">
    <w:name w:val="Table Grid"/>
    <w:basedOn w:val="2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autoRedefine/>
    <w:qFormat/>
    <w:uiPriority w:val="22"/>
    <w:rPr>
      <w:b/>
    </w:rPr>
  </w:style>
  <w:style w:type="character" w:styleId="27">
    <w:name w:val="page number"/>
    <w:basedOn w:val="25"/>
    <w:autoRedefine/>
    <w:qFormat/>
    <w:uiPriority w:val="0"/>
  </w:style>
  <w:style w:type="character" w:styleId="28">
    <w:name w:val="Hyperlink"/>
    <w:basedOn w:val="25"/>
    <w:qFormat/>
    <w:uiPriority w:val="0"/>
    <w:rPr>
      <w:color w:val="363636"/>
      <w:u w:val="none"/>
    </w:rPr>
  </w:style>
  <w:style w:type="character" w:styleId="29">
    <w:name w:val="footnote reference"/>
    <w:basedOn w:val="25"/>
    <w:autoRedefine/>
    <w:qFormat/>
    <w:uiPriority w:val="0"/>
    <w:rPr>
      <w:vertAlign w:val="superscript"/>
    </w:rPr>
  </w:style>
  <w:style w:type="paragraph" w:customStyle="1" w:styleId="30">
    <w:name w:val="Default"/>
    <w:next w:val="1"/>
    <w:autoRedefine/>
    <w:qFormat/>
    <w:uiPriority w:val="99"/>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31">
    <w:name w:val="表格文字"/>
    <w:basedOn w:val="1"/>
    <w:next w:val="3"/>
    <w:qFormat/>
    <w:uiPriority w:val="0"/>
    <w:pPr>
      <w:adjustRightInd w:val="0"/>
      <w:spacing w:line="420" w:lineRule="atLeast"/>
      <w:jc w:val="left"/>
      <w:textAlignment w:val="baseline"/>
    </w:pPr>
    <w:rPr>
      <w:kern w:val="0"/>
    </w:rPr>
  </w:style>
  <w:style w:type="paragraph" w:customStyle="1" w:styleId="32">
    <w:name w:val="List Paragraph"/>
    <w:basedOn w:val="1"/>
    <w:autoRedefine/>
    <w:qFormat/>
    <w:uiPriority w:val="34"/>
    <w:pPr>
      <w:ind w:firstLine="420" w:firstLineChars="200"/>
    </w:pPr>
    <w:rPr>
      <w:rFonts w:ascii="Calibri" w:hAnsi="Calibri"/>
      <w:szCs w:val="22"/>
    </w:rPr>
  </w:style>
  <w:style w:type="paragraph" w:customStyle="1" w:styleId="33">
    <w:name w:val="正文_6"/>
    <w:autoRedefine/>
    <w:qFormat/>
    <w:uiPriority w:val="0"/>
    <w:rPr>
      <w:rFonts w:ascii="Times New Roman" w:hAnsi="Times New Roman" w:eastAsia="宋体" w:cs="Times New Roman"/>
      <w:sz w:val="24"/>
      <w:szCs w:val="24"/>
      <w:lang w:val="en-US" w:eastAsia="zh-CN" w:bidi="ar-SA"/>
    </w:rPr>
  </w:style>
  <w:style w:type="paragraph" w:customStyle="1" w:styleId="34">
    <w:name w:val="样式 样式 行距: 1.5 倍行距 + 首行缩进:  2 字符"/>
    <w:basedOn w:val="1"/>
    <w:autoRedefine/>
    <w:qFormat/>
    <w:uiPriority w:val="0"/>
    <w:rPr>
      <w:rFonts w:cs="宋体"/>
      <w:sz w:val="24"/>
    </w:rPr>
  </w:style>
  <w:style w:type="paragraph" w:customStyle="1" w:styleId="35">
    <w:name w:val="List2"/>
    <w:basedOn w:val="1"/>
    <w:autoRedefine/>
    <w:qFormat/>
    <w:uiPriority w:val="0"/>
    <w:pPr>
      <w:spacing w:line="240" w:lineRule="auto"/>
      <w:ind w:left="100" w:leftChars="200" w:hanging="200" w:hangingChars="200"/>
      <w:jc w:val="both"/>
    </w:pPr>
  </w:style>
  <w:style w:type="paragraph" w:customStyle="1" w:styleId="36">
    <w:name w:val="无间隔1"/>
    <w:basedOn w:val="1"/>
    <w:qFormat/>
    <w:uiPriority w:val="99"/>
    <w:pPr>
      <w:spacing w:line="400" w:lineRule="exact"/>
    </w:pPr>
    <w:rPr>
      <w:sz w:val="24"/>
      <w:szCs w:val="24"/>
    </w:rPr>
  </w:style>
  <w:style w:type="paragraph" w:customStyle="1" w:styleId="37">
    <w:name w:val="封面"/>
    <w:qFormat/>
    <w:uiPriority w:val="0"/>
    <w:pPr>
      <w:spacing w:line="760" w:lineRule="exact"/>
      <w:jc w:val="center"/>
    </w:pPr>
    <w:rPr>
      <w:rFonts w:ascii="黑体" w:hAnsi="Calibri" w:eastAsia="黑体" w:cs="Times New Roman"/>
      <w:b/>
      <w:sz w:val="36"/>
      <w:lang w:val="en-US" w:eastAsia="zh-CN" w:bidi="ar-SA"/>
    </w:rPr>
  </w:style>
  <w:style w:type="paragraph" w:customStyle="1" w:styleId="38">
    <w:name w:val="封面**"/>
    <w:basedOn w:val="1"/>
    <w:qFormat/>
    <w:uiPriority w:val="0"/>
    <w:pPr>
      <w:widowControl w:val="0"/>
      <w:tabs>
        <w:tab w:val="left" w:pos="2977"/>
      </w:tabs>
      <w:adjustRightInd w:val="0"/>
      <w:spacing w:line="880" w:lineRule="exact"/>
      <w:jc w:val="center"/>
      <w:textAlignment w:val="baseline"/>
    </w:pPr>
    <w:rPr>
      <w:rFonts w:hAnsi="Times New Roman" w:eastAsia="Times New Roman"/>
    </w:rPr>
  </w:style>
  <w:style w:type="paragraph" w:customStyle="1" w:styleId="39">
    <w:name w:val="题头内容"/>
    <w:basedOn w:val="1"/>
    <w:qFormat/>
    <w:uiPriority w:val="0"/>
    <w:pPr>
      <w:autoSpaceDE w:val="0"/>
      <w:autoSpaceDN w:val="0"/>
      <w:spacing w:before="120" w:after="120" w:line="360" w:lineRule="auto"/>
      <w:ind w:right="879" w:firstLine="839" w:firstLineChars="150"/>
      <w:jc w:val="center"/>
      <w:textAlignment w:val="bottom"/>
    </w:pPr>
    <w:rPr>
      <w:rFonts w:ascii="黑体" w:hAnsi="Times New Roman" w:eastAsia="黑体"/>
      <w:spacing w:val="4"/>
      <w:sz w:val="32"/>
      <w:szCs w:val="21"/>
    </w:rPr>
  </w:style>
  <w:style w:type="paragraph" w:customStyle="1" w:styleId="40">
    <w:name w:val="封面下部"/>
    <w:basedOn w:val="1"/>
    <w:qFormat/>
    <w:uiPriority w:val="0"/>
    <w:pPr>
      <w:widowControl w:val="0"/>
      <w:adjustRightInd w:val="0"/>
      <w:spacing w:line="312" w:lineRule="auto"/>
      <w:jc w:val="center"/>
      <w:textAlignment w:val="baseline"/>
    </w:pPr>
    <w:rPr>
      <w:rFonts w:ascii="黑体" w:hAnsi="Times New Roman" w:eastAsia="黑体"/>
      <w:kern w:val="2"/>
      <w:sz w:val="44"/>
      <w:szCs w:val="44"/>
    </w:rPr>
  </w:style>
  <w:style w:type="character" w:customStyle="1" w:styleId="41">
    <w:name w:val="font61"/>
    <w:basedOn w:val="25"/>
    <w:qFormat/>
    <w:uiPriority w:val="0"/>
    <w:rPr>
      <w:rFonts w:hint="eastAsia" w:ascii="宋体" w:hAnsi="宋体" w:eastAsia="宋体" w:cs="宋体"/>
      <w:color w:val="FF0000"/>
      <w:sz w:val="20"/>
      <w:szCs w:val="20"/>
      <w:u w:val="none"/>
    </w:rPr>
  </w:style>
  <w:style w:type="paragraph" w:customStyle="1" w:styleId="42">
    <w:name w:val="Table Text"/>
    <w:basedOn w:val="1"/>
    <w:autoRedefine/>
    <w:semiHidden/>
    <w:qFormat/>
    <w:uiPriority w:val="0"/>
    <w:pPr>
      <w:spacing w:line="480" w:lineRule="auto"/>
    </w:pPr>
    <w:rPr>
      <w:bCs w:val="0"/>
      <w:sz w:val="18"/>
      <w:szCs w:val="18"/>
      <w:lang w:eastAsia="en-US"/>
    </w:rPr>
  </w:style>
  <w:style w:type="character" w:customStyle="1" w:styleId="43">
    <w:name w:val="font11"/>
    <w:basedOn w:val="25"/>
    <w:qFormat/>
    <w:uiPriority w:val="0"/>
    <w:rPr>
      <w:rFonts w:hint="eastAsia" w:ascii="宋体" w:hAnsi="宋体" w:eastAsia="宋体" w:cs="宋体"/>
      <w:color w:val="000000"/>
      <w:sz w:val="20"/>
      <w:szCs w:val="20"/>
      <w:u w:val="none"/>
    </w:rPr>
  </w:style>
  <w:style w:type="character" w:customStyle="1" w:styleId="44">
    <w:name w:val="font31"/>
    <w:basedOn w:val="25"/>
    <w:qFormat/>
    <w:uiPriority w:val="0"/>
    <w:rPr>
      <w:rFonts w:hint="eastAsia" w:ascii="宋体" w:hAnsi="宋体" w:eastAsia="宋体" w:cs="宋体"/>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102</Pages>
  <Words>16028</Words>
  <Characters>16802</Characters>
  <Lines>0</Lines>
  <Paragraphs>0</Paragraphs>
  <TotalTime>0</TotalTime>
  <ScaleCrop>false</ScaleCrop>
  <LinksUpToDate>false</LinksUpToDate>
  <CharactersWithSpaces>16982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2021-04-30T01:01:00Z</dcterms:created>
  <dc:creator>lenovo</dc:creator>
  <cp:lastModifiedBy>河南省伟信招标管理咨询有限公司</cp:lastModifiedBy>
  <dcterms:modified xsi:type="dcterms:W3CDTF">2025-02-20T01:44:00Z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7A81E8B865AD47B5808F2AB88C622C30_13</vt:lpwstr>
  </property>
  <property fmtid="{D5CDD505-2E9C-101B-9397-08002B2CF9AE}" pid="4" name="KSOSaveFontToCloudKey">
    <vt:lpwstr>260772819_embed</vt:lpwstr>
  </property>
  <property fmtid="{D5CDD505-2E9C-101B-9397-08002B2CF9AE}" pid="5" name="KSOTemplateDocerSaveRecord">
    <vt:lpwstr>eyJoZGlkIjoiZjczZGViYWMwNGFjOWFkZjE5ZWI2MTlkMmFjNTc0OGQiLCJ1c2VySWQiOiIzMjQ5ODA0NTUifQ==</vt:lpwstr>
  </property>
</Properties>
</file>