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240" w:lineRule="atLeast"/>
        <w:jc w:val="center"/>
        <w:rPr>
          <w:rFonts w:ascii="宋体" w:hAnsi="宋体" w:cs="宋体"/>
          <w:b/>
          <w:color w:val="auto"/>
          <w:sz w:val="24"/>
          <w:highlight w:val="none"/>
        </w:rPr>
      </w:pPr>
    </w:p>
    <w:p>
      <w:pPr>
        <w:shd w:val="clear"/>
        <w:spacing w:line="240" w:lineRule="atLeast"/>
        <w:ind w:left="1080" w:leftChars="257" w:hanging="540"/>
        <w:rPr>
          <w:rFonts w:ascii="宋体" w:hAnsi="宋体" w:cs="宋体"/>
          <w:color w:val="auto"/>
          <w:sz w:val="24"/>
          <w:highlight w:val="none"/>
        </w:rPr>
      </w:pPr>
    </w:p>
    <w:p>
      <w:pPr>
        <w:shd w:val="clear"/>
        <w:spacing w:line="360" w:lineRule="auto"/>
        <w:jc w:val="center"/>
        <w:rPr>
          <w:rFonts w:ascii="宋体" w:hAnsi="宋体" w:cs="宋体"/>
          <w:b/>
          <w:bCs/>
          <w:color w:val="auto"/>
          <w:sz w:val="38"/>
          <w:szCs w:val="38"/>
          <w:highlight w:val="none"/>
        </w:rPr>
      </w:pPr>
    </w:p>
    <w:p>
      <w:pPr>
        <w:shd w:val="clear"/>
        <w:spacing w:line="240" w:lineRule="atLeast"/>
        <w:ind w:left="1080" w:leftChars="257" w:hanging="54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河南司法警官职业学院心理健康教育标准化建设项目</w:t>
      </w:r>
    </w:p>
    <w:p>
      <w:pPr>
        <w:shd w:val="clear"/>
        <w:spacing w:line="240" w:lineRule="atLeast"/>
        <w:ind w:left="1080" w:leftChars="257" w:hanging="540"/>
        <w:rPr>
          <w:rFonts w:ascii="宋体" w:hAnsi="宋体" w:cs="宋体"/>
          <w:b/>
          <w:color w:val="auto"/>
          <w:sz w:val="24"/>
          <w:highlight w:val="none"/>
        </w:rPr>
      </w:pPr>
    </w:p>
    <w:p>
      <w:pPr>
        <w:shd w:val="clear"/>
        <w:spacing w:line="240" w:lineRule="atLeast"/>
        <w:ind w:left="1080" w:leftChars="257" w:hanging="540"/>
        <w:rPr>
          <w:rFonts w:ascii="宋体" w:hAnsi="宋体" w:cs="宋体"/>
          <w:b/>
          <w:color w:val="auto"/>
          <w:sz w:val="24"/>
          <w:highlight w:val="none"/>
        </w:rPr>
      </w:pPr>
    </w:p>
    <w:p>
      <w:pPr>
        <w:pStyle w:val="21"/>
        <w:shd w:val="clear"/>
        <w:rPr>
          <w:rFonts w:ascii="宋体" w:hAnsi="宋体" w:cs="宋体"/>
          <w:color w:val="auto"/>
          <w:highlight w:val="none"/>
        </w:rPr>
      </w:pPr>
    </w:p>
    <w:p>
      <w:pPr>
        <w:pStyle w:val="21"/>
        <w:shd w:val="clear"/>
        <w:rPr>
          <w:rFonts w:ascii="宋体" w:hAnsi="宋体" w:cs="宋体"/>
          <w:color w:val="auto"/>
          <w:highlight w:val="none"/>
        </w:rPr>
      </w:pPr>
    </w:p>
    <w:p>
      <w:pPr>
        <w:shd w:val="clear"/>
        <w:rPr>
          <w:rFonts w:ascii="宋体" w:hAnsi="宋体" w:cs="宋体"/>
          <w:color w:val="auto"/>
          <w:highlight w:val="none"/>
        </w:rPr>
      </w:pPr>
    </w:p>
    <w:p>
      <w:pPr>
        <w:shd w:val="clear"/>
        <w:spacing w:line="240" w:lineRule="atLeast"/>
        <w:ind w:left="1080" w:leftChars="257" w:hanging="540"/>
        <w:jc w:val="center"/>
        <w:rPr>
          <w:rFonts w:ascii="宋体" w:hAnsi="宋体" w:cs="宋体"/>
          <w:color w:val="auto"/>
          <w:sz w:val="56"/>
          <w:szCs w:val="56"/>
          <w:highlight w:val="none"/>
        </w:rPr>
      </w:pPr>
      <w:r>
        <w:rPr>
          <w:rFonts w:hint="eastAsia" w:ascii="宋体" w:hAnsi="宋体" w:cs="宋体"/>
          <w:color w:val="auto"/>
          <w:sz w:val="56"/>
          <w:szCs w:val="56"/>
          <w:highlight w:val="none"/>
        </w:rPr>
        <w:t>竞争性磋商文件</w:t>
      </w:r>
    </w:p>
    <w:p>
      <w:pPr>
        <w:shd w:val="clear"/>
        <w:spacing w:line="240" w:lineRule="atLeast"/>
        <w:ind w:left="1080" w:leftChars="257" w:hanging="540"/>
        <w:jc w:val="center"/>
        <w:rPr>
          <w:rFonts w:ascii="宋体" w:hAnsi="宋体" w:cs="宋体"/>
          <w:color w:val="auto"/>
          <w:sz w:val="24"/>
          <w:highlight w:val="none"/>
        </w:rPr>
      </w:pPr>
      <w:r>
        <w:rPr>
          <w:rFonts w:hint="eastAsia" w:ascii="宋体" w:hAnsi="宋体" w:cs="宋体"/>
          <w:color w:val="auto"/>
          <w:sz w:val="24"/>
          <w:highlight w:val="none"/>
        </w:rPr>
        <w:t xml:space="preserve">                                               </w:t>
      </w:r>
    </w:p>
    <w:p>
      <w:pPr>
        <w:shd w:val="clear"/>
        <w:spacing w:line="240" w:lineRule="atLeast"/>
        <w:ind w:left="1080" w:leftChars="257" w:hanging="540"/>
        <w:jc w:val="center"/>
        <w:rPr>
          <w:rFonts w:ascii="宋体" w:hAnsi="宋体" w:cs="宋体"/>
          <w:bCs/>
          <w:color w:val="auto"/>
          <w:sz w:val="28"/>
          <w:szCs w:val="28"/>
          <w:highlight w:val="none"/>
        </w:rPr>
      </w:pPr>
    </w:p>
    <w:p>
      <w:pPr>
        <w:shd w:val="clear"/>
        <w:spacing w:line="240" w:lineRule="atLeast"/>
        <w:ind w:left="1080" w:leftChars="257" w:hanging="540"/>
        <w:jc w:val="center"/>
        <w:rPr>
          <w:rFonts w:ascii="宋体" w:hAnsi="宋体" w:cs="宋体"/>
          <w:bCs/>
          <w:color w:val="auto"/>
          <w:sz w:val="28"/>
          <w:szCs w:val="28"/>
          <w:highlight w:val="none"/>
        </w:rPr>
      </w:pPr>
      <w:r>
        <w:rPr>
          <w:rFonts w:hint="eastAsia" w:ascii="宋体" w:hAnsi="宋体" w:cs="宋体"/>
          <w:bCs/>
          <w:color w:val="auto"/>
          <w:sz w:val="28"/>
          <w:szCs w:val="28"/>
          <w:highlight w:val="none"/>
        </w:rPr>
        <w:t>项目编号：豫财磋商采购-2023-424</w:t>
      </w:r>
    </w:p>
    <w:p>
      <w:pPr>
        <w:shd w:val="clear"/>
        <w:spacing w:line="360" w:lineRule="auto"/>
        <w:ind w:left="1079" w:leftChars="257" w:hanging="539"/>
        <w:jc w:val="center"/>
        <w:rPr>
          <w:rFonts w:ascii="宋体" w:hAnsi="宋体" w:cs="宋体"/>
          <w:color w:val="auto"/>
          <w:sz w:val="24"/>
          <w:highlight w:val="none"/>
        </w:rPr>
      </w:pPr>
      <w:r>
        <w:rPr>
          <w:rFonts w:hint="eastAsia" w:ascii="宋体" w:hAnsi="宋体" w:cs="宋体"/>
          <w:color w:val="auto"/>
          <w:highlight w:val="none"/>
        </w:rPr>
        <w:drawing>
          <wp:anchor distT="0" distB="0" distL="114300" distR="114300" simplePos="0" relativeHeight="251661312" behindDoc="0" locked="0" layoutInCell="1" allowOverlap="1">
            <wp:simplePos x="0" y="0"/>
            <wp:positionH relativeFrom="column">
              <wp:posOffset>1818005</wp:posOffset>
            </wp:positionH>
            <wp:positionV relativeFrom="paragraph">
              <wp:posOffset>165735</wp:posOffset>
            </wp:positionV>
            <wp:extent cx="2862580" cy="202057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62580" cy="2020570"/>
                    </a:xfrm>
                    <a:prstGeom prst="rect">
                      <a:avLst/>
                    </a:prstGeom>
                    <a:noFill/>
                    <a:ln>
                      <a:noFill/>
                    </a:ln>
                  </pic:spPr>
                </pic:pic>
              </a:graphicData>
            </a:graphic>
          </wp:anchor>
        </w:drawing>
      </w:r>
      <w:r>
        <w:rPr>
          <w:rFonts w:hint="eastAsia" w:ascii="宋体" w:hAnsi="宋体" w:cs="宋体"/>
          <w:color w:val="auto"/>
          <w:sz w:val="24"/>
          <w:highlight w:val="none"/>
          <w:lang w:val="en-US" w:eastAsia="zh-CN"/>
        </w:rPr>
        <w:t xml:space="preserve"> </w:t>
      </w:r>
    </w:p>
    <w:p>
      <w:pPr>
        <w:shd w:val="clear"/>
        <w:spacing w:line="360" w:lineRule="auto"/>
        <w:ind w:left="1079" w:leftChars="257" w:hanging="539"/>
        <w:jc w:val="center"/>
        <w:rPr>
          <w:rFonts w:ascii="宋体" w:hAnsi="宋体" w:cs="宋体"/>
          <w:color w:val="auto"/>
          <w:sz w:val="24"/>
          <w:highlight w:val="none"/>
        </w:rPr>
      </w:pPr>
    </w:p>
    <w:p>
      <w:pPr>
        <w:pStyle w:val="47"/>
        <w:shd w:val="clear"/>
        <w:ind w:firstLine="200"/>
        <w:jc w:val="center"/>
        <w:rPr>
          <w:rFonts w:ascii="宋体" w:hAnsi="宋体" w:eastAsia="宋体" w:cs="宋体"/>
          <w:color w:val="auto"/>
          <w:highlight w:val="none"/>
          <w:lang w:eastAsia="zh-CN"/>
        </w:rPr>
      </w:pPr>
    </w:p>
    <w:p>
      <w:pPr>
        <w:widowControl/>
        <w:shd w:val="clear"/>
        <w:kinsoku w:val="0"/>
        <w:autoSpaceDE w:val="0"/>
        <w:autoSpaceDN w:val="0"/>
        <w:adjustRightInd w:val="0"/>
        <w:snapToGrid w:val="0"/>
        <w:spacing w:line="360" w:lineRule="auto"/>
        <w:ind w:firstLine="2134" w:firstLineChars="593"/>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 xml:space="preserve">       </w:t>
      </w:r>
    </w:p>
    <w:p>
      <w:pPr>
        <w:widowControl/>
        <w:shd w:val="clear"/>
        <w:kinsoku w:val="0"/>
        <w:autoSpaceDE w:val="0"/>
        <w:autoSpaceDN w:val="0"/>
        <w:adjustRightInd w:val="0"/>
        <w:snapToGrid w:val="0"/>
        <w:spacing w:line="360" w:lineRule="auto"/>
        <w:ind w:firstLine="1897" w:firstLineChars="593"/>
        <w:textAlignment w:val="baseline"/>
        <w:rPr>
          <w:rFonts w:ascii="宋体" w:hAnsi="宋体" w:cs="宋体"/>
          <w:color w:val="auto"/>
          <w:sz w:val="32"/>
          <w:szCs w:val="32"/>
          <w:highlight w:val="none"/>
        </w:rPr>
      </w:pPr>
    </w:p>
    <w:p>
      <w:pPr>
        <w:widowControl/>
        <w:shd w:val="clear"/>
        <w:kinsoku w:val="0"/>
        <w:autoSpaceDE w:val="0"/>
        <w:autoSpaceDN w:val="0"/>
        <w:adjustRightInd w:val="0"/>
        <w:snapToGrid w:val="0"/>
        <w:spacing w:line="360" w:lineRule="auto"/>
        <w:ind w:firstLine="1897" w:firstLineChars="593"/>
        <w:textAlignment w:val="baseline"/>
        <w:rPr>
          <w:rFonts w:ascii="宋体" w:hAnsi="宋体" w:cs="宋体"/>
          <w:color w:val="auto"/>
          <w:sz w:val="32"/>
          <w:szCs w:val="32"/>
          <w:highlight w:val="none"/>
        </w:rPr>
      </w:pPr>
    </w:p>
    <w:p>
      <w:pPr>
        <w:widowControl/>
        <w:shd w:val="clear"/>
        <w:kinsoku w:val="0"/>
        <w:autoSpaceDE w:val="0"/>
        <w:autoSpaceDN w:val="0"/>
        <w:adjustRightInd w:val="0"/>
        <w:snapToGrid w:val="0"/>
        <w:spacing w:line="360" w:lineRule="auto"/>
        <w:ind w:firstLine="1897" w:firstLineChars="593"/>
        <w:textAlignment w:val="baseline"/>
        <w:rPr>
          <w:rFonts w:ascii="宋体" w:hAnsi="宋体" w:cs="宋体"/>
          <w:color w:val="auto"/>
          <w:sz w:val="32"/>
          <w:szCs w:val="32"/>
          <w:highlight w:val="none"/>
        </w:rPr>
      </w:pPr>
    </w:p>
    <w:p>
      <w:pPr>
        <w:widowControl/>
        <w:shd w:val="clear"/>
        <w:kinsoku w:val="0"/>
        <w:autoSpaceDE w:val="0"/>
        <w:autoSpaceDN w:val="0"/>
        <w:adjustRightInd w:val="0"/>
        <w:snapToGrid w:val="0"/>
        <w:spacing w:line="360" w:lineRule="auto"/>
        <w:ind w:firstLine="1897" w:firstLineChars="593"/>
        <w:textAlignment w:val="baseline"/>
        <w:rPr>
          <w:rFonts w:ascii="宋体" w:hAnsi="宋体" w:cs="宋体"/>
          <w:color w:val="auto"/>
          <w:sz w:val="32"/>
          <w:szCs w:val="32"/>
          <w:highlight w:val="none"/>
        </w:rPr>
      </w:pPr>
    </w:p>
    <w:p>
      <w:pPr>
        <w:widowControl/>
        <w:shd w:val="clear"/>
        <w:kinsoku w:val="0"/>
        <w:autoSpaceDE w:val="0"/>
        <w:autoSpaceDN w:val="0"/>
        <w:adjustRightInd w:val="0"/>
        <w:snapToGrid w:val="0"/>
        <w:spacing w:line="360" w:lineRule="auto"/>
        <w:ind w:firstLine="1897" w:firstLineChars="593"/>
        <w:textAlignment w:val="baseline"/>
        <w:rPr>
          <w:rFonts w:ascii="宋体" w:hAnsi="宋体" w:cs="宋体"/>
          <w:color w:val="auto"/>
          <w:sz w:val="32"/>
          <w:szCs w:val="32"/>
          <w:highlight w:val="none"/>
        </w:rPr>
      </w:pPr>
      <w:r>
        <w:rPr>
          <w:rFonts w:hint="eastAsia" w:ascii="宋体" w:hAnsi="宋体" w:cs="宋体"/>
          <w:color w:val="auto"/>
          <w:sz w:val="32"/>
          <w:szCs w:val="32"/>
          <w:highlight w:val="none"/>
        </w:rPr>
        <w:t>采 购 人： 河南司法警官职业学院</w:t>
      </w:r>
    </w:p>
    <w:p>
      <w:pPr>
        <w:widowControl/>
        <w:shd w:val="clear"/>
        <w:kinsoku w:val="0"/>
        <w:autoSpaceDE w:val="0"/>
        <w:autoSpaceDN w:val="0"/>
        <w:adjustRightInd w:val="0"/>
        <w:snapToGrid w:val="0"/>
        <w:spacing w:line="360" w:lineRule="auto"/>
        <w:ind w:firstLine="1897" w:firstLineChars="593"/>
        <w:textAlignment w:val="baseline"/>
        <w:rPr>
          <w:rFonts w:ascii="宋体" w:hAnsi="宋体" w:cs="宋体"/>
          <w:color w:val="auto"/>
          <w:sz w:val="32"/>
          <w:szCs w:val="32"/>
          <w:highlight w:val="none"/>
        </w:rPr>
      </w:pPr>
      <w:bookmarkStart w:id="0" w:name="_Toc6786"/>
      <w:r>
        <w:rPr>
          <w:rFonts w:hint="eastAsia" w:ascii="宋体" w:hAnsi="宋体" w:cs="宋体"/>
          <w:color w:val="auto"/>
          <w:sz w:val="32"/>
          <w:szCs w:val="32"/>
          <w:highlight w:val="none"/>
        </w:rPr>
        <w:t>代理机构：</w:t>
      </w:r>
      <w:bookmarkEnd w:id="0"/>
      <w:r>
        <w:rPr>
          <w:rFonts w:hint="eastAsia" w:ascii="宋体" w:hAnsi="宋体" w:cs="宋体"/>
          <w:color w:val="auto"/>
          <w:sz w:val="32"/>
          <w:szCs w:val="32"/>
          <w:highlight w:val="none"/>
        </w:rPr>
        <w:t xml:space="preserve">河南正禄招标代理有限公司 </w:t>
      </w:r>
    </w:p>
    <w:p>
      <w:pPr>
        <w:shd w:val="clear"/>
        <w:spacing w:line="360" w:lineRule="auto"/>
        <w:ind w:firstLine="1897" w:firstLineChars="593"/>
        <w:rPr>
          <w:rFonts w:ascii="宋体" w:hAnsi="宋体" w:cs="宋体"/>
          <w:color w:val="auto"/>
          <w:sz w:val="32"/>
          <w:szCs w:val="32"/>
          <w:highlight w:val="none"/>
        </w:rPr>
      </w:pPr>
      <w:r>
        <w:rPr>
          <w:rFonts w:hint="eastAsia" w:ascii="宋体" w:hAnsi="宋体" w:cs="宋体"/>
          <w:color w:val="auto"/>
          <w:sz w:val="32"/>
          <w:szCs w:val="32"/>
          <w:highlight w:val="none"/>
        </w:rPr>
        <w:t xml:space="preserve">日  </w:t>
      </w:r>
      <w:r>
        <w:rPr>
          <w:rFonts w:hint="eastAsia" w:ascii="宋体" w:hAnsi="宋体" w:cs="宋体"/>
          <w:color w:val="auto"/>
          <w:sz w:val="32"/>
          <w:szCs w:val="32"/>
          <w:highlight w:val="none"/>
        </w:rPr>
        <w:tab/>
      </w:r>
      <w:r>
        <w:rPr>
          <w:rFonts w:hint="eastAsia" w:ascii="宋体" w:hAnsi="宋体" w:cs="宋体"/>
          <w:color w:val="auto"/>
          <w:sz w:val="32"/>
          <w:szCs w:val="32"/>
          <w:highlight w:val="none"/>
        </w:rPr>
        <w:t>期：二零二三年</w:t>
      </w:r>
      <w:r>
        <w:rPr>
          <w:rFonts w:hint="eastAsia" w:ascii="宋体" w:hAnsi="宋体" w:cs="宋体"/>
          <w:color w:val="auto"/>
          <w:sz w:val="32"/>
          <w:szCs w:val="32"/>
          <w:highlight w:val="none"/>
          <w:lang w:eastAsia="zh-CN"/>
        </w:rPr>
        <w:t>八</w:t>
      </w:r>
      <w:r>
        <w:rPr>
          <w:rFonts w:hint="eastAsia" w:ascii="宋体" w:hAnsi="宋体" w:cs="宋体"/>
          <w:color w:val="auto"/>
          <w:sz w:val="32"/>
          <w:szCs w:val="32"/>
          <w:highlight w:val="none"/>
        </w:rPr>
        <w:t>月</w:t>
      </w:r>
    </w:p>
    <w:p>
      <w:pPr>
        <w:shd w:val="clear"/>
        <w:spacing w:line="360" w:lineRule="auto"/>
        <w:rPr>
          <w:rFonts w:ascii="宋体" w:hAnsi="宋体" w:cs="宋体"/>
          <w:color w:val="auto"/>
          <w:sz w:val="24"/>
          <w:highlight w:val="none"/>
        </w:rPr>
      </w:pPr>
    </w:p>
    <w:p>
      <w:pPr>
        <w:pStyle w:val="47"/>
        <w:shd w:val="clear"/>
        <w:ind w:firstLine="200"/>
        <w:rPr>
          <w:rFonts w:ascii="宋体" w:hAnsi="宋体" w:eastAsia="宋体" w:cs="宋体"/>
          <w:color w:val="auto"/>
          <w:highlight w:val="none"/>
          <w:lang w:eastAsia="zh-CN"/>
        </w:rPr>
      </w:pPr>
    </w:p>
    <w:p>
      <w:pPr>
        <w:shd w:val="clear"/>
        <w:spacing w:line="360" w:lineRule="auto"/>
        <w:jc w:val="center"/>
        <w:rPr>
          <w:rFonts w:ascii="宋体" w:hAnsi="宋体" w:cs="宋体"/>
          <w:b/>
          <w:bCs/>
          <w:color w:val="auto"/>
          <w:sz w:val="32"/>
          <w:szCs w:val="32"/>
          <w:highlight w:val="none"/>
        </w:rPr>
      </w:pPr>
    </w:p>
    <w:p>
      <w:pPr>
        <w:shd w:val="clear"/>
        <w:spacing w:line="360" w:lineRule="auto"/>
        <w:jc w:val="center"/>
        <w:rPr>
          <w:rFonts w:ascii="宋体" w:hAnsi="宋体" w:cs="宋体"/>
          <w:b/>
          <w:bCs/>
          <w:color w:val="auto"/>
          <w:sz w:val="32"/>
          <w:szCs w:val="32"/>
          <w:highlight w:val="none"/>
        </w:rPr>
      </w:pPr>
    </w:p>
    <w:p>
      <w:pPr>
        <w:shd w:val="clear"/>
        <w:spacing w:line="360" w:lineRule="auto"/>
        <w:jc w:val="center"/>
        <w:rPr>
          <w:rFonts w:ascii="宋体" w:hAnsi="宋体" w:cs="宋体"/>
          <w:color w:val="auto"/>
          <w:sz w:val="24"/>
          <w:highlight w:val="none"/>
        </w:rPr>
      </w:pPr>
      <w:r>
        <w:rPr>
          <w:rFonts w:hint="eastAsia" w:ascii="宋体" w:hAnsi="宋体" w:cs="宋体"/>
          <w:b/>
          <w:bCs/>
          <w:color w:val="auto"/>
          <w:sz w:val="32"/>
          <w:szCs w:val="32"/>
          <w:highlight w:val="none"/>
        </w:rPr>
        <w:t>目    录</w:t>
      </w:r>
    </w:p>
    <w:p>
      <w:pPr>
        <w:pStyle w:val="35"/>
        <w:shd w:val="clear"/>
        <w:tabs>
          <w:tab w:val="right" w:leader="dot" w:pos="8787"/>
          <w:tab w:val="clear" w:pos="8296"/>
        </w:tabs>
        <w:rPr>
          <w:rFonts w:ascii="宋体" w:hAnsi="宋体" w:cs="宋体"/>
          <w:b/>
          <w:bCs/>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"1-4" \h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"_Toc25202" </w:instrText>
      </w:r>
      <w:r>
        <w:rPr>
          <w:color w:val="auto"/>
          <w:highlight w:val="none"/>
        </w:rPr>
        <w:fldChar w:fldCharType="separate"/>
      </w:r>
      <w:r>
        <w:rPr>
          <w:rFonts w:hint="eastAsia" w:ascii="宋体" w:hAnsi="宋体" w:cs="宋体"/>
          <w:b/>
          <w:bCs/>
          <w:color w:val="auto"/>
          <w:highlight w:val="none"/>
        </w:rPr>
        <w:t>特别提示</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_Toc25202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1</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35"/>
        <w:shd w:val="clear"/>
        <w:tabs>
          <w:tab w:val="right" w:leader="dot" w:pos="8787"/>
          <w:tab w:val="clear" w:pos="8296"/>
        </w:tabs>
        <w:rPr>
          <w:rFonts w:ascii="宋体" w:hAnsi="宋体" w:cs="宋体"/>
          <w:b/>
          <w:bCs/>
          <w:color w:val="auto"/>
          <w:highlight w:val="none"/>
        </w:rPr>
      </w:pPr>
      <w:r>
        <w:rPr>
          <w:color w:val="auto"/>
          <w:highlight w:val="none"/>
        </w:rPr>
        <w:fldChar w:fldCharType="begin"/>
      </w:r>
      <w:r>
        <w:rPr>
          <w:color w:val="auto"/>
          <w:highlight w:val="none"/>
        </w:rPr>
        <w:instrText xml:space="preserve"> HYPERLINK \l "_Toc15507" </w:instrText>
      </w:r>
      <w:r>
        <w:rPr>
          <w:color w:val="auto"/>
          <w:highlight w:val="none"/>
        </w:rPr>
        <w:fldChar w:fldCharType="separate"/>
      </w:r>
      <w:r>
        <w:rPr>
          <w:rFonts w:hint="eastAsia" w:ascii="宋体" w:hAnsi="宋体" w:cs="宋体"/>
          <w:b/>
          <w:bCs/>
          <w:color w:val="auto"/>
          <w:szCs w:val="32"/>
          <w:highlight w:val="none"/>
        </w:rPr>
        <w:t>第一章  竞争性磋商公告</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_Toc15507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5</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35"/>
        <w:shd w:val="clear"/>
        <w:tabs>
          <w:tab w:val="right" w:leader="dot" w:pos="8787"/>
          <w:tab w:val="clear" w:pos="8296"/>
        </w:tabs>
        <w:rPr>
          <w:rFonts w:ascii="宋体" w:hAnsi="宋体" w:cs="宋体"/>
          <w:b/>
          <w:bCs/>
          <w:color w:val="auto"/>
          <w:highlight w:val="none"/>
        </w:rPr>
      </w:pPr>
      <w:r>
        <w:rPr>
          <w:color w:val="auto"/>
          <w:highlight w:val="none"/>
        </w:rPr>
        <w:fldChar w:fldCharType="begin"/>
      </w:r>
      <w:r>
        <w:rPr>
          <w:color w:val="auto"/>
          <w:highlight w:val="none"/>
        </w:rPr>
        <w:instrText xml:space="preserve"> HYPERLINK \l "_Toc15845" </w:instrText>
      </w:r>
      <w:r>
        <w:rPr>
          <w:color w:val="auto"/>
          <w:highlight w:val="none"/>
        </w:rPr>
        <w:fldChar w:fldCharType="separate"/>
      </w:r>
      <w:r>
        <w:rPr>
          <w:rFonts w:hint="eastAsia" w:ascii="宋体" w:hAnsi="宋体" w:cs="宋体"/>
          <w:b/>
          <w:bCs/>
          <w:color w:val="auto"/>
          <w:szCs w:val="32"/>
          <w:highlight w:val="none"/>
        </w:rPr>
        <w:t>第二章  供应商须知</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_Toc15845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10</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35"/>
        <w:shd w:val="clear"/>
        <w:tabs>
          <w:tab w:val="right" w:leader="dot" w:pos="8787"/>
          <w:tab w:val="clear" w:pos="8296"/>
        </w:tabs>
        <w:rPr>
          <w:rFonts w:ascii="宋体" w:hAnsi="宋体" w:cs="宋体"/>
          <w:b/>
          <w:bCs/>
          <w:color w:val="auto"/>
          <w:highlight w:val="none"/>
        </w:rPr>
      </w:pPr>
      <w:r>
        <w:rPr>
          <w:color w:val="auto"/>
          <w:highlight w:val="none"/>
        </w:rPr>
        <w:fldChar w:fldCharType="begin"/>
      </w:r>
      <w:r>
        <w:rPr>
          <w:color w:val="auto"/>
          <w:highlight w:val="none"/>
        </w:rPr>
        <w:instrText xml:space="preserve"> HYPERLINK \l "_Toc939" </w:instrText>
      </w:r>
      <w:r>
        <w:rPr>
          <w:color w:val="auto"/>
          <w:highlight w:val="none"/>
        </w:rPr>
        <w:fldChar w:fldCharType="separate"/>
      </w:r>
      <w:r>
        <w:rPr>
          <w:rFonts w:hint="eastAsia" w:ascii="宋体" w:hAnsi="宋体" w:cs="宋体"/>
          <w:b/>
          <w:bCs/>
          <w:color w:val="auto"/>
          <w:szCs w:val="32"/>
          <w:highlight w:val="none"/>
        </w:rPr>
        <w:t>第三章  采购需求</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_Toc939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39</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35"/>
        <w:shd w:val="clear"/>
        <w:tabs>
          <w:tab w:val="right" w:leader="dot" w:pos="8787"/>
          <w:tab w:val="clear" w:pos="8296"/>
        </w:tabs>
        <w:rPr>
          <w:rFonts w:ascii="宋体" w:hAnsi="宋体" w:cs="宋体"/>
          <w:b/>
          <w:bCs/>
          <w:color w:val="auto"/>
          <w:highlight w:val="none"/>
        </w:rPr>
      </w:pPr>
      <w:r>
        <w:rPr>
          <w:color w:val="auto"/>
          <w:highlight w:val="none"/>
        </w:rPr>
        <w:fldChar w:fldCharType="begin"/>
      </w:r>
      <w:r>
        <w:rPr>
          <w:color w:val="auto"/>
          <w:highlight w:val="none"/>
        </w:rPr>
        <w:instrText xml:space="preserve"> HYPERLINK \l "_Toc26950" </w:instrText>
      </w:r>
      <w:r>
        <w:rPr>
          <w:color w:val="auto"/>
          <w:highlight w:val="none"/>
        </w:rPr>
        <w:fldChar w:fldCharType="separate"/>
      </w:r>
      <w:r>
        <w:rPr>
          <w:rFonts w:hint="eastAsia" w:ascii="宋体" w:hAnsi="宋体" w:cs="宋体"/>
          <w:b/>
          <w:bCs/>
          <w:color w:val="auto"/>
          <w:szCs w:val="32"/>
          <w:highlight w:val="none"/>
        </w:rPr>
        <w:t>第四章  评审方法及标准</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_Toc26950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87</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35"/>
        <w:shd w:val="clear"/>
        <w:tabs>
          <w:tab w:val="right" w:leader="dot" w:pos="8787"/>
          <w:tab w:val="clear" w:pos="8296"/>
        </w:tabs>
        <w:rPr>
          <w:rFonts w:ascii="宋体" w:hAnsi="宋体" w:cs="宋体"/>
          <w:b/>
          <w:bCs/>
          <w:color w:val="auto"/>
          <w:highlight w:val="none"/>
        </w:rPr>
      </w:pPr>
      <w:r>
        <w:rPr>
          <w:color w:val="auto"/>
          <w:highlight w:val="none"/>
        </w:rPr>
        <w:fldChar w:fldCharType="begin"/>
      </w:r>
      <w:r>
        <w:rPr>
          <w:color w:val="auto"/>
          <w:highlight w:val="none"/>
        </w:rPr>
        <w:instrText xml:space="preserve"> HYPERLINK \l "_Toc10047" </w:instrText>
      </w:r>
      <w:r>
        <w:rPr>
          <w:color w:val="auto"/>
          <w:highlight w:val="none"/>
        </w:rPr>
        <w:fldChar w:fldCharType="separate"/>
      </w:r>
      <w:r>
        <w:rPr>
          <w:rFonts w:hint="eastAsia" w:ascii="宋体" w:hAnsi="宋体" w:cs="宋体"/>
          <w:b/>
          <w:bCs/>
          <w:color w:val="auto"/>
          <w:szCs w:val="32"/>
          <w:highlight w:val="none"/>
        </w:rPr>
        <w:t>第五章  政府采购合同条款及格式</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_Toc10047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96</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35"/>
        <w:shd w:val="clear"/>
        <w:tabs>
          <w:tab w:val="right" w:leader="dot" w:pos="8787"/>
          <w:tab w:val="clear" w:pos="8296"/>
        </w:tabs>
        <w:rPr>
          <w:rFonts w:ascii="宋体" w:hAnsi="宋体" w:cs="宋体"/>
          <w:b/>
          <w:bCs/>
          <w:color w:val="auto"/>
          <w:highlight w:val="none"/>
        </w:rPr>
      </w:pPr>
      <w:r>
        <w:rPr>
          <w:color w:val="auto"/>
          <w:highlight w:val="none"/>
        </w:rPr>
        <w:fldChar w:fldCharType="begin"/>
      </w:r>
      <w:r>
        <w:rPr>
          <w:color w:val="auto"/>
          <w:highlight w:val="none"/>
        </w:rPr>
        <w:instrText xml:space="preserve"> HYPERLINK \l "_Toc4255" </w:instrText>
      </w:r>
      <w:r>
        <w:rPr>
          <w:color w:val="auto"/>
          <w:highlight w:val="none"/>
        </w:rPr>
        <w:fldChar w:fldCharType="separate"/>
      </w:r>
      <w:r>
        <w:rPr>
          <w:rFonts w:hint="eastAsia" w:ascii="宋体" w:hAnsi="宋体" w:cs="宋体"/>
          <w:b/>
          <w:bCs/>
          <w:color w:val="auto"/>
          <w:szCs w:val="32"/>
          <w:highlight w:val="none"/>
        </w:rPr>
        <w:t>第六章  响应文件格式</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_Toc4255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102</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40"/>
        <w:shd w:val="clear"/>
        <w:tabs>
          <w:tab w:val="right" w:leader="dot" w:pos="8787"/>
          <w:tab w:val="clear" w:pos="8301"/>
        </w:tabs>
        <w:rPr>
          <w:rFonts w:ascii="宋体" w:hAnsi="宋体" w:cs="宋体"/>
          <w:color w:val="auto"/>
          <w:highlight w:val="none"/>
        </w:rPr>
      </w:pPr>
    </w:p>
    <w:p>
      <w:pPr>
        <w:shd w:val="clear"/>
        <w:spacing w:line="336" w:lineRule="auto"/>
        <w:rPr>
          <w:rFonts w:ascii="宋体" w:hAnsi="宋体" w:cs="宋体"/>
          <w:b/>
          <w:color w:val="auto"/>
          <w:sz w:val="24"/>
          <w:highlight w:val="none"/>
        </w:rPr>
        <w:sectPr>
          <w:headerReference r:id="rId4" w:type="first"/>
          <w:headerReference r:id="rId3" w:type="default"/>
          <w:footerReference r:id="rId5" w:type="default"/>
          <w:pgSz w:w="11906" w:h="16838"/>
          <w:pgMar w:top="1134" w:right="1077" w:bottom="1134" w:left="1077" w:header="851" w:footer="992" w:gutter="0"/>
          <w:pgNumType w:start="1"/>
          <w:cols w:space="720" w:num="1"/>
          <w:docGrid w:linePitch="312" w:charSpace="0"/>
        </w:sectPr>
      </w:pPr>
      <w:r>
        <w:rPr>
          <w:rFonts w:hint="eastAsia" w:ascii="宋体" w:hAnsi="宋体" w:cs="宋体"/>
          <w:color w:val="auto"/>
          <w:highlight w:val="none"/>
        </w:rPr>
        <w:fldChar w:fldCharType="end"/>
      </w:r>
    </w:p>
    <w:p>
      <w:pPr>
        <w:pStyle w:val="3"/>
        <w:shd w:val="clear"/>
        <w:spacing w:before="120" w:after="120" w:line="400" w:lineRule="exact"/>
        <w:jc w:val="center"/>
        <w:rPr>
          <w:rFonts w:ascii="宋体" w:hAnsi="宋体" w:cs="宋体"/>
          <w:b w:val="0"/>
          <w:bCs w:val="0"/>
          <w:color w:val="auto"/>
          <w:sz w:val="32"/>
          <w:highlight w:val="none"/>
        </w:rPr>
      </w:pPr>
      <w:bookmarkStart w:id="1" w:name="_Toc25202"/>
      <w:bookmarkStart w:id="2" w:name="_Toc121902684"/>
      <w:bookmarkStart w:id="3" w:name="_Toc74727672"/>
      <w:r>
        <w:rPr>
          <w:rFonts w:hint="eastAsia" w:ascii="宋体" w:hAnsi="宋体" w:cs="宋体"/>
          <w:b w:val="0"/>
          <w:bCs w:val="0"/>
          <w:color w:val="auto"/>
          <w:sz w:val="32"/>
          <w:highlight w:val="none"/>
        </w:rPr>
        <w:t>特别提示</w:t>
      </w:r>
      <w:bookmarkEnd w:id="1"/>
    </w:p>
    <w:p>
      <w:pPr>
        <w:shd w:val="clear"/>
        <w:jc w:val="center"/>
        <w:rPr>
          <w:rFonts w:ascii="宋体" w:hAnsi="宋体" w:cs="宋体"/>
          <w:color w:val="auto"/>
          <w:highlight w:val="none"/>
        </w:rPr>
      </w:pPr>
    </w:p>
    <w:p>
      <w:pPr>
        <w:shd w:val="clear"/>
        <w:jc w:val="center"/>
        <w:rPr>
          <w:rFonts w:ascii="宋体" w:hAnsi="宋体" w:cs="宋体"/>
          <w:color w:val="auto"/>
          <w:highlight w:val="none"/>
        </w:rPr>
      </w:pPr>
    </w:p>
    <w:p>
      <w:pPr>
        <w:shd w:val="clear"/>
        <w:spacing w:line="360" w:lineRule="auto"/>
        <w:ind w:firstLine="482" w:firstLineChars="200"/>
        <w:jc w:val="left"/>
        <w:rPr>
          <w:rFonts w:ascii="宋体" w:hAnsi="宋体" w:cs="宋体"/>
          <w:b/>
          <w:color w:val="auto"/>
          <w:sz w:val="24"/>
          <w:highlight w:val="none"/>
        </w:rPr>
      </w:pPr>
      <w:bookmarkStart w:id="4" w:name="_Toc57012845"/>
      <w:r>
        <w:rPr>
          <w:rFonts w:hint="eastAsia" w:ascii="宋体" w:hAnsi="宋体" w:cs="宋体"/>
          <w:b/>
          <w:color w:val="auto"/>
          <w:sz w:val="24"/>
          <w:highlight w:val="none"/>
        </w:rPr>
        <w:t>1、投标人（供应商）注册及市场主体信息登记</w:t>
      </w:r>
      <w:bookmarkEnd w:id="4"/>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1.1投标人（供应商）需登陆河南省公共资源交易中心网站（</w:t>
      </w:r>
      <w:r>
        <w:rPr>
          <w:rFonts w:hint="eastAsia"/>
          <w:color w:val="auto"/>
          <w:highlight w:val="none"/>
        </w:rPr>
        <w:fldChar w:fldCharType="begin"/>
      </w:r>
      <w:r>
        <w:rPr>
          <w:color w:val="auto"/>
          <w:highlight w:val="none"/>
        </w:rPr>
        <w:instrText xml:space="preserve"> HYPERLINK "http://www.hnggzy.net/" </w:instrText>
      </w:r>
      <w:r>
        <w:rPr>
          <w:rFonts w:hint="eastAsia"/>
          <w:color w:val="auto"/>
          <w:highlight w:val="none"/>
        </w:rPr>
        <w:fldChar w:fldCharType="separate"/>
      </w:r>
      <w:r>
        <w:rPr>
          <w:rFonts w:hint="eastAsia" w:ascii="宋体" w:hAnsi="宋体" w:cs="宋体"/>
          <w:color w:val="auto"/>
          <w:sz w:val="24"/>
          <w:highlight w:val="none"/>
        </w:rPr>
        <w:t>http://www.hnggzy.net/</w:t>
      </w:r>
      <w:r>
        <w:rPr>
          <w:rFonts w:hint="eastAsia" w:ascii="宋体" w:hAnsi="宋体" w:cs="宋体"/>
          <w:color w:val="auto"/>
          <w:sz w:val="24"/>
          <w:highlight w:val="none"/>
        </w:rPr>
        <w:fldChar w:fldCharType="end"/>
      </w:r>
      <w:r>
        <w:rPr>
          <w:rFonts w:hint="eastAsia" w:ascii="宋体" w:hAnsi="宋体" w:cs="宋体"/>
          <w:color w:val="auto"/>
          <w:sz w:val="24"/>
          <w:highlight w:val="none"/>
        </w:rPr>
        <w:t>），点击首页【市场主体登录】按钮进入河南省公共资源“智慧交易”系统－市场主体系统。</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在“市场主体系统”界面点击“免费注册”，进入市场主体注册界面。</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仔细阅读市场主体注册协议并点击“同意”。</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选择注册身份，设置登录名、密码、单位名称以及联系人等信息。根据本单位的类型，选择相应的市场主体类型（进行勾选，可多选）。</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首次入库单位需要选择对应的平台，需要参加河南省公共资源交易中心项目，首次入库平台请选择“河南省公共资源交易中心”。然后点击“立即注册”完成信息注册（备注：此时只完成登录名等基础信息注册，还不能进入系统登记信息，必须办理完CA数字证书后，才能通过CA数字证书进入系统登记和提交信息）。</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详情请查阅河南省公共资源交易中心网站→公共服务→办事指南（新交易平台使用手册（培训资料）</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网址：（http://www.hnggzy.net/ggfw/004003/20210909/834dab66-d4b5-4fde-b432-57f2a6cfbfed.html）</w:t>
      </w:r>
    </w:p>
    <w:p>
      <w:pPr>
        <w:shd w:val="clear"/>
        <w:spacing w:line="360" w:lineRule="auto"/>
        <w:ind w:firstLine="482" w:firstLineChars="200"/>
        <w:jc w:val="left"/>
        <w:rPr>
          <w:rFonts w:ascii="宋体" w:hAnsi="宋体" w:cs="宋体"/>
          <w:b/>
          <w:bCs/>
          <w:color w:val="auto"/>
          <w:sz w:val="24"/>
          <w:highlight w:val="none"/>
        </w:rPr>
      </w:pPr>
      <w:bookmarkStart w:id="5" w:name="_Toc57012846"/>
      <w:r>
        <w:rPr>
          <w:rFonts w:hint="eastAsia" w:ascii="宋体" w:hAnsi="宋体" w:cs="宋体"/>
          <w:b/>
          <w:color w:val="auto"/>
          <w:sz w:val="24"/>
          <w:highlight w:val="none"/>
        </w:rPr>
        <w:t>2、投标文件（响应文件）制作</w:t>
      </w:r>
      <w:bookmarkEnd w:id="5"/>
    </w:p>
    <w:p>
      <w:pPr>
        <w:shd w:val="clea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2.1</w:t>
      </w:r>
      <w:r>
        <w:rPr>
          <w:rFonts w:hint="eastAsia" w:ascii="宋体" w:hAnsi="宋体" w:cs="宋体"/>
          <w:color w:val="auto"/>
          <w:sz w:val="24"/>
          <w:highlight w:val="none"/>
        </w:rPr>
        <w:t>投标人（供应商）通过“河南省公共资源交易中心（http://www.hnggzy.net/）”网站公共服务（办事指南及下载专区）：下载最新版“投标文件制作工具安装包压缩文件下载”等。</w:t>
      </w:r>
    </w:p>
    <w:p>
      <w:pPr>
        <w:shd w:val="clea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2.2</w:t>
      </w:r>
      <w:r>
        <w:rPr>
          <w:rFonts w:hint="eastAsia" w:ascii="宋体" w:hAnsi="宋体" w:cs="宋体"/>
          <w:color w:val="auto"/>
          <w:sz w:val="24"/>
          <w:highlight w:val="none"/>
        </w:rPr>
        <w:t>投标人（供应商）凭CA密钥登陆市场主体并按网上提示自行下载每个项目所含格式(.hnzf)的竞争性磋商文件（采购文件）。</w:t>
      </w:r>
    </w:p>
    <w:p>
      <w:pPr>
        <w:shd w:val="clear"/>
        <w:tabs>
          <w:tab w:val="left" w:pos="720"/>
        </w:tabs>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2.3</w:t>
      </w:r>
      <w:r>
        <w:rPr>
          <w:rFonts w:hint="eastAsia" w:ascii="宋体" w:hAnsi="宋体" w:cs="宋体"/>
          <w:color w:val="auto"/>
          <w:sz w:val="24"/>
          <w:highlight w:val="none"/>
        </w:rPr>
        <w:t>投标人（供应商）须在</w:t>
      </w:r>
      <w:r>
        <w:rPr>
          <w:rFonts w:hint="eastAsia" w:ascii="宋体" w:hAnsi="宋体" w:cs="宋体"/>
          <w:color w:val="auto"/>
          <w:kern w:val="0"/>
          <w:sz w:val="24"/>
          <w:highlight w:val="none"/>
          <w:lang w:val="zh-CN"/>
        </w:rPr>
        <w:t>投标文件（响应文件）递交截止时间</w:t>
      </w:r>
      <w:r>
        <w:rPr>
          <w:rFonts w:hint="eastAsia" w:ascii="宋体" w:hAnsi="宋体" w:cs="宋体"/>
          <w:color w:val="auto"/>
          <w:sz w:val="24"/>
          <w:highlight w:val="none"/>
        </w:rPr>
        <w:t>前制作并上传：</w:t>
      </w:r>
    </w:p>
    <w:p>
      <w:pPr>
        <w:shd w:val="clear"/>
        <w:tabs>
          <w:tab w:val="left" w:pos="7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加密的电子投标文件（响应文件）,应在</w:t>
      </w:r>
      <w:r>
        <w:rPr>
          <w:rFonts w:hint="eastAsia" w:ascii="宋体" w:hAnsi="宋体" w:cs="宋体"/>
          <w:color w:val="auto"/>
          <w:kern w:val="0"/>
          <w:sz w:val="24"/>
          <w:highlight w:val="none"/>
          <w:lang w:val="zh-CN"/>
        </w:rPr>
        <w:t>投标文件</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响应文件</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递交截止时间</w:t>
      </w:r>
      <w:r>
        <w:rPr>
          <w:rFonts w:hint="eastAsia" w:ascii="宋体" w:hAnsi="宋体" w:cs="宋体"/>
          <w:color w:val="auto"/>
          <w:sz w:val="24"/>
          <w:highlight w:val="none"/>
        </w:rPr>
        <w:t>前通过“河南省公共资源交易中心网站（http://www.hnggzy.net/）”电子交易平台内上传并</w:t>
      </w:r>
      <w:r>
        <w:rPr>
          <w:rFonts w:hint="eastAsia" w:ascii="宋体" w:hAnsi="宋体" w:cs="宋体"/>
          <w:b/>
          <w:bCs/>
          <w:color w:val="auto"/>
          <w:sz w:val="24"/>
          <w:highlight w:val="none"/>
        </w:rPr>
        <w:t>确保上传成功</w:t>
      </w:r>
      <w:r>
        <w:rPr>
          <w:rFonts w:hint="eastAsia" w:ascii="宋体" w:hAnsi="宋体" w:cs="宋体"/>
          <w:color w:val="auto"/>
          <w:sz w:val="24"/>
          <w:highlight w:val="none"/>
        </w:rPr>
        <w:t>。</w:t>
      </w:r>
    </w:p>
    <w:p>
      <w:pPr>
        <w:shd w:val="clear"/>
        <w:spacing w:line="360" w:lineRule="auto"/>
        <w:ind w:firstLine="482" w:firstLineChars="200"/>
        <w:rPr>
          <w:rFonts w:ascii="宋体" w:hAnsi="宋体" w:cs="宋体"/>
          <w:color w:val="auto"/>
          <w:sz w:val="24"/>
          <w:highlight w:val="none"/>
        </w:rPr>
      </w:pPr>
      <w:r>
        <w:rPr>
          <w:rFonts w:hint="eastAsia" w:ascii="宋体" w:hAnsi="宋体" w:cs="宋体"/>
          <w:b/>
          <w:bCs/>
          <w:color w:val="auto"/>
          <w:kern w:val="0"/>
          <w:sz w:val="24"/>
          <w:highlight w:val="none"/>
        </w:rPr>
        <w:t>2.4</w:t>
      </w:r>
      <w:r>
        <w:rPr>
          <w:rFonts w:hint="eastAsia" w:ascii="宋体" w:hAnsi="宋体" w:cs="宋体"/>
          <w:color w:val="auto"/>
          <w:sz w:val="24"/>
          <w:highlight w:val="none"/>
        </w:rPr>
        <w:t>加密的电子投标文件（响应文件）为“河南省公共资源交易中心（http://www.hnggzy.net/）”网站提供的“投标文件制作工具”软件制作生成的加密版投标文件（响应文件）。</w:t>
      </w:r>
    </w:p>
    <w:p>
      <w:pPr>
        <w:shd w:val="clear"/>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2.5</w:t>
      </w:r>
      <w:r>
        <w:rPr>
          <w:rFonts w:hint="eastAsia" w:ascii="宋体" w:hAnsi="宋体" w:cs="宋体"/>
          <w:color w:val="auto"/>
          <w:sz w:val="24"/>
          <w:highlight w:val="none"/>
        </w:rPr>
        <w:t>投标人（供应商）制作电子投标文件（响应文件）时，根据竞争性磋商文件（采购文件）要求用法定代表人或负责人CA密钥和企业CA密钥进行签章制作；最后一步生成电子投标文件（响应文件）时，只能用本单位的企业CA密钥。</w:t>
      </w:r>
    </w:p>
    <w:p>
      <w:pPr>
        <w:shd w:val="clear"/>
        <w:spacing w:line="360" w:lineRule="auto"/>
        <w:ind w:firstLine="482" w:firstLineChars="200"/>
        <w:jc w:val="left"/>
        <w:rPr>
          <w:rFonts w:ascii="宋体" w:hAnsi="宋体" w:cs="宋体"/>
          <w:b/>
          <w:color w:val="auto"/>
          <w:sz w:val="24"/>
          <w:highlight w:val="none"/>
        </w:rPr>
      </w:pPr>
      <w:bookmarkStart w:id="6" w:name="_Toc57012847"/>
      <w:r>
        <w:rPr>
          <w:rFonts w:hint="eastAsia" w:ascii="宋体" w:hAnsi="宋体" w:cs="宋体"/>
          <w:b/>
          <w:bCs/>
          <w:color w:val="auto"/>
          <w:sz w:val="24"/>
          <w:highlight w:val="none"/>
        </w:rPr>
        <w:t>3、澄清与变更</w:t>
      </w:r>
      <w:bookmarkEnd w:id="6"/>
    </w:p>
    <w:p>
      <w:pPr>
        <w:shd w:val="clear"/>
        <w:spacing w:line="360" w:lineRule="auto"/>
        <w:ind w:firstLine="494" w:firstLineChars="206"/>
        <w:rPr>
          <w:rFonts w:ascii="宋体" w:hAnsi="宋体" w:cs="宋体"/>
          <w:b/>
          <w:bCs/>
          <w:color w:val="auto"/>
          <w:sz w:val="24"/>
          <w:highlight w:val="none"/>
        </w:rPr>
      </w:pPr>
      <w:r>
        <w:rPr>
          <w:rFonts w:hint="eastAsia" w:ascii="宋体" w:hAnsi="宋体" w:cs="宋体"/>
          <w:color w:val="auto"/>
          <w:sz w:val="24"/>
          <w:highlight w:val="none"/>
        </w:rPr>
        <w:t>采购人、采购代理机构对已发出的竞争性磋商文件（采购文件）进行的澄清、更正或更改，澄清、更正或更改的内容将作为竞争性磋商文件（采购文件）的组成部分。采购代理机构将通过网站“变更公告”或系统内部“答疑文件”告知投标人（供应商）。各投标人（供应商）须重新下载最新的竞争性磋商文件（采购文件）和答疑文件，依此编制投标文件（响应文件）。</w:t>
      </w:r>
    </w:p>
    <w:p>
      <w:pPr>
        <w:shd w:val="clear"/>
        <w:spacing w:line="360" w:lineRule="auto"/>
        <w:ind w:firstLine="602" w:firstLineChars="250"/>
        <w:jc w:val="left"/>
        <w:rPr>
          <w:rFonts w:ascii="宋体" w:hAnsi="宋体" w:cs="宋体"/>
          <w:b/>
          <w:bCs/>
          <w:color w:val="auto"/>
          <w:sz w:val="24"/>
          <w:highlight w:val="none"/>
        </w:rPr>
      </w:pPr>
      <w:r>
        <w:rPr>
          <w:rFonts w:hint="eastAsia" w:ascii="宋体" w:hAnsi="宋体" w:cs="宋体"/>
          <w:b/>
          <w:bCs/>
          <w:color w:val="auto"/>
          <w:sz w:val="24"/>
          <w:highlight w:val="none"/>
        </w:rPr>
        <w:t>4、因河南省公共资源交易中心平台在开标前对投标人（供应商）信息具有保密性，投标人（供应商）在投标文件（响应文件）递交截止时间前每天须自行查看项目进展、变更通知、澄清及回复等内容，因投标人（供应商）未及时查看而造成的后果由投标人（供应商）自行承担。</w:t>
      </w:r>
    </w:p>
    <w:p>
      <w:pPr>
        <w:shd w:val="clear"/>
        <w:spacing w:line="360" w:lineRule="auto"/>
        <w:ind w:firstLine="496" w:firstLineChars="206"/>
        <w:rPr>
          <w:rFonts w:ascii="宋体" w:hAnsi="宋体" w:cs="宋体"/>
          <w:b/>
          <w:color w:val="auto"/>
          <w:sz w:val="24"/>
          <w:highlight w:val="none"/>
        </w:rPr>
      </w:pPr>
      <w:r>
        <w:rPr>
          <w:rFonts w:hint="eastAsia" w:ascii="宋体" w:hAnsi="宋体" w:cs="宋体"/>
          <w:b/>
          <w:color w:val="auto"/>
          <w:sz w:val="24"/>
          <w:highlight w:val="none"/>
        </w:rPr>
        <w:t>5、评标（谈判、磋商）过程中的澄清</w:t>
      </w:r>
    </w:p>
    <w:p>
      <w:pPr>
        <w:shd w:val="clear"/>
        <w:spacing w:line="360" w:lineRule="auto"/>
        <w:ind w:firstLine="602" w:firstLineChars="250"/>
        <w:jc w:val="left"/>
        <w:rPr>
          <w:rFonts w:ascii="宋体" w:hAnsi="宋体" w:cs="宋体"/>
          <w:b/>
          <w:bCs/>
          <w:color w:val="auto"/>
          <w:sz w:val="24"/>
          <w:highlight w:val="none"/>
        </w:rPr>
      </w:pPr>
      <w:r>
        <w:rPr>
          <w:rFonts w:hint="eastAsia" w:ascii="宋体" w:hAnsi="宋体" w:cs="宋体"/>
          <w:b/>
          <w:color w:val="auto"/>
          <w:sz w:val="24"/>
          <w:highlight w:val="none"/>
        </w:rPr>
        <w:t>在评标（谈判、磋商）过程中，如果有必要，评标委员会（谈判小组、磋商小组）将通过河南省公共资源交易中心的交易系统要求投标人（供应商）对所提交投标文件（响应文件）中不明确的内容进行书面澄清或说明，或者对细微偏差进行补正。投标人（供应商）应当在评标结束前时刻关注系统内部发出的“澄清要求”，如果投标人（供应商）未在评标委员会（谈判小组、磋商小组）规定的时间内对要求澄清的内容进行回复，则一切不利后果均由该投标人（供应商）自行承担。</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6、根据《河南省公共资源交易中心关于推行全程不见面服务的通知》要求，除必须提交样品或现场演示情况外，所有项目均 </w:t>
      </w:r>
      <w:r>
        <w:rPr>
          <w:rFonts w:hint="eastAsia" w:ascii="宋体" w:hAnsi="宋体" w:cs="宋体"/>
          <w:b/>
          <w:bCs/>
          <w:color w:val="auto"/>
          <w:sz w:val="24"/>
          <w:highlight w:val="none"/>
          <w:u w:val="single"/>
        </w:rPr>
        <w:t>采用不见面磋商（谈判）</w:t>
      </w:r>
      <w:r>
        <w:rPr>
          <w:rFonts w:hint="eastAsia" w:ascii="宋体" w:hAnsi="宋体" w:cs="宋体"/>
          <w:b/>
          <w:bCs/>
          <w:color w:val="auto"/>
          <w:sz w:val="24"/>
          <w:highlight w:val="none"/>
        </w:rPr>
        <w:t>。供应商无需到河南省公共资源交易中心现场。供应商应当在采购文件确定的“响应文件递交截止时间前”，登录远程开标大厅，在线准时参加磋商活动并进行文件解密、答疑澄清、最后报价等。详情请查阅河南省公共资源交易中心网站→公共服务→办事指南（新交易平台使用手册（培训资料））。</w:t>
      </w:r>
    </w:p>
    <w:p>
      <w:pPr>
        <w:shd w:val="clea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网址：（http://www.hnggzy.net/ggfw/004003/20210909/834dab66-d4b5-4fde-b432-57f2a6cfbfed.html）</w:t>
      </w:r>
    </w:p>
    <w:p>
      <w:pPr>
        <w:shd w:val="clear"/>
        <w:spacing w:line="360" w:lineRule="auto"/>
        <w:ind w:firstLine="602" w:firstLineChars="250"/>
        <w:jc w:val="left"/>
        <w:rPr>
          <w:rFonts w:ascii="宋体" w:hAnsi="宋体" w:cs="宋体"/>
          <w:b/>
          <w:bCs/>
          <w:color w:val="auto"/>
          <w:sz w:val="24"/>
          <w:highlight w:val="none"/>
        </w:rPr>
      </w:pPr>
      <w:r>
        <w:rPr>
          <w:rFonts w:hint="eastAsia" w:ascii="宋体" w:hAnsi="宋体" w:cs="宋体"/>
          <w:b/>
          <w:bCs/>
          <w:color w:val="auto"/>
          <w:sz w:val="24"/>
          <w:highlight w:val="none"/>
          <w:u w:val="single"/>
        </w:rPr>
        <w:t>按照省交易中心的要求，为了不影响投标，交易主体（投标人、供应商）务必尽快根据自己的实际情况和竞争性磋商文件（采购文件）的要求，在网上添加市场主体类型，完善各投标人（供应商）主体库中的相应信息包括企业资质、业绩、人员、获奖、证书、纳税、社会保障、财务状况等竞争性磋商文件（采购文件）中要求的相应资料，并对新增主体类型进行CA证书激活，否则可能影响投标文件（响应文件）的制作，添加主体类型并激活证书后，新增主体类型的基本信息需要提交交易中心工作人员验证，验证时间为一个工作日，建议投标人（供应商）提前办理，以免影响下载竞争性磋商文件（采购文件）及投标。市场主体登记的信息在交易中心网站“市场主体库公示”专栏对外公开，接受社会监督，登记的信息必须真实准确、合法有效，如信息填写错误或者未及时更新信息或者弄虚作假的，自行承担相应的后果及责任</w:t>
      </w:r>
      <w:r>
        <w:rPr>
          <w:rFonts w:hint="eastAsia" w:ascii="宋体" w:hAnsi="宋体" w:cs="宋体"/>
          <w:b/>
          <w:bCs/>
          <w:color w:val="auto"/>
          <w:sz w:val="24"/>
          <w:highlight w:val="none"/>
        </w:rPr>
        <w:t>。</w:t>
      </w:r>
    </w:p>
    <w:p>
      <w:pPr>
        <w:shd w:val="clear"/>
        <w:spacing w:line="360" w:lineRule="auto"/>
        <w:ind w:firstLine="494" w:firstLineChars="206"/>
        <w:rPr>
          <w:rFonts w:ascii="宋体" w:hAnsi="宋体" w:cs="宋体"/>
          <w:color w:val="auto"/>
          <w:sz w:val="24"/>
          <w:highlight w:val="none"/>
        </w:rPr>
      </w:pPr>
      <w:r>
        <w:rPr>
          <w:rFonts w:hint="eastAsia" w:ascii="宋体" w:hAnsi="宋体" w:cs="宋体"/>
          <w:color w:val="auto"/>
          <w:sz w:val="24"/>
          <w:highlight w:val="none"/>
        </w:rPr>
        <w:t>河南省公共资源交易平台不见面服务系统使用指南（http://www.hnggzy.net/ggfw/004003/20210909/834dab66-d4b5-4fde-b432-57f2a6cfbfed.html）包括不见面服务操作手册-主体库信息（企业资质业绩人员等）补充、不见面服务操作手册-投标响应文件制作（投标人、供应商）、不见面服务操作手册-远程开标（投标人、供应商）、不见面服务操作手册-质疑异议（投标人、供应商）等，各投标人（供应商）一定要仔细研究。</w:t>
      </w:r>
    </w:p>
    <w:p>
      <w:pPr>
        <w:shd w:val="clear"/>
        <w:spacing w:line="360" w:lineRule="auto"/>
        <w:ind w:firstLine="496" w:firstLineChars="206"/>
        <w:jc w:val="left"/>
        <w:rPr>
          <w:rFonts w:ascii="宋体" w:hAnsi="宋体" w:cs="宋体"/>
          <w:b/>
          <w:bCs/>
          <w:color w:val="auto"/>
          <w:sz w:val="24"/>
          <w:highlight w:val="none"/>
        </w:rPr>
      </w:pPr>
      <w:r>
        <w:rPr>
          <w:rFonts w:hint="eastAsia" w:ascii="宋体" w:hAnsi="宋体" w:cs="宋体"/>
          <w:b/>
          <w:bCs/>
          <w:color w:val="auto"/>
          <w:sz w:val="24"/>
          <w:highlight w:val="none"/>
        </w:rPr>
        <w:t>竞争性磋商文件中“个人电子签章”是指个人的电子签名或个人电子章；“企业电子签章”是指企业（或单位）的电子章。</w:t>
      </w:r>
    </w:p>
    <w:p>
      <w:pPr>
        <w:shd w:val="clear"/>
        <w:spacing w:line="360" w:lineRule="auto"/>
        <w:ind w:firstLine="496" w:firstLineChars="206"/>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pPr>
        <w:shd w:val="clear"/>
        <w:spacing w:line="360" w:lineRule="auto"/>
        <w:ind w:firstLine="579" w:firstLineChars="206"/>
        <w:jc w:val="center"/>
        <w:rPr>
          <w:rFonts w:ascii="宋体" w:hAnsi="宋体" w:cs="宋体"/>
          <w:color w:val="auto"/>
          <w:sz w:val="28"/>
          <w:szCs w:val="28"/>
          <w:highlight w:val="none"/>
        </w:rPr>
      </w:pPr>
      <w:r>
        <w:rPr>
          <w:rFonts w:hint="eastAsia" w:ascii="宋体" w:hAnsi="宋体" w:cs="宋体"/>
          <w:b/>
          <w:bCs/>
          <w:color w:val="auto"/>
          <w:sz w:val="28"/>
          <w:szCs w:val="28"/>
          <w:highlight w:val="none"/>
        </w:rPr>
        <w:t>河南省政府采购合同融资政策告知函</w:t>
      </w:r>
    </w:p>
    <w:p>
      <w:pPr>
        <w:shd w:val="clear"/>
        <w:spacing w:line="360" w:lineRule="auto"/>
        <w:ind w:firstLine="494" w:firstLineChars="206"/>
        <w:jc w:val="left"/>
        <w:rPr>
          <w:rFonts w:ascii="宋体" w:hAnsi="宋体" w:cs="宋体"/>
          <w:color w:val="auto"/>
          <w:sz w:val="24"/>
          <w:highlight w:val="none"/>
        </w:rPr>
      </w:pPr>
    </w:p>
    <w:p>
      <w:pPr>
        <w:shd w:val="clear"/>
        <w:spacing w:line="360" w:lineRule="auto"/>
        <w:ind w:firstLine="494" w:firstLineChars="206"/>
        <w:jc w:val="left"/>
        <w:rPr>
          <w:rFonts w:ascii="宋体" w:hAnsi="宋体" w:cs="宋体"/>
          <w:b/>
          <w:bCs/>
          <w:color w:val="auto"/>
          <w:sz w:val="24"/>
          <w:highlight w:val="none"/>
        </w:rPr>
      </w:pPr>
      <w:r>
        <w:rPr>
          <w:rFonts w:hint="eastAsia" w:ascii="宋体" w:hAnsi="宋体" w:cs="宋体"/>
          <w:color w:val="auto"/>
          <w:sz w:val="24"/>
          <w:highlight w:val="none"/>
        </w:rPr>
        <w:t>各供应商： 欢迎贵公司参与河南省政府采购活动! 政府采购合同融资是河南省财政厅支持中小微企业发展，针对参与政府采购活动的供应商融资难、融资贵等问题推出的一项融资政策。贵公司若成为本次政府采购项目的成交供应商，可持政府采购合同向金融机构申请贷款，无需抵押、担保，融资机构将根据《河南省政府采购合同融资工作实施方案》（豫财【2017】10号)，按照双方自愿的原则提供便捷、优惠的贷款服务。 贷款渠道和提供贷款的金融机构，可在河南省政府采购网“河南省政府采购合同融资平台”查询联系。</w:t>
      </w:r>
    </w:p>
    <w:p>
      <w:pPr>
        <w:shd w:val="clear"/>
        <w:spacing w:line="360" w:lineRule="auto"/>
        <w:ind w:firstLine="662" w:firstLineChars="206"/>
        <w:jc w:val="center"/>
        <w:outlineLvl w:val="0"/>
        <w:rPr>
          <w:rFonts w:ascii="宋体" w:hAnsi="宋体" w:cs="宋体"/>
          <w:b/>
          <w:bCs/>
          <w:color w:val="auto"/>
          <w:sz w:val="32"/>
          <w:szCs w:val="32"/>
          <w:highlight w:val="none"/>
        </w:rPr>
        <w:sectPr>
          <w:headerReference r:id="rId6" w:type="default"/>
          <w:footerReference r:id="rId7" w:type="default"/>
          <w:pgSz w:w="11906" w:h="16839"/>
          <w:pgMar w:top="1134" w:right="1134" w:bottom="1134" w:left="1134" w:header="567" w:footer="567" w:gutter="0"/>
          <w:pgNumType w:start="1"/>
          <w:cols w:space="720" w:num="1"/>
        </w:sectPr>
      </w:pPr>
      <w:bookmarkStart w:id="7" w:name="_Toc15507"/>
    </w:p>
    <w:p>
      <w:pPr>
        <w:numPr>
          <w:ilvl w:val="0"/>
          <w:numId w:val="1"/>
        </w:numPr>
        <w:shd w:val="clear"/>
        <w:spacing w:line="360" w:lineRule="auto"/>
        <w:ind w:firstLine="662" w:firstLineChars="206"/>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bookmarkEnd w:id="2"/>
      <w:bookmarkStart w:id="8" w:name="_Toc376188785"/>
      <w:r>
        <w:rPr>
          <w:rFonts w:hint="eastAsia" w:ascii="宋体" w:hAnsi="宋体" w:cs="宋体"/>
          <w:b/>
          <w:bCs/>
          <w:color w:val="auto"/>
          <w:sz w:val="32"/>
          <w:szCs w:val="32"/>
          <w:highlight w:val="none"/>
        </w:rPr>
        <w:t>竞争性磋商公告</w:t>
      </w:r>
      <w:bookmarkEnd w:id="3"/>
      <w:bookmarkEnd w:id="7"/>
      <w:bookmarkEnd w:id="8"/>
    </w:p>
    <w:p>
      <w:pPr>
        <w:shd w:val="clear"/>
        <w:tabs>
          <w:tab w:val="left" w:pos="900"/>
        </w:tabs>
        <w:snapToGrid w:val="0"/>
        <w:spacing w:line="348"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河南司法警官职业学院心理健康教育标准化建设项目</w:t>
      </w:r>
      <w:r>
        <w:rPr>
          <w:rFonts w:hint="eastAsia" w:ascii="宋体" w:hAnsi="宋体" w:cs="宋体"/>
          <w:b/>
          <w:bCs/>
          <w:color w:val="auto"/>
          <w:sz w:val="24"/>
          <w:highlight w:val="none"/>
          <w:lang w:val="en-US" w:eastAsia="zh-CN"/>
        </w:rPr>
        <w:t>-竞争性磋商公告（二次）</w:t>
      </w:r>
    </w:p>
    <w:p>
      <w:pPr>
        <w:pBdr>
          <w:top w:val="single" w:color="auto" w:sz="4" w:space="1"/>
          <w:left w:val="single" w:color="auto" w:sz="4" w:space="4"/>
          <w:bottom w:val="single" w:color="auto" w:sz="4" w:space="1"/>
          <w:right w:val="single" w:color="auto" w:sz="4" w:space="4"/>
        </w:pBd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hd w:val="clear"/>
        <w:spacing w:line="348"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河南司法警官职业学院心理健康教育标准化建设项目采购项目的潜在供应商应登录“河南省公共资源交易中心网站（http://www.hnggzy.net）” 凭单位身份认证锁（CA数字证书）下载获取招标文件</w:t>
      </w:r>
      <w:r>
        <w:rPr>
          <w:rFonts w:hint="eastAsia" w:ascii="宋体" w:hAnsi="宋体" w:cs="宋体"/>
          <w:color w:val="auto"/>
          <w:kern w:val="0"/>
          <w:sz w:val="24"/>
          <w:highlight w:val="none"/>
        </w:rPr>
        <w:t>，</w:t>
      </w:r>
      <w:r>
        <w:rPr>
          <w:rFonts w:hint="eastAsia" w:ascii="宋体" w:hAnsi="宋体" w:cs="宋体"/>
          <w:color w:val="auto"/>
          <w:sz w:val="24"/>
          <w:highlight w:val="none"/>
        </w:rPr>
        <w:t>并于202</w:t>
      </w:r>
      <w:r>
        <w:rPr>
          <w:rFonts w:hint="eastAsia" w:ascii="宋体" w:hAnsi="宋体" w:cs="宋体"/>
          <w:color w:val="auto"/>
          <w:sz w:val="24"/>
          <w:highlight w:val="none"/>
        </w:rPr>
        <w:t>3</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日</w:t>
      </w:r>
      <w:r>
        <w:rPr>
          <w:rFonts w:hint="eastAsia" w:ascii="宋体" w:hAnsi="宋体" w:cs="宋体"/>
          <w:bCs/>
          <w:color w:val="auto"/>
          <w:sz w:val="24"/>
          <w:highlight w:val="none"/>
        </w:rPr>
        <w:t>09时00分（北京时间）前提交响应文件。</w:t>
      </w:r>
    </w:p>
    <w:p>
      <w:pPr>
        <w:shd w:val="clear"/>
        <w:tabs>
          <w:tab w:val="left" w:pos="900"/>
        </w:tabs>
        <w:snapToGrid w:val="0"/>
        <w:spacing w:line="348" w:lineRule="auto"/>
        <w:rPr>
          <w:rFonts w:ascii="宋体" w:hAnsi="宋体" w:cs="宋体"/>
          <w:b/>
          <w:bCs/>
          <w:color w:val="auto"/>
          <w:kern w:val="0"/>
          <w:sz w:val="24"/>
          <w:highlight w:val="none"/>
        </w:rPr>
      </w:pPr>
      <w:r>
        <w:rPr>
          <w:rFonts w:hint="eastAsia" w:ascii="宋体" w:hAnsi="宋体" w:cs="宋体"/>
          <w:b/>
          <w:bCs/>
          <w:color w:val="auto"/>
          <w:sz w:val="24"/>
          <w:highlight w:val="none"/>
        </w:rPr>
        <w:t>一、</w:t>
      </w:r>
      <w:r>
        <w:rPr>
          <w:rFonts w:hint="eastAsia" w:ascii="宋体" w:hAnsi="宋体" w:cs="宋体"/>
          <w:b/>
          <w:bCs/>
          <w:color w:val="auto"/>
          <w:kern w:val="0"/>
          <w:sz w:val="24"/>
          <w:highlight w:val="none"/>
        </w:rPr>
        <w:t>项目基本情况</w:t>
      </w:r>
    </w:p>
    <w:p>
      <w:pPr>
        <w:shd w:val="clear"/>
        <w:tabs>
          <w:tab w:val="left" w:pos="900"/>
        </w:tabs>
        <w:snapToGrid w:val="0"/>
        <w:spacing w:line="348"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kern w:val="0"/>
          <w:sz w:val="24"/>
          <w:highlight w:val="none"/>
        </w:rPr>
        <w:t>项目编号：豫财磋商采购-2023-424</w:t>
      </w:r>
    </w:p>
    <w:p>
      <w:pPr>
        <w:shd w:val="clear"/>
        <w:tabs>
          <w:tab w:val="left" w:pos="900"/>
        </w:tabs>
        <w:snapToGrid w:val="0"/>
        <w:spacing w:line="348" w:lineRule="auto"/>
        <w:rPr>
          <w:rFonts w:ascii="宋体" w:hAnsi="宋体" w:cs="宋体"/>
          <w:color w:val="auto"/>
          <w:sz w:val="24"/>
          <w:highlight w:val="none"/>
        </w:rPr>
      </w:pPr>
      <w:r>
        <w:rPr>
          <w:rFonts w:hint="eastAsia" w:ascii="宋体" w:hAnsi="宋体" w:cs="宋体"/>
          <w:color w:val="auto"/>
          <w:sz w:val="24"/>
          <w:highlight w:val="none"/>
        </w:rPr>
        <w:t>2、项目名称：河南司法警官职业学院心理健康教育标准化建设项目</w:t>
      </w:r>
    </w:p>
    <w:p>
      <w:pPr>
        <w:shd w:val="clear"/>
        <w:tabs>
          <w:tab w:val="left" w:pos="900"/>
        </w:tabs>
        <w:snapToGrid w:val="0"/>
        <w:spacing w:line="348" w:lineRule="auto"/>
        <w:rPr>
          <w:rFonts w:ascii="宋体" w:hAnsi="宋体" w:cs="宋体"/>
          <w:color w:val="auto"/>
          <w:sz w:val="24"/>
          <w:highlight w:val="none"/>
        </w:rPr>
      </w:pPr>
      <w:r>
        <w:rPr>
          <w:rFonts w:hint="eastAsia" w:ascii="宋体" w:hAnsi="宋体" w:cs="宋体"/>
          <w:color w:val="auto"/>
          <w:sz w:val="24"/>
          <w:highlight w:val="none"/>
        </w:rPr>
        <w:t>3、采购方式：竞争性磋商</w:t>
      </w:r>
    </w:p>
    <w:p>
      <w:pPr>
        <w:shd w:val="clear"/>
        <w:tabs>
          <w:tab w:val="left" w:pos="900"/>
        </w:tabs>
        <w:snapToGrid w:val="0"/>
        <w:spacing w:line="348" w:lineRule="auto"/>
        <w:rPr>
          <w:rFonts w:ascii="宋体" w:hAnsi="宋体" w:cs="宋体"/>
          <w:bCs/>
          <w:color w:val="auto"/>
          <w:kern w:val="0"/>
          <w:sz w:val="24"/>
          <w:highlight w:val="none"/>
        </w:rPr>
      </w:pPr>
      <w:r>
        <w:rPr>
          <w:rFonts w:hint="eastAsia" w:ascii="宋体" w:hAnsi="宋体" w:cs="宋体"/>
          <w:bCs/>
          <w:color w:val="auto"/>
          <w:kern w:val="0"/>
          <w:sz w:val="24"/>
          <w:highlight w:val="none"/>
        </w:rPr>
        <w:t>4、预算金额：1400000.00元</w:t>
      </w:r>
    </w:p>
    <w:p>
      <w:pPr>
        <w:pStyle w:val="21"/>
        <w:shd w:val="clear"/>
        <w:spacing w:line="348" w:lineRule="auto"/>
        <w:ind w:firstLine="420" w:firstLineChars="175"/>
        <w:rPr>
          <w:rFonts w:ascii="宋体" w:hAnsi="宋体" w:cs="宋体"/>
          <w:color w:val="auto"/>
          <w:highlight w:val="none"/>
        </w:rPr>
      </w:pPr>
      <w:r>
        <w:rPr>
          <w:rFonts w:hint="eastAsia" w:ascii="宋体" w:hAnsi="宋体" w:cs="宋体"/>
          <w:bCs/>
          <w:color w:val="auto"/>
          <w:kern w:val="0"/>
          <w:sz w:val="24"/>
          <w:szCs w:val="24"/>
          <w:highlight w:val="none"/>
        </w:rPr>
        <w:t>最高限价：1400000.00元</w:t>
      </w:r>
    </w:p>
    <w:tbl>
      <w:tblPr>
        <w:tblStyle w:val="49"/>
        <w:tblW w:w="11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53"/>
        <w:gridCol w:w="2440"/>
        <w:gridCol w:w="1789"/>
        <w:gridCol w:w="1425"/>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80" w:type="dxa"/>
            <w:shd w:val="clear" w:color="auto" w:fill="D7D7D7"/>
            <w:vAlign w:val="center"/>
          </w:tcPr>
          <w:p>
            <w:pPr>
              <w:shd w:val="clear"/>
              <w:tabs>
                <w:tab w:val="left" w:pos="900"/>
              </w:tabs>
              <w:snapToGrid w:val="0"/>
              <w:spacing w:line="348"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853" w:type="dxa"/>
            <w:shd w:val="clear" w:color="auto" w:fill="D7D7D7"/>
            <w:vAlign w:val="center"/>
          </w:tcPr>
          <w:p>
            <w:pPr>
              <w:shd w:val="clear"/>
              <w:tabs>
                <w:tab w:val="left" w:pos="900"/>
              </w:tabs>
              <w:snapToGrid w:val="0"/>
              <w:spacing w:line="348" w:lineRule="auto"/>
              <w:jc w:val="center"/>
              <w:rPr>
                <w:rFonts w:ascii="宋体" w:hAnsi="宋体" w:cs="宋体"/>
                <w:bCs/>
                <w:color w:val="auto"/>
                <w:sz w:val="24"/>
                <w:highlight w:val="none"/>
              </w:rPr>
            </w:pPr>
            <w:r>
              <w:rPr>
                <w:rFonts w:hint="eastAsia" w:ascii="宋体" w:hAnsi="宋体" w:cs="宋体"/>
                <w:bCs/>
                <w:color w:val="auto"/>
                <w:sz w:val="24"/>
                <w:highlight w:val="none"/>
              </w:rPr>
              <w:t>包号</w:t>
            </w:r>
          </w:p>
        </w:tc>
        <w:tc>
          <w:tcPr>
            <w:tcW w:w="2440" w:type="dxa"/>
            <w:shd w:val="clear" w:color="auto" w:fill="D7D7D7"/>
            <w:vAlign w:val="center"/>
          </w:tcPr>
          <w:p>
            <w:pPr>
              <w:shd w:val="clear"/>
              <w:tabs>
                <w:tab w:val="left" w:pos="900"/>
              </w:tabs>
              <w:snapToGrid w:val="0"/>
              <w:spacing w:line="348" w:lineRule="auto"/>
              <w:jc w:val="center"/>
              <w:rPr>
                <w:rFonts w:ascii="宋体" w:hAnsi="宋体" w:cs="宋体"/>
                <w:bCs/>
                <w:color w:val="auto"/>
                <w:sz w:val="24"/>
                <w:highlight w:val="none"/>
              </w:rPr>
            </w:pPr>
            <w:r>
              <w:rPr>
                <w:rFonts w:hint="eastAsia" w:ascii="宋体" w:hAnsi="宋体" w:cs="宋体"/>
                <w:bCs/>
                <w:color w:val="auto"/>
                <w:sz w:val="24"/>
                <w:highlight w:val="none"/>
              </w:rPr>
              <w:t>包名称</w:t>
            </w:r>
          </w:p>
        </w:tc>
        <w:tc>
          <w:tcPr>
            <w:tcW w:w="1789" w:type="dxa"/>
            <w:shd w:val="clear" w:color="auto" w:fill="D7D7D7"/>
            <w:vAlign w:val="center"/>
          </w:tcPr>
          <w:p>
            <w:pPr>
              <w:shd w:val="clear"/>
              <w:tabs>
                <w:tab w:val="left" w:pos="900"/>
              </w:tabs>
              <w:snapToGrid w:val="0"/>
              <w:spacing w:line="348" w:lineRule="auto"/>
              <w:jc w:val="center"/>
              <w:rPr>
                <w:rFonts w:ascii="宋体" w:hAnsi="宋体" w:cs="宋体"/>
                <w:bCs/>
                <w:color w:val="auto"/>
                <w:sz w:val="24"/>
                <w:highlight w:val="none"/>
              </w:rPr>
            </w:pPr>
            <w:r>
              <w:rPr>
                <w:rFonts w:hint="eastAsia" w:ascii="宋体" w:hAnsi="宋体" w:cs="宋体"/>
                <w:bCs/>
                <w:color w:val="auto"/>
                <w:sz w:val="24"/>
                <w:highlight w:val="none"/>
              </w:rPr>
              <w:t>包预算（元）</w:t>
            </w:r>
          </w:p>
        </w:tc>
        <w:tc>
          <w:tcPr>
            <w:tcW w:w="1425" w:type="dxa"/>
            <w:shd w:val="clear" w:color="auto" w:fill="D7D7D7"/>
            <w:vAlign w:val="center"/>
          </w:tcPr>
          <w:p>
            <w:pPr>
              <w:shd w:val="clear"/>
              <w:kinsoku w:val="0"/>
              <w:overflowPunct w:val="0"/>
              <w:autoSpaceDE w:val="0"/>
              <w:autoSpaceDN w:val="0"/>
              <w:adjustRightInd w:val="0"/>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包最高限价（元）</w:t>
            </w:r>
          </w:p>
        </w:tc>
        <w:tc>
          <w:tcPr>
            <w:tcW w:w="1425" w:type="dxa"/>
            <w:shd w:val="clear" w:color="auto" w:fill="D7D7D7"/>
            <w:vAlign w:val="center"/>
          </w:tcPr>
          <w:p>
            <w:pPr>
              <w:kinsoku w:val="0"/>
              <w:overflowPunct w:val="0"/>
              <w:autoSpaceDE w:val="0"/>
              <w:autoSpaceDN w:val="0"/>
              <w:adjustRightInd w:val="0"/>
              <w:snapToGrid w:val="0"/>
              <w:spacing w:line="348" w:lineRule="auto"/>
              <w:jc w:val="center"/>
              <w:rPr>
                <w:rFonts w:hint="eastAsia" w:ascii="宋体" w:hAnsi="宋体" w:cs="宋体"/>
                <w:color w:val="auto"/>
                <w:sz w:val="24"/>
                <w:highlight w:val="none"/>
              </w:rPr>
            </w:pPr>
            <w:r>
              <w:rPr>
                <w:rFonts w:hint="eastAsia" w:ascii="宋体" w:hAnsi="宋体" w:cs="宋体"/>
                <w:color w:val="auto"/>
                <w:sz w:val="24"/>
              </w:rPr>
              <w:t>是否专门面向中小企业</w:t>
            </w:r>
            <w:r>
              <w:rPr>
                <w:rFonts w:hint="eastAsia" w:ascii="宋体" w:hAnsi="宋体" w:cs="宋体"/>
                <w:color w:val="auto"/>
                <w:sz w:val="24"/>
              </w:rPr>
              <w:tab/>
            </w:r>
          </w:p>
        </w:tc>
        <w:tc>
          <w:tcPr>
            <w:tcW w:w="1425" w:type="dxa"/>
            <w:shd w:val="clear" w:color="auto" w:fill="D7D7D7"/>
            <w:vAlign w:val="center"/>
          </w:tcPr>
          <w:p>
            <w:pPr>
              <w:kinsoku w:val="0"/>
              <w:overflowPunct w:val="0"/>
              <w:autoSpaceDE w:val="0"/>
              <w:autoSpaceDN w:val="0"/>
              <w:adjustRightInd w:val="0"/>
              <w:snapToGrid w:val="0"/>
              <w:spacing w:line="348" w:lineRule="auto"/>
              <w:jc w:val="center"/>
              <w:rPr>
                <w:rFonts w:hint="eastAsia" w:ascii="宋体" w:hAnsi="宋体" w:cs="宋体"/>
                <w:color w:val="auto"/>
                <w:sz w:val="24"/>
                <w:highlight w:val="none"/>
              </w:rPr>
            </w:pPr>
            <w:r>
              <w:rPr>
                <w:rFonts w:hint="eastAsia" w:ascii="宋体" w:hAnsi="宋体" w:cs="宋体"/>
                <w:color w:val="auto"/>
                <w:sz w:val="24"/>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680" w:type="dxa"/>
            <w:vAlign w:val="center"/>
          </w:tcPr>
          <w:p>
            <w:pPr>
              <w:shd w:val="clear"/>
              <w:kinsoku w:val="0"/>
              <w:overflowPunct w:val="0"/>
              <w:autoSpaceDE w:val="0"/>
              <w:autoSpaceDN w:val="0"/>
              <w:adjustRightInd w:val="0"/>
              <w:snapToGrid w:val="0"/>
              <w:spacing w:line="348"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853" w:type="dxa"/>
            <w:vAlign w:val="center"/>
          </w:tcPr>
          <w:p>
            <w:pPr>
              <w:shd w:val="clear"/>
              <w:tabs>
                <w:tab w:val="left" w:pos="900"/>
              </w:tabs>
              <w:snapToGrid w:val="0"/>
              <w:spacing w:line="348" w:lineRule="auto"/>
              <w:jc w:val="center"/>
              <w:rPr>
                <w:rFonts w:ascii="宋体" w:hAnsi="宋体" w:cs="宋体"/>
                <w:bCs/>
                <w:color w:val="auto"/>
                <w:sz w:val="24"/>
                <w:highlight w:val="none"/>
              </w:rPr>
            </w:pPr>
            <w:r>
              <w:rPr>
                <w:rFonts w:hint="eastAsia" w:ascii="宋体" w:hAnsi="宋体" w:cs="宋体"/>
                <w:bCs/>
                <w:color w:val="auto"/>
                <w:sz w:val="24"/>
                <w:highlight w:val="none"/>
              </w:rPr>
              <w:t>豫政采(2)20230730-1</w:t>
            </w:r>
          </w:p>
        </w:tc>
        <w:tc>
          <w:tcPr>
            <w:tcW w:w="2440" w:type="dxa"/>
            <w:vAlign w:val="center"/>
          </w:tcPr>
          <w:p>
            <w:pPr>
              <w:shd w:val="clear"/>
              <w:tabs>
                <w:tab w:val="left" w:pos="900"/>
              </w:tabs>
              <w:snapToGrid w:val="0"/>
              <w:spacing w:line="348" w:lineRule="auto"/>
              <w:jc w:val="center"/>
              <w:rPr>
                <w:rFonts w:ascii="宋体" w:hAnsi="宋体" w:cs="宋体"/>
                <w:bCs/>
                <w:color w:val="auto"/>
                <w:sz w:val="24"/>
                <w:highlight w:val="none"/>
              </w:rPr>
            </w:pPr>
            <w:r>
              <w:rPr>
                <w:rFonts w:hint="eastAsia" w:ascii="宋体" w:hAnsi="宋体" w:cs="宋体"/>
                <w:bCs/>
                <w:color w:val="auto"/>
                <w:sz w:val="24"/>
                <w:highlight w:val="none"/>
              </w:rPr>
              <w:t>河南司法警官职业学院心理健康教育标准化建设项目</w:t>
            </w:r>
          </w:p>
        </w:tc>
        <w:tc>
          <w:tcPr>
            <w:tcW w:w="1789" w:type="dxa"/>
            <w:vAlign w:val="center"/>
          </w:tcPr>
          <w:p>
            <w:pPr>
              <w:shd w:val="clear"/>
              <w:tabs>
                <w:tab w:val="left" w:pos="900"/>
              </w:tabs>
              <w:snapToGrid w:val="0"/>
              <w:spacing w:line="348" w:lineRule="auto"/>
              <w:jc w:val="center"/>
              <w:rPr>
                <w:rFonts w:ascii="宋体" w:hAnsi="宋体" w:cs="宋体"/>
                <w:bCs/>
                <w:color w:val="auto"/>
                <w:sz w:val="24"/>
                <w:highlight w:val="none"/>
              </w:rPr>
            </w:pPr>
            <w:r>
              <w:rPr>
                <w:rFonts w:hint="eastAsia" w:ascii="宋体" w:hAnsi="宋体" w:cs="宋体"/>
                <w:bCs/>
                <w:color w:val="auto"/>
                <w:sz w:val="24"/>
                <w:highlight w:val="none"/>
              </w:rPr>
              <w:t>1400000.00</w:t>
            </w:r>
          </w:p>
        </w:tc>
        <w:tc>
          <w:tcPr>
            <w:tcW w:w="1425" w:type="dxa"/>
            <w:vAlign w:val="center"/>
          </w:tcPr>
          <w:p>
            <w:pPr>
              <w:shd w:val="clear"/>
              <w:kinsoku w:val="0"/>
              <w:overflowPunct w:val="0"/>
              <w:autoSpaceDE w:val="0"/>
              <w:autoSpaceDN w:val="0"/>
              <w:adjustRightInd w:val="0"/>
              <w:snapToGrid w:val="0"/>
              <w:spacing w:line="348" w:lineRule="auto"/>
              <w:jc w:val="center"/>
              <w:rPr>
                <w:rFonts w:ascii="宋体" w:hAnsi="宋体" w:cs="宋体"/>
                <w:color w:val="auto"/>
                <w:sz w:val="24"/>
                <w:highlight w:val="none"/>
              </w:rPr>
            </w:pPr>
            <w:r>
              <w:rPr>
                <w:rFonts w:hint="eastAsia" w:ascii="宋体" w:hAnsi="宋体" w:cs="宋体"/>
                <w:bCs/>
                <w:color w:val="auto"/>
                <w:kern w:val="0"/>
                <w:sz w:val="24"/>
                <w:highlight w:val="none"/>
              </w:rPr>
              <w:t>1400000.00</w:t>
            </w:r>
          </w:p>
        </w:tc>
        <w:tc>
          <w:tcPr>
            <w:tcW w:w="1425" w:type="dxa"/>
            <w:vAlign w:val="center"/>
          </w:tcPr>
          <w:p>
            <w:pPr>
              <w:kinsoku w:val="0"/>
              <w:overflowPunct w:val="0"/>
              <w:autoSpaceDE w:val="0"/>
              <w:autoSpaceDN w:val="0"/>
              <w:adjustRightInd w:val="0"/>
              <w:snapToGrid w:val="0"/>
              <w:spacing w:line="348" w:lineRule="auto"/>
              <w:jc w:val="center"/>
              <w:rPr>
                <w:rFonts w:hint="eastAsia" w:ascii="宋体" w:hAnsi="宋体" w:cs="宋体"/>
                <w:bCs/>
                <w:color w:val="auto"/>
                <w:kern w:val="0"/>
                <w:sz w:val="24"/>
                <w:highlight w:val="none"/>
              </w:rPr>
            </w:pPr>
            <w:r>
              <w:rPr>
                <w:rFonts w:hint="eastAsia" w:ascii="宋体" w:hAnsi="宋体" w:cs="宋体"/>
                <w:bCs/>
                <w:color w:val="auto"/>
                <w:kern w:val="0"/>
                <w:sz w:val="24"/>
              </w:rPr>
              <w:t>是</w:t>
            </w:r>
          </w:p>
        </w:tc>
        <w:tc>
          <w:tcPr>
            <w:tcW w:w="1425" w:type="dxa"/>
            <w:vAlign w:val="center"/>
          </w:tcPr>
          <w:p>
            <w:pPr>
              <w:kinsoku w:val="0"/>
              <w:overflowPunct w:val="0"/>
              <w:autoSpaceDE w:val="0"/>
              <w:autoSpaceDN w:val="0"/>
              <w:adjustRightInd w:val="0"/>
              <w:snapToGrid w:val="0"/>
              <w:spacing w:line="348"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1400000.00</w:t>
            </w:r>
          </w:p>
        </w:tc>
      </w:tr>
    </w:tbl>
    <w:p>
      <w:pPr>
        <w:numPr>
          <w:ilvl w:val="0"/>
          <w:numId w:val="2"/>
        </w:numPr>
        <w:shd w:val="clear"/>
        <w:tabs>
          <w:tab w:val="left" w:pos="900"/>
        </w:tabs>
        <w:snapToGrid w:val="0"/>
        <w:spacing w:line="348" w:lineRule="auto"/>
        <w:rPr>
          <w:rFonts w:ascii="宋体" w:hAnsi="宋体" w:cs="宋体"/>
          <w:bCs/>
          <w:color w:val="auto"/>
          <w:kern w:val="0"/>
          <w:sz w:val="24"/>
          <w:highlight w:val="none"/>
        </w:rPr>
      </w:pPr>
      <w:r>
        <w:rPr>
          <w:rFonts w:hint="eastAsia" w:ascii="宋体" w:hAnsi="宋体" w:cs="宋体"/>
          <w:bCs/>
          <w:color w:val="auto"/>
          <w:kern w:val="0"/>
          <w:sz w:val="24"/>
          <w:highlight w:val="none"/>
        </w:rPr>
        <w:t>采购需求（包括但不限于标的的名称、数量、简要技术需求或服务要求等）</w:t>
      </w:r>
    </w:p>
    <w:p>
      <w:pPr>
        <w:shd w:val="clear"/>
        <w:tabs>
          <w:tab w:val="left" w:pos="900"/>
        </w:tabs>
        <w:snapToGrid w:val="0"/>
        <w:spacing w:line="348" w:lineRule="auto"/>
        <w:ind w:left="420"/>
        <w:rPr>
          <w:rFonts w:ascii="宋体" w:hAnsi="宋体" w:cs="宋体"/>
          <w:color w:val="auto"/>
          <w:sz w:val="24"/>
          <w:highlight w:val="none"/>
        </w:rPr>
      </w:pPr>
      <w:r>
        <w:rPr>
          <w:rFonts w:hint="eastAsia" w:ascii="宋体" w:hAnsi="宋体" w:cs="宋体"/>
          <w:color w:val="auto"/>
          <w:sz w:val="24"/>
          <w:highlight w:val="none"/>
        </w:rPr>
        <w:t>5.1采购内容：</w:t>
      </w:r>
    </w:p>
    <w:tbl>
      <w:tblPr>
        <w:tblStyle w:val="49"/>
        <w:tblW w:w="4708" w:type="pct"/>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5211"/>
        <w:gridCol w:w="1206"/>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D7D7D7" w:themeFill="background1" w:themeFillShade="D8"/>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序号</w:t>
            </w:r>
          </w:p>
        </w:tc>
        <w:tc>
          <w:tcPr>
            <w:tcW w:w="3015" w:type="pct"/>
            <w:shd w:val="clear" w:color="auto" w:fill="D7D7D7" w:themeFill="background1" w:themeFillShade="D8"/>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698" w:type="pct"/>
            <w:shd w:val="clear" w:color="auto" w:fill="D7D7D7" w:themeFill="background1" w:themeFillShade="D8"/>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数量</w:t>
            </w:r>
          </w:p>
        </w:tc>
        <w:tc>
          <w:tcPr>
            <w:tcW w:w="763" w:type="pct"/>
            <w:shd w:val="clear" w:color="auto" w:fill="D7D7D7" w:themeFill="background1" w:themeFillShade="D8"/>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心理危机干预管理平台</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心理信箱</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办公桌椅</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饮水机</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心理挂图</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28</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接待组合沙发</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7</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长条茶几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8</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预约接待室功能改造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9</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档案柜</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10</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办公桌椅</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11</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配套辅助设备</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12</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心理测评室基础改造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13</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个体咨询沙发</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14</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房树人心理测验系统</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无声挂钟</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12</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16</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个体辅导室1基础改造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17</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智能身心反馈系统</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18</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智能身心反馈放松室基础改造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19</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体感音波治疗床</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20</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音乐放松室基础改造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21</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定制造型书柜</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22</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瑜伽垫、瑜伽砖</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23</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积极心理体验中心基础改造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24</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心理剧多媒体设备</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25</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心理剧器材箱</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26</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配套桌椅</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27</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心理影视工作坊基础改造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28</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个体咨询沙发</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29</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个体辅导室2基础改造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心理沙盘成套系统</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31</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3D电子心理沙盘系统</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32</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凳子</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bookmarkStart w:id="904" w:name="_GoBack"/>
            <w:r>
              <w:rPr>
                <w:rFonts w:hint="eastAsia" w:ascii="宋体" w:hAnsi="宋体" w:cs="宋体"/>
                <w:color w:val="auto"/>
                <w:sz w:val="24"/>
                <w:highlight w:val="none"/>
              </w:rPr>
              <w:t>33</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团体沙盘游戏室基础改造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bookmarkEnd w:id="9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34</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智能击打呐喊宣泄系统</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35</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智能互动宣泄仪</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36</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VR心理动感单车</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37</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VR心理辅导系统</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38</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宣泄软包</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39</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综合素质训练室基础改造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40</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团体心理活动箱</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41</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团体活动桌</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42</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素质拓展训练箱</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43</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旋转催眠仪</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44</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摇摆催眠仪</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45</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智能触控一体机</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46</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中心网站建设服务</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47</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团体活动室基础改造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48</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中心文化墙制作</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49</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中心路标指示牌</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50</w:t>
            </w:r>
          </w:p>
        </w:tc>
        <w:tc>
          <w:tcPr>
            <w:tcW w:w="301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宣传定制大字</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51</w:t>
            </w:r>
          </w:p>
        </w:tc>
        <w:tc>
          <w:tcPr>
            <w:tcW w:w="3015"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走廊文化创设</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2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52</w:t>
            </w:r>
          </w:p>
        </w:tc>
        <w:tc>
          <w:tcPr>
            <w:tcW w:w="3015"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二级辅导站基础改造</w:t>
            </w:r>
          </w:p>
        </w:tc>
        <w:tc>
          <w:tcPr>
            <w:tcW w:w="69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w:t>
            </w:r>
          </w:p>
        </w:tc>
        <w:tc>
          <w:tcPr>
            <w:tcW w:w="763"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项</w:t>
            </w:r>
          </w:p>
        </w:tc>
      </w:tr>
    </w:tbl>
    <w:p>
      <w:pPr>
        <w:shd w:val="clear"/>
        <w:tabs>
          <w:tab w:val="left" w:pos="900"/>
        </w:tabs>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注：包括供货、运输、保险、装卸、安装、检测、调试、试运行、验收交付售后保修及相关伴随服务等。</w:t>
      </w:r>
    </w:p>
    <w:p>
      <w:pPr>
        <w:shd w:val="clear"/>
        <w:tabs>
          <w:tab w:val="left" w:pos="900"/>
        </w:tabs>
        <w:snapToGrid w:val="0"/>
        <w:spacing w:line="348" w:lineRule="auto"/>
        <w:ind w:left="420"/>
        <w:rPr>
          <w:rFonts w:ascii="宋体" w:hAnsi="宋体" w:cs="宋体"/>
          <w:color w:val="auto"/>
          <w:sz w:val="24"/>
          <w:highlight w:val="none"/>
        </w:rPr>
      </w:pPr>
      <w:r>
        <w:rPr>
          <w:rFonts w:hint="eastAsia" w:ascii="宋体" w:hAnsi="宋体" w:cs="宋体"/>
          <w:color w:val="auto"/>
          <w:sz w:val="24"/>
          <w:highlight w:val="none"/>
        </w:rPr>
        <w:t>5.2 质量标准：供应商所投报货物必须满足国家相关强制性规定、国家标准、行业标准或地方标准等。</w:t>
      </w:r>
    </w:p>
    <w:p>
      <w:pPr>
        <w:shd w:val="clear"/>
        <w:tabs>
          <w:tab w:val="left" w:pos="900"/>
        </w:tabs>
        <w:snapToGrid w:val="0"/>
        <w:spacing w:line="348" w:lineRule="auto"/>
        <w:ind w:firstLine="408" w:firstLineChars="170"/>
        <w:rPr>
          <w:rFonts w:ascii="宋体" w:hAnsi="宋体" w:cs="宋体"/>
          <w:color w:val="auto"/>
          <w:sz w:val="24"/>
          <w:highlight w:val="none"/>
        </w:rPr>
      </w:pPr>
      <w:r>
        <w:rPr>
          <w:rFonts w:hint="eastAsia" w:ascii="宋体" w:hAnsi="宋体" w:cs="宋体"/>
          <w:color w:val="auto"/>
          <w:sz w:val="24"/>
          <w:highlight w:val="none"/>
        </w:rPr>
        <w:t>5.3 交货期：签订合同后60 日历天内交付使用。</w:t>
      </w:r>
    </w:p>
    <w:p>
      <w:pPr>
        <w:shd w:val="clear"/>
        <w:tabs>
          <w:tab w:val="left" w:pos="900"/>
        </w:tabs>
        <w:snapToGrid w:val="0"/>
        <w:spacing w:line="348" w:lineRule="auto"/>
        <w:ind w:left="420"/>
        <w:rPr>
          <w:rFonts w:ascii="宋体" w:hAnsi="宋体" w:cs="宋体"/>
          <w:color w:val="auto"/>
          <w:sz w:val="24"/>
          <w:highlight w:val="none"/>
        </w:rPr>
      </w:pPr>
      <w:r>
        <w:rPr>
          <w:rFonts w:hint="eastAsia" w:ascii="宋体" w:hAnsi="宋体" w:cs="宋体"/>
          <w:color w:val="auto"/>
          <w:sz w:val="24"/>
          <w:highlight w:val="none"/>
        </w:rPr>
        <w:t>5.4 质量保证期：3年（其中：中心网站的售后服务6个月）。</w:t>
      </w:r>
    </w:p>
    <w:p>
      <w:pPr>
        <w:shd w:val="clear"/>
        <w:tabs>
          <w:tab w:val="left" w:pos="900"/>
        </w:tabs>
        <w:snapToGrid w:val="0"/>
        <w:spacing w:line="348" w:lineRule="auto"/>
        <w:rPr>
          <w:rFonts w:ascii="宋体" w:hAnsi="宋体" w:cs="宋体"/>
          <w:color w:val="auto"/>
          <w:sz w:val="24"/>
          <w:highlight w:val="none"/>
        </w:rPr>
      </w:pPr>
      <w:r>
        <w:rPr>
          <w:rFonts w:hint="eastAsia" w:ascii="宋体" w:hAnsi="宋体" w:cs="宋体"/>
          <w:color w:val="auto"/>
          <w:sz w:val="24"/>
          <w:highlight w:val="none"/>
        </w:rPr>
        <w:t>6、合同履行期限：自合同生效起至质保期结束</w:t>
      </w:r>
      <w:r>
        <w:rPr>
          <w:rFonts w:hint="eastAsia" w:ascii="宋体" w:hAnsi="宋体" w:cs="宋体"/>
          <w:color w:val="auto"/>
          <w:highlight w:val="none"/>
        </w:rPr>
        <w:t>。</w:t>
      </w:r>
    </w:p>
    <w:p>
      <w:pPr>
        <w:shd w:val="clear"/>
        <w:tabs>
          <w:tab w:val="left" w:pos="900"/>
        </w:tabs>
        <w:snapToGrid w:val="0"/>
        <w:spacing w:line="348" w:lineRule="auto"/>
        <w:rPr>
          <w:rFonts w:ascii="宋体" w:hAnsi="宋体" w:cs="宋体"/>
          <w:color w:val="auto"/>
          <w:sz w:val="24"/>
          <w:highlight w:val="none"/>
        </w:rPr>
      </w:pPr>
      <w:r>
        <w:rPr>
          <w:rFonts w:hint="eastAsia" w:ascii="宋体" w:hAnsi="宋体" w:cs="宋体"/>
          <w:color w:val="auto"/>
          <w:sz w:val="24"/>
          <w:highlight w:val="none"/>
        </w:rPr>
        <w:t>7、本项目是否接受联合体投标：否</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8、是否接受进口产品：否</w:t>
      </w:r>
    </w:p>
    <w:p>
      <w:pPr>
        <w:shd w:val="clear"/>
        <w:spacing w:line="34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9、是否专门面向中小企业采购：</w:t>
      </w:r>
      <w:r>
        <w:rPr>
          <w:rFonts w:hint="eastAsia" w:ascii="宋体" w:hAnsi="宋体" w:cs="宋体"/>
          <w:color w:val="auto"/>
          <w:sz w:val="24"/>
          <w:highlight w:val="none"/>
          <w:lang w:eastAsia="zh-CN"/>
        </w:rPr>
        <w:t>是</w:t>
      </w:r>
    </w:p>
    <w:p>
      <w:pPr>
        <w:shd w:val="clear"/>
        <w:tabs>
          <w:tab w:val="left" w:pos="900"/>
        </w:tabs>
        <w:snapToGrid w:val="0"/>
        <w:spacing w:line="348" w:lineRule="auto"/>
        <w:rPr>
          <w:rFonts w:ascii="宋体" w:hAnsi="宋体" w:cs="宋体"/>
          <w:b/>
          <w:bCs/>
          <w:color w:val="auto"/>
          <w:sz w:val="24"/>
          <w:highlight w:val="none"/>
        </w:rPr>
      </w:pPr>
      <w:bookmarkStart w:id="9" w:name="_Toc35393622"/>
      <w:bookmarkStart w:id="10" w:name="_Toc28359003"/>
      <w:bookmarkStart w:id="11" w:name="_Toc28359080"/>
      <w:bookmarkStart w:id="12" w:name="_Toc35393791"/>
      <w:r>
        <w:rPr>
          <w:rFonts w:hint="eastAsia" w:ascii="宋体" w:hAnsi="宋体" w:cs="宋体"/>
          <w:b/>
          <w:bCs/>
          <w:color w:val="auto"/>
          <w:sz w:val="24"/>
          <w:highlight w:val="none"/>
        </w:rPr>
        <w:t>二、申请人资格要求：</w:t>
      </w:r>
      <w:bookmarkEnd w:id="9"/>
      <w:bookmarkEnd w:id="10"/>
      <w:bookmarkEnd w:id="11"/>
      <w:bookmarkEnd w:id="12"/>
    </w:p>
    <w:p>
      <w:pPr>
        <w:shd w:val="clear"/>
        <w:spacing w:line="348" w:lineRule="auto"/>
        <w:jc w:val="left"/>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2、落实政府采购政策满足的资格要求：本项目专门面向中小企业采购，供应商须为中小微企业、监狱企业或残疾人福利性单位。</w:t>
      </w:r>
    </w:p>
    <w:p>
      <w:pPr>
        <w:shd w:val="clear"/>
        <w:spacing w:line="348" w:lineRule="auto"/>
        <w:jc w:val="left"/>
        <w:rPr>
          <w:rFonts w:ascii="宋体" w:hAnsi="宋体" w:cs="宋体"/>
          <w:color w:val="auto"/>
          <w:sz w:val="24"/>
          <w:highlight w:val="none"/>
        </w:rPr>
      </w:pPr>
      <w:r>
        <w:rPr>
          <w:rFonts w:hint="eastAsia" w:ascii="宋体" w:hAnsi="宋体" w:cs="宋体"/>
          <w:color w:val="auto"/>
          <w:sz w:val="24"/>
          <w:highlight w:val="none"/>
        </w:rPr>
        <w:t>3、本项目的特定资格要求：</w:t>
      </w:r>
    </w:p>
    <w:p>
      <w:pPr>
        <w:shd w:val="clear"/>
        <w:spacing w:line="348"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根据《关于在政府采购活动中查询及使用信用记录有关问题的通知》(财库[2016]125号)的规定，对列入失信被执行人、重大税收违法失信主体、政府采购严重违法失信行为记录名单的供应商，拒绝参与本项目政府采购活动；采购人或代理机构查询渠道：通过“信用中国”网站（http://www.creditchina.gov.cn/）“信用服务”→“失信被执行人”→跳转至“中国执行信息公开网（http://zxgk.court.gov.cn/shixin/）”查询企业，通过“信用中国”网站（http://www.creditchina.gov.cn/）“信用服务”→“重大税收违法失信主体”查询企业，通过“中国政府采购网”网站（www.ccgp.gov.cn）中查询“政府采购严重违法；</w:t>
      </w:r>
    </w:p>
    <w:p>
      <w:pPr>
        <w:shd w:val="clear"/>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3.2单位负责人为同一人或者存在直接控股、管理关系的不同供应商（投标人），不得参加同一合同项下的政府采购活动。供应商（投标人）需出具承诺函，格式自拟。</w:t>
      </w:r>
    </w:p>
    <w:p>
      <w:pPr>
        <w:pStyle w:val="227"/>
        <w:shd w:val="clear"/>
        <w:spacing w:line="360" w:lineRule="auto"/>
        <w:ind w:firstLine="420" w:firstLineChars="175"/>
        <w:rPr>
          <w:color w:val="auto"/>
          <w:highlight w:val="none"/>
        </w:rPr>
      </w:pPr>
      <w:r>
        <w:rPr>
          <w:rFonts w:hint="eastAsia" w:ascii="宋体" w:hAnsi="宋体" w:cs="宋体"/>
          <w:color w:val="auto"/>
          <w:sz w:val="24"/>
          <w:highlight w:val="none"/>
          <w:lang w:val="en-US" w:eastAsia="zh-CN"/>
        </w:rPr>
        <w:t>3.3</w:t>
      </w:r>
      <w:r>
        <w:rPr>
          <w:rFonts w:hint="eastAsia"/>
          <w:color w:val="auto"/>
          <w:highlight w:val="none"/>
        </w:rPr>
        <w:t xml:space="preserve">本项目为专门面向中小企业的项目，中小企业划分按照《国家统计局关于印发&lt;统计上大中小微型企业划分办法（2017）&gt;的通知》国统字〔2017〕213 号文件及《工业和信息化部、国家统计局、国家发展和改革委员会、财政部关于印发&lt;中小企业划型标准规定&gt;的通知》（工信部联企业[2011]300 号）规定的划分标准为依据。《财政部民政部中国残疾人联合会关于促进残疾人就业政府采购政策的通知》（财库〔2017〕 141 号）的规定属于残疾人福利性单位的和属于监狱企业的（由省级以上监狱管理局、戒毒管理局（含新疆生产建设兵团）出具的属于 监狱企业的证明文件）的视为中小企业。 </w:t>
      </w:r>
    </w:p>
    <w:p>
      <w:pPr>
        <w:pStyle w:val="227"/>
        <w:shd w:val="clear"/>
        <w:spacing w:line="360" w:lineRule="auto"/>
        <w:ind w:firstLine="420" w:firstLineChars="175"/>
        <w:rPr>
          <w:color w:val="auto"/>
          <w:highlight w:val="none"/>
        </w:rPr>
      </w:pPr>
      <w:r>
        <w:rPr>
          <w:rFonts w:hint="eastAsia"/>
          <w:color w:val="auto"/>
          <w:highlight w:val="none"/>
        </w:rPr>
        <w:t xml:space="preserve">说明： </w:t>
      </w:r>
    </w:p>
    <w:p>
      <w:pPr>
        <w:pStyle w:val="227"/>
        <w:shd w:val="clear"/>
        <w:spacing w:line="360" w:lineRule="auto"/>
        <w:ind w:firstLine="420" w:firstLineChars="175"/>
        <w:rPr>
          <w:color w:val="auto"/>
          <w:highlight w:val="none"/>
        </w:rPr>
      </w:pPr>
      <w:r>
        <w:rPr>
          <w:rFonts w:hint="eastAsia"/>
          <w:color w:val="auto"/>
          <w:highlight w:val="none"/>
        </w:rPr>
        <w:t xml:space="preserve">（1）投标货物由中小企业制造，即货物由中小企业生产且使用该中小企业商号或者注册商标的视为中小企业。大型企业提供小微企业制造的货物视同为小微企业。 </w:t>
      </w:r>
    </w:p>
    <w:p>
      <w:pPr>
        <w:pStyle w:val="227"/>
        <w:shd w:val="clear"/>
        <w:spacing w:line="360" w:lineRule="auto"/>
        <w:ind w:firstLine="420" w:firstLineChars="175"/>
        <w:rPr>
          <w:color w:val="auto"/>
          <w:highlight w:val="none"/>
        </w:rPr>
      </w:pPr>
      <w:r>
        <w:rPr>
          <w:rFonts w:hint="eastAsia"/>
          <w:color w:val="auto"/>
          <w:highlight w:val="none"/>
        </w:rPr>
        <w:t xml:space="preserve">（2）在工程采购项目中，工程由中小企业承建，即工程施工单位为中小企业，即为中小企业。 </w:t>
      </w:r>
    </w:p>
    <w:p>
      <w:pPr>
        <w:pStyle w:val="227"/>
        <w:shd w:val="clear"/>
        <w:spacing w:line="360" w:lineRule="auto"/>
        <w:ind w:firstLine="420" w:firstLineChars="175"/>
        <w:rPr>
          <w:rFonts w:hint="eastAsia" w:ascii="宋体" w:hAnsi="宋体" w:cs="宋体"/>
          <w:color w:val="auto"/>
          <w:sz w:val="24"/>
          <w:highlight w:val="none"/>
          <w:lang w:val="en-US" w:eastAsia="zh-CN"/>
        </w:rPr>
      </w:pPr>
      <w:r>
        <w:rPr>
          <w:rFonts w:hint="eastAsia"/>
          <w:color w:val="auto"/>
          <w:highlight w:val="none"/>
        </w:rPr>
        <w:t>（3）在服务采购项目中，服务由中小企业承接，即提供服务的人员为中小企业依照《中华人民共和国劳动合同法》订立劳动合同的从业人员，视为中小企业。</w:t>
      </w:r>
    </w:p>
    <w:p>
      <w:pPr>
        <w:widowControl/>
        <w:shd w:val="clear"/>
        <w:spacing w:line="348" w:lineRule="auto"/>
        <w:jc w:val="left"/>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p>
    <w:p>
      <w:pPr>
        <w:widowControl/>
        <w:shd w:val="clear"/>
        <w:spacing w:line="348" w:lineRule="auto"/>
        <w:jc w:val="left"/>
        <w:rPr>
          <w:rFonts w:ascii="宋体" w:hAnsi="宋体" w:cs="宋体"/>
          <w:color w:val="auto"/>
          <w:sz w:val="24"/>
          <w:highlight w:val="none"/>
        </w:rPr>
      </w:pPr>
      <w:r>
        <w:rPr>
          <w:rFonts w:hint="eastAsia" w:ascii="宋体" w:hAnsi="宋体" w:cs="宋体"/>
          <w:color w:val="auto"/>
          <w:sz w:val="24"/>
          <w:highlight w:val="none"/>
        </w:rPr>
        <w:t>1.时间：2023年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日</w:t>
      </w:r>
      <w:r>
        <w:rPr>
          <w:rFonts w:hint="eastAsia" w:ascii="宋体" w:hAnsi="宋体" w:cs="宋体"/>
          <w:color w:val="auto"/>
          <w:sz w:val="24"/>
          <w:highlight w:val="none"/>
        </w:rPr>
        <w:t>至</w:t>
      </w:r>
      <w:r>
        <w:rPr>
          <w:rFonts w:hint="eastAsia" w:ascii="宋体" w:hAnsi="宋体" w:cs="宋体"/>
          <w:color w:val="auto"/>
          <w:sz w:val="24"/>
          <w:highlight w:val="none"/>
        </w:rPr>
        <w:t>2023年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w:t>
      </w:r>
      <w:r>
        <w:rPr>
          <w:rFonts w:hint="eastAsia" w:ascii="宋体" w:hAnsi="宋体" w:cs="宋体"/>
          <w:color w:val="auto"/>
          <w:sz w:val="24"/>
          <w:highlight w:val="none"/>
        </w:rPr>
        <w:t>每天上午00:00至12:00，下午12:00至23:59（北京时间，法定节假日除外。）</w:t>
      </w:r>
    </w:p>
    <w:p>
      <w:pPr>
        <w:widowControl/>
        <w:shd w:val="clear"/>
        <w:spacing w:line="348" w:lineRule="auto"/>
        <w:jc w:val="left"/>
        <w:rPr>
          <w:rFonts w:ascii="宋体" w:hAnsi="宋体" w:cs="宋体"/>
          <w:color w:val="auto"/>
          <w:sz w:val="24"/>
          <w:highlight w:val="none"/>
        </w:rPr>
      </w:pPr>
      <w:r>
        <w:rPr>
          <w:rFonts w:hint="eastAsia" w:ascii="宋体" w:hAnsi="宋体" w:cs="宋体"/>
          <w:color w:val="auto"/>
          <w:sz w:val="24"/>
          <w:highlight w:val="none"/>
        </w:rPr>
        <w:t>2.地点：登录河南省公共资源交易中心（http://www.hnggzy.net/）。</w:t>
      </w:r>
    </w:p>
    <w:p>
      <w:pPr>
        <w:widowControl/>
        <w:shd w:val="clear"/>
        <w:spacing w:line="348" w:lineRule="auto"/>
        <w:jc w:val="left"/>
        <w:rPr>
          <w:rFonts w:ascii="宋体" w:hAnsi="宋体" w:cs="宋体"/>
          <w:color w:val="auto"/>
          <w:sz w:val="24"/>
          <w:highlight w:val="none"/>
        </w:rPr>
      </w:pPr>
      <w:r>
        <w:rPr>
          <w:rFonts w:hint="eastAsia" w:ascii="宋体" w:hAnsi="宋体" w:cs="宋体"/>
          <w:color w:val="auto"/>
          <w:sz w:val="24"/>
          <w:highlight w:val="none"/>
        </w:rPr>
        <w:t>3.方式：凭CA密钥市场主体登录并在规定时间内按网上提示下载竞争性磋商文件及资料；供应商需要完成信息登记及CA数字证书办理，才能通过省公共资源交易平台参与交易活动，具体办理事宜请查阅河南省公共资源交易中心网站“办事指南”专区的《河南省公共资源交易平台使用手册》。</w:t>
      </w:r>
    </w:p>
    <w:p>
      <w:pPr>
        <w:widowControl/>
        <w:shd w:val="clear"/>
        <w:spacing w:line="348" w:lineRule="auto"/>
        <w:jc w:val="left"/>
        <w:rPr>
          <w:rFonts w:ascii="宋体" w:hAnsi="宋体" w:cs="宋体"/>
          <w:color w:val="auto"/>
          <w:sz w:val="24"/>
          <w:highlight w:val="none"/>
        </w:rPr>
      </w:pPr>
      <w:r>
        <w:rPr>
          <w:rFonts w:hint="eastAsia" w:ascii="宋体" w:hAnsi="宋体" w:cs="宋体"/>
          <w:color w:val="auto"/>
          <w:sz w:val="24"/>
          <w:highlight w:val="none"/>
        </w:rPr>
        <w:t>4.售价：0元</w:t>
      </w:r>
    </w:p>
    <w:p>
      <w:pPr>
        <w:widowControl/>
        <w:shd w:val="clear"/>
        <w:spacing w:line="348" w:lineRule="auto"/>
        <w:jc w:val="left"/>
        <w:rPr>
          <w:rFonts w:ascii="宋体" w:hAnsi="宋体" w:cs="宋体"/>
          <w:b/>
          <w:bCs/>
          <w:color w:val="auto"/>
          <w:sz w:val="24"/>
          <w:highlight w:val="none"/>
        </w:rPr>
      </w:pPr>
      <w:r>
        <w:rPr>
          <w:rFonts w:hint="eastAsia" w:ascii="宋体" w:hAnsi="宋体" w:cs="宋体"/>
          <w:b/>
          <w:bCs/>
          <w:color w:val="auto"/>
          <w:sz w:val="24"/>
          <w:highlight w:val="none"/>
        </w:rPr>
        <w:t>四、响应文件提交</w:t>
      </w:r>
    </w:p>
    <w:p>
      <w:pPr>
        <w:widowControl/>
        <w:shd w:val="clear"/>
        <w:spacing w:line="348" w:lineRule="auto"/>
        <w:jc w:val="left"/>
        <w:rPr>
          <w:rFonts w:ascii="宋体" w:hAnsi="宋体" w:cs="宋体"/>
          <w:color w:val="auto"/>
          <w:sz w:val="24"/>
          <w:highlight w:val="none"/>
        </w:rPr>
      </w:pPr>
      <w:r>
        <w:rPr>
          <w:rFonts w:hint="eastAsia" w:ascii="宋体" w:hAnsi="宋体" w:cs="宋体"/>
          <w:color w:val="auto"/>
          <w:sz w:val="24"/>
          <w:highlight w:val="none"/>
        </w:rPr>
        <w:t>1.时间：2023年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w:t>
      </w:r>
      <w:r>
        <w:rPr>
          <w:rFonts w:hint="eastAsia" w:ascii="宋体" w:hAnsi="宋体" w:cs="宋体"/>
          <w:color w:val="auto"/>
          <w:sz w:val="24"/>
          <w:highlight w:val="none"/>
        </w:rPr>
        <w:t>09时00分（北京时间）</w:t>
      </w:r>
    </w:p>
    <w:p>
      <w:pPr>
        <w:widowControl/>
        <w:shd w:val="clear"/>
        <w:spacing w:line="348" w:lineRule="auto"/>
        <w:jc w:val="left"/>
        <w:rPr>
          <w:rFonts w:ascii="宋体" w:hAnsi="宋体" w:cs="宋体"/>
          <w:color w:val="auto"/>
          <w:sz w:val="24"/>
          <w:highlight w:val="none"/>
        </w:rPr>
      </w:pPr>
      <w:r>
        <w:rPr>
          <w:rFonts w:hint="eastAsia" w:ascii="宋体" w:hAnsi="宋体" w:cs="宋体"/>
          <w:color w:val="auto"/>
          <w:sz w:val="24"/>
          <w:highlight w:val="none"/>
        </w:rPr>
        <w:t>2.地点：加密电子响应文件须在响应截止时间前上传至河南省公共资源交易中心交易系统。逾期上传的或者未上传至指定地点的响应文件，采购人不予受理。</w:t>
      </w:r>
    </w:p>
    <w:p>
      <w:pPr>
        <w:widowControl/>
        <w:shd w:val="clear"/>
        <w:spacing w:line="348" w:lineRule="auto"/>
        <w:jc w:val="left"/>
        <w:rPr>
          <w:rFonts w:ascii="宋体" w:hAnsi="宋体" w:cs="宋体"/>
          <w:b/>
          <w:bCs/>
          <w:color w:val="auto"/>
          <w:sz w:val="24"/>
          <w:highlight w:val="none"/>
        </w:rPr>
      </w:pPr>
      <w:r>
        <w:rPr>
          <w:rFonts w:hint="eastAsia" w:ascii="宋体" w:hAnsi="宋体" w:cs="宋体"/>
          <w:b/>
          <w:bCs/>
          <w:color w:val="auto"/>
          <w:sz w:val="24"/>
          <w:highlight w:val="none"/>
        </w:rPr>
        <w:t>五、响应文件开启</w:t>
      </w:r>
    </w:p>
    <w:p>
      <w:pPr>
        <w:widowControl/>
        <w:shd w:val="clear"/>
        <w:spacing w:line="348" w:lineRule="auto"/>
        <w:jc w:val="left"/>
        <w:rPr>
          <w:rFonts w:ascii="宋体" w:hAnsi="宋体" w:cs="宋体"/>
          <w:color w:val="auto"/>
          <w:sz w:val="24"/>
          <w:highlight w:val="none"/>
        </w:rPr>
      </w:pPr>
      <w:r>
        <w:rPr>
          <w:rFonts w:hint="eastAsia" w:ascii="宋体" w:hAnsi="宋体" w:cs="宋体"/>
          <w:color w:val="auto"/>
          <w:sz w:val="24"/>
          <w:highlight w:val="none"/>
        </w:rPr>
        <w:t>1.时间：2023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w:t>
      </w:r>
      <w:r>
        <w:rPr>
          <w:rFonts w:hint="eastAsia" w:ascii="宋体" w:hAnsi="宋体" w:cs="宋体"/>
          <w:color w:val="auto"/>
          <w:sz w:val="24"/>
          <w:highlight w:val="none"/>
        </w:rPr>
        <w:t>09时00分（北京时间）</w:t>
      </w:r>
    </w:p>
    <w:p>
      <w:pPr>
        <w:widowControl/>
        <w:shd w:val="clear"/>
        <w:spacing w:line="348"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2.地点：河南省公</w:t>
      </w:r>
      <w:r>
        <w:rPr>
          <w:rFonts w:hint="eastAsia" w:ascii="宋体" w:hAnsi="宋体" w:cs="宋体"/>
          <w:color w:val="auto"/>
          <w:sz w:val="24"/>
          <w:highlight w:val="none"/>
        </w:rPr>
        <w:t>共资源交易中心</w:t>
      </w:r>
      <w:r>
        <w:rPr>
          <w:rFonts w:hint="eastAsia" w:ascii="宋体" w:hAnsi="宋体" w:cs="宋体"/>
          <w:color w:val="auto"/>
          <w:sz w:val="24"/>
          <w:highlight w:val="none"/>
          <w:lang w:eastAsia="zh-CN"/>
        </w:rPr>
        <w:t>远程开标室(六)-2</w:t>
      </w:r>
    </w:p>
    <w:p>
      <w:pPr>
        <w:widowControl/>
        <w:shd w:val="clear"/>
        <w:spacing w:line="348" w:lineRule="auto"/>
        <w:jc w:val="left"/>
        <w:rPr>
          <w:rFonts w:ascii="宋体" w:hAnsi="宋体" w:cs="宋体"/>
          <w:b/>
          <w:bCs/>
          <w:color w:val="auto"/>
          <w:sz w:val="24"/>
          <w:highlight w:val="none"/>
        </w:rPr>
      </w:pPr>
      <w:r>
        <w:rPr>
          <w:rFonts w:hint="eastAsia" w:ascii="宋体" w:hAnsi="宋体" w:cs="宋体"/>
          <w:b/>
          <w:bCs/>
          <w:color w:val="auto"/>
          <w:sz w:val="24"/>
          <w:highlight w:val="none"/>
        </w:rPr>
        <w:t>六、发布公告的媒介及招标公告期限</w:t>
      </w:r>
    </w:p>
    <w:p>
      <w:pPr>
        <w:widowControl/>
        <w:shd w:val="clear"/>
        <w:spacing w:line="348"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本次招标公告在《河南省政府采购网》、《河南省公共资源交易中心网》、《河南省电子招标投标公共服务平台》、《中国招标投标公共服务平台》上发布，招标公告期限为三个工作日。</w:t>
      </w:r>
    </w:p>
    <w:p>
      <w:pPr>
        <w:widowControl/>
        <w:shd w:val="clear"/>
        <w:spacing w:line="348" w:lineRule="auto"/>
        <w:jc w:val="left"/>
        <w:rPr>
          <w:rFonts w:ascii="宋体" w:hAnsi="宋体" w:cs="宋体"/>
          <w:b/>
          <w:bCs/>
          <w:color w:val="auto"/>
          <w:sz w:val="24"/>
          <w:highlight w:val="none"/>
        </w:rPr>
      </w:pPr>
      <w:r>
        <w:rPr>
          <w:rFonts w:hint="eastAsia" w:ascii="宋体" w:hAnsi="宋体" w:cs="宋体"/>
          <w:b/>
          <w:bCs/>
          <w:color w:val="auto"/>
          <w:sz w:val="24"/>
          <w:highlight w:val="none"/>
        </w:rPr>
        <w:t>七、其他补充事宜</w:t>
      </w:r>
    </w:p>
    <w:p>
      <w:pPr>
        <w:pStyle w:val="14"/>
        <w:shd w:val="clear"/>
        <w:spacing w:line="348" w:lineRule="auto"/>
        <w:ind w:firstLine="480"/>
        <w:jc w:val="left"/>
        <w:rPr>
          <w:rFonts w:ascii="宋体" w:hAnsi="宋体" w:cs="宋体"/>
          <w:color w:val="auto"/>
          <w:sz w:val="24"/>
          <w:highlight w:val="none"/>
        </w:rPr>
      </w:pPr>
      <w:bookmarkStart w:id="13" w:name="_Hlk86916341"/>
      <w:bookmarkStart w:id="14" w:name="_Hlk73027454"/>
      <w:r>
        <w:rPr>
          <w:rFonts w:hint="eastAsia" w:ascii="宋体" w:hAnsi="宋体" w:cs="宋体"/>
          <w:color w:val="auto"/>
          <w:sz w:val="24"/>
          <w:highlight w:val="none"/>
        </w:rPr>
        <w:t>1.执行《政府采购促进中小企业发展管理办法》[财库（2020）46号]；</w:t>
      </w:r>
    </w:p>
    <w:p>
      <w:pPr>
        <w:pStyle w:val="14"/>
        <w:shd w:val="clear"/>
        <w:spacing w:line="348" w:lineRule="auto"/>
        <w:ind w:firstLine="480"/>
        <w:jc w:val="left"/>
        <w:rPr>
          <w:rFonts w:ascii="宋体" w:hAnsi="宋体" w:cs="宋体"/>
          <w:color w:val="auto"/>
          <w:sz w:val="24"/>
          <w:highlight w:val="none"/>
        </w:rPr>
      </w:pPr>
      <w:r>
        <w:rPr>
          <w:rFonts w:hint="eastAsia" w:ascii="宋体" w:hAnsi="宋体" w:cs="宋体"/>
          <w:color w:val="auto"/>
          <w:sz w:val="24"/>
          <w:highlight w:val="none"/>
        </w:rPr>
        <w:t>2.执行《财政部、司法部关于政府采购支持监狱企业发展有关问题的通知》（财库[2014]68号）；</w:t>
      </w:r>
    </w:p>
    <w:p>
      <w:pPr>
        <w:pStyle w:val="14"/>
        <w:shd w:val="clear"/>
        <w:spacing w:line="348" w:lineRule="auto"/>
        <w:ind w:firstLine="480" w:firstLineChars="0"/>
        <w:jc w:val="left"/>
        <w:rPr>
          <w:rFonts w:ascii="宋体" w:hAnsi="宋体" w:cs="宋体"/>
          <w:color w:val="auto"/>
          <w:sz w:val="24"/>
          <w:highlight w:val="none"/>
        </w:rPr>
      </w:pPr>
      <w:r>
        <w:rPr>
          <w:rFonts w:hint="eastAsia" w:ascii="宋体" w:hAnsi="宋体" w:cs="宋体"/>
          <w:color w:val="auto"/>
          <w:sz w:val="24"/>
          <w:highlight w:val="none"/>
        </w:rPr>
        <w:t>3.执行《三部门联合发布关于促进残疾人就业政府采购政策的通知》（财库[2017]141号）；</w:t>
      </w:r>
    </w:p>
    <w:p>
      <w:pPr>
        <w:pStyle w:val="14"/>
        <w:shd w:val="clear"/>
        <w:spacing w:line="348" w:lineRule="auto"/>
        <w:ind w:firstLine="480" w:firstLineChars="0"/>
        <w:jc w:val="left"/>
        <w:rPr>
          <w:rFonts w:ascii="宋体" w:hAnsi="宋体" w:cs="宋体"/>
          <w:color w:val="auto"/>
          <w:sz w:val="24"/>
          <w:highlight w:val="none"/>
        </w:rPr>
      </w:pPr>
      <w:r>
        <w:rPr>
          <w:rFonts w:hint="eastAsia" w:ascii="宋体" w:hAnsi="宋体" w:cs="宋体"/>
          <w:color w:val="auto"/>
          <w:sz w:val="24"/>
          <w:highlight w:val="none"/>
        </w:rPr>
        <w:t>4.执行《关于进一步加大政府采购支持中小企业力度的通知》（财库[2022]19号）；</w:t>
      </w:r>
    </w:p>
    <w:p>
      <w:pPr>
        <w:pStyle w:val="14"/>
        <w:shd w:val="clear"/>
        <w:spacing w:line="348" w:lineRule="auto"/>
        <w:ind w:firstLine="480"/>
        <w:jc w:val="left"/>
        <w:rPr>
          <w:rFonts w:ascii="宋体" w:hAnsi="宋体" w:cs="宋体"/>
          <w:color w:val="auto"/>
          <w:sz w:val="24"/>
          <w:highlight w:val="none"/>
        </w:rPr>
      </w:pPr>
      <w:r>
        <w:rPr>
          <w:rFonts w:hint="eastAsia" w:ascii="宋体" w:hAnsi="宋体" w:cs="宋体"/>
          <w:color w:val="auto"/>
          <w:sz w:val="24"/>
          <w:highlight w:val="none"/>
        </w:rPr>
        <w:t>5.执行关于印发节能产品政府采购品目清单的通知（财库〔2019〕19号）；</w:t>
      </w:r>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6.执行关于印发环境标志产品政府采购品目清单的通知（财库〔2019〕18号）；</w:t>
      </w:r>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编制响应文件时，应根据磋商文件相应要求，涉及营业执照、资质、业绩、获奖、人员、财务、社保、纳税、各类证书等内容，必须在河南省公共资源交易中心市场主体信息库中已登记的信息中选取。未在市场主体信息库中登记的上述内容，不作为评标依据。供应商应及时对河南省公共资源交易中心市场主体信息库的相关内容进行补充、更新。</w:t>
      </w:r>
    </w:p>
    <w:bookmarkEnd w:id="13"/>
    <w:bookmarkEnd w:id="14"/>
    <w:p>
      <w:pPr>
        <w:widowControl/>
        <w:shd w:val="clear"/>
        <w:spacing w:line="348" w:lineRule="auto"/>
        <w:jc w:val="left"/>
        <w:rPr>
          <w:rFonts w:ascii="宋体" w:hAnsi="宋体" w:cs="宋体"/>
          <w:b/>
          <w:bCs/>
          <w:color w:val="auto"/>
          <w:sz w:val="24"/>
          <w:highlight w:val="none"/>
        </w:rPr>
      </w:pPr>
      <w:r>
        <w:rPr>
          <w:rFonts w:hint="eastAsia" w:ascii="宋体" w:hAnsi="宋体" w:cs="宋体"/>
          <w:b/>
          <w:bCs/>
          <w:color w:val="auto"/>
          <w:sz w:val="24"/>
          <w:highlight w:val="none"/>
        </w:rPr>
        <w:t>八、凡对本次招标提出询问，请按照以下方式联系</w:t>
      </w:r>
    </w:p>
    <w:p>
      <w:pPr>
        <w:widowControl/>
        <w:shd w:val="clear"/>
        <w:adjustRightInd w:val="0"/>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 采购人信息</w:t>
      </w:r>
    </w:p>
    <w:p>
      <w:pPr>
        <w:widowControl/>
        <w:shd w:val="clear"/>
        <w:adjustRightInd w:val="0"/>
        <w:snapToGrid w:val="0"/>
        <w:spacing w:line="348"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名称： 河南司法警官职业学院</w:t>
      </w:r>
    </w:p>
    <w:p>
      <w:pPr>
        <w:widowControl/>
        <w:shd w:val="clear"/>
        <w:spacing w:line="348" w:lineRule="auto"/>
        <w:ind w:firstLine="360" w:firstLineChars="150"/>
        <w:jc w:val="left"/>
        <w:rPr>
          <w:rFonts w:ascii="宋体" w:hAnsi="宋体" w:cs="宋体"/>
          <w:color w:val="auto"/>
          <w:kern w:val="0"/>
          <w:sz w:val="24"/>
          <w:highlight w:val="none"/>
        </w:rPr>
      </w:pPr>
      <w:r>
        <w:rPr>
          <w:rFonts w:hint="eastAsia" w:ascii="宋体" w:hAnsi="宋体" w:cs="宋体"/>
          <w:color w:val="auto"/>
          <w:sz w:val="24"/>
          <w:highlight w:val="none"/>
        </w:rPr>
        <w:t>地址：</w:t>
      </w:r>
      <w:r>
        <w:rPr>
          <w:rFonts w:hint="eastAsia" w:ascii="宋体" w:hAnsi="宋体" w:cs="宋体"/>
          <w:color w:val="auto"/>
          <w:kern w:val="0"/>
          <w:sz w:val="24"/>
          <w:highlight w:val="none"/>
        </w:rPr>
        <w:t>郑州市金水东路166号</w:t>
      </w:r>
    </w:p>
    <w:p>
      <w:pPr>
        <w:widowControl/>
        <w:shd w:val="clear"/>
        <w:spacing w:line="348"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联系人：刘老师 </w:t>
      </w:r>
    </w:p>
    <w:p>
      <w:pPr>
        <w:widowControl/>
        <w:shd w:val="clear"/>
        <w:spacing w:line="348"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联系方式：0371-63061573</w:t>
      </w:r>
    </w:p>
    <w:p>
      <w:pPr>
        <w:shd w:val="clear"/>
        <w:tabs>
          <w:tab w:val="left" w:pos="900"/>
        </w:tabs>
        <w:snapToGrid w:val="0"/>
        <w:spacing w:line="348" w:lineRule="auto"/>
        <w:ind w:firstLine="120" w:firstLineChars="50"/>
        <w:rPr>
          <w:rFonts w:ascii="宋体" w:hAnsi="宋体" w:cs="宋体"/>
          <w:color w:val="auto"/>
          <w:sz w:val="24"/>
          <w:highlight w:val="none"/>
        </w:rPr>
      </w:pPr>
      <w:r>
        <w:rPr>
          <w:rFonts w:hint="eastAsia" w:ascii="宋体" w:hAnsi="宋体" w:cs="宋体"/>
          <w:color w:val="auto"/>
          <w:sz w:val="24"/>
          <w:highlight w:val="none"/>
        </w:rPr>
        <w:t>2.采购代理机构信息（如有）</w:t>
      </w:r>
    </w:p>
    <w:p>
      <w:pPr>
        <w:shd w:val="clear"/>
        <w:tabs>
          <w:tab w:val="left" w:pos="900"/>
        </w:tabs>
        <w:snapToGrid w:val="0"/>
        <w:spacing w:line="348"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名称：河南正禄招标代理有限公司 </w:t>
      </w:r>
    </w:p>
    <w:p>
      <w:pPr>
        <w:shd w:val="clear"/>
        <w:tabs>
          <w:tab w:val="left" w:pos="900"/>
        </w:tabs>
        <w:snapToGrid w:val="0"/>
        <w:spacing w:line="348"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地址：郑州市郑东新区通惠路与白沙路交叉口东盛广场9层01号</w:t>
      </w:r>
    </w:p>
    <w:p>
      <w:pPr>
        <w:shd w:val="clear"/>
        <w:tabs>
          <w:tab w:val="left" w:pos="900"/>
        </w:tabs>
        <w:snapToGrid w:val="0"/>
        <w:spacing w:line="348" w:lineRule="auto"/>
        <w:ind w:firstLine="360" w:firstLineChars="150"/>
        <w:rPr>
          <w:rFonts w:ascii="宋体" w:hAnsi="宋体" w:cs="宋体"/>
          <w:color w:val="auto"/>
          <w:sz w:val="24"/>
          <w:highlight w:val="none"/>
        </w:rPr>
      </w:pPr>
      <w:r>
        <w:rPr>
          <w:rFonts w:hint="eastAsia" w:ascii="宋体" w:hAnsi="宋体" w:cs="宋体"/>
          <w:color w:val="auto"/>
          <w:sz w:val="24"/>
          <w:highlight w:val="none"/>
        </w:rPr>
        <w:t>联系人：张华</w:t>
      </w:r>
    </w:p>
    <w:p>
      <w:pPr>
        <w:shd w:val="clear"/>
        <w:tabs>
          <w:tab w:val="left" w:pos="900"/>
        </w:tabs>
        <w:snapToGrid w:val="0"/>
        <w:spacing w:line="348" w:lineRule="auto"/>
        <w:ind w:firstLine="360" w:firstLineChars="150"/>
        <w:rPr>
          <w:rFonts w:ascii="宋体" w:hAnsi="宋体" w:cs="宋体"/>
          <w:color w:val="auto"/>
          <w:sz w:val="24"/>
          <w:highlight w:val="none"/>
        </w:rPr>
      </w:pPr>
      <w:r>
        <w:rPr>
          <w:rFonts w:hint="eastAsia" w:ascii="宋体" w:hAnsi="宋体" w:cs="宋体"/>
          <w:color w:val="auto"/>
          <w:sz w:val="24"/>
          <w:highlight w:val="none"/>
        </w:rPr>
        <w:t>联系方式：0371-53301569  18237166651</w:t>
      </w:r>
    </w:p>
    <w:p>
      <w:pPr>
        <w:shd w:val="clear"/>
        <w:tabs>
          <w:tab w:val="left" w:pos="900"/>
        </w:tabs>
        <w:snapToGrid w:val="0"/>
        <w:spacing w:line="348" w:lineRule="auto"/>
        <w:ind w:firstLine="120" w:firstLineChars="50"/>
        <w:rPr>
          <w:rFonts w:ascii="宋体" w:hAnsi="宋体" w:cs="宋体"/>
          <w:color w:val="auto"/>
          <w:sz w:val="24"/>
          <w:highlight w:val="none"/>
        </w:rPr>
      </w:pPr>
      <w:r>
        <w:rPr>
          <w:rFonts w:hint="eastAsia" w:ascii="宋体" w:hAnsi="宋体" w:cs="宋体"/>
          <w:color w:val="auto"/>
          <w:sz w:val="24"/>
          <w:highlight w:val="none"/>
        </w:rPr>
        <w:t>3.项目联系方式</w:t>
      </w:r>
    </w:p>
    <w:p>
      <w:pPr>
        <w:shd w:val="clear"/>
        <w:tabs>
          <w:tab w:val="left" w:pos="900"/>
        </w:tabs>
        <w:snapToGrid w:val="0"/>
        <w:spacing w:line="348"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联系人：张华 </w:t>
      </w:r>
    </w:p>
    <w:p>
      <w:pPr>
        <w:widowControl/>
        <w:shd w:val="clear"/>
        <w:spacing w:line="348" w:lineRule="auto"/>
        <w:ind w:firstLine="360" w:firstLineChars="150"/>
        <w:jc w:val="left"/>
        <w:rPr>
          <w:rFonts w:ascii="宋体" w:hAnsi="宋体" w:cs="宋体"/>
          <w:color w:val="auto"/>
          <w:kern w:val="0"/>
          <w:sz w:val="24"/>
          <w:highlight w:val="none"/>
        </w:rPr>
      </w:pPr>
      <w:r>
        <w:rPr>
          <w:rFonts w:hint="eastAsia" w:ascii="宋体" w:hAnsi="宋体" w:cs="宋体"/>
          <w:color w:val="auto"/>
          <w:sz w:val="24"/>
          <w:highlight w:val="none"/>
        </w:rPr>
        <w:t>联系方式：</w:t>
      </w:r>
      <w:r>
        <w:rPr>
          <w:rFonts w:hint="eastAsia" w:ascii="宋体" w:hAnsi="宋体" w:cs="宋体"/>
          <w:color w:val="auto"/>
          <w:kern w:val="0"/>
          <w:sz w:val="24"/>
          <w:highlight w:val="none"/>
        </w:rPr>
        <w:t xml:space="preserve">0371-53301569   </w:t>
      </w:r>
      <w:r>
        <w:rPr>
          <w:rFonts w:hint="eastAsia" w:ascii="宋体" w:hAnsi="宋体" w:cs="宋体"/>
          <w:color w:val="auto"/>
          <w:sz w:val="24"/>
          <w:highlight w:val="none"/>
        </w:rPr>
        <w:t>18237166651</w:t>
      </w:r>
    </w:p>
    <w:p>
      <w:pPr>
        <w:shd w:val="clear"/>
        <w:tabs>
          <w:tab w:val="left" w:pos="900"/>
        </w:tabs>
        <w:snapToGrid w:val="0"/>
        <w:spacing w:line="360" w:lineRule="auto"/>
        <w:ind w:firstLine="482" w:firstLineChars="150"/>
        <w:jc w:val="center"/>
        <w:rPr>
          <w:rFonts w:ascii="宋体" w:hAnsi="宋体" w:cs="宋体"/>
          <w:color w:val="auto"/>
          <w:sz w:val="32"/>
          <w:szCs w:val="32"/>
          <w:highlight w:val="none"/>
        </w:rPr>
      </w:pPr>
      <w:bookmarkStart w:id="15" w:name="_Toc57217225"/>
      <w:bookmarkStart w:id="16" w:name="_Toc15845"/>
      <w:bookmarkStart w:id="17" w:name="_Toc15048358"/>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第二章  供应商须知</w:t>
      </w:r>
      <w:bookmarkEnd w:id="15"/>
      <w:bookmarkEnd w:id="16"/>
      <w:bookmarkEnd w:id="17"/>
    </w:p>
    <w:p>
      <w:pPr>
        <w:pStyle w:val="221"/>
        <w:shd w:val="clear"/>
        <w:spacing w:before="0" w:line="360" w:lineRule="auto"/>
        <w:jc w:val="center"/>
        <w:rPr>
          <w:rFonts w:ascii="宋体" w:hAnsi="宋体" w:eastAsia="宋体"/>
          <w:b/>
          <w:color w:val="auto"/>
          <w:sz w:val="24"/>
          <w:szCs w:val="24"/>
          <w:highlight w:val="none"/>
        </w:rPr>
      </w:pPr>
      <w:bookmarkStart w:id="18" w:name="_Toc13503"/>
      <w:bookmarkStart w:id="19" w:name="_Toc57217226"/>
      <w:bookmarkStart w:id="20" w:name="_Toc122"/>
      <w:bookmarkStart w:id="21" w:name="_Toc13246"/>
      <w:r>
        <w:rPr>
          <w:rFonts w:hint="eastAsia" w:ascii="宋体" w:hAnsi="宋体" w:eastAsia="宋体"/>
          <w:b/>
          <w:color w:val="auto"/>
          <w:sz w:val="24"/>
          <w:szCs w:val="24"/>
          <w:highlight w:val="none"/>
        </w:rPr>
        <w:t>供应商须知前附表</w:t>
      </w:r>
      <w:bookmarkEnd w:id="18"/>
      <w:bookmarkEnd w:id="19"/>
      <w:bookmarkEnd w:id="20"/>
      <w:bookmarkEnd w:id="21"/>
    </w:p>
    <w:p>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 本表是本采购项目的具体资料，是对供应商须知的具体补充和修改，如有矛盾，应以本表为准。</w:t>
      </w:r>
    </w:p>
    <w:tbl>
      <w:tblPr>
        <w:tblStyle w:val="49"/>
        <w:tblW w:w="93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6"/>
        <w:gridCol w:w="2338"/>
        <w:gridCol w:w="59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blHeader/>
          <w:jc w:val="center"/>
        </w:trPr>
        <w:tc>
          <w:tcPr>
            <w:tcW w:w="1056" w:type="dxa"/>
            <w:tcBorders>
              <w:bottom w:val="single" w:color="auto" w:sz="4" w:space="0"/>
            </w:tcBorders>
            <w:vAlign w:val="center"/>
          </w:tcPr>
          <w:p>
            <w:pPr>
              <w:shd w:val="clear"/>
              <w:spacing w:line="360" w:lineRule="auto"/>
              <w:jc w:val="center"/>
              <w:rPr>
                <w:rFonts w:ascii="宋体" w:hAnsi="宋体" w:cs="宋体"/>
                <w:color w:val="auto"/>
                <w:sz w:val="24"/>
                <w:highlight w:val="none"/>
              </w:rPr>
            </w:pPr>
            <w:bookmarkStart w:id="22" w:name="sys_招标项目基本内容及要求其他：Block"/>
            <w:bookmarkEnd w:id="22"/>
            <w:bookmarkStart w:id="23" w:name="招标项目基本内容及要求其他：Block"/>
            <w:bookmarkEnd w:id="23"/>
            <w:bookmarkStart w:id="24" w:name="sys_招标项目基本内容及要求：Block"/>
            <w:bookmarkEnd w:id="24"/>
            <w:bookmarkStart w:id="25" w:name="招标项目基本内容及要求：Block"/>
            <w:bookmarkEnd w:id="25"/>
            <w:r>
              <w:rPr>
                <w:rFonts w:hint="eastAsia" w:ascii="宋体" w:hAnsi="宋体" w:cs="宋体"/>
                <w:color w:val="auto"/>
                <w:sz w:val="24"/>
                <w:highlight w:val="none"/>
              </w:rPr>
              <w:t>条款号</w:t>
            </w:r>
          </w:p>
        </w:tc>
        <w:tc>
          <w:tcPr>
            <w:tcW w:w="2338" w:type="dxa"/>
            <w:tcBorders>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5912" w:type="dxa"/>
            <w:tcBorders>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3"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1.1.1</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名称： 河南司法警官职业学院</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地址：郑州市金水东路166号</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联系人：刘老师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联系方式：0371-63061573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1.1.2</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采购代理机构</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名称: 河南正禄招标代理有限公司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地址: 郑州市郑东新区通惠路与白沙路交叉口东盛广场9层01号</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联系人: 张华 </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kern w:val="0"/>
                <w:sz w:val="24"/>
                <w:highlight w:val="none"/>
              </w:rPr>
              <w:t>0371-53301569</w:t>
            </w:r>
            <w:r>
              <w:rPr>
                <w:rFonts w:hint="eastAsia" w:ascii="宋体" w:hAnsi="宋体" w:cs="宋体"/>
                <w:color w:val="auto"/>
                <w:sz w:val="24"/>
                <w:highlight w:val="none"/>
              </w:rPr>
              <w:t xml:space="preserve"> 18237166651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056" w:type="dxa"/>
            <w:tcBorders>
              <w:top w:val="single" w:color="auto" w:sz="4" w:space="0"/>
              <w:bottom w:val="single" w:color="auto" w:sz="4" w:space="0"/>
            </w:tcBorders>
            <w:vAlign w:val="center"/>
          </w:tcPr>
          <w:p>
            <w:pPr>
              <w:shd w:val="clear"/>
              <w:jc w:val="center"/>
              <w:rPr>
                <w:rFonts w:ascii="宋体" w:hAnsi="宋体" w:cs="宋体"/>
                <w:color w:val="auto"/>
                <w:highlight w:val="none"/>
              </w:rPr>
            </w:pPr>
            <w:r>
              <w:rPr>
                <w:rFonts w:hint="eastAsia" w:ascii="宋体" w:hAnsi="宋体" w:cs="宋体"/>
                <w:color w:val="auto"/>
                <w:sz w:val="24"/>
                <w:highlight w:val="none"/>
              </w:rPr>
              <w:t>1.1.3</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采购项目名称</w:t>
            </w:r>
          </w:p>
        </w:tc>
        <w:tc>
          <w:tcPr>
            <w:tcW w:w="5912" w:type="dxa"/>
            <w:tcBorders>
              <w:top w:val="single" w:color="auto" w:sz="4" w:space="0"/>
              <w:bottom w:val="single" w:color="auto" w:sz="4" w:space="0"/>
            </w:tcBorders>
            <w:vAlign w:val="center"/>
          </w:tcPr>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河南司法警官职业学院心理健康教育标准化建设项目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1.1.4</w:t>
            </w:r>
          </w:p>
        </w:tc>
        <w:tc>
          <w:tcPr>
            <w:tcW w:w="2338" w:type="dxa"/>
            <w:tcBorders>
              <w:top w:val="single" w:color="auto" w:sz="4" w:space="0"/>
              <w:bottom w:val="single" w:color="auto" w:sz="4" w:space="0"/>
            </w:tcBorders>
            <w:vAlign w:val="bottom"/>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采购项目实施地点</w:t>
            </w:r>
          </w:p>
        </w:tc>
        <w:tc>
          <w:tcPr>
            <w:tcW w:w="5912" w:type="dxa"/>
            <w:tcBorders>
              <w:top w:val="single" w:color="auto" w:sz="4" w:space="0"/>
              <w:bottom w:val="single" w:color="auto" w:sz="4" w:space="0"/>
            </w:tcBorders>
            <w:vAlign w:val="bottom"/>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河南司法警官职业学院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056" w:type="dxa"/>
            <w:tcBorders>
              <w:top w:val="single" w:color="auto" w:sz="4" w:space="0"/>
              <w:bottom w:val="single" w:color="auto" w:sz="4" w:space="0"/>
            </w:tcBorders>
            <w:vAlign w:val="bottom"/>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1.1.5</w:t>
            </w:r>
          </w:p>
        </w:tc>
        <w:tc>
          <w:tcPr>
            <w:tcW w:w="2338" w:type="dxa"/>
            <w:tcBorders>
              <w:top w:val="single" w:color="auto" w:sz="4" w:space="0"/>
              <w:bottom w:val="single" w:color="auto" w:sz="4" w:space="0"/>
            </w:tcBorders>
            <w:vAlign w:val="bottom"/>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采购方式</w:t>
            </w:r>
          </w:p>
        </w:tc>
        <w:tc>
          <w:tcPr>
            <w:tcW w:w="5912" w:type="dxa"/>
            <w:tcBorders>
              <w:top w:val="single" w:color="auto" w:sz="4" w:space="0"/>
              <w:bottom w:val="single" w:color="auto" w:sz="4" w:space="0"/>
            </w:tcBorders>
            <w:vAlign w:val="bottom"/>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1.1.6</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采购项目属性</w:t>
            </w:r>
          </w:p>
        </w:tc>
        <w:tc>
          <w:tcPr>
            <w:tcW w:w="5912" w:type="dxa"/>
            <w:tcBorders>
              <w:top w:val="single" w:color="auto" w:sz="4" w:space="0"/>
              <w:bottom w:val="single" w:color="auto" w:sz="4" w:space="0"/>
            </w:tcBorders>
            <w:vAlign w:val="center"/>
          </w:tcPr>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1.1.7</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标的物所属行业</w:t>
            </w:r>
          </w:p>
        </w:tc>
        <w:tc>
          <w:tcPr>
            <w:tcW w:w="5912" w:type="dxa"/>
            <w:tcBorders>
              <w:top w:val="single" w:color="auto" w:sz="4" w:space="0"/>
              <w:bottom w:val="single" w:color="auto" w:sz="4" w:space="0"/>
            </w:tcBorders>
            <w:vAlign w:val="bottom"/>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根据“工信部联企业[2011]300 号”文件的划分标准，标的物所属行业为工业。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1.2.2</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项目预算金额和最高限价</w:t>
            </w:r>
          </w:p>
        </w:tc>
        <w:tc>
          <w:tcPr>
            <w:tcW w:w="5912" w:type="dxa"/>
            <w:tcBorders>
              <w:top w:val="single" w:color="auto" w:sz="4" w:space="0"/>
              <w:bottom w:val="single" w:color="auto" w:sz="4" w:space="0"/>
            </w:tcBorders>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项目预算金额：1400000.00元；最高限价：1400000.00元。</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注：供应商的磋商报价不得超过预算金额或最高限价，否则按无效标处理。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供应商所投报货物必须满足国家相关强制性规定、国家标准、行业标准或地方标准等。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1.3.3</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交货期</w:t>
            </w:r>
          </w:p>
        </w:tc>
        <w:tc>
          <w:tcPr>
            <w:tcW w:w="5912" w:type="dxa"/>
            <w:tcBorders>
              <w:top w:val="single" w:color="auto" w:sz="4" w:space="0"/>
              <w:bottom w:val="single" w:color="auto" w:sz="4" w:space="0"/>
            </w:tcBorders>
            <w:vAlign w:val="center"/>
          </w:tcPr>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签订合同后60 日历天内交付使用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1056" w:type="dxa"/>
            <w:tcBorders>
              <w:top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1.3.4</w:t>
            </w:r>
          </w:p>
        </w:tc>
        <w:tc>
          <w:tcPr>
            <w:tcW w:w="2338" w:type="dxa"/>
            <w:tcBorders>
              <w:top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质量保证期</w:t>
            </w:r>
          </w:p>
        </w:tc>
        <w:tc>
          <w:tcPr>
            <w:tcW w:w="5912" w:type="dxa"/>
            <w:tcBorders>
              <w:top w:val="single" w:color="auto" w:sz="4" w:space="0"/>
              <w:bottom w:val="single" w:color="auto" w:sz="4" w:space="0"/>
            </w:tcBorders>
            <w:vAlign w:val="center"/>
          </w:tcPr>
          <w:p>
            <w:pPr>
              <w:shd w:val="clear"/>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3年（其中：中心网站的售后服务6个月）。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3"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1.4.1</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bCs/>
                <w:color w:val="auto"/>
                <w:kern w:val="0"/>
                <w:sz w:val="24"/>
                <w:highlight w:val="none"/>
              </w:rPr>
            </w:pPr>
            <w:r>
              <w:rPr>
                <w:rFonts w:hint="eastAsia" w:ascii="宋体" w:hAnsi="宋体" w:cs="宋体"/>
                <w:color w:val="auto"/>
                <w:sz w:val="24"/>
                <w:highlight w:val="none"/>
              </w:rPr>
              <w:t>供应商（投标人）须具备的资格要求</w:t>
            </w:r>
          </w:p>
        </w:tc>
        <w:tc>
          <w:tcPr>
            <w:tcW w:w="5912" w:type="dxa"/>
            <w:tcBorders>
              <w:top w:val="single" w:color="auto" w:sz="4" w:space="0"/>
              <w:bottom w:val="single" w:color="auto" w:sz="4" w:space="0"/>
            </w:tcBorders>
            <w:vAlign w:val="center"/>
          </w:tcPr>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需满足《中华人民共和国政府采购法》第二十二条规定：</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1.具有独立承担民事责任的能力：具备有效的营业执照或其它相关证明材料）；</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2.具有良好的商业信誉和健全的财务会计制度：提供2022年经审计的财务状况报告或银行出具的资信证明（如有供应商成立时限不足要求时限的，由供应商根据自身成立时间提供证明资料）；</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3.依法缴纳社会保障资金和依法缴纳税收证明：提供 2023年1月以来任意一个月份依法纳税和缴纳社会保障资金的证明材料，如有供应商成立时限不足要求时限的，由供应商根据自身成立时间提供证明材料。依法免税或不需要缴纳社会保障资金的供应商，应提供相应文件证明其依法免税或不需要缴纳社会保障资金；</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4.具有履行合同所必需的设备和专业技术能力：自行承诺或提供相关证明材料；</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5.参加政府采购活动前三年内，在经营活动中没有重大违法记录的书面声明；</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6.单位负责人为同一人或者存在直接控股、管理关系的不同供应商，不得参加同一合同项下的政府采购活动（供应商自行承诺）；</w:t>
            </w:r>
          </w:p>
          <w:p>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信用查询：根据《关于在政府采购活动中查询及使用信用记录有关问题的通知》(财库[2016]125号)的规定，对列入失信被执行人、重大税收违法失信主体、政府采购严重违法失信行为记录名单的供应商，拒绝参与本项目政府采购活动；采购人或代理机构查询渠道：通过“信用中国”网站（http://www.creditchina.gov.cn/）“信用服务”→“失信被执行人”→跳转至“中国执行信息公开网（http://zxgk.court.gov.cn/shixin/）”查询企业，通过“信用中国”网站（http://www.creditchina.gov.cn/）“信用服务”→“重大税收违法失信主体”查询企业，通过“中国政府采购网”网站（www.ccgp.gov.cn）中查询“政府采购严重违法失信行为记录名单”的查询结果网页，递交响应文件截止时间后，由采购人或采购代理机构查询供应商的信用状况，并以此结果为准。</w:t>
            </w:r>
          </w:p>
          <w:p>
            <w:pPr>
              <w:pStyle w:val="227"/>
              <w:shd w:val="clear"/>
              <w:spacing w:line="360" w:lineRule="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本项目为专门面向中小企业的项目，中小企业划分按照《国家统计局关于印发&lt;统计上大中小微型企业划分办法（2017）&gt;的通知》国统字〔2017〕213 号文件及《工业和信息化部、国家统计局、国家发展和改革委员会、财政部关于印发&lt;中小企业划型标准规定&gt;的通知》（工信部联企业[2011]300 号）规定的划分标准为依据。《财政部民政部中国残疾人联合会关于促进残疾人就业政府采购政策的通知》（财库〔2017〕 141 号）的规定属于残疾人福利性单位的和属于监狱企业的（由省级以上监狱管理局、戒毒管理局（含新疆生产建设兵团）出具的属于 监狱企业的证明文件）的视为中小企业。 </w:t>
            </w:r>
          </w:p>
          <w:p>
            <w:pPr>
              <w:pStyle w:val="227"/>
              <w:shd w:val="clear"/>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说明： </w:t>
            </w:r>
          </w:p>
          <w:p>
            <w:pPr>
              <w:pStyle w:val="227"/>
              <w:shd w:val="clear"/>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（1）投标货物由中小企业制造，即货物由中小企业生产且使用该中小企业商号或者注册商标的视为中小企业。大型企业提供小微企业制造的货物视同为小微企业。 </w:t>
            </w:r>
          </w:p>
          <w:p>
            <w:pPr>
              <w:pStyle w:val="227"/>
              <w:shd w:val="clear"/>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（2）在工程采购项目中，工程由中小企业承建，即工程施工单位为中小企业，即为中小企业。 </w:t>
            </w:r>
          </w:p>
          <w:p>
            <w:pPr>
              <w:pStyle w:val="227"/>
              <w:shd w:val="clear"/>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（3）在服务采购项目中，服务由中小企业承接，即提供服务的人员为中小企业依照《中华人民共和国劳动合同法》订立劳动合同的从业人员，视为中小企业。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是否允许采购进口产品</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1.4.3</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是否为专门面向中小企业采购</w:t>
            </w:r>
          </w:p>
        </w:tc>
        <w:tc>
          <w:tcPr>
            <w:tcW w:w="5912" w:type="dxa"/>
            <w:tcBorders>
              <w:top w:val="single" w:color="auto" w:sz="4" w:space="0"/>
              <w:bottom w:val="single" w:color="auto" w:sz="4" w:space="0"/>
            </w:tcBorders>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1.是否为专门面向中小企业的预留份额的采购项目或者采购包：</w:t>
            </w:r>
            <w:r>
              <w:rPr>
                <w:rFonts w:hint="eastAsia" w:ascii="宋体" w:hAnsi="宋体" w:cs="宋体"/>
                <w:color w:val="auto"/>
                <w:sz w:val="24"/>
                <w:highlight w:val="none"/>
                <w:lang w:eastAsia="zh-CN"/>
              </w:rPr>
              <w:t>是</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2.依据《政府采购促进中小企业发展管理办法》规定享受扶持政策获得政府采购合同的，小微企业不得将合同分包给大中型企业，中型企业不得将合同分包给大型企业。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1.4.4</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是否允许联合体参加政府采购活动</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1.4.5</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现场考察、磋商前答疑会</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8" w:hRule="atLeast"/>
          <w:jc w:val="center"/>
        </w:trPr>
        <w:tc>
          <w:tcPr>
            <w:tcW w:w="10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2.1</w:t>
            </w:r>
          </w:p>
        </w:tc>
        <w:tc>
          <w:tcPr>
            <w:tcW w:w="2338"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供应商对竞争性磋商文件提出疑问的形式</w:t>
            </w:r>
          </w:p>
        </w:tc>
        <w:tc>
          <w:tcPr>
            <w:tcW w:w="5912" w:type="dxa"/>
            <w:tcBorders>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在河南省公共资源交易平台上进行提问，同时将问题的电子版（附加盖企业公章的扫描件和可编辑的Word电子版）上传。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2.2</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采购人书面澄清竞争性磋商文件的时间</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澄清或者修改的内容可能影响响应文件编制的，将在递交首次响应文件截止时间至少5日前，</w:t>
            </w:r>
            <w:r>
              <w:rPr>
                <w:rFonts w:hint="eastAsia" w:ascii="宋体" w:hAnsi="宋体" w:cs="宋体"/>
                <w:bCs/>
                <w:color w:val="auto"/>
                <w:sz w:val="24"/>
                <w:highlight w:val="none"/>
              </w:rPr>
              <w:t>以公告形式</w:t>
            </w:r>
            <w:r>
              <w:rPr>
                <w:rFonts w:hint="eastAsia" w:ascii="宋体" w:hAnsi="宋体" w:cs="宋体"/>
                <w:color w:val="auto"/>
                <w:sz w:val="24"/>
                <w:highlight w:val="none"/>
              </w:rPr>
              <w:t>在原公告媒体上发布。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3.1</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签字和盖章要求</w:t>
            </w:r>
          </w:p>
        </w:tc>
        <w:tc>
          <w:tcPr>
            <w:tcW w:w="5912" w:type="dxa"/>
            <w:tcBorders>
              <w:top w:val="single" w:color="auto" w:sz="4" w:space="0"/>
              <w:bottom w:val="single" w:color="auto" w:sz="4" w:space="0"/>
            </w:tcBorders>
            <w:vAlign w:val="center"/>
          </w:tcPr>
          <w:p>
            <w:pPr>
              <w:shd w:val="clea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按照竞争性磋商文件的要求进行签字或盖章。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3.2</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响应报价</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1、供应商报价超过竞争性磋商文件规定的预算金额或者最高限价的，其响应文件将被认定为</w:t>
            </w:r>
            <w:r>
              <w:rPr>
                <w:rFonts w:hint="eastAsia" w:ascii="宋体" w:hAnsi="宋体" w:cs="宋体"/>
                <w:b/>
                <w:color w:val="auto"/>
                <w:sz w:val="24"/>
                <w:highlight w:val="none"/>
              </w:rPr>
              <w:t>无效响应文件</w:t>
            </w:r>
            <w:r>
              <w:rPr>
                <w:rFonts w:hint="eastAsia" w:ascii="宋体" w:hAnsi="宋体" w:cs="宋体"/>
                <w:color w:val="auto"/>
                <w:sz w:val="24"/>
                <w:highlight w:val="none"/>
              </w:rPr>
              <w:t>。</w:t>
            </w:r>
          </w:p>
          <w:p>
            <w:pPr>
              <w:shd w:val="clea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2、供应商的报价应包括现场勘查及相关差旅费、全部货物、辅助材料、运输到指定地点的装运费用、安装调试、培训、售后服务、测试、验收以及其他有关交付使用前的所有费用。对采购项目履行过程中所需的而磋商文件中未列出的相关辅助材料和费用，也应包括在报价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3.3</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磋商保证金</w:t>
            </w:r>
          </w:p>
        </w:tc>
        <w:tc>
          <w:tcPr>
            <w:tcW w:w="5912" w:type="dxa"/>
            <w:tcBorders>
              <w:top w:val="single" w:color="auto" w:sz="4" w:space="0"/>
              <w:bottom w:val="single" w:color="auto" w:sz="4" w:space="0"/>
            </w:tcBorders>
            <w:vAlign w:val="center"/>
          </w:tcPr>
          <w:p>
            <w:pPr>
              <w:shd w:val="clea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参加本项目采购活动的供应商无需提交磋商保证金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3.4</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响应文件有效期</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自响应文件递交截止之日起</w:t>
            </w: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6" w:hRule="atLeast"/>
          <w:jc w:val="center"/>
        </w:trPr>
        <w:tc>
          <w:tcPr>
            <w:tcW w:w="1056" w:type="dxa"/>
            <w:tcBorders>
              <w:top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4.1</w:t>
            </w:r>
          </w:p>
        </w:tc>
        <w:tc>
          <w:tcPr>
            <w:tcW w:w="2338" w:type="dxa"/>
            <w:tcBorders>
              <w:top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响应文件提交截止时间</w:t>
            </w:r>
          </w:p>
        </w:tc>
        <w:tc>
          <w:tcPr>
            <w:tcW w:w="5912" w:type="dxa"/>
            <w:tcBorders>
              <w:top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b/>
                <w:color w:val="auto"/>
                <w:sz w:val="24"/>
                <w:highlight w:val="none"/>
                <w:u w:val="single"/>
              </w:rPr>
              <w:t>2023</w:t>
            </w:r>
            <w:r>
              <w:rPr>
                <w:rFonts w:hint="eastAsia" w:ascii="宋体" w:hAnsi="宋体" w:cs="宋体"/>
                <w:b/>
                <w:color w:val="auto"/>
                <w:sz w:val="24"/>
                <w:highlight w:val="none"/>
              </w:rPr>
              <w:t>年</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08</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月</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18</w:t>
            </w:r>
            <w:r>
              <w:rPr>
                <w:rFonts w:hint="eastAsia" w:ascii="宋体" w:hAnsi="宋体" w:cs="宋体"/>
                <w:b/>
                <w:color w:val="auto"/>
                <w:sz w:val="24"/>
                <w:highlight w:val="none"/>
              </w:rPr>
              <w:t>日</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rPr>
              <w:t>09</w:t>
            </w:r>
            <w:r>
              <w:rPr>
                <w:rFonts w:hint="eastAsia" w:ascii="宋体" w:hAnsi="宋体" w:cs="宋体"/>
                <w:b/>
                <w:color w:val="auto"/>
                <w:sz w:val="24"/>
                <w:highlight w:val="none"/>
              </w:rPr>
              <w:t>时</w:t>
            </w:r>
            <w:r>
              <w:rPr>
                <w:rFonts w:hint="eastAsia" w:ascii="宋体" w:hAnsi="宋体" w:cs="宋体"/>
                <w:b/>
                <w:color w:val="auto"/>
                <w:sz w:val="24"/>
                <w:highlight w:val="none"/>
                <w:u w:val="single"/>
              </w:rPr>
              <w:t xml:space="preserve"> 00</w:t>
            </w:r>
            <w:r>
              <w:rPr>
                <w:rFonts w:hint="eastAsia" w:ascii="宋体" w:hAnsi="宋体" w:cs="宋体"/>
                <w:b/>
                <w:color w:val="auto"/>
                <w:sz w:val="24"/>
                <w:highlight w:val="none"/>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5.1.1</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磋商会议时间、地点</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磋商会议开始时间：同响应文件提交截止时间；</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开启地点：电子响应文件须在磋商响应文件递交截止时间前在《河南省公共资源交易中心》网站系统中加密上传。本项目采用“远程不见面”开标方式，投标人无需到河南省公共资源交易中心现场参加开标会议；投标人应当在开标时间前，登录远程开标大厅，在线准时参加开标活动并进行响应文件解密、答疑澄清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5.1.2</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电子响应文件解密时间</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在开始解密本单位电子响应文件后的30分钟内完成远程解密。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5.1.3</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磋商小组组成</w:t>
            </w:r>
          </w:p>
        </w:tc>
        <w:tc>
          <w:tcPr>
            <w:tcW w:w="5912" w:type="dxa"/>
            <w:tcBorders>
              <w:top w:val="single" w:color="auto" w:sz="4" w:space="0"/>
              <w:bottom w:val="single" w:color="auto" w:sz="4" w:space="0"/>
            </w:tcBorders>
            <w:vAlign w:val="center"/>
          </w:tcPr>
          <w:p>
            <w:pPr>
              <w:shd w:val="clear"/>
              <w:tabs>
                <w:tab w:val="left" w:pos="720"/>
              </w:tabs>
              <w:spacing w:line="360" w:lineRule="auto"/>
              <w:ind w:left="840" w:hanging="840" w:hangingChars="350"/>
              <w:rPr>
                <w:rFonts w:hint="eastAsia" w:ascii="宋体" w:hAnsi="宋体" w:eastAsia="宋体" w:cs="宋体"/>
                <w:color w:val="auto"/>
                <w:sz w:val="24"/>
                <w:highlight w:val="none"/>
                <w:lang w:eastAsia="zh-CN"/>
              </w:rPr>
            </w:pPr>
            <w:r>
              <w:rPr>
                <w:rFonts w:hint="eastAsia" w:ascii="宋体" w:hAnsi="宋体" w:cs="宋体"/>
                <w:color w:val="auto"/>
                <w:sz w:val="24"/>
                <w:highlight w:val="none"/>
              </w:rPr>
              <w:t>磋商小组人数：3人</w:t>
            </w:r>
            <w:r>
              <w:rPr>
                <w:rFonts w:hint="eastAsia" w:ascii="宋体" w:hAnsi="宋体" w:cs="宋体"/>
                <w:color w:val="auto"/>
                <w:sz w:val="24"/>
                <w:highlight w:val="none"/>
                <w:lang w:eastAsia="zh-CN"/>
              </w:rPr>
              <w:t>；</w:t>
            </w:r>
          </w:p>
          <w:p>
            <w:pPr>
              <w:shd w:val="clear"/>
              <w:spacing w:line="360" w:lineRule="auto"/>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其中：</w:t>
            </w:r>
            <w:r>
              <w:rPr>
                <w:rFonts w:hint="eastAsia" w:ascii="宋体" w:hAnsi="宋体" w:cs="宋体"/>
                <w:bCs/>
                <w:color w:val="auto"/>
                <w:sz w:val="24"/>
                <w:highlight w:val="none"/>
                <w:lang w:val="en-US" w:eastAsia="zh-CN"/>
              </w:rPr>
              <w:t>经济专家</w:t>
            </w:r>
            <w:r>
              <w:rPr>
                <w:rFonts w:hint="eastAsia" w:ascii="宋体" w:hAnsi="宋体" w:cs="宋体"/>
                <w:bCs/>
                <w:color w:val="auto"/>
                <w:sz w:val="24"/>
                <w:highlight w:val="none"/>
                <w:u w:val="single"/>
              </w:rPr>
              <w:t xml:space="preserve"> 1 </w:t>
            </w:r>
            <w:r>
              <w:rPr>
                <w:rFonts w:hint="eastAsia" w:ascii="宋体" w:hAnsi="宋体" w:cs="宋体"/>
                <w:bCs/>
                <w:color w:val="auto"/>
                <w:sz w:val="24"/>
                <w:highlight w:val="none"/>
              </w:rPr>
              <w:t>人，</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专家</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人</w:t>
            </w:r>
            <w:r>
              <w:rPr>
                <w:rFonts w:hint="eastAsia" w:ascii="宋体" w:hAnsi="宋体" w:cs="宋体"/>
                <w:color w:val="auto"/>
                <w:sz w:val="24"/>
                <w:highlight w:val="none"/>
                <w:lang w:eastAsia="zh-CN"/>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评审专家产生方式：</w:t>
            </w:r>
            <w:r>
              <w:rPr>
                <w:rFonts w:hint="eastAsia" w:ascii="宋体" w:hAnsi="宋体" w:cs="宋体"/>
                <w:bCs/>
                <w:color w:val="auto"/>
                <w:sz w:val="24"/>
                <w:highlight w:val="none"/>
              </w:rPr>
              <w:t>从财政部门的政府采购专家库中随机抽取。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5.1.4</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供应商信用记录查询</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信用记录截止时间点：同响应文件提交截止时间；</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信用记录查询时间：响应文件提交截止时间之后。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5.2</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评审办法</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6.1</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推荐成交候选供应商的数量</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6.2</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确定成交供应商的方式</w:t>
            </w:r>
          </w:p>
        </w:tc>
        <w:tc>
          <w:tcPr>
            <w:tcW w:w="5912" w:type="dxa"/>
            <w:tcBorders>
              <w:top w:val="single" w:color="auto" w:sz="4" w:space="0"/>
              <w:bottom w:val="single" w:color="auto" w:sz="4" w:space="0"/>
            </w:tcBorders>
            <w:vAlign w:val="center"/>
          </w:tcPr>
          <w:p>
            <w:pPr>
              <w:shd w:val="clear"/>
              <w:spacing w:line="360" w:lineRule="auto"/>
              <w:rPr>
                <w:rFonts w:hint="eastAsia" w:ascii="宋体" w:hAnsi="宋体" w:cs="宋体"/>
                <w:b/>
                <w:color w:val="auto"/>
                <w:sz w:val="24"/>
                <w:highlight w:val="none"/>
              </w:rPr>
            </w:pPr>
            <w:r>
              <w:rPr>
                <w:rFonts w:hint="eastAsia" w:ascii="宋体" w:hAnsi="宋体" w:cs="宋体"/>
                <w:color w:val="auto"/>
                <w:sz w:val="24"/>
                <w:highlight w:val="none"/>
              </w:rPr>
              <w:t>成交供应商数量：</w:t>
            </w:r>
            <w:r>
              <w:rPr>
                <w:rFonts w:hint="eastAsia" w:ascii="宋体" w:hAnsi="宋体" w:cs="宋体"/>
                <w:b/>
                <w:color w:val="auto"/>
                <w:sz w:val="24"/>
                <w:highlight w:val="none"/>
              </w:rPr>
              <w:t>1名</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采购人确定成交供应商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6"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pacing w:val="1"/>
                <w:sz w:val="24"/>
                <w:highlight w:val="none"/>
              </w:rPr>
              <w:t>合同签订前需提交合同总金额3%的银行履约保函,</w:t>
            </w:r>
            <w:r>
              <w:rPr>
                <w:rFonts w:hint="eastAsia"/>
                <w:color w:val="auto"/>
                <w:highlight w:val="none"/>
              </w:rPr>
              <w:t xml:space="preserve"> </w:t>
            </w:r>
            <w:r>
              <w:rPr>
                <w:rFonts w:hint="eastAsia" w:ascii="宋体" w:hAnsi="宋体" w:cs="宋体"/>
                <w:color w:val="auto"/>
                <w:spacing w:val="1"/>
                <w:sz w:val="24"/>
                <w:highlight w:val="none"/>
              </w:rPr>
              <w:t>合同履行完毕,验收合格6个月后退还履约保证金。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056" w:type="dxa"/>
            <w:tcBorders>
              <w:top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338" w:type="dxa"/>
            <w:tcBorders>
              <w:top w:val="single" w:color="auto" w:sz="4" w:space="0"/>
            </w:tcBorders>
            <w:vAlign w:val="center"/>
          </w:tcPr>
          <w:p>
            <w:pPr>
              <w:shd w:val="clea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采购代理服务费</w:t>
            </w:r>
          </w:p>
        </w:tc>
        <w:tc>
          <w:tcPr>
            <w:tcW w:w="5912" w:type="dxa"/>
            <w:tcBorders>
              <w:top w:val="single" w:color="auto" w:sz="4" w:space="0"/>
            </w:tcBorders>
            <w:vAlign w:val="center"/>
          </w:tcPr>
          <w:p>
            <w:pPr>
              <w:shd w:val="clea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采购代理服务费:成交供应商须向采购代理机构按如下标准和规定交纳成交服务费。</w:t>
            </w:r>
          </w:p>
          <w:p>
            <w:pPr>
              <w:shd w:val="clear"/>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收费标准：预算金额的百分之一点五。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质疑的提出与接收</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①供应商认为自己的权益受到损害的，可以在知道或者应该知道其权益受到损害之日起七个工作日内，向采购代理机构提出质疑。</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②质疑函的内容、格式：应符合《政府采购质疑和投诉办法》相关规定和财政部门制定的《政府采购质疑函范本》格式。</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③供应商应在法定质疑期内一次性针对同一采购程序环节提出质疑，否则针对再次提出质疑将不予接收。（采购程序环节分为：采购公告、竞争性磋商文件、采购过程、成交结果）</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供应商应知其权益受到损害之日，是指：</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(一)对可以质疑的采购文件提出质疑的，为收到采购文件之日或者采购文件公告期限届满之日;</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(二)对采购过程提出质疑的，为各采购程序环节结束之日;</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(三)对成交或者成交结果提出质疑的，为成交或者成交结果公告期限届满之日。</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④接收质疑函的方式：接收加盖单位公章、法定的代表人签字（或加盖个人印章）的书面质疑函。</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⑤质疑函接收信息</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单位：</w:t>
            </w:r>
            <w:r>
              <w:rPr>
                <w:rFonts w:hint="eastAsia" w:ascii="宋体" w:hAnsi="宋体" w:cs="宋体"/>
                <w:color w:val="auto"/>
                <w:kern w:val="0"/>
                <w:sz w:val="24"/>
                <w:highlight w:val="none"/>
              </w:rPr>
              <w:t>河南正禄招标代理有限公司</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kern w:val="0"/>
                <w:sz w:val="24"/>
                <w:highlight w:val="none"/>
              </w:rPr>
              <w:t xml:space="preserve">张华 </w:t>
            </w:r>
            <w:r>
              <w:rPr>
                <w:rFonts w:hint="eastAsia" w:ascii="宋体" w:hAnsi="宋体" w:cs="宋体"/>
                <w:color w:val="auto"/>
                <w:sz w:val="24"/>
                <w:highlight w:val="none"/>
              </w:rPr>
              <w:t xml:space="preserve"> </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kern w:val="0"/>
                <w:sz w:val="24"/>
                <w:highlight w:val="none"/>
              </w:rPr>
              <w:t>0371-53301569</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通讯地址：</w:t>
            </w:r>
            <w:r>
              <w:rPr>
                <w:rFonts w:hint="eastAsia" w:ascii="宋体" w:hAnsi="宋体" w:cs="宋体"/>
                <w:color w:val="auto"/>
                <w:kern w:val="0"/>
                <w:sz w:val="24"/>
                <w:highlight w:val="none"/>
              </w:rPr>
              <w:t xml:space="preserve">郑州市郑东新区通惠路与白沙路交叉口东盛广场9层01号 </w:t>
            </w:r>
            <w:r>
              <w:rPr>
                <w:rFonts w:hint="eastAsia" w:ascii="宋体" w:hAnsi="宋体" w:cs="宋体"/>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9306" w:type="dxa"/>
            <w:gridSpan w:val="3"/>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需要补充的其它内容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pacing w:val="1"/>
                <w:sz w:val="24"/>
                <w:highlight w:val="none"/>
              </w:rPr>
              <w:t>验收合格后，30天内付至合同价的100%。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数量増减范围</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编制文件应注意的事项</w:t>
            </w:r>
          </w:p>
        </w:tc>
        <w:tc>
          <w:tcPr>
            <w:tcW w:w="5912" w:type="dxa"/>
            <w:tcBorders>
              <w:top w:val="single" w:color="auto" w:sz="4" w:space="0"/>
              <w:bottom w:val="single" w:color="auto" w:sz="4" w:space="0"/>
            </w:tcBorders>
            <w:vAlign w:val="center"/>
          </w:tcPr>
          <w:p>
            <w:pPr>
              <w:pStyle w:val="270"/>
              <w:shd w:val="clear"/>
              <w:autoSpaceDE w:val="0"/>
              <w:autoSpaceDN w:val="0"/>
              <w:spacing w:line="360" w:lineRule="auto"/>
              <w:jc w:val="left"/>
              <w:rPr>
                <w:rFonts w:ascii="宋体" w:hAnsi="宋体" w:cs="宋体"/>
                <w:color w:val="auto"/>
                <w:sz w:val="24"/>
                <w:highlight w:val="none"/>
              </w:rPr>
            </w:pPr>
            <w:r>
              <w:rPr>
                <w:rFonts w:hint="eastAsia" w:ascii="宋体" w:hAnsi="宋体" w:cs="宋体"/>
                <w:color w:val="auto"/>
                <w:sz w:val="24"/>
                <w:highlight w:val="none"/>
              </w:rPr>
              <w:t>各供应商在编制电子响应文件时，应避免因使用同一台计算机制作或同一台计算机上传或相同企业密钥（CA）上传电子响应文件等其他人为因素，造成响应文件制作机器码一致的，其磋商将被否决。由此造成的其他不良后果，均由供应商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政府采购政策</w:t>
            </w:r>
          </w:p>
        </w:tc>
        <w:tc>
          <w:tcPr>
            <w:tcW w:w="5912" w:type="dxa"/>
            <w:tcBorders>
              <w:top w:val="single" w:color="auto" w:sz="4" w:space="0"/>
              <w:bottom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1、根据《财政部发展改革委生态环境部市场监管总局关于调整优化节能产品、环境标志产品政府采购执行机制的通知》(财库〔2019〕9 号)、《关于印发节能产品政府采购品目清单的通知》(财库〔2019〕19 号) 、《关于印发环境标志产品政府采购品目清单的通知》(财库〔2019〕18 号) 文件规定，本项目如涉及到品目清单范围内的产品，将依据国家确定的认证机构出具的、处于有效期之内的节能产品、环境标志产品认证证书，对获得证书的产品实施优先采购或强制采购。(提供证明材料)</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2.如供应商所投产品已列入国家强制性产品认证的产品，必须提供通过国家 3C 认证的有关证明材料(提供证明材料)。</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注：财政部生态环境部关于印发节能产品政府采购品目清单的通知(财库〔2019〕19号) ★A02010104 台式计算机★A02010105 便携式计算机★A02010107 平板式微型计算机★A0201060102 激光打印机★A0201060104 针式打印机★A0201060401 液晶显示器★ A02052301 制冷压缩机★A02052305 空调机组★A02052309 专用制冷、空调设备★A020609 镇流器★A0206180203 空调机★电热水器★普通照明用双端荧光灯★A020910 电视设备★A020911 视频设备★A060805 便器★A060806 水嘴为政府强制采购产品，竞争性磋商文件货物需求如有上述产品，投标人（供应商）投报产品应当取得国家确定的认证机构出具的、处于有效期之内的节能产品认证证书。</w:t>
            </w:r>
          </w:p>
          <w:p>
            <w:pPr>
              <w:pStyle w:val="207"/>
              <w:shd w:val="clear"/>
              <w:tabs>
                <w:tab w:val="left" w:pos="495"/>
              </w:tabs>
              <w:spacing w:line="435" w:lineRule="exact"/>
              <w:ind w:firstLine="0"/>
              <w:rPr>
                <w:color w:val="auto"/>
                <w:sz w:val="24"/>
                <w:szCs w:val="24"/>
                <w:highlight w:val="none"/>
                <w:lang w:val="en-US" w:eastAsia="zh-CN" w:bidi="ar-SA"/>
              </w:rPr>
            </w:pPr>
            <w:r>
              <w:rPr>
                <w:rFonts w:hint="eastAsia"/>
                <w:color w:val="auto"/>
                <w:sz w:val="24"/>
                <w:szCs w:val="24"/>
                <w:highlight w:val="none"/>
                <w:lang w:val="en-US" w:eastAsia="zh-CN" w:bidi="ar-SA"/>
              </w:rPr>
              <w:t>3、对于同时获得节能产品（强制采购节能产品除外）和环境标志产品认证证书产品，只给予其中一种产品优先采购。</w:t>
            </w:r>
          </w:p>
          <w:p>
            <w:pPr>
              <w:pStyle w:val="47"/>
              <w:shd w:val="clear"/>
              <w:spacing w:line="360" w:lineRule="auto"/>
              <w:ind w:firstLine="0" w:firstLineChars="0"/>
              <w:rPr>
                <w:rFonts w:ascii="宋体" w:hAnsi="宋体" w:eastAsia="宋体" w:cs="宋体"/>
                <w:color w:val="auto"/>
                <w:highlight w:val="none"/>
                <w:lang w:eastAsia="zh-CN"/>
              </w:rPr>
            </w:pPr>
            <w:r>
              <w:rPr>
                <w:rFonts w:hint="eastAsia" w:ascii="宋体" w:hAnsi="宋体" w:eastAsia="宋体" w:cs="宋体"/>
                <w:color w:val="auto"/>
                <w:kern w:val="2"/>
                <w:sz w:val="24"/>
                <w:szCs w:val="24"/>
                <w:highlight w:val="none"/>
                <w:lang w:eastAsia="zh-CN"/>
              </w:rPr>
              <w:t>4、优先采购节能产品金额与环境标志产品金额之和占其投标总价的比例，比例高的优先。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38" w:type="dxa"/>
            <w:tcBorders>
              <w:top w:val="single" w:color="auto" w:sz="4" w:space="0"/>
              <w:bottom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5912" w:type="dxa"/>
            <w:tcBorders>
              <w:top w:val="single" w:color="auto" w:sz="4" w:space="0"/>
              <w:bottom w:val="single" w:color="auto" w:sz="4" w:space="0"/>
            </w:tcBorders>
            <w:vAlign w:val="center"/>
          </w:tcPr>
          <w:p>
            <w:pPr>
              <w:pStyle w:val="43"/>
              <w:shd w:val="clear"/>
              <w:spacing w:before="0" w:beforeAutospacing="0" w:after="0" w:afterAutospacing="0" w:line="360" w:lineRule="auto"/>
              <w:rPr>
                <w:rFonts w:cs="宋体"/>
                <w:color w:val="auto"/>
                <w:kern w:val="2"/>
                <w:szCs w:val="24"/>
                <w:highlight w:val="none"/>
              </w:rPr>
            </w:pPr>
            <w:r>
              <w:rPr>
                <w:rFonts w:hint="eastAsia" w:cs="宋体"/>
                <w:color w:val="auto"/>
                <w:szCs w:val="24"/>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投标邀请书）、供应商须知、评标办法、响应文件格式的先后顺序解释；同一组文件中就同一事项的规定或约定不一致的，以编排顺序在后者为准；同一组文件不同版本之间有不一致的，以形成时间在后者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1056" w:type="dxa"/>
            <w:tcBorders>
              <w:top w:val="single" w:color="auto" w:sz="4" w:space="0"/>
              <w:bottom w:val="single" w:color="auto" w:sz="4" w:space="0"/>
            </w:tcBorders>
            <w:vAlign w:val="center"/>
          </w:tcPr>
          <w:p>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2338" w:type="dxa"/>
            <w:tcBorders>
              <w:top w:val="single" w:color="auto" w:sz="4" w:space="0"/>
              <w:bottom w:val="single" w:color="auto" w:sz="4" w:space="0"/>
            </w:tcBorders>
            <w:vAlign w:val="center"/>
          </w:tcPr>
          <w:p>
            <w:pPr>
              <w:shd w:val="clear"/>
              <w:adjustRightIn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构成竞争性磋商文件的其他材料</w:t>
            </w:r>
          </w:p>
        </w:tc>
        <w:tc>
          <w:tcPr>
            <w:tcW w:w="5912" w:type="dxa"/>
            <w:tcBorders>
              <w:top w:val="single" w:color="auto" w:sz="4" w:space="0"/>
              <w:bottom w:val="single" w:color="auto" w:sz="4" w:space="0"/>
            </w:tcBorders>
            <w:vAlign w:val="center"/>
          </w:tcPr>
          <w:p>
            <w:pPr>
              <w:shd w:val="clear"/>
              <w:adjustRightIn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除竞争性磋商文件外，采购人在磋商期间发出的澄清、修改、补充、补遗和其他有效正式函件等内容均是竞争性磋商文件的组成部分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1056" w:type="dxa"/>
            <w:tcBorders>
              <w:top w:val="single" w:color="auto" w:sz="4" w:space="0"/>
              <w:bottom w:val="single" w:color="auto" w:sz="4" w:space="0"/>
            </w:tcBorders>
            <w:vAlign w:val="center"/>
          </w:tcPr>
          <w:p>
            <w:pPr>
              <w:shd w:val="clear"/>
              <w:adjustRightInd w:val="0"/>
              <w:spacing w:line="360" w:lineRule="auto"/>
              <w:jc w:val="center"/>
              <w:textAlignment w:val="baseline"/>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2338" w:type="dxa"/>
            <w:tcBorders>
              <w:top w:val="single" w:color="auto" w:sz="4" w:space="0"/>
              <w:bottom w:val="single" w:color="auto" w:sz="4" w:space="0"/>
            </w:tcBorders>
            <w:vAlign w:val="center"/>
          </w:tcPr>
          <w:p>
            <w:pPr>
              <w:shd w:val="clear"/>
              <w:adjustRightIn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售后服务</w:t>
            </w:r>
          </w:p>
        </w:tc>
        <w:tc>
          <w:tcPr>
            <w:tcW w:w="5912" w:type="dxa"/>
            <w:tcBorders>
              <w:top w:val="single" w:color="auto" w:sz="4" w:space="0"/>
              <w:bottom w:val="single" w:color="auto" w:sz="4" w:space="0"/>
            </w:tcBorders>
            <w:vAlign w:val="center"/>
          </w:tcPr>
          <w:p>
            <w:pPr>
              <w:shd w:val="clear"/>
              <w:adjustRightIn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1、质保期：36个月（其中：中心网站的售后服务6个月）</w:t>
            </w:r>
          </w:p>
          <w:p>
            <w:pPr>
              <w:shd w:val="clear"/>
              <w:adjustRightIn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2、售后服务的内容：质保期内，供应商所提供的设备若出现故障均享有36个月内免费维修、维护，免费配件更换。质保期期内设备所出现的故障及升级服务均免费上门解决。质保期满后乙方须提供长期的技术服务支持和甲方所需的专业教师的培训。</w:t>
            </w:r>
          </w:p>
          <w:p>
            <w:pPr>
              <w:shd w:val="clear"/>
              <w:adjustRightIn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3、售后服务形式、解决质量或操作问题的响应时间：甲方遇到使用及技术问题，先电话咨询，电话咨询不能解决的，乙方将在12小内到达现场进行处理，确保设备系统正常工作；无法在24小时内解决的，将在48小时内提供备用产品，保证采购人能够正常使用。如未能及时上门服务，用户委托其它单位维修，乙方支付维修所产生的维修费并认同买方具有本保证下索赔的权力。</w:t>
            </w:r>
          </w:p>
          <w:p>
            <w:pPr>
              <w:shd w:val="clear"/>
              <w:adjustRightIn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4、应急响应时间：甲方遇到紧急技术问题，乙方售后应在4小内到达现场进行处理，确保设备系统正常工作；无法在12小时内解决的，应在24小时内提供备用产品，使甲方能够正常使用。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9306" w:type="dxa"/>
            <w:gridSpan w:val="3"/>
            <w:tcBorders>
              <w:top w:val="single" w:color="auto" w:sz="4" w:space="0"/>
              <w:bottom w:val="single" w:color="auto" w:sz="4" w:space="0"/>
            </w:tcBorders>
            <w:vAlign w:val="center"/>
          </w:tcPr>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本文件未尽事宜，参照现行有关的法律、法规、规章、办法等执行。</w:t>
            </w:r>
          </w:p>
        </w:tc>
      </w:tr>
    </w:tbl>
    <w:p>
      <w:pPr>
        <w:pStyle w:val="5"/>
        <w:shd w:val="clear"/>
        <w:spacing w:before="0" w:after="0" w:line="360" w:lineRule="auto"/>
        <w:rPr>
          <w:rFonts w:ascii="宋体" w:hAnsi="宋体" w:eastAsia="宋体" w:cs="宋体"/>
          <w:color w:val="auto"/>
          <w:sz w:val="24"/>
          <w:szCs w:val="24"/>
          <w:highlight w:val="none"/>
        </w:rPr>
      </w:pPr>
      <w:bookmarkStart w:id="26" w:name="_Toc21015"/>
      <w:bookmarkStart w:id="27" w:name="_Toc57217227"/>
      <w:bookmarkStart w:id="28" w:name="_Toc21215"/>
      <w:bookmarkStart w:id="29" w:name="_Toc15048288"/>
      <w:bookmarkStart w:id="30" w:name="_Toc532473449"/>
      <w:r>
        <w:rPr>
          <w:rFonts w:hint="eastAsia" w:ascii="宋体" w:hAnsi="宋体" w:eastAsia="宋体" w:cs="宋体"/>
          <w:color w:val="auto"/>
          <w:sz w:val="24"/>
          <w:szCs w:val="24"/>
          <w:highlight w:val="none"/>
        </w:rPr>
        <w:br w:type="page"/>
      </w:r>
      <w:bookmarkStart w:id="31" w:name="_Toc10741"/>
      <w:bookmarkStart w:id="32" w:name="_Toc1353"/>
      <w:bookmarkStart w:id="33" w:name="_Toc6109"/>
      <w:r>
        <w:rPr>
          <w:rFonts w:hint="eastAsia" w:ascii="宋体" w:hAnsi="宋体" w:eastAsia="宋体" w:cs="宋体"/>
          <w:color w:val="auto"/>
          <w:sz w:val="24"/>
          <w:szCs w:val="24"/>
          <w:highlight w:val="none"/>
        </w:rPr>
        <w:t>1、总 则</w:t>
      </w:r>
      <w:bookmarkEnd w:id="26"/>
      <w:bookmarkEnd w:id="27"/>
      <w:bookmarkEnd w:id="28"/>
      <w:bookmarkEnd w:id="29"/>
      <w:bookmarkEnd w:id="30"/>
      <w:bookmarkEnd w:id="31"/>
      <w:bookmarkEnd w:id="32"/>
      <w:bookmarkEnd w:id="33"/>
    </w:p>
    <w:p>
      <w:pPr>
        <w:pStyle w:val="7"/>
        <w:shd w:val="clear"/>
        <w:spacing w:before="0" w:after="0" w:line="360" w:lineRule="auto"/>
        <w:rPr>
          <w:rFonts w:ascii="宋体" w:hAnsi="宋体" w:eastAsia="宋体" w:cs="宋体"/>
          <w:color w:val="auto"/>
          <w:sz w:val="24"/>
          <w:szCs w:val="24"/>
          <w:highlight w:val="none"/>
        </w:rPr>
      </w:pPr>
      <w:bookmarkStart w:id="34" w:name="_Toc57217228"/>
      <w:bookmarkStart w:id="35" w:name="_Toc4704"/>
      <w:bookmarkStart w:id="36" w:name="_Toc12413"/>
      <w:bookmarkStart w:id="37" w:name="_Toc8471"/>
      <w:bookmarkStart w:id="38" w:name="_Toc32623"/>
      <w:bookmarkStart w:id="39" w:name="_Toc520356144"/>
      <w:bookmarkStart w:id="40" w:name="_Toc515647758"/>
      <w:bookmarkStart w:id="41" w:name="_Toc32189"/>
      <w:bookmarkStart w:id="42" w:name="_Toc15048289"/>
      <w:bookmarkStart w:id="43" w:name="_Toc532473450"/>
      <w:r>
        <w:rPr>
          <w:rFonts w:hint="eastAsia" w:ascii="宋体" w:hAnsi="宋体" w:eastAsia="宋体" w:cs="宋体"/>
          <w:color w:val="auto"/>
          <w:sz w:val="24"/>
          <w:szCs w:val="24"/>
          <w:highlight w:val="none"/>
        </w:rPr>
        <w:t>1.1 项目概况</w:t>
      </w:r>
      <w:bookmarkEnd w:id="34"/>
      <w:bookmarkEnd w:id="35"/>
      <w:bookmarkEnd w:id="36"/>
      <w:bookmarkEnd w:id="37"/>
    </w:p>
    <w:bookmarkEnd w:id="38"/>
    <w:bookmarkEnd w:id="39"/>
    <w:bookmarkEnd w:id="40"/>
    <w:bookmarkEnd w:id="41"/>
    <w:bookmarkEnd w:id="42"/>
    <w:bookmarkEnd w:id="43"/>
    <w:p>
      <w:pPr>
        <w:shd w:val="clear"/>
        <w:tabs>
          <w:tab w:val="left" w:pos="0"/>
        </w:tabs>
        <w:spacing w:line="360" w:lineRule="auto"/>
        <w:rPr>
          <w:rFonts w:ascii="宋体" w:hAnsi="宋体" w:cs="宋体"/>
          <w:color w:val="auto"/>
          <w:sz w:val="24"/>
          <w:highlight w:val="none"/>
        </w:rPr>
      </w:pPr>
      <w:r>
        <w:rPr>
          <w:rFonts w:hint="eastAsia" w:ascii="宋体" w:hAnsi="宋体" w:cs="宋体"/>
          <w:color w:val="auto"/>
          <w:sz w:val="24"/>
          <w:highlight w:val="none"/>
        </w:rPr>
        <w:t>1.1.1 采购人：是指依法进行政府采购的国家机关、事业单位、团体组织。</w:t>
      </w:r>
    </w:p>
    <w:p>
      <w:pPr>
        <w:shd w:val="clear"/>
        <w:tabs>
          <w:tab w:val="left" w:pos="0"/>
        </w:tabs>
        <w:spacing w:line="360" w:lineRule="auto"/>
        <w:rPr>
          <w:rFonts w:ascii="宋体" w:hAnsi="宋体" w:cs="宋体"/>
          <w:color w:val="auto"/>
          <w:sz w:val="24"/>
          <w:highlight w:val="none"/>
        </w:rPr>
      </w:pPr>
      <w:r>
        <w:rPr>
          <w:rFonts w:hint="eastAsia" w:ascii="宋体" w:hAnsi="宋体" w:cs="宋体"/>
          <w:color w:val="auto"/>
          <w:sz w:val="24"/>
          <w:highlight w:val="none"/>
        </w:rPr>
        <w:t>本项目的采购人见：</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1.1.2 采购代理机构是指：</w:t>
      </w:r>
      <w:r>
        <w:rPr>
          <w:rFonts w:hint="eastAsia" w:ascii="宋体" w:hAnsi="宋体" w:cs="宋体"/>
          <w:color w:val="auto"/>
          <w:kern w:val="0"/>
          <w:sz w:val="24"/>
          <w:highlight w:val="none"/>
        </w:rPr>
        <w:t>河南正禄招标代理有限公司</w:t>
      </w:r>
    </w:p>
    <w:p>
      <w:pPr>
        <w:shd w:val="clear"/>
        <w:tabs>
          <w:tab w:val="left" w:pos="142"/>
        </w:tabs>
        <w:spacing w:line="360" w:lineRule="auto"/>
        <w:rPr>
          <w:rFonts w:ascii="宋体" w:hAnsi="宋体" w:cs="宋体"/>
          <w:color w:val="auto"/>
          <w:sz w:val="24"/>
          <w:highlight w:val="none"/>
        </w:rPr>
      </w:pPr>
      <w:r>
        <w:rPr>
          <w:rFonts w:hint="eastAsia" w:ascii="宋体" w:hAnsi="宋体" w:cs="宋体"/>
          <w:color w:val="auto"/>
          <w:sz w:val="24"/>
          <w:highlight w:val="none"/>
        </w:rPr>
        <w:t>1.1.3 采购项目名称：</w:t>
      </w:r>
      <w:r>
        <w:rPr>
          <w:rFonts w:hint="eastAsia" w:ascii="宋体" w:hAnsi="宋体" w:cs="宋体"/>
          <w:b/>
          <w:color w:val="auto"/>
          <w:sz w:val="24"/>
          <w:highlight w:val="none"/>
          <w:u w:val="single"/>
        </w:rPr>
        <w:t>见供应商须知前附表</w:t>
      </w:r>
      <w:r>
        <w:rPr>
          <w:rFonts w:hint="eastAsia" w:ascii="宋体" w:hAnsi="宋体" w:cs="宋体"/>
          <w:color w:val="auto"/>
          <w:sz w:val="24"/>
          <w:highlight w:val="none"/>
        </w:rPr>
        <w:t>。</w:t>
      </w:r>
    </w:p>
    <w:p>
      <w:pPr>
        <w:shd w:val="clear"/>
        <w:tabs>
          <w:tab w:val="left" w:pos="142"/>
        </w:tabs>
        <w:spacing w:line="360" w:lineRule="auto"/>
        <w:rPr>
          <w:rFonts w:ascii="宋体" w:hAnsi="宋体" w:cs="宋体"/>
          <w:color w:val="auto"/>
          <w:sz w:val="24"/>
          <w:highlight w:val="none"/>
        </w:rPr>
      </w:pPr>
      <w:r>
        <w:rPr>
          <w:rFonts w:hint="eastAsia" w:ascii="宋体" w:hAnsi="宋体" w:cs="宋体"/>
          <w:color w:val="auto"/>
          <w:sz w:val="24"/>
          <w:highlight w:val="none"/>
        </w:rPr>
        <w:t>1.1.4 采购项目实施地点：</w:t>
      </w:r>
      <w:r>
        <w:rPr>
          <w:rFonts w:hint="eastAsia" w:ascii="宋体" w:hAnsi="宋体" w:cs="宋体"/>
          <w:b/>
          <w:color w:val="auto"/>
          <w:sz w:val="24"/>
          <w:highlight w:val="none"/>
          <w:u w:val="single"/>
        </w:rPr>
        <w:t>见供应商须知前附表</w:t>
      </w:r>
      <w:r>
        <w:rPr>
          <w:rFonts w:hint="eastAsia" w:ascii="宋体" w:hAnsi="宋体" w:cs="宋体"/>
          <w:color w:val="auto"/>
          <w:sz w:val="24"/>
          <w:highlight w:val="none"/>
        </w:rPr>
        <w:t>。</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1.1.5 采购方式：</w:t>
      </w:r>
      <w:r>
        <w:rPr>
          <w:rFonts w:hint="eastAsia" w:ascii="宋体" w:hAnsi="宋体" w:cs="宋体"/>
          <w:b/>
          <w:color w:val="auto"/>
          <w:sz w:val="24"/>
          <w:highlight w:val="none"/>
        </w:rPr>
        <w:t>竞争性磋商。</w:t>
      </w:r>
      <w:r>
        <w:rPr>
          <w:rFonts w:hint="eastAsia" w:ascii="宋体" w:hAnsi="宋体" w:cs="宋体"/>
          <w:color w:val="auto"/>
          <w:sz w:val="24"/>
          <w:highlight w:val="none"/>
        </w:rPr>
        <w:t>采购人、采购代理机构通过组建竞争性磋商小组（以下简称磋商小组）与符合条件的供应商就采购</w:t>
      </w:r>
      <w:r>
        <w:rPr>
          <w:rFonts w:hint="eastAsia" w:ascii="宋体" w:hAnsi="宋体" w:cs="宋体"/>
          <w:b/>
          <w:bCs/>
          <w:color w:val="auto"/>
          <w:sz w:val="24"/>
          <w:highlight w:val="none"/>
        </w:rPr>
        <w:t>货物（包括伴随的服务）/工程（伴随的服务）/服务</w:t>
      </w:r>
      <w:r>
        <w:rPr>
          <w:rFonts w:hint="eastAsia" w:ascii="宋体" w:hAnsi="宋体" w:cs="宋体"/>
          <w:color w:val="auto"/>
          <w:sz w:val="24"/>
          <w:highlight w:val="none"/>
        </w:rPr>
        <w:t>事宜进行磋商，供应商按照竞争性磋商文件的要求提交响应文件和报价，采购人从磋商小组评审后提出的候选供应商名单中确定成交供应商。</w:t>
      </w:r>
    </w:p>
    <w:p>
      <w:pPr>
        <w:shd w:val="clear"/>
        <w:tabs>
          <w:tab w:val="left" w:pos="142"/>
        </w:tabs>
        <w:spacing w:line="360" w:lineRule="auto"/>
        <w:rPr>
          <w:rFonts w:ascii="宋体" w:hAnsi="宋体" w:cs="宋体"/>
          <w:color w:val="auto"/>
          <w:sz w:val="24"/>
          <w:highlight w:val="none"/>
        </w:rPr>
      </w:pPr>
      <w:bookmarkStart w:id="44" w:name="_Toc15048290"/>
      <w:bookmarkStart w:id="45" w:name="_Toc5286"/>
      <w:bookmarkStart w:id="46" w:name="_Toc57217229"/>
      <w:bookmarkStart w:id="47" w:name="_Toc515647759"/>
      <w:bookmarkStart w:id="48" w:name="_Toc12139"/>
      <w:bookmarkStart w:id="49" w:name="_Toc532473451"/>
      <w:r>
        <w:rPr>
          <w:rFonts w:hint="eastAsia" w:ascii="宋体" w:hAnsi="宋体" w:cs="宋体"/>
          <w:color w:val="auto"/>
          <w:sz w:val="24"/>
          <w:highlight w:val="none"/>
        </w:rPr>
        <w:t>1.1.6 采购项目属性：</w:t>
      </w:r>
      <w:r>
        <w:rPr>
          <w:rFonts w:hint="eastAsia" w:ascii="宋体" w:hAnsi="宋体" w:cs="宋体"/>
          <w:b/>
          <w:color w:val="auto"/>
          <w:sz w:val="24"/>
          <w:highlight w:val="none"/>
          <w:u w:val="single"/>
        </w:rPr>
        <w:t>见供应商须知前附表</w:t>
      </w:r>
      <w:r>
        <w:rPr>
          <w:rFonts w:hint="eastAsia" w:ascii="宋体" w:hAnsi="宋体" w:cs="宋体"/>
          <w:color w:val="auto"/>
          <w:sz w:val="24"/>
          <w:highlight w:val="none"/>
        </w:rPr>
        <w:t>。</w:t>
      </w:r>
    </w:p>
    <w:p>
      <w:pPr>
        <w:shd w:val="clear"/>
        <w:tabs>
          <w:tab w:val="left" w:pos="142"/>
        </w:tabs>
        <w:spacing w:line="360" w:lineRule="auto"/>
        <w:rPr>
          <w:rFonts w:ascii="宋体" w:hAnsi="宋体" w:cs="宋体"/>
          <w:color w:val="auto"/>
          <w:sz w:val="24"/>
          <w:highlight w:val="none"/>
        </w:rPr>
      </w:pPr>
      <w:r>
        <w:rPr>
          <w:rFonts w:hint="eastAsia" w:ascii="宋体" w:hAnsi="宋体" w:cs="宋体"/>
          <w:color w:val="auto"/>
          <w:sz w:val="24"/>
          <w:highlight w:val="none"/>
        </w:rPr>
        <w:t>1.1.7 标的物所属行业：</w:t>
      </w:r>
      <w:r>
        <w:rPr>
          <w:rFonts w:hint="eastAsia" w:ascii="宋体" w:hAnsi="宋体" w:cs="宋体"/>
          <w:b/>
          <w:color w:val="auto"/>
          <w:sz w:val="24"/>
          <w:highlight w:val="none"/>
          <w:u w:val="single"/>
        </w:rPr>
        <w:t>见供应商须知前附表</w:t>
      </w:r>
      <w:r>
        <w:rPr>
          <w:rFonts w:hint="eastAsia" w:ascii="宋体" w:hAnsi="宋体" w:cs="宋体"/>
          <w:color w:val="auto"/>
          <w:sz w:val="24"/>
          <w:highlight w:val="none"/>
        </w:rPr>
        <w:t>。</w:t>
      </w:r>
    </w:p>
    <w:p>
      <w:pPr>
        <w:pStyle w:val="7"/>
        <w:shd w:val="clear"/>
        <w:spacing w:before="0" w:after="0" w:line="360" w:lineRule="auto"/>
        <w:rPr>
          <w:rFonts w:ascii="宋体" w:hAnsi="宋体" w:eastAsia="宋体" w:cs="宋体"/>
          <w:color w:val="auto"/>
          <w:sz w:val="24"/>
          <w:szCs w:val="24"/>
          <w:highlight w:val="none"/>
        </w:rPr>
      </w:pPr>
      <w:bookmarkStart w:id="50" w:name="_Toc24812"/>
      <w:bookmarkStart w:id="51" w:name="_Toc11379"/>
      <w:bookmarkStart w:id="52" w:name="_Toc20497"/>
      <w:r>
        <w:rPr>
          <w:rFonts w:hint="eastAsia" w:ascii="宋体" w:hAnsi="宋体" w:eastAsia="宋体" w:cs="宋体"/>
          <w:color w:val="auto"/>
          <w:sz w:val="24"/>
          <w:szCs w:val="24"/>
          <w:highlight w:val="none"/>
        </w:rPr>
        <w:t>1.2 资金来源</w:t>
      </w:r>
      <w:bookmarkEnd w:id="44"/>
      <w:bookmarkEnd w:id="45"/>
      <w:bookmarkEnd w:id="46"/>
      <w:bookmarkEnd w:id="47"/>
      <w:bookmarkEnd w:id="48"/>
      <w:bookmarkEnd w:id="49"/>
      <w:bookmarkEnd w:id="50"/>
      <w:bookmarkEnd w:id="51"/>
      <w:bookmarkEnd w:id="52"/>
    </w:p>
    <w:p>
      <w:pPr>
        <w:shd w:val="clear"/>
        <w:spacing w:line="360" w:lineRule="auto"/>
        <w:ind w:left="1"/>
        <w:rPr>
          <w:rFonts w:ascii="宋体" w:hAnsi="宋体" w:cs="宋体"/>
          <w:color w:val="auto"/>
          <w:sz w:val="24"/>
          <w:highlight w:val="none"/>
        </w:rPr>
      </w:pPr>
      <w:r>
        <w:rPr>
          <w:rFonts w:hint="eastAsia" w:ascii="宋体" w:hAnsi="宋体" w:cs="宋体"/>
          <w:color w:val="auto"/>
          <w:sz w:val="24"/>
          <w:highlight w:val="none"/>
        </w:rPr>
        <w:t>1.2.1 本项目的采购人已获得足以支付本次采购后所签订合同项下的资金（包括财政性资金和本项目采购中无法与财政性资金分割的非财政性资金）。</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1.2.2 项目预算金额和最高限价（如有）见：</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1.2.3 供应商报价超过竞争性磋商文件规定的预算金额或者最高限价的，其响应文件将被认定为</w:t>
      </w:r>
      <w:r>
        <w:rPr>
          <w:rFonts w:hint="eastAsia" w:ascii="宋体" w:hAnsi="宋体" w:cs="宋体"/>
          <w:b/>
          <w:color w:val="auto"/>
          <w:sz w:val="24"/>
          <w:highlight w:val="none"/>
        </w:rPr>
        <w:t>无效响应文件</w:t>
      </w:r>
      <w:r>
        <w:rPr>
          <w:rFonts w:hint="eastAsia" w:ascii="宋体" w:hAnsi="宋体" w:cs="宋体"/>
          <w:color w:val="auto"/>
          <w:sz w:val="24"/>
          <w:highlight w:val="none"/>
        </w:rPr>
        <w:t>。</w:t>
      </w:r>
    </w:p>
    <w:p>
      <w:pPr>
        <w:pStyle w:val="7"/>
        <w:shd w:val="clear"/>
        <w:spacing w:before="0" w:after="0" w:line="360" w:lineRule="auto"/>
        <w:rPr>
          <w:rFonts w:ascii="宋体" w:hAnsi="宋体" w:eastAsia="宋体" w:cs="宋体"/>
          <w:b w:val="0"/>
          <w:color w:val="auto"/>
          <w:sz w:val="24"/>
          <w:szCs w:val="24"/>
          <w:highlight w:val="none"/>
        </w:rPr>
      </w:pPr>
      <w:bookmarkStart w:id="53" w:name="_Toc25832408"/>
      <w:bookmarkStart w:id="54" w:name="_Toc34733011"/>
      <w:bookmarkStart w:id="55" w:name="_Toc19392"/>
      <w:bookmarkStart w:id="56" w:name="_Toc57217230"/>
      <w:bookmarkStart w:id="57" w:name="_Toc34732543"/>
      <w:bookmarkStart w:id="58" w:name="_Toc36564721"/>
      <w:bookmarkStart w:id="59" w:name="_Toc29158"/>
      <w:bookmarkStart w:id="60" w:name="_Toc40972796"/>
      <w:bookmarkStart w:id="61" w:name="_Toc8660"/>
      <w:r>
        <w:rPr>
          <w:rFonts w:hint="eastAsia" w:ascii="宋体" w:hAnsi="宋体" w:eastAsia="宋体" w:cs="宋体"/>
          <w:color w:val="auto"/>
          <w:sz w:val="24"/>
          <w:szCs w:val="24"/>
          <w:highlight w:val="none"/>
        </w:rPr>
        <w:t>1.3 采购需求及其它相关要求</w:t>
      </w:r>
      <w:bookmarkEnd w:id="53"/>
      <w:bookmarkEnd w:id="54"/>
      <w:bookmarkEnd w:id="55"/>
      <w:bookmarkEnd w:id="56"/>
      <w:bookmarkEnd w:id="57"/>
      <w:bookmarkEnd w:id="58"/>
      <w:bookmarkEnd w:id="59"/>
      <w:bookmarkEnd w:id="60"/>
      <w:bookmarkEnd w:id="61"/>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1.3.1采购内容：</w:t>
      </w:r>
      <w:r>
        <w:rPr>
          <w:rFonts w:hint="eastAsia" w:ascii="宋体" w:hAnsi="宋体" w:cs="宋体"/>
          <w:b/>
          <w:color w:val="auto"/>
          <w:sz w:val="24"/>
          <w:highlight w:val="none"/>
          <w:u w:val="single"/>
        </w:rPr>
        <w:t>见竞争性磋商文件第三章</w:t>
      </w:r>
    </w:p>
    <w:p>
      <w:pPr>
        <w:shd w:val="clear"/>
        <w:tabs>
          <w:tab w:val="left" w:pos="142"/>
        </w:tabs>
        <w:spacing w:line="360" w:lineRule="auto"/>
        <w:rPr>
          <w:rFonts w:ascii="宋体" w:hAnsi="宋体" w:cs="宋体"/>
          <w:color w:val="auto"/>
          <w:sz w:val="24"/>
          <w:highlight w:val="none"/>
        </w:rPr>
      </w:pPr>
      <w:r>
        <w:rPr>
          <w:rFonts w:hint="eastAsia" w:ascii="宋体" w:hAnsi="宋体" w:cs="宋体"/>
          <w:color w:val="auto"/>
          <w:sz w:val="24"/>
          <w:highlight w:val="none"/>
        </w:rPr>
        <w:t>1.3.2 质量标准：</w:t>
      </w:r>
      <w:r>
        <w:rPr>
          <w:rFonts w:hint="eastAsia" w:ascii="宋体" w:hAnsi="宋体" w:cs="宋体"/>
          <w:b/>
          <w:color w:val="auto"/>
          <w:sz w:val="24"/>
          <w:highlight w:val="none"/>
          <w:u w:val="single"/>
        </w:rPr>
        <w:t>见供应商须知前附表</w:t>
      </w:r>
      <w:r>
        <w:rPr>
          <w:rFonts w:hint="eastAsia" w:ascii="宋体" w:hAnsi="宋体" w:cs="宋体"/>
          <w:color w:val="auto"/>
          <w:sz w:val="24"/>
          <w:highlight w:val="none"/>
        </w:rPr>
        <w:t>。</w:t>
      </w:r>
    </w:p>
    <w:p>
      <w:pPr>
        <w:shd w:val="clear"/>
        <w:tabs>
          <w:tab w:val="left" w:pos="142"/>
        </w:tabs>
        <w:spacing w:line="360" w:lineRule="auto"/>
        <w:rPr>
          <w:rFonts w:ascii="宋体" w:hAnsi="宋体" w:cs="宋体"/>
          <w:color w:val="auto"/>
          <w:sz w:val="24"/>
          <w:highlight w:val="none"/>
        </w:rPr>
      </w:pPr>
      <w:r>
        <w:rPr>
          <w:rFonts w:hint="eastAsia" w:ascii="宋体" w:hAnsi="宋体" w:cs="宋体"/>
          <w:color w:val="auto"/>
          <w:sz w:val="24"/>
          <w:highlight w:val="none"/>
        </w:rPr>
        <w:t>1.3.3 交货期：</w:t>
      </w:r>
      <w:r>
        <w:rPr>
          <w:rFonts w:hint="eastAsia" w:ascii="宋体" w:hAnsi="宋体" w:cs="宋体"/>
          <w:b/>
          <w:color w:val="auto"/>
          <w:sz w:val="24"/>
          <w:highlight w:val="none"/>
          <w:u w:val="single"/>
        </w:rPr>
        <w:t>见供应商须知前附表</w:t>
      </w:r>
      <w:r>
        <w:rPr>
          <w:rFonts w:hint="eastAsia" w:ascii="宋体" w:hAnsi="宋体" w:cs="宋体"/>
          <w:color w:val="auto"/>
          <w:sz w:val="24"/>
          <w:highlight w:val="none"/>
        </w:rPr>
        <w:t>。</w:t>
      </w:r>
    </w:p>
    <w:p>
      <w:pPr>
        <w:shd w:val="clear"/>
        <w:tabs>
          <w:tab w:val="left" w:pos="142"/>
        </w:tabs>
        <w:spacing w:line="360" w:lineRule="auto"/>
        <w:rPr>
          <w:rFonts w:ascii="宋体" w:hAnsi="宋体" w:cs="宋体"/>
          <w:color w:val="auto"/>
          <w:sz w:val="24"/>
          <w:highlight w:val="none"/>
        </w:rPr>
      </w:pPr>
      <w:r>
        <w:rPr>
          <w:rFonts w:hint="eastAsia" w:ascii="宋体" w:hAnsi="宋体" w:cs="宋体"/>
          <w:color w:val="auto"/>
          <w:sz w:val="24"/>
          <w:highlight w:val="none"/>
        </w:rPr>
        <w:t>1.3.4 质量保证期：</w:t>
      </w:r>
      <w:r>
        <w:rPr>
          <w:rFonts w:hint="eastAsia" w:ascii="宋体" w:hAnsi="宋体" w:cs="宋体"/>
          <w:b/>
          <w:color w:val="auto"/>
          <w:sz w:val="24"/>
          <w:highlight w:val="none"/>
          <w:u w:val="single"/>
        </w:rPr>
        <w:t>见供应商须知前附表</w:t>
      </w:r>
      <w:r>
        <w:rPr>
          <w:rFonts w:hint="eastAsia" w:ascii="宋体" w:hAnsi="宋体" w:cs="宋体"/>
          <w:color w:val="auto"/>
          <w:sz w:val="24"/>
          <w:highlight w:val="none"/>
        </w:rPr>
        <w:t>。</w:t>
      </w:r>
    </w:p>
    <w:p>
      <w:pPr>
        <w:pStyle w:val="7"/>
        <w:shd w:val="clear"/>
        <w:spacing w:before="0" w:after="0" w:line="360" w:lineRule="auto"/>
        <w:rPr>
          <w:rFonts w:ascii="宋体" w:hAnsi="宋体" w:eastAsia="宋体" w:cs="宋体"/>
          <w:color w:val="auto"/>
          <w:sz w:val="24"/>
          <w:szCs w:val="24"/>
          <w:highlight w:val="none"/>
        </w:rPr>
      </w:pPr>
      <w:bookmarkStart w:id="62" w:name="_Toc25832409"/>
      <w:bookmarkStart w:id="63" w:name="_Toc11681"/>
      <w:bookmarkStart w:id="64" w:name="_Toc34732544"/>
      <w:bookmarkStart w:id="65" w:name="_Toc34733012"/>
      <w:bookmarkStart w:id="66" w:name="_Toc40972797"/>
      <w:bookmarkStart w:id="67" w:name="_Toc36564722"/>
      <w:bookmarkStart w:id="68" w:name="_Toc5529"/>
      <w:bookmarkStart w:id="69" w:name="_Toc28411"/>
      <w:bookmarkStart w:id="70" w:name="_Toc57217231"/>
      <w:r>
        <w:rPr>
          <w:rFonts w:hint="eastAsia" w:ascii="宋体" w:hAnsi="宋体" w:eastAsia="宋体" w:cs="宋体"/>
          <w:color w:val="auto"/>
          <w:sz w:val="24"/>
          <w:szCs w:val="24"/>
          <w:highlight w:val="none"/>
        </w:rPr>
        <w:t>1.4 对供应商的要求</w:t>
      </w:r>
      <w:bookmarkEnd w:id="62"/>
      <w:bookmarkEnd w:id="63"/>
      <w:bookmarkEnd w:id="64"/>
      <w:bookmarkEnd w:id="65"/>
      <w:bookmarkEnd w:id="66"/>
      <w:bookmarkEnd w:id="67"/>
      <w:bookmarkEnd w:id="68"/>
      <w:bookmarkEnd w:id="69"/>
      <w:bookmarkEnd w:id="70"/>
    </w:p>
    <w:p>
      <w:pPr>
        <w:pStyle w:val="7"/>
        <w:shd w:val="clear"/>
        <w:spacing w:before="0" w:after="0" w:line="360" w:lineRule="auto"/>
        <w:rPr>
          <w:rFonts w:ascii="宋体" w:hAnsi="宋体" w:eastAsia="宋体" w:cs="宋体"/>
          <w:b w:val="0"/>
          <w:bCs/>
          <w:color w:val="auto"/>
          <w:sz w:val="24"/>
          <w:szCs w:val="24"/>
          <w:highlight w:val="none"/>
        </w:rPr>
      </w:pPr>
      <w:bookmarkStart w:id="71" w:name="_Toc7330"/>
      <w:bookmarkStart w:id="72" w:name="_Toc8833"/>
      <w:r>
        <w:rPr>
          <w:rFonts w:hint="eastAsia" w:ascii="宋体" w:hAnsi="宋体" w:eastAsia="宋体" w:cs="宋体"/>
          <w:b w:val="0"/>
          <w:bCs/>
          <w:color w:val="auto"/>
          <w:sz w:val="24"/>
          <w:szCs w:val="24"/>
          <w:highlight w:val="none"/>
        </w:rPr>
        <w:t xml:space="preserve">1.4.1 </w:t>
      </w:r>
      <w:r>
        <w:rPr>
          <w:rFonts w:hint="eastAsia" w:ascii="宋体" w:hAnsi="宋体" w:eastAsia="宋体" w:cs="宋体"/>
          <w:color w:val="auto"/>
          <w:sz w:val="24"/>
          <w:szCs w:val="24"/>
          <w:highlight w:val="none"/>
        </w:rPr>
        <w:t>供应商（申请人）</w:t>
      </w:r>
      <w:r>
        <w:rPr>
          <w:rFonts w:hint="eastAsia" w:ascii="宋体" w:hAnsi="宋体" w:eastAsia="宋体" w:cs="宋体"/>
          <w:b w:val="0"/>
          <w:bCs/>
          <w:color w:val="auto"/>
          <w:sz w:val="24"/>
          <w:szCs w:val="24"/>
          <w:highlight w:val="none"/>
        </w:rPr>
        <w:t>：是指向采购人提供货物（包括伴随的服务）/工程（伴随的服务）/服务的法人、非法人组织或者自然人。申请人与供应商含义相同，以下均称为供应商。</w:t>
      </w:r>
      <w:bookmarkEnd w:id="71"/>
      <w:bookmarkEnd w:id="72"/>
    </w:p>
    <w:p>
      <w:pPr>
        <w:shd w:val="clear"/>
        <w:spacing w:line="360" w:lineRule="auto"/>
        <w:ind w:left="240" w:hanging="240" w:hangingChars="100"/>
        <w:rPr>
          <w:rFonts w:ascii="宋体" w:hAnsi="宋体" w:cs="宋体"/>
          <w:bCs/>
          <w:color w:val="auto"/>
          <w:sz w:val="24"/>
          <w:highlight w:val="none"/>
        </w:rPr>
      </w:pPr>
      <w:r>
        <w:rPr>
          <w:rFonts w:hint="eastAsia" w:ascii="宋体" w:hAnsi="宋体" w:cs="宋体"/>
          <w:bCs/>
          <w:color w:val="auto"/>
          <w:sz w:val="24"/>
          <w:highlight w:val="none"/>
        </w:rPr>
        <w:t>1.4.2 本项目的供应商及其提供的货物（包括伴随的服务）/工程（伴随的服务）/服务须满足以下条件：</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1.4.2.1 在中华人民共和国境内注册（或中华人民共和国公民），能够独立承担民事责任，有生产或供应能力的本国供应商。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1.4.2.2 符合《中华人民共和国政府采购法》第二十二条关于供应商条件的规定。</w:t>
      </w:r>
    </w:p>
    <w:p>
      <w:pPr>
        <w:shd w:val="clear"/>
        <w:spacing w:line="360" w:lineRule="auto"/>
        <w:ind w:left="239" w:leftChars="114" w:firstLine="717" w:firstLineChars="299"/>
        <w:rPr>
          <w:rFonts w:ascii="宋体" w:hAnsi="宋体" w:cs="宋体"/>
          <w:color w:val="auto"/>
          <w:sz w:val="24"/>
          <w:highlight w:val="none"/>
        </w:rPr>
      </w:pPr>
      <w:r>
        <w:rPr>
          <w:rFonts w:hint="eastAsia" w:ascii="宋体" w:hAnsi="宋体" w:cs="宋体"/>
          <w:color w:val="auto"/>
          <w:sz w:val="24"/>
          <w:highlight w:val="none"/>
        </w:rPr>
        <w:t>遵守本项目采购人本级和上级财政部门关于政府采购的有关规定。</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1.4.2.3 以本项目竞争性磋商公告中规定的方式获取了本项目的竞争性磋商文件。</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1.4.2.4 符合</w:t>
      </w:r>
      <w:r>
        <w:rPr>
          <w:rFonts w:hint="eastAsia" w:ascii="宋体" w:hAnsi="宋体" w:cs="宋体"/>
          <w:b/>
          <w:bCs/>
          <w:color w:val="auto"/>
          <w:sz w:val="24"/>
          <w:highlight w:val="none"/>
          <w:u w:val="single"/>
        </w:rPr>
        <w:t>供应商须知前附表</w:t>
      </w:r>
      <w:r>
        <w:rPr>
          <w:rFonts w:hint="eastAsia" w:ascii="宋体" w:hAnsi="宋体" w:cs="宋体"/>
          <w:color w:val="auto"/>
          <w:sz w:val="24"/>
          <w:highlight w:val="none"/>
        </w:rPr>
        <w:t>中规定的合格供应商（投标人）的其它资格要求。</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1.4.2.5若</w:t>
      </w:r>
      <w:r>
        <w:rPr>
          <w:rFonts w:hint="eastAsia" w:ascii="宋体" w:hAnsi="宋体" w:cs="宋体"/>
          <w:b/>
          <w:bCs/>
          <w:color w:val="auto"/>
          <w:sz w:val="24"/>
          <w:highlight w:val="none"/>
          <w:u w:val="single"/>
        </w:rPr>
        <w:t>供应商须知前附表</w:t>
      </w:r>
      <w:r>
        <w:rPr>
          <w:rFonts w:hint="eastAsia" w:ascii="宋体" w:hAnsi="宋体" w:cs="宋体"/>
          <w:color w:val="auto"/>
          <w:sz w:val="24"/>
          <w:highlight w:val="none"/>
        </w:rPr>
        <w:t>中写明允许采购进口产品，但不限制满足竞争性磋商文件要求的国内产品参与采购活动。</w:t>
      </w:r>
    </w:p>
    <w:p>
      <w:pPr>
        <w:shd w:val="clea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若</w:t>
      </w:r>
      <w:r>
        <w:rPr>
          <w:rFonts w:hint="eastAsia" w:ascii="宋体" w:hAnsi="宋体" w:cs="宋体"/>
          <w:b/>
          <w:bCs/>
          <w:color w:val="auto"/>
          <w:sz w:val="24"/>
          <w:highlight w:val="none"/>
        </w:rPr>
        <w:t>供应商须知前附表</w:t>
      </w:r>
      <w:r>
        <w:rPr>
          <w:rFonts w:hint="eastAsia" w:ascii="宋体" w:hAnsi="宋体" w:cs="宋体"/>
          <w:color w:val="auto"/>
          <w:sz w:val="24"/>
          <w:highlight w:val="none"/>
        </w:rPr>
        <w:t>中未写明允许采购进口产品，如供应商提供产品为进口产品，其响应文件将被认定为</w:t>
      </w:r>
      <w:r>
        <w:rPr>
          <w:rFonts w:hint="eastAsia" w:ascii="宋体" w:hAnsi="宋体" w:cs="宋体"/>
          <w:b/>
          <w:color w:val="auto"/>
          <w:sz w:val="24"/>
          <w:highlight w:val="none"/>
        </w:rPr>
        <w:t>无效响应文件</w:t>
      </w:r>
      <w:r>
        <w:rPr>
          <w:rFonts w:hint="eastAsia" w:ascii="宋体" w:hAnsi="宋体" w:cs="宋体"/>
          <w:color w:val="auto"/>
          <w:sz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1.4.2.6 若</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中写明专门面向中小企业采购的，如供应商为非中小企业或所提供产品为非中小企业产品，其响应文件将被认定为</w:t>
      </w:r>
      <w:r>
        <w:rPr>
          <w:rFonts w:hint="eastAsia" w:ascii="宋体" w:hAnsi="宋体" w:cs="宋体"/>
          <w:b/>
          <w:color w:val="auto"/>
          <w:sz w:val="24"/>
          <w:highlight w:val="none"/>
        </w:rPr>
        <w:t>无效响应文件</w:t>
      </w:r>
      <w:r>
        <w:rPr>
          <w:rFonts w:hint="eastAsia" w:ascii="宋体" w:hAnsi="宋体" w:cs="宋体"/>
          <w:color w:val="auto"/>
          <w:sz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1.4.3不允许联合体参加政府采购活动。</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1.4.4 单位负责人为同一人或者存在直接控股、管理关系的不同供应商参与本项目同一合同项下采购活动的，其相关响应文件将被认定为</w:t>
      </w:r>
      <w:r>
        <w:rPr>
          <w:rFonts w:hint="eastAsia" w:ascii="宋体" w:hAnsi="宋体" w:cs="宋体"/>
          <w:b/>
          <w:color w:val="auto"/>
          <w:sz w:val="24"/>
          <w:highlight w:val="none"/>
        </w:rPr>
        <w:t>无效响应文件</w:t>
      </w:r>
      <w:r>
        <w:rPr>
          <w:rFonts w:hint="eastAsia" w:ascii="宋体" w:hAnsi="宋体" w:cs="宋体"/>
          <w:color w:val="auto"/>
          <w:sz w:val="24"/>
          <w:highlight w:val="none"/>
        </w:rPr>
        <w:t>。</w:t>
      </w:r>
    </w:p>
    <w:p>
      <w:pPr>
        <w:shd w:val="clear"/>
        <w:spacing w:line="360" w:lineRule="auto"/>
        <w:ind w:left="2" w:leftChars="1"/>
        <w:rPr>
          <w:rFonts w:ascii="宋体" w:hAnsi="宋体" w:cs="宋体"/>
          <w:color w:val="auto"/>
          <w:sz w:val="24"/>
          <w:highlight w:val="none"/>
        </w:rPr>
      </w:pPr>
      <w:r>
        <w:rPr>
          <w:rFonts w:hint="eastAsia" w:ascii="宋体" w:hAnsi="宋体" w:cs="宋体"/>
          <w:color w:val="auto"/>
          <w:sz w:val="24"/>
          <w:highlight w:val="none"/>
        </w:rPr>
        <w:t>1.4.5 为本项目提供过整体设计、规范编制或者项目管理、监理、检测等服务的供应商，不得再参加本项目上述服务以外的其他采购活动。否则其相关响应文件将被认定为</w:t>
      </w:r>
      <w:r>
        <w:rPr>
          <w:rFonts w:hint="eastAsia" w:ascii="宋体" w:hAnsi="宋体" w:cs="宋体"/>
          <w:b/>
          <w:color w:val="auto"/>
          <w:sz w:val="24"/>
          <w:highlight w:val="none"/>
        </w:rPr>
        <w:t>无效响应文件</w:t>
      </w:r>
      <w:r>
        <w:rPr>
          <w:rFonts w:hint="eastAsia" w:ascii="宋体" w:hAnsi="宋体" w:cs="宋体"/>
          <w:color w:val="auto"/>
          <w:sz w:val="24"/>
          <w:highlight w:val="none"/>
        </w:rPr>
        <w:t>。</w:t>
      </w:r>
    </w:p>
    <w:p>
      <w:pPr>
        <w:shd w:val="clear"/>
        <w:spacing w:line="360" w:lineRule="auto"/>
        <w:ind w:left="2" w:leftChars="1"/>
        <w:rPr>
          <w:rFonts w:ascii="宋体" w:hAnsi="宋体" w:cs="宋体"/>
          <w:b/>
          <w:color w:val="auto"/>
          <w:sz w:val="24"/>
          <w:highlight w:val="none"/>
        </w:rPr>
      </w:pPr>
      <w:r>
        <w:rPr>
          <w:rFonts w:hint="eastAsia" w:ascii="宋体" w:hAnsi="宋体" w:cs="宋体"/>
          <w:color w:val="auto"/>
          <w:sz w:val="24"/>
          <w:highlight w:val="none"/>
        </w:rPr>
        <w:t>1.4.6 供应商在磋商过程中（在确定成交人之前）不得向采购人提供、给予任何有价值的物品，影响其正常决策行为。一经发现，其响应文件将被认定为</w:t>
      </w:r>
      <w:r>
        <w:rPr>
          <w:rFonts w:hint="eastAsia" w:ascii="宋体" w:hAnsi="宋体" w:cs="宋体"/>
          <w:b/>
          <w:color w:val="auto"/>
          <w:sz w:val="24"/>
          <w:highlight w:val="none"/>
        </w:rPr>
        <w:t>无效响应文件</w:t>
      </w:r>
      <w:r>
        <w:rPr>
          <w:rFonts w:hint="eastAsia" w:ascii="宋体" w:hAnsi="宋体" w:cs="宋体"/>
          <w:color w:val="auto"/>
          <w:sz w:val="24"/>
          <w:highlight w:val="none"/>
        </w:rPr>
        <w:t>。</w:t>
      </w:r>
    </w:p>
    <w:p>
      <w:pPr>
        <w:pStyle w:val="7"/>
        <w:shd w:val="clear"/>
        <w:spacing w:before="0" w:after="0" w:line="360" w:lineRule="auto"/>
        <w:rPr>
          <w:rFonts w:ascii="宋体" w:hAnsi="宋体" w:eastAsia="宋体" w:cs="宋体"/>
          <w:b w:val="0"/>
          <w:color w:val="auto"/>
          <w:sz w:val="24"/>
          <w:szCs w:val="24"/>
          <w:highlight w:val="none"/>
        </w:rPr>
      </w:pPr>
      <w:bookmarkStart w:id="73" w:name="_Toc57217232"/>
      <w:bookmarkStart w:id="74" w:name="_Toc5983"/>
      <w:bookmarkStart w:id="75" w:name="_Toc17249"/>
      <w:bookmarkStart w:id="76" w:name="_Toc22355"/>
      <w:r>
        <w:rPr>
          <w:rFonts w:hint="eastAsia" w:ascii="宋体" w:hAnsi="宋体" w:eastAsia="宋体" w:cs="宋体"/>
          <w:color w:val="auto"/>
          <w:sz w:val="24"/>
          <w:szCs w:val="24"/>
          <w:highlight w:val="none"/>
        </w:rPr>
        <w:t>1.5 监督管理部门</w:t>
      </w:r>
      <w:bookmarkEnd w:id="73"/>
      <w:bookmarkEnd w:id="74"/>
      <w:bookmarkEnd w:id="75"/>
      <w:bookmarkEnd w:id="76"/>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本次采购活动的政府采购监督管理部门为：本次采购项目的采购人所属预算级次的财政部门。</w:t>
      </w:r>
    </w:p>
    <w:p>
      <w:pPr>
        <w:pStyle w:val="7"/>
        <w:shd w:val="clear"/>
        <w:spacing w:before="0" w:after="0" w:line="360" w:lineRule="auto"/>
        <w:rPr>
          <w:rFonts w:ascii="宋体" w:hAnsi="宋体" w:eastAsia="宋体" w:cs="宋体"/>
          <w:color w:val="auto"/>
          <w:sz w:val="24"/>
          <w:szCs w:val="24"/>
          <w:highlight w:val="none"/>
        </w:rPr>
      </w:pPr>
      <w:bookmarkStart w:id="77" w:name="_Toc532473452"/>
      <w:bookmarkStart w:id="78" w:name="_Toc20526"/>
      <w:bookmarkStart w:id="79" w:name="_Toc15048291"/>
      <w:bookmarkStart w:id="80" w:name="_Toc515647760"/>
      <w:bookmarkStart w:id="81" w:name="_Toc4139"/>
      <w:bookmarkStart w:id="82" w:name="_Toc15936"/>
      <w:bookmarkStart w:id="83" w:name="_Toc520356145"/>
      <w:bookmarkStart w:id="84" w:name="_Toc10669"/>
      <w:bookmarkStart w:id="85" w:name="_Toc57217233"/>
      <w:bookmarkStart w:id="86" w:name="_Toc32474"/>
      <w:r>
        <w:rPr>
          <w:rFonts w:hint="eastAsia" w:ascii="宋体" w:hAnsi="宋体" w:eastAsia="宋体" w:cs="宋体"/>
          <w:color w:val="auto"/>
          <w:sz w:val="24"/>
          <w:szCs w:val="24"/>
          <w:highlight w:val="none"/>
        </w:rPr>
        <w:t>1.6 供应商参加磋商的费用</w:t>
      </w:r>
      <w:bookmarkEnd w:id="77"/>
      <w:bookmarkEnd w:id="78"/>
      <w:bookmarkEnd w:id="79"/>
      <w:bookmarkEnd w:id="80"/>
      <w:bookmarkEnd w:id="81"/>
      <w:bookmarkEnd w:id="82"/>
      <w:bookmarkEnd w:id="83"/>
      <w:bookmarkEnd w:id="84"/>
      <w:bookmarkEnd w:id="85"/>
      <w:bookmarkEnd w:id="86"/>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不论磋商的结果如何，供应商准备和参加本次政府采购活动发生的费用均应自行承担。</w:t>
      </w:r>
    </w:p>
    <w:p>
      <w:pPr>
        <w:pStyle w:val="7"/>
        <w:shd w:val="clear"/>
        <w:spacing w:before="0" w:after="0" w:line="360" w:lineRule="auto"/>
        <w:rPr>
          <w:rFonts w:ascii="宋体" w:hAnsi="宋体" w:eastAsia="宋体" w:cs="宋体"/>
          <w:color w:val="auto"/>
          <w:sz w:val="24"/>
          <w:szCs w:val="24"/>
          <w:highlight w:val="none"/>
        </w:rPr>
      </w:pPr>
      <w:bookmarkStart w:id="87" w:name="_Toc29824"/>
      <w:bookmarkStart w:id="88" w:name="_Toc57217234"/>
      <w:bookmarkStart w:id="89" w:name="_Toc1289"/>
      <w:bookmarkStart w:id="90" w:name="_Toc5596"/>
      <w:r>
        <w:rPr>
          <w:rFonts w:hint="eastAsia" w:ascii="宋体" w:hAnsi="宋体" w:eastAsia="宋体" w:cs="宋体"/>
          <w:color w:val="auto"/>
          <w:sz w:val="24"/>
          <w:szCs w:val="24"/>
          <w:highlight w:val="none"/>
        </w:rPr>
        <w:t>1.7现场考察、磋商前答疑会</w:t>
      </w:r>
      <w:bookmarkEnd w:id="87"/>
      <w:bookmarkEnd w:id="88"/>
      <w:bookmarkEnd w:id="89"/>
      <w:bookmarkEnd w:id="90"/>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color w:val="auto"/>
          <w:sz w:val="24"/>
          <w:highlight w:val="none"/>
          <w:u w:val="single"/>
        </w:rPr>
        <w:t>供应商须知前附表</w:t>
      </w:r>
      <w:r>
        <w:rPr>
          <w:rFonts w:hint="eastAsia" w:ascii="宋体" w:hAnsi="宋体" w:cs="宋体"/>
          <w:bCs/>
          <w:color w:val="auto"/>
          <w:sz w:val="24"/>
          <w:highlight w:val="none"/>
          <w:u w:val="single"/>
        </w:rPr>
        <w:t>的</w:t>
      </w:r>
      <w:r>
        <w:rPr>
          <w:rFonts w:hint="eastAsia" w:ascii="宋体" w:hAnsi="宋体" w:cs="宋体"/>
          <w:bCs/>
          <w:color w:val="auto"/>
          <w:sz w:val="24"/>
          <w:highlight w:val="none"/>
        </w:rPr>
        <w:t>规</w:t>
      </w:r>
      <w:r>
        <w:rPr>
          <w:rFonts w:hint="eastAsia" w:ascii="宋体" w:hAnsi="宋体" w:cs="宋体"/>
          <w:color w:val="auto"/>
          <w:sz w:val="24"/>
          <w:highlight w:val="none"/>
        </w:rPr>
        <w:t>定。</w:t>
      </w:r>
    </w:p>
    <w:p>
      <w:pPr>
        <w:pStyle w:val="7"/>
        <w:shd w:val="clear"/>
        <w:spacing w:before="0" w:after="0" w:line="360" w:lineRule="auto"/>
        <w:rPr>
          <w:rFonts w:ascii="宋体" w:hAnsi="宋体" w:eastAsia="宋体" w:cs="宋体"/>
          <w:color w:val="auto"/>
          <w:sz w:val="24"/>
          <w:szCs w:val="24"/>
          <w:highlight w:val="none"/>
        </w:rPr>
      </w:pPr>
      <w:bookmarkStart w:id="91" w:name="_Toc15048292"/>
      <w:bookmarkStart w:id="92" w:name="_Toc4463"/>
      <w:bookmarkStart w:id="93" w:name="_Toc13754"/>
      <w:bookmarkStart w:id="94" w:name="_Toc10544"/>
      <w:bookmarkStart w:id="95" w:name="_Toc515647761"/>
      <w:bookmarkStart w:id="96" w:name="_Toc532473453"/>
      <w:bookmarkStart w:id="97" w:name="_Toc57217236"/>
      <w:bookmarkStart w:id="98" w:name="_Toc6116"/>
      <w:bookmarkStart w:id="99" w:name="_Toc18061"/>
      <w:r>
        <w:rPr>
          <w:rFonts w:hint="eastAsia" w:ascii="宋体" w:hAnsi="宋体" w:eastAsia="宋体" w:cs="宋体"/>
          <w:color w:val="auto"/>
          <w:sz w:val="24"/>
          <w:szCs w:val="24"/>
          <w:highlight w:val="none"/>
        </w:rPr>
        <w:t>1.8 适用法律</w:t>
      </w:r>
      <w:bookmarkEnd w:id="91"/>
      <w:bookmarkEnd w:id="92"/>
      <w:bookmarkEnd w:id="93"/>
      <w:bookmarkEnd w:id="94"/>
      <w:bookmarkEnd w:id="95"/>
      <w:bookmarkEnd w:id="96"/>
      <w:bookmarkEnd w:id="97"/>
      <w:bookmarkEnd w:id="98"/>
      <w:bookmarkEnd w:id="99"/>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本项目采购人、采购代理机构、供应商、磋商小组的相关行为均受《中华人民共和国政府采购法》、《中华人民共和国政府采购法实施条例》、</w:t>
      </w:r>
      <w:bookmarkStart w:id="100" w:name="_Toc39851027"/>
      <w:r>
        <w:rPr>
          <w:rFonts w:hint="eastAsia" w:ascii="宋体" w:hAnsi="宋体" w:cs="宋体"/>
          <w:color w:val="auto"/>
          <w:sz w:val="24"/>
          <w:highlight w:val="none"/>
        </w:rPr>
        <w:t>《政府采购竞争性磋商采购方式管理暂行办法》财库〔2014〕214号</w:t>
      </w:r>
      <w:bookmarkEnd w:id="100"/>
      <w:r>
        <w:rPr>
          <w:rFonts w:hint="eastAsia" w:ascii="宋体" w:hAnsi="宋体" w:cs="宋体"/>
          <w:color w:val="auto"/>
          <w:sz w:val="24"/>
          <w:highlight w:val="none"/>
        </w:rPr>
        <w:t>文、《财政部关于政府采购竞争性磋商采购方式管理暂行办法有关问题的补充通知》财库〔2015〕124号文及本项目本级和上级财政部门政府采购有关规定的约束和保护。</w:t>
      </w:r>
    </w:p>
    <w:p>
      <w:pPr>
        <w:pStyle w:val="7"/>
        <w:shd w:val="clear"/>
        <w:spacing w:before="0" w:after="0" w:line="360" w:lineRule="auto"/>
        <w:rPr>
          <w:rFonts w:ascii="宋体" w:hAnsi="宋体" w:eastAsia="宋体" w:cs="宋体"/>
          <w:color w:val="auto"/>
          <w:sz w:val="24"/>
          <w:szCs w:val="24"/>
          <w:highlight w:val="none"/>
        </w:rPr>
      </w:pPr>
      <w:bookmarkStart w:id="101" w:name="_Toc34732546"/>
      <w:bookmarkStart w:id="102" w:name="_Toc40972799"/>
      <w:bookmarkStart w:id="103" w:name="_Toc36564724"/>
      <w:bookmarkStart w:id="104" w:name="_Toc14317"/>
      <w:bookmarkStart w:id="105" w:name="_Toc14120"/>
      <w:bookmarkStart w:id="106" w:name="_Toc57217237"/>
      <w:bookmarkStart w:id="107" w:name="_Toc25832411"/>
      <w:bookmarkStart w:id="108" w:name="_Toc22586"/>
      <w:bookmarkStart w:id="109" w:name="_Toc34733014"/>
      <w:r>
        <w:rPr>
          <w:rFonts w:hint="eastAsia" w:ascii="宋体" w:hAnsi="宋体" w:eastAsia="宋体" w:cs="宋体"/>
          <w:color w:val="auto"/>
          <w:sz w:val="24"/>
          <w:szCs w:val="24"/>
          <w:highlight w:val="none"/>
        </w:rPr>
        <w:t>1.9保密</w:t>
      </w:r>
      <w:bookmarkEnd w:id="101"/>
      <w:bookmarkEnd w:id="102"/>
      <w:bookmarkEnd w:id="103"/>
      <w:bookmarkEnd w:id="104"/>
      <w:bookmarkEnd w:id="105"/>
      <w:bookmarkEnd w:id="106"/>
      <w:bookmarkEnd w:id="107"/>
      <w:bookmarkEnd w:id="108"/>
      <w:bookmarkEnd w:id="109"/>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参与采购活动的各方应对竞争性磋商文件和响应文件中的商业和技术等秘密保密，违者应对由此造成的后果承担法律责任。 </w:t>
      </w:r>
    </w:p>
    <w:p>
      <w:pPr>
        <w:pStyle w:val="5"/>
        <w:shd w:val="clear"/>
        <w:spacing w:before="0" w:after="0" w:line="360" w:lineRule="auto"/>
        <w:rPr>
          <w:rFonts w:ascii="宋体" w:hAnsi="宋体" w:eastAsia="宋体" w:cs="宋体"/>
          <w:color w:val="auto"/>
          <w:sz w:val="24"/>
          <w:szCs w:val="24"/>
          <w:highlight w:val="none"/>
        </w:rPr>
      </w:pPr>
      <w:bookmarkStart w:id="110" w:name="_Toc21566"/>
      <w:bookmarkStart w:id="111" w:name="_Toc532473454"/>
      <w:bookmarkStart w:id="112" w:name="_Toc4365"/>
      <w:bookmarkStart w:id="113" w:name="_Toc520356146"/>
      <w:bookmarkStart w:id="114" w:name="_Toc15048293"/>
      <w:bookmarkStart w:id="115" w:name="_Toc216582806"/>
      <w:bookmarkStart w:id="116" w:name="_Toc515647762"/>
      <w:bookmarkStart w:id="117" w:name="_Toc57217238"/>
      <w:bookmarkStart w:id="118" w:name="_Toc6176"/>
      <w:bookmarkStart w:id="119" w:name="_Toc21991"/>
      <w:bookmarkStart w:id="120" w:name="_Toc28646"/>
      <w:r>
        <w:rPr>
          <w:rFonts w:hint="eastAsia" w:ascii="宋体" w:hAnsi="宋体" w:eastAsia="宋体" w:cs="宋体"/>
          <w:color w:val="auto"/>
          <w:sz w:val="24"/>
          <w:szCs w:val="24"/>
          <w:highlight w:val="none"/>
        </w:rPr>
        <w:t>2、</w:t>
      </w:r>
      <w:bookmarkEnd w:id="110"/>
      <w:bookmarkEnd w:id="111"/>
      <w:bookmarkEnd w:id="112"/>
      <w:bookmarkEnd w:id="113"/>
      <w:bookmarkEnd w:id="114"/>
      <w:bookmarkEnd w:id="115"/>
      <w:bookmarkEnd w:id="116"/>
      <w:bookmarkEnd w:id="117"/>
      <w:r>
        <w:rPr>
          <w:rFonts w:hint="eastAsia" w:ascii="宋体" w:hAnsi="宋体" w:eastAsia="宋体" w:cs="宋体"/>
          <w:color w:val="auto"/>
          <w:sz w:val="24"/>
          <w:szCs w:val="24"/>
          <w:highlight w:val="none"/>
        </w:rPr>
        <w:t>竞争性磋商文件</w:t>
      </w:r>
      <w:bookmarkEnd w:id="118"/>
      <w:bookmarkEnd w:id="119"/>
      <w:bookmarkEnd w:id="120"/>
    </w:p>
    <w:p>
      <w:pPr>
        <w:pStyle w:val="7"/>
        <w:shd w:val="clear"/>
        <w:spacing w:before="0" w:after="0" w:line="360" w:lineRule="auto"/>
        <w:rPr>
          <w:rFonts w:ascii="宋体" w:hAnsi="宋体" w:eastAsia="宋体" w:cs="宋体"/>
          <w:color w:val="auto"/>
          <w:sz w:val="24"/>
          <w:szCs w:val="24"/>
          <w:highlight w:val="none"/>
        </w:rPr>
      </w:pPr>
      <w:bookmarkStart w:id="121" w:name="_Toc515647763"/>
      <w:bookmarkStart w:id="122" w:name="_Toc25743"/>
      <w:bookmarkStart w:id="123" w:name="_Toc15048294"/>
      <w:bookmarkStart w:id="124" w:name="_Toc57217239"/>
      <w:bookmarkStart w:id="125" w:name="_Toc532473455"/>
      <w:bookmarkStart w:id="126" w:name="_Toc8292"/>
      <w:bookmarkStart w:id="127" w:name="_Toc14084"/>
      <w:bookmarkStart w:id="128" w:name="_Toc5225"/>
      <w:bookmarkStart w:id="129" w:name="_Toc520356147"/>
      <w:bookmarkStart w:id="130" w:name="_Toc14306"/>
      <w:r>
        <w:rPr>
          <w:rFonts w:hint="eastAsia" w:ascii="宋体" w:hAnsi="宋体" w:eastAsia="宋体" w:cs="宋体"/>
          <w:color w:val="auto"/>
          <w:sz w:val="24"/>
          <w:szCs w:val="24"/>
          <w:highlight w:val="none"/>
        </w:rPr>
        <w:t>2.1 竞争性磋商文件构成</w:t>
      </w:r>
      <w:bookmarkEnd w:id="121"/>
      <w:bookmarkEnd w:id="122"/>
      <w:bookmarkEnd w:id="123"/>
      <w:bookmarkEnd w:id="124"/>
      <w:bookmarkEnd w:id="125"/>
      <w:bookmarkEnd w:id="126"/>
      <w:bookmarkEnd w:id="127"/>
      <w:bookmarkEnd w:id="128"/>
      <w:bookmarkEnd w:id="129"/>
      <w:bookmarkEnd w:id="130"/>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2.1.1 竞争性磋商文件共六章，构成如下：</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第一章  竞争性磋商公告</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第二章  供应商须知</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第三章  采购需求</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第四章  评审方法及标准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第五章  政府采购合同条款及格式</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第六章  响应文件格式</w:t>
      </w:r>
    </w:p>
    <w:p>
      <w:pPr>
        <w:shd w:val="clear"/>
        <w:tabs>
          <w:tab w:val="left" w:pos="627"/>
          <w:tab w:val="left" w:pos="1980"/>
        </w:tabs>
        <w:spacing w:line="360" w:lineRule="auto"/>
        <w:rPr>
          <w:rFonts w:ascii="宋体" w:hAnsi="宋体" w:cs="宋体"/>
          <w:color w:val="auto"/>
          <w:highlight w:val="none"/>
        </w:rPr>
      </w:pPr>
      <w:r>
        <w:rPr>
          <w:rFonts w:hint="eastAsia" w:ascii="宋体" w:hAnsi="宋体" w:cs="宋体"/>
          <w:color w:val="auto"/>
          <w:sz w:val="24"/>
          <w:highlight w:val="none"/>
        </w:rPr>
        <w:t>注：供应商应对5.7.3款内容作出响应性承诺并作为响应文件的一部分。</w:t>
      </w:r>
    </w:p>
    <w:p>
      <w:pPr>
        <w:shd w:val="clear"/>
        <w:spacing w:line="360" w:lineRule="auto"/>
        <w:ind w:left="2" w:leftChars="1"/>
        <w:rPr>
          <w:rFonts w:ascii="宋体" w:hAnsi="宋体" w:cs="宋体"/>
          <w:color w:val="auto"/>
          <w:sz w:val="24"/>
          <w:highlight w:val="none"/>
        </w:rPr>
      </w:pPr>
      <w:r>
        <w:rPr>
          <w:rFonts w:hint="eastAsia" w:ascii="宋体" w:hAnsi="宋体" w:cs="宋体"/>
          <w:color w:val="auto"/>
          <w:sz w:val="24"/>
          <w:highlight w:val="none"/>
        </w:rPr>
        <w:t>2.1.2 竞争性磋商文件中有不一致(或矛盾)的，有澄清的部分以最终的澄清更正内容为准；未澄清的，按照竞争性磋商公告、“磋商程序、评审方法和标准”、采购需求、供应商须知、政府采购合同、响应文件格式的顺序进行解释，排名在前的具有优先解释权。第二章供应商须知中，如果</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的内容与供应商须知中的内容有不一致(或矛盾)的</w:t>
      </w:r>
      <w:r>
        <w:rPr>
          <w:rFonts w:hint="eastAsia" w:ascii="宋体" w:hAnsi="宋体" w:cs="宋体"/>
          <w:b/>
          <w:color w:val="auto"/>
          <w:sz w:val="24"/>
          <w:highlight w:val="none"/>
        </w:rPr>
        <w:t>以</w:t>
      </w:r>
      <w:r>
        <w:rPr>
          <w:rFonts w:hint="eastAsia" w:ascii="宋体" w:hAnsi="宋体" w:cs="宋体"/>
          <w:b/>
          <w:color w:val="auto"/>
          <w:sz w:val="24"/>
          <w:highlight w:val="none"/>
          <w:u w:val="single"/>
        </w:rPr>
        <w:t>供应商须知前附表</w:t>
      </w:r>
      <w:r>
        <w:rPr>
          <w:rFonts w:hint="eastAsia" w:ascii="宋体" w:hAnsi="宋体" w:cs="宋体"/>
          <w:b/>
          <w:color w:val="auto"/>
          <w:sz w:val="24"/>
          <w:highlight w:val="none"/>
        </w:rPr>
        <w:t>为准。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2.1.3 供应商应认真阅读竞争性磋商文件中所有的事项、格式、条款和技术规范等。如供应商没有按照竞争性磋商文件要求提交全部资料，或者响应文件没有对竞争性磋商文件的实质性要求做出响应，其响应文件将被认定为</w:t>
      </w:r>
      <w:r>
        <w:rPr>
          <w:rFonts w:hint="eastAsia" w:ascii="宋体" w:hAnsi="宋体" w:cs="宋体"/>
          <w:b/>
          <w:bCs/>
          <w:color w:val="auto"/>
          <w:sz w:val="24"/>
          <w:highlight w:val="none"/>
        </w:rPr>
        <w:t>无效响应文件</w:t>
      </w:r>
      <w:r>
        <w:rPr>
          <w:rFonts w:hint="eastAsia" w:ascii="宋体" w:hAnsi="宋体" w:cs="宋体"/>
          <w:color w:val="auto"/>
          <w:sz w:val="24"/>
          <w:highlight w:val="none"/>
        </w:rPr>
        <w:t>。</w:t>
      </w:r>
    </w:p>
    <w:p>
      <w:pPr>
        <w:pStyle w:val="7"/>
        <w:shd w:val="clear"/>
        <w:spacing w:before="0" w:after="0" w:line="360" w:lineRule="auto"/>
        <w:rPr>
          <w:rFonts w:ascii="宋体" w:hAnsi="宋体" w:eastAsia="宋体" w:cs="宋体"/>
          <w:color w:val="auto"/>
          <w:sz w:val="24"/>
          <w:szCs w:val="24"/>
          <w:highlight w:val="none"/>
        </w:rPr>
      </w:pPr>
      <w:bookmarkStart w:id="131" w:name="_Toc520356148"/>
      <w:bookmarkStart w:id="132" w:name="_Toc515904805"/>
      <w:bookmarkStart w:id="133" w:name="_Toc20155"/>
      <w:bookmarkStart w:id="134" w:name="_Toc5388"/>
      <w:bookmarkStart w:id="135" w:name="_Toc26044"/>
      <w:bookmarkStart w:id="136" w:name="_Toc15048295"/>
      <w:bookmarkStart w:id="137" w:name="_Toc532473456"/>
      <w:bookmarkStart w:id="138" w:name="_Toc57217240"/>
      <w:bookmarkStart w:id="139" w:name="_Toc20380"/>
      <w:bookmarkStart w:id="140" w:name="_Toc9232"/>
      <w:r>
        <w:rPr>
          <w:rFonts w:hint="eastAsia" w:ascii="宋体" w:hAnsi="宋体" w:eastAsia="宋体" w:cs="宋体"/>
          <w:color w:val="auto"/>
          <w:sz w:val="24"/>
          <w:szCs w:val="24"/>
          <w:highlight w:val="none"/>
        </w:rPr>
        <w:t>2.2 竞争性磋商文件的澄清</w:t>
      </w:r>
      <w:bookmarkEnd w:id="131"/>
      <w:bookmarkEnd w:id="132"/>
      <w:r>
        <w:rPr>
          <w:rFonts w:hint="eastAsia" w:ascii="宋体" w:hAnsi="宋体" w:eastAsia="宋体" w:cs="宋体"/>
          <w:color w:val="auto"/>
          <w:sz w:val="24"/>
          <w:szCs w:val="24"/>
          <w:highlight w:val="none"/>
        </w:rPr>
        <w:t>与修改</w:t>
      </w:r>
      <w:bookmarkEnd w:id="133"/>
      <w:bookmarkEnd w:id="134"/>
      <w:bookmarkEnd w:id="135"/>
      <w:bookmarkEnd w:id="136"/>
      <w:bookmarkEnd w:id="137"/>
      <w:bookmarkEnd w:id="138"/>
      <w:bookmarkEnd w:id="139"/>
      <w:bookmarkEnd w:id="140"/>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2.2.1 供应商应仔细阅读和检查竞争性磋商文件的全部内容。如发现缺页或附件不全，应及时向采购人（或采购代理机构）提出，以便补齐。如有疑问，应在</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规定的方式在交易平台上进行提问，要求采购人对竞争性磋商文件予以澄清。</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2.2.2 采购人或采购代理机构可主动地或在解答供应商提出的澄清问题时对竞争性磋商文件进行澄清或修改。采购代理机构将以发布澄清（更正）公告的方式，澄清或修改竞争性磋商文件，澄清或修改的内容作为竞争性磋商文件的组成部分。澄清或者修改的内容可能影响响应文件编制的，应当在递交首次响应文件截止时间至少5日前，在原公告发布媒体上发布变更公告（或澄清公告），不足5日的，应当顺延首次递交响应文件截止时间。</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2.2.3 竞争性磋商文件的澄清将在</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规定的时间在交易平台上公布给供应商，但不指明澄清问题的来源。</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2.2.4 采购人、采购代理机构对已发出的竞争性磋商文件进行的澄清、更正或修改，澄清、更正或修改的内容将作为竞争性磋商文件的组成部分。采购代理机构将通过发布竞争性磋商公告的相关网站“变更（澄清或更正）公告”和系统内部“答疑文件”告知供应商，各供应商须重新下载最新的答疑、变更（澄清或更正）文件，以此编制响应文件。</w:t>
      </w:r>
    </w:p>
    <w:p>
      <w:pPr>
        <w:shd w:val="clear"/>
        <w:spacing w:line="360" w:lineRule="auto"/>
        <w:rPr>
          <w:rFonts w:ascii="宋体" w:hAnsi="宋体" w:cs="宋体"/>
          <w:b/>
          <w:bCs/>
          <w:color w:val="auto"/>
          <w:sz w:val="24"/>
          <w:highlight w:val="none"/>
        </w:rPr>
      </w:pPr>
      <w:r>
        <w:rPr>
          <w:rFonts w:hint="eastAsia" w:ascii="宋体" w:hAnsi="宋体" w:cs="宋体"/>
          <w:color w:val="auto"/>
          <w:sz w:val="24"/>
          <w:highlight w:val="none"/>
        </w:rPr>
        <w:t>2.2.5</w:t>
      </w:r>
      <w:r>
        <w:rPr>
          <w:rFonts w:hint="eastAsia" w:ascii="宋体" w:hAnsi="宋体" w:cs="宋体"/>
          <w:b/>
          <w:bCs/>
          <w:color w:val="auto"/>
          <w:sz w:val="24"/>
          <w:highlight w:val="none"/>
        </w:rPr>
        <w:t>交易中心平台供应商信息在磋商开始前具有保密性，供应商在响应文件提交截止时间前应当自行查看项目进展、答疑、变更（澄清或更正）通知、澄清及回复，因供应商未及时查看而造成的后果自负。</w:t>
      </w:r>
    </w:p>
    <w:p>
      <w:pPr>
        <w:pStyle w:val="7"/>
        <w:shd w:val="clear"/>
        <w:tabs>
          <w:tab w:val="left" w:pos="900"/>
        </w:tabs>
        <w:spacing w:before="0" w:after="0" w:line="360" w:lineRule="auto"/>
        <w:rPr>
          <w:rFonts w:ascii="宋体" w:hAnsi="宋体" w:eastAsia="宋体" w:cs="宋体"/>
          <w:b w:val="0"/>
          <w:color w:val="auto"/>
          <w:sz w:val="24"/>
          <w:szCs w:val="24"/>
          <w:highlight w:val="none"/>
        </w:rPr>
      </w:pPr>
      <w:bookmarkStart w:id="141" w:name="_Toc11650"/>
      <w:bookmarkStart w:id="142" w:name="_Toc25098"/>
      <w:bookmarkStart w:id="143" w:name="_Toc36564736"/>
      <w:bookmarkStart w:id="144" w:name="_Toc30302"/>
      <w:bookmarkStart w:id="145" w:name="_Toc40972811"/>
      <w:bookmarkStart w:id="146" w:name="_Toc57217241"/>
      <w:bookmarkStart w:id="147" w:name="_Toc15204250"/>
      <w:r>
        <w:rPr>
          <w:rFonts w:hint="eastAsia" w:ascii="宋体" w:hAnsi="宋体" w:eastAsia="宋体" w:cs="宋体"/>
          <w:color w:val="auto"/>
          <w:sz w:val="24"/>
          <w:szCs w:val="24"/>
          <w:highlight w:val="none"/>
        </w:rPr>
        <w:t>2.3 竞争性磋商文件的解释</w:t>
      </w:r>
      <w:bookmarkEnd w:id="141"/>
      <w:bookmarkEnd w:id="142"/>
      <w:bookmarkEnd w:id="143"/>
      <w:bookmarkEnd w:id="144"/>
      <w:bookmarkEnd w:id="145"/>
      <w:bookmarkEnd w:id="146"/>
      <w:bookmarkEnd w:id="147"/>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竞争性磋商文件的最终解释权归采购人，所有解释均依据本竞争性磋商文件及有关的法律、法规；在磋商时，若出现竞争性磋商文件无明确说明和处理的情况时，由磋商小组讨论确定处理方案；磋商小组成员之间对处理方案有争议时，采取少数服从多数的投票方式确定。</w:t>
      </w:r>
    </w:p>
    <w:p>
      <w:pPr>
        <w:pStyle w:val="7"/>
        <w:shd w:val="clear"/>
        <w:tabs>
          <w:tab w:val="left" w:pos="900"/>
        </w:tabs>
        <w:spacing w:before="0" w:after="0" w:line="360" w:lineRule="auto"/>
        <w:rPr>
          <w:rFonts w:ascii="宋体" w:hAnsi="宋体" w:eastAsia="宋体" w:cs="宋体"/>
          <w:color w:val="auto"/>
          <w:sz w:val="24"/>
          <w:szCs w:val="24"/>
          <w:highlight w:val="none"/>
        </w:rPr>
      </w:pPr>
      <w:bookmarkStart w:id="148" w:name="_Toc57217242"/>
      <w:bookmarkStart w:id="149" w:name="_Toc25578"/>
      <w:bookmarkStart w:id="150" w:name="_Toc15048296"/>
      <w:bookmarkStart w:id="151" w:name="_Toc23084"/>
      <w:bookmarkStart w:id="152" w:name="_Toc532473457"/>
      <w:bookmarkStart w:id="153" w:name="_Toc25635"/>
      <w:bookmarkStart w:id="154" w:name="_Toc14569"/>
      <w:bookmarkStart w:id="155" w:name="_Toc7598"/>
      <w:r>
        <w:rPr>
          <w:rFonts w:hint="eastAsia" w:ascii="宋体" w:hAnsi="宋体" w:eastAsia="宋体" w:cs="宋体"/>
          <w:color w:val="auto"/>
          <w:sz w:val="24"/>
          <w:szCs w:val="24"/>
          <w:highlight w:val="none"/>
        </w:rPr>
        <w:t>2.4 响应文件提交截止时间的顺延</w:t>
      </w:r>
      <w:bookmarkEnd w:id="148"/>
      <w:bookmarkEnd w:id="149"/>
      <w:bookmarkEnd w:id="150"/>
      <w:bookmarkEnd w:id="151"/>
      <w:bookmarkEnd w:id="152"/>
      <w:bookmarkEnd w:id="153"/>
      <w:bookmarkEnd w:id="154"/>
      <w:bookmarkEnd w:id="155"/>
    </w:p>
    <w:p>
      <w:pPr>
        <w:shd w:val="clear"/>
        <w:spacing w:line="360" w:lineRule="auto"/>
        <w:ind w:left="1" w:firstLine="480" w:firstLineChars="200"/>
        <w:rPr>
          <w:rFonts w:ascii="宋体" w:hAnsi="宋体" w:cs="宋体"/>
          <w:color w:val="auto"/>
          <w:sz w:val="24"/>
          <w:highlight w:val="none"/>
        </w:rPr>
      </w:pPr>
      <w:r>
        <w:rPr>
          <w:rFonts w:hint="eastAsia" w:ascii="宋体" w:hAnsi="宋体" w:cs="宋体"/>
          <w:color w:val="auto"/>
          <w:sz w:val="24"/>
          <w:highlight w:val="none"/>
        </w:rPr>
        <w:t>为使供应商有足够的时间对竞争性磋商文件的澄清或者修改部分进行研究而准备编制响应文件或因其他原因，采购人将依法决定是否顺延响应文件提交截止时间。</w:t>
      </w:r>
    </w:p>
    <w:p>
      <w:pPr>
        <w:pStyle w:val="5"/>
        <w:shd w:val="clear"/>
        <w:tabs>
          <w:tab w:val="left" w:pos="900"/>
        </w:tabs>
        <w:spacing w:before="0" w:after="0" w:line="360" w:lineRule="auto"/>
        <w:rPr>
          <w:rFonts w:ascii="宋体" w:hAnsi="宋体" w:eastAsia="宋体" w:cs="宋体"/>
          <w:color w:val="auto"/>
          <w:sz w:val="24"/>
          <w:szCs w:val="24"/>
          <w:highlight w:val="none"/>
        </w:rPr>
      </w:pPr>
      <w:bookmarkStart w:id="156" w:name="_Toc15048297"/>
      <w:bookmarkStart w:id="157" w:name="_Toc532473458"/>
      <w:bookmarkStart w:id="158" w:name="_Toc520356150"/>
      <w:bookmarkStart w:id="159" w:name="_Toc30808"/>
      <w:bookmarkStart w:id="160" w:name="_Toc515647766"/>
      <w:bookmarkStart w:id="161" w:name="_Toc216582807"/>
      <w:bookmarkStart w:id="162" w:name="_Toc7636"/>
      <w:bookmarkStart w:id="163" w:name="_Toc516367020"/>
      <w:bookmarkStart w:id="164" w:name="_Toc10010"/>
      <w:bookmarkStart w:id="165" w:name="_Toc9857"/>
      <w:bookmarkStart w:id="166" w:name="_Toc57217243"/>
      <w:bookmarkStart w:id="167" w:name="_Toc8285"/>
      <w:r>
        <w:rPr>
          <w:rFonts w:hint="eastAsia" w:ascii="宋体" w:hAnsi="宋体" w:eastAsia="宋体" w:cs="宋体"/>
          <w:color w:val="auto"/>
          <w:sz w:val="24"/>
          <w:szCs w:val="24"/>
          <w:highlight w:val="none"/>
        </w:rPr>
        <w:t>3、响应文件</w:t>
      </w:r>
      <w:bookmarkEnd w:id="156"/>
      <w:bookmarkEnd w:id="157"/>
      <w:bookmarkEnd w:id="158"/>
      <w:bookmarkEnd w:id="159"/>
      <w:bookmarkEnd w:id="160"/>
      <w:bookmarkEnd w:id="161"/>
      <w:bookmarkEnd w:id="162"/>
      <w:bookmarkEnd w:id="163"/>
      <w:r>
        <w:rPr>
          <w:rFonts w:hint="eastAsia" w:ascii="宋体" w:hAnsi="宋体" w:eastAsia="宋体" w:cs="宋体"/>
          <w:color w:val="auto"/>
          <w:sz w:val="24"/>
          <w:szCs w:val="24"/>
          <w:highlight w:val="none"/>
        </w:rPr>
        <w:t>编制</w:t>
      </w:r>
      <w:bookmarkEnd w:id="164"/>
      <w:bookmarkEnd w:id="165"/>
      <w:bookmarkEnd w:id="166"/>
      <w:bookmarkEnd w:id="167"/>
    </w:p>
    <w:p>
      <w:pPr>
        <w:pStyle w:val="7"/>
        <w:shd w:val="clear"/>
        <w:tabs>
          <w:tab w:val="left" w:pos="900"/>
        </w:tabs>
        <w:spacing w:before="0" w:after="0" w:line="360" w:lineRule="auto"/>
        <w:rPr>
          <w:rFonts w:ascii="宋体" w:hAnsi="宋体" w:eastAsia="宋体" w:cs="宋体"/>
          <w:color w:val="auto"/>
          <w:sz w:val="24"/>
          <w:szCs w:val="24"/>
          <w:highlight w:val="none"/>
        </w:rPr>
      </w:pPr>
      <w:bookmarkStart w:id="168" w:name="_Toc12940"/>
      <w:bookmarkStart w:id="169" w:name="_Toc515647767"/>
      <w:bookmarkStart w:id="170" w:name="_Toc27406"/>
      <w:bookmarkStart w:id="171" w:name="_Toc13226"/>
      <w:bookmarkStart w:id="172" w:name="_Toc3553"/>
      <w:bookmarkStart w:id="173" w:name="_Toc532473459"/>
      <w:bookmarkStart w:id="174" w:name="_Toc516367021"/>
      <w:bookmarkStart w:id="175" w:name="_Toc7786"/>
      <w:bookmarkStart w:id="176" w:name="_Toc15048298"/>
      <w:bookmarkStart w:id="177" w:name="_Toc520356151"/>
      <w:bookmarkStart w:id="178" w:name="_Toc57217244"/>
      <w:r>
        <w:rPr>
          <w:rFonts w:hint="eastAsia" w:ascii="宋体" w:hAnsi="宋体" w:eastAsia="宋体" w:cs="宋体"/>
          <w:color w:val="auto"/>
          <w:sz w:val="24"/>
          <w:szCs w:val="24"/>
          <w:highlight w:val="none"/>
        </w:rPr>
        <w:t>3.1 响应范围及响应文件中的标准和计量单位的使用</w:t>
      </w:r>
      <w:bookmarkEnd w:id="168"/>
      <w:bookmarkEnd w:id="169"/>
      <w:bookmarkEnd w:id="170"/>
      <w:bookmarkEnd w:id="171"/>
      <w:bookmarkEnd w:id="172"/>
      <w:bookmarkEnd w:id="173"/>
      <w:bookmarkEnd w:id="174"/>
      <w:bookmarkEnd w:id="175"/>
      <w:bookmarkEnd w:id="176"/>
      <w:bookmarkEnd w:id="177"/>
      <w:bookmarkEnd w:id="178"/>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3.1.1无论竞争性磋商文件中是否要求，供应商所提供的货物（包括伴随的服务）/工程（伴随的服务）/服务均应符合国家强制性标准。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3.1.2 除竞争性磋商文件中有特殊要求外，响应文件中所使用的计量单位，应采用中华人民共和国法定计量单位。</w:t>
      </w:r>
    </w:p>
    <w:p>
      <w:pPr>
        <w:shd w:val="clear"/>
        <w:tabs>
          <w:tab w:val="left" w:pos="360"/>
          <w:tab w:val="left" w:pos="190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3.1.3 磋商语言文字：</w:t>
      </w:r>
      <w:r>
        <w:rPr>
          <w:rFonts w:hint="eastAsia" w:ascii="宋体" w:hAnsi="宋体" w:cs="宋体"/>
          <w:bCs/>
          <w:color w:val="auto"/>
          <w:sz w:val="24"/>
          <w:highlight w:val="none"/>
        </w:rPr>
        <w:t>响应</w:t>
      </w:r>
      <w:r>
        <w:rPr>
          <w:rFonts w:hint="eastAsia" w:ascii="宋体" w:hAnsi="宋体" w:cs="宋体"/>
          <w:color w:val="auto"/>
          <w:sz w:val="24"/>
          <w:highlight w:val="none"/>
        </w:rPr>
        <w:t>文件以及供应商所有与采购人及采购代理机构就磋商来往的文件、资料均使用中文。如果供应商提供有外文资料应附有相应的中文译本，并以中文译本为准。</w:t>
      </w:r>
    </w:p>
    <w:p>
      <w:pPr>
        <w:pStyle w:val="7"/>
        <w:shd w:val="clear"/>
        <w:tabs>
          <w:tab w:val="left" w:pos="900"/>
        </w:tabs>
        <w:spacing w:before="0" w:after="0" w:line="360" w:lineRule="auto"/>
        <w:rPr>
          <w:rFonts w:ascii="宋体" w:hAnsi="宋体" w:eastAsia="宋体" w:cs="宋体"/>
          <w:color w:val="auto"/>
          <w:sz w:val="24"/>
          <w:szCs w:val="24"/>
          <w:highlight w:val="none"/>
        </w:rPr>
      </w:pPr>
      <w:bookmarkStart w:id="179" w:name="_Toc516367022"/>
      <w:bookmarkStart w:id="180" w:name="_Ref467306676"/>
      <w:bookmarkStart w:id="181" w:name="_Ref467306195"/>
      <w:bookmarkStart w:id="182" w:name="_Toc515647768"/>
      <w:bookmarkStart w:id="183" w:name="_Toc15048299"/>
      <w:bookmarkStart w:id="184" w:name="_Toc28307"/>
      <w:bookmarkStart w:id="185" w:name="_Toc520356152"/>
      <w:bookmarkStart w:id="186" w:name="_Toc10451"/>
      <w:bookmarkStart w:id="187" w:name="_Toc26507"/>
      <w:bookmarkStart w:id="188" w:name="_Toc57217245"/>
      <w:bookmarkStart w:id="189" w:name="_Toc2462"/>
      <w:bookmarkStart w:id="190" w:name="_Toc532473460"/>
      <w:bookmarkStart w:id="191" w:name="_Toc10364"/>
      <w:r>
        <w:rPr>
          <w:rFonts w:hint="eastAsia" w:ascii="宋体" w:hAnsi="宋体" w:eastAsia="宋体" w:cs="宋体"/>
          <w:color w:val="auto"/>
          <w:sz w:val="24"/>
          <w:szCs w:val="24"/>
          <w:highlight w:val="none"/>
        </w:rPr>
        <w:t>3.2 响应文件</w:t>
      </w:r>
      <w:bookmarkEnd w:id="179"/>
      <w:bookmarkEnd w:id="180"/>
      <w:bookmarkEnd w:id="181"/>
      <w:r>
        <w:rPr>
          <w:rFonts w:hint="eastAsia" w:ascii="宋体" w:hAnsi="宋体" w:eastAsia="宋体" w:cs="宋体"/>
          <w:color w:val="auto"/>
          <w:sz w:val="24"/>
          <w:szCs w:val="24"/>
          <w:highlight w:val="none"/>
        </w:rPr>
        <w:t>组成</w:t>
      </w:r>
      <w:bookmarkEnd w:id="182"/>
      <w:bookmarkEnd w:id="183"/>
      <w:bookmarkEnd w:id="184"/>
      <w:bookmarkEnd w:id="185"/>
      <w:bookmarkEnd w:id="186"/>
      <w:bookmarkEnd w:id="187"/>
      <w:bookmarkEnd w:id="188"/>
      <w:bookmarkEnd w:id="189"/>
      <w:bookmarkEnd w:id="190"/>
      <w:bookmarkEnd w:id="191"/>
    </w:p>
    <w:p>
      <w:pPr>
        <w:shd w:val="clear"/>
        <w:tabs>
          <w:tab w:val="left" w:pos="900"/>
          <w:tab w:val="left" w:pos="5580"/>
        </w:tabs>
        <w:spacing w:line="360" w:lineRule="auto"/>
        <w:rPr>
          <w:rFonts w:ascii="宋体" w:hAnsi="宋体" w:cs="宋体"/>
          <w:color w:val="auto"/>
          <w:sz w:val="24"/>
          <w:highlight w:val="none"/>
        </w:rPr>
      </w:pPr>
      <w:bookmarkStart w:id="192" w:name="_Ref467052588"/>
      <w:r>
        <w:rPr>
          <w:rFonts w:hint="eastAsia" w:ascii="宋体" w:hAnsi="宋体" w:cs="宋体"/>
          <w:color w:val="auto"/>
          <w:sz w:val="24"/>
          <w:highlight w:val="none"/>
        </w:rPr>
        <w:t>3.2.1 供应商应完整地按照竞争性磋商文件第六章“响应文件格式”中提供的格式及要求编写响应文件，竞争性磋商文件提供标准格式的按标准格式填列，未提供标准格式的可自行拟定。具体详见竞争性磋商文件第六章“响应文件格式”。响应文件中资格审查和符合性审查涉及的事项不满足竞争性磋商文件要求的，其响应文件将被认定为</w:t>
      </w:r>
      <w:r>
        <w:rPr>
          <w:rFonts w:hint="eastAsia" w:ascii="宋体" w:hAnsi="宋体" w:cs="宋体"/>
          <w:b/>
          <w:color w:val="auto"/>
          <w:sz w:val="24"/>
          <w:highlight w:val="none"/>
        </w:rPr>
        <w:t>无效响应文件</w:t>
      </w:r>
      <w:r>
        <w:rPr>
          <w:rFonts w:hint="eastAsia" w:ascii="宋体" w:hAnsi="宋体" w:cs="宋体"/>
          <w:color w:val="auto"/>
          <w:sz w:val="24"/>
          <w:highlight w:val="none"/>
        </w:rPr>
        <w:t>。</w:t>
      </w:r>
    </w:p>
    <w:p>
      <w:pPr>
        <w:shd w:val="clear"/>
        <w:tabs>
          <w:tab w:val="left" w:pos="900"/>
          <w:tab w:val="left" w:pos="5580"/>
        </w:tabs>
        <w:spacing w:line="360" w:lineRule="auto"/>
        <w:rPr>
          <w:rFonts w:ascii="宋体" w:hAnsi="宋体" w:cs="宋体"/>
          <w:color w:val="auto"/>
          <w:sz w:val="24"/>
          <w:highlight w:val="none"/>
        </w:rPr>
      </w:pPr>
      <w:r>
        <w:rPr>
          <w:rFonts w:hint="eastAsia" w:ascii="宋体" w:hAnsi="宋体" w:cs="宋体"/>
          <w:color w:val="auto"/>
          <w:sz w:val="24"/>
          <w:highlight w:val="none"/>
        </w:rPr>
        <w:t>3.2.2 电子响应文件的签字或盖章：供应商必须按照竞争性磋商文件的要求签字、盖章或加盖电子章。</w:t>
      </w:r>
    </w:p>
    <w:bookmarkEnd w:id="192"/>
    <w:p>
      <w:pPr>
        <w:pStyle w:val="7"/>
        <w:shd w:val="clear"/>
        <w:tabs>
          <w:tab w:val="left" w:pos="900"/>
        </w:tabs>
        <w:spacing w:before="0" w:after="0" w:line="360" w:lineRule="auto"/>
        <w:jc w:val="left"/>
        <w:rPr>
          <w:rFonts w:ascii="宋体" w:hAnsi="宋体" w:eastAsia="宋体" w:cs="宋体"/>
          <w:color w:val="auto"/>
          <w:sz w:val="24"/>
          <w:szCs w:val="24"/>
          <w:highlight w:val="none"/>
        </w:rPr>
      </w:pPr>
      <w:bookmarkStart w:id="193" w:name="_Toc5511"/>
      <w:bookmarkStart w:id="194" w:name="_Toc23068"/>
      <w:bookmarkStart w:id="195" w:name="_Toc515647769"/>
      <w:bookmarkStart w:id="196" w:name="_Toc30134"/>
      <w:bookmarkStart w:id="197" w:name="_Toc516367023"/>
      <w:bookmarkStart w:id="198" w:name="_Toc4601"/>
      <w:bookmarkStart w:id="199" w:name="_Toc520356153"/>
      <w:bookmarkStart w:id="200" w:name="_Toc10379"/>
      <w:bookmarkStart w:id="201" w:name="_Toc57217246"/>
      <w:bookmarkStart w:id="202" w:name="_Toc532473461"/>
      <w:bookmarkStart w:id="203" w:name="_Toc15048300"/>
      <w:r>
        <w:rPr>
          <w:rFonts w:hint="eastAsia" w:ascii="宋体" w:hAnsi="宋体" w:eastAsia="宋体" w:cs="宋体"/>
          <w:color w:val="auto"/>
          <w:sz w:val="24"/>
          <w:szCs w:val="24"/>
          <w:highlight w:val="none"/>
        </w:rPr>
        <w:t>3.3  供应商证明所提供标的的合格性和符合竞争性磋商文件规定的技术文件</w:t>
      </w:r>
      <w:bookmarkEnd w:id="193"/>
      <w:bookmarkEnd w:id="194"/>
      <w:bookmarkEnd w:id="195"/>
      <w:bookmarkEnd w:id="196"/>
      <w:bookmarkEnd w:id="197"/>
      <w:bookmarkEnd w:id="198"/>
      <w:bookmarkEnd w:id="199"/>
      <w:bookmarkEnd w:id="200"/>
      <w:bookmarkEnd w:id="201"/>
      <w:bookmarkEnd w:id="202"/>
      <w:bookmarkEnd w:id="203"/>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3.3.1 供应商应按竞争性磋商文件中的具体要求提交证明文件，证明所提供标的符合竞争性磋商文件的规定。该证明文件是响应文件的技术文件。</w:t>
      </w:r>
    </w:p>
    <w:p>
      <w:pPr>
        <w:shd w:val="clear"/>
        <w:spacing w:line="360" w:lineRule="auto"/>
        <w:rPr>
          <w:rFonts w:ascii="宋体" w:hAnsi="宋体" w:cs="宋体"/>
          <w:color w:val="auto"/>
          <w:sz w:val="24"/>
          <w:highlight w:val="none"/>
        </w:rPr>
      </w:pPr>
      <w:bookmarkStart w:id="204" w:name="_Ref467306244"/>
      <w:r>
        <w:rPr>
          <w:rFonts w:hint="eastAsia" w:ascii="宋体" w:hAnsi="宋体" w:cs="宋体"/>
          <w:color w:val="auto"/>
          <w:sz w:val="24"/>
          <w:highlight w:val="none"/>
        </w:rPr>
        <w:t>3.3.2 上款所述的证明文件，可以是文字资料、图纸和数据</w:t>
      </w:r>
      <w:bookmarkEnd w:id="204"/>
      <w:r>
        <w:rPr>
          <w:rFonts w:hint="eastAsia" w:ascii="宋体" w:hAnsi="宋体" w:cs="宋体"/>
          <w:color w:val="auto"/>
          <w:sz w:val="24"/>
          <w:highlight w:val="none"/>
        </w:rPr>
        <w:t>。</w:t>
      </w:r>
    </w:p>
    <w:p>
      <w:pPr>
        <w:pStyle w:val="7"/>
        <w:shd w:val="clear"/>
        <w:spacing w:before="0" w:after="0" w:line="360" w:lineRule="auto"/>
        <w:rPr>
          <w:rFonts w:ascii="宋体" w:hAnsi="宋体" w:eastAsia="宋体" w:cs="宋体"/>
          <w:color w:val="auto"/>
          <w:sz w:val="24"/>
          <w:szCs w:val="24"/>
          <w:highlight w:val="none"/>
        </w:rPr>
      </w:pPr>
      <w:bookmarkStart w:id="205" w:name="_Toc515647770"/>
      <w:bookmarkStart w:id="206" w:name="_Toc532473462"/>
      <w:bookmarkStart w:id="207" w:name="_Toc2248"/>
      <w:bookmarkStart w:id="208" w:name="_Toc15048301"/>
      <w:bookmarkStart w:id="209" w:name="_Toc29896"/>
      <w:bookmarkStart w:id="210" w:name="_Toc31269"/>
      <w:bookmarkStart w:id="211" w:name="_Toc9242"/>
      <w:bookmarkStart w:id="212" w:name="_Toc520356155"/>
      <w:bookmarkStart w:id="213" w:name="_Toc23231"/>
      <w:bookmarkStart w:id="214" w:name="_Toc57217247"/>
      <w:r>
        <w:rPr>
          <w:rFonts w:hint="eastAsia" w:ascii="宋体" w:hAnsi="宋体" w:eastAsia="宋体" w:cs="宋体"/>
          <w:color w:val="auto"/>
          <w:sz w:val="24"/>
          <w:szCs w:val="24"/>
          <w:highlight w:val="none"/>
        </w:rPr>
        <w:t>3.4响应报价</w:t>
      </w:r>
      <w:bookmarkEnd w:id="205"/>
      <w:bookmarkEnd w:id="206"/>
      <w:bookmarkEnd w:id="207"/>
      <w:bookmarkEnd w:id="208"/>
      <w:bookmarkEnd w:id="209"/>
      <w:bookmarkEnd w:id="210"/>
      <w:bookmarkEnd w:id="211"/>
      <w:bookmarkEnd w:id="212"/>
      <w:bookmarkEnd w:id="213"/>
      <w:bookmarkEnd w:id="214"/>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3.4.1 供应商的响应报价（及最后报价）均应以人民币报价。供应商的报价应遵守《中华人民共和国价格法》。</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3.4.2 供应商应参考采购人所提供的采购范围及工作内容、质量要求、采购预算等全部内容，结合本项目实际情况和供应商自身成本、市场行情等因素，自主报价。不得低于企业成本报价，且不得高于采购人给定的预算价或最高限价，否则响应文件将被认定为无效响应文件。</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3.4.3 供应商应当按照竞争性磋商文件提供的报价表格式如实填写各项货物（包括伴随的服务）/工程（伴随的服务）/服务的单价、分项总价和总报价。供应商应认真填报所有项目的单价和合价，响应文件中若有漏项、漏报，采购人视为供应商的报价在总报价中已经包括；供应商提交最后报价后，如果被确定为成交人，该供应商所报价格，在合同履行过程中是固定不变的，除因设计或是采购人原因引起的变更外，不予调整。供应商报价有算术错误的，其风险由供应商承担。</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3.4.4 供应商的最后报价应当包括：所提供货物（包括伴随的服务、备品备件、专用工具等）和伴随服务需要缴纳的所有税费的价格（包括已在中国国内的进口货物完税后的仓库交货价、展室交货价或货架交货价），所提供货物的运输（含保险）、装卸、安装（如有）、调试、检验、技术服务、培训和竞争性磋商文件要求提供的所有伴随服务、安装等费用及交付采购人使用前发生的其它费用。</w:t>
      </w:r>
    </w:p>
    <w:p>
      <w:pPr>
        <w:shd w:val="clear"/>
        <w:tabs>
          <w:tab w:val="left" w:pos="720"/>
        </w:tabs>
        <w:spacing w:line="360" w:lineRule="auto"/>
        <w:rPr>
          <w:rFonts w:ascii="宋体" w:hAnsi="宋体" w:cs="宋体"/>
          <w:color w:val="auto"/>
          <w:sz w:val="24"/>
          <w:highlight w:val="none"/>
        </w:rPr>
      </w:pPr>
      <w:r>
        <w:rPr>
          <w:rFonts w:hint="eastAsia" w:ascii="宋体" w:hAnsi="宋体" w:cs="宋体"/>
          <w:snapToGrid w:val="0"/>
          <w:color w:val="auto"/>
          <w:kern w:val="0"/>
          <w:sz w:val="24"/>
          <w:highlight w:val="none"/>
        </w:rPr>
        <w:t>3.4.5 除非竞争性磋商文件另有规定，每一“包”或“标段”只允许有一个最后总报价，任何有选择的最后总报价或替代方案将导致响应文件无效。</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3.4.6 供应商在提交最后总报价后，不得以任何理由再对最后总报价予以修改，最后总报价在响应文件有效期内是固定的，除竞争性磋商文件中约定的原因外，不能随意改变。</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3.4.7 供应商在报价时应考虑期间的物价上涨，政策性调整等诸多因素以及由此引起的费用变动并计入总报价（包含最后总报价）。</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3.4.8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3.4.9 采购人不接受具有附加条件的最后总报价或多个方案的最后总报价。</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3.4.10 </w:t>
      </w:r>
      <w:r>
        <w:rPr>
          <w:rFonts w:hint="eastAsia" w:ascii="宋体" w:hAnsi="宋体" w:cs="宋体"/>
          <w:bCs/>
          <w:color w:val="auto"/>
          <w:sz w:val="24"/>
          <w:highlight w:val="none"/>
        </w:rPr>
        <w:t>供应商应对提供资料的真实性负责，若发现供应商有围标串标、互借资质的现象，采购人有权取消成交资格。</w:t>
      </w:r>
    </w:p>
    <w:p>
      <w:pPr>
        <w:shd w:val="clear"/>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3.4.11 </w:t>
      </w:r>
      <w:r>
        <w:rPr>
          <w:rFonts w:hint="eastAsia" w:ascii="宋体" w:hAnsi="宋体" w:cs="宋体"/>
          <w:b/>
          <w:bCs/>
          <w:color w:val="auto"/>
          <w:sz w:val="24"/>
          <w:highlight w:val="none"/>
        </w:rPr>
        <w:t>本项目</w:t>
      </w:r>
      <w:r>
        <w:rPr>
          <w:rFonts w:hint="eastAsia" w:ascii="宋体" w:hAnsi="宋体" w:cs="宋体"/>
          <w:b/>
          <w:bCs/>
          <w:color w:val="auto"/>
          <w:sz w:val="24"/>
          <w:highlight w:val="none"/>
          <w:u w:val="single"/>
        </w:rPr>
        <w:t>采用“远程不见面”开标方式</w:t>
      </w:r>
      <w:r>
        <w:rPr>
          <w:rFonts w:hint="eastAsia" w:ascii="宋体" w:hAnsi="宋体" w:cs="宋体"/>
          <w:b/>
          <w:bCs/>
          <w:color w:val="auto"/>
          <w:sz w:val="24"/>
          <w:highlight w:val="none"/>
        </w:rPr>
        <w:t>，所有响应人在规定时间内对响应文件进行解密，未解密的响应人，视为放弃投标。</w:t>
      </w:r>
    </w:p>
    <w:p>
      <w:pPr>
        <w:pStyle w:val="7"/>
        <w:shd w:val="clear"/>
        <w:spacing w:before="0" w:after="0" w:line="360" w:lineRule="auto"/>
        <w:rPr>
          <w:rFonts w:ascii="宋体" w:hAnsi="宋体" w:eastAsia="宋体" w:cs="宋体"/>
          <w:color w:val="auto"/>
          <w:sz w:val="24"/>
          <w:szCs w:val="24"/>
          <w:highlight w:val="none"/>
        </w:rPr>
      </w:pPr>
      <w:bookmarkStart w:id="215" w:name="_Toc11514"/>
      <w:bookmarkStart w:id="216" w:name="_Toc17788"/>
      <w:bookmarkStart w:id="217" w:name="_Toc515647771"/>
      <w:bookmarkStart w:id="218" w:name="_Toc3020"/>
      <w:bookmarkStart w:id="219" w:name="_Toc520356156"/>
      <w:bookmarkStart w:id="220" w:name="_Toc57217248"/>
      <w:bookmarkStart w:id="221" w:name="_Toc28802"/>
      <w:bookmarkStart w:id="222" w:name="_Toc15048302"/>
      <w:bookmarkStart w:id="223" w:name="_Toc532473463"/>
      <w:bookmarkStart w:id="224" w:name="_Toc7535"/>
      <w:bookmarkStart w:id="225" w:name="_Ref467306513"/>
      <w:r>
        <w:rPr>
          <w:rFonts w:hint="eastAsia" w:ascii="宋体" w:hAnsi="宋体" w:eastAsia="宋体" w:cs="宋体"/>
          <w:color w:val="auto"/>
          <w:sz w:val="24"/>
          <w:szCs w:val="24"/>
          <w:highlight w:val="none"/>
        </w:rPr>
        <w:t>3.5 磋商保证金</w:t>
      </w:r>
      <w:bookmarkEnd w:id="215"/>
      <w:bookmarkEnd w:id="216"/>
      <w:bookmarkEnd w:id="217"/>
      <w:bookmarkEnd w:id="218"/>
      <w:bookmarkEnd w:id="219"/>
      <w:bookmarkEnd w:id="220"/>
      <w:bookmarkEnd w:id="221"/>
      <w:bookmarkEnd w:id="222"/>
      <w:bookmarkEnd w:id="223"/>
      <w:bookmarkEnd w:id="224"/>
      <w:bookmarkEnd w:id="225"/>
    </w:p>
    <w:p>
      <w:pPr>
        <w:shd w:val="clear"/>
        <w:spacing w:line="360" w:lineRule="auto"/>
        <w:ind w:firstLine="480" w:firstLineChars="200"/>
        <w:rPr>
          <w:rFonts w:ascii="宋体" w:hAnsi="宋体" w:cs="宋体"/>
          <w:color w:val="auto"/>
          <w:sz w:val="24"/>
          <w:highlight w:val="none"/>
        </w:rPr>
      </w:pPr>
      <w:bookmarkStart w:id="226" w:name="_Ref467306302"/>
      <w:r>
        <w:rPr>
          <w:rFonts w:hint="eastAsia" w:ascii="宋体" w:hAnsi="宋体" w:cs="宋体"/>
          <w:color w:val="auto"/>
          <w:sz w:val="24"/>
          <w:highlight w:val="none"/>
        </w:rPr>
        <w:t>河南省财政厅发布关于优化政府采购营商环境有关问题的通知规定，自2019年8月1日起，在河南省全省政府采购货物和服务招投标活动中，不再向供应商收取投标保证金。</w:t>
      </w:r>
      <w:bookmarkEnd w:id="226"/>
    </w:p>
    <w:p>
      <w:pPr>
        <w:pStyle w:val="7"/>
        <w:shd w:val="clear"/>
        <w:spacing w:before="0" w:after="0" w:line="360" w:lineRule="auto"/>
        <w:rPr>
          <w:rFonts w:ascii="宋体" w:hAnsi="宋体" w:eastAsia="宋体" w:cs="宋体"/>
          <w:color w:val="auto"/>
          <w:sz w:val="24"/>
          <w:szCs w:val="24"/>
          <w:highlight w:val="none"/>
        </w:rPr>
      </w:pPr>
      <w:bookmarkStart w:id="227" w:name="_Toc32569"/>
      <w:bookmarkStart w:id="228" w:name="_Toc15048303"/>
      <w:bookmarkStart w:id="229" w:name="_Toc6466"/>
      <w:bookmarkStart w:id="230" w:name="_Toc520356157"/>
      <w:bookmarkStart w:id="231" w:name="_Toc23590"/>
      <w:bookmarkStart w:id="232" w:name="_Toc57217249"/>
      <w:bookmarkStart w:id="233" w:name="_Toc11633"/>
      <w:bookmarkStart w:id="234" w:name="_Toc532473464"/>
      <w:bookmarkStart w:id="235" w:name="_Toc8719"/>
      <w:bookmarkStart w:id="236" w:name="_Toc515647772"/>
      <w:r>
        <w:rPr>
          <w:rFonts w:hint="eastAsia" w:ascii="宋体" w:hAnsi="宋体" w:eastAsia="宋体" w:cs="宋体"/>
          <w:color w:val="auto"/>
          <w:sz w:val="24"/>
          <w:szCs w:val="24"/>
          <w:highlight w:val="none"/>
        </w:rPr>
        <w:t>3.6 响应文件有效期</w:t>
      </w:r>
      <w:bookmarkEnd w:id="227"/>
      <w:bookmarkEnd w:id="228"/>
      <w:bookmarkEnd w:id="229"/>
      <w:bookmarkEnd w:id="230"/>
      <w:bookmarkEnd w:id="231"/>
      <w:bookmarkEnd w:id="232"/>
      <w:bookmarkEnd w:id="233"/>
      <w:bookmarkEnd w:id="234"/>
      <w:bookmarkEnd w:id="235"/>
      <w:bookmarkEnd w:id="236"/>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3.6.1 响应文件应在</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中规定时间内保持有效。响应文件有效期不满足要求的响应文件，将被认定为</w:t>
      </w:r>
      <w:r>
        <w:rPr>
          <w:rFonts w:hint="eastAsia" w:ascii="宋体" w:hAnsi="宋体" w:cs="宋体"/>
          <w:b/>
          <w:bCs/>
          <w:color w:val="auto"/>
          <w:sz w:val="24"/>
          <w:highlight w:val="none"/>
        </w:rPr>
        <w:t>无效响应文件</w:t>
      </w:r>
      <w:r>
        <w:rPr>
          <w:rFonts w:hint="eastAsia" w:ascii="宋体" w:hAnsi="宋体" w:cs="宋体"/>
          <w:color w:val="auto"/>
          <w:sz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3.6.2 因特殊原因，采购人或采购代理机构可在原响应文件有效期截止之前，要求供应商延长响应文件的有效期。接受该要求的供应商将不会被要求和允许修正其响应文件。供应商也可以拒绝延长响应文件有效期的要求，且不承担任何责任。上述要求和答复都应以书面形式提交。</w:t>
      </w:r>
    </w:p>
    <w:p>
      <w:pPr>
        <w:pStyle w:val="7"/>
        <w:shd w:val="clear"/>
        <w:spacing w:before="0" w:after="0" w:line="360" w:lineRule="auto"/>
        <w:rPr>
          <w:rFonts w:ascii="宋体" w:hAnsi="宋体" w:eastAsia="宋体" w:cs="宋体"/>
          <w:color w:val="auto"/>
          <w:sz w:val="24"/>
          <w:szCs w:val="24"/>
          <w:highlight w:val="none"/>
        </w:rPr>
      </w:pPr>
      <w:bookmarkStart w:id="237" w:name="_Toc532473465"/>
      <w:bookmarkStart w:id="238" w:name="_Toc493"/>
      <w:bookmarkStart w:id="239" w:name="_Toc520356158"/>
      <w:bookmarkStart w:id="240" w:name="_Toc515647773"/>
      <w:bookmarkStart w:id="241" w:name="_Toc17074"/>
      <w:bookmarkStart w:id="242" w:name="_Toc2644"/>
      <w:bookmarkStart w:id="243" w:name="_Toc8849"/>
      <w:bookmarkStart w:id="244" w:name="_Toc2016"/>
      <w:bookmarkStart w:id="245" w:name="_Toc57217250"/>
      <w:bookmarkStart w:id="246" w:name="_Toc15048304"/>
      <w:r>
        <w:rPr>
          <w:rFonts w:hint="eastAsia" w:ascii="宋体" w:hAnsi="宋体" w:eastAsia="宋体" w:cs="宋体"/>
          <w:color w:val="auto"/>
          <w:sz w:val="24"/>
          <w:szCs w:val="24"/>
          <w:highlight w:val="none"/>
        </w:rPr>
        <w:t>3.7 响应文件的</w:t>
      </w:r>
      <w:bookmarkEnd w:id="237"/>
      <w:bookmarkEnd w:id="238"/>
      <w:bookmarkEnd w:id="239"/>
      <w:bookmarkEnd w:id="240"/>
      <w:bookmarkEnd w:id="241"/>
      <w:r>
        <w:rPr>
          <w:rFonts w:hint="eastAsia" w:ascii="宋体" w:hAnsi="宋体" w:eastAsia="宋体" w:cs="宋体"/>
          <w:color w:val="auto"/>
          <w:sz w:val="24"/>
          <w:szCs w:val="24"/>
          <w:highlight w:val="none"/>
        </w:rPr>
        <w:t>制作</w:t>
      </w:r>
      <w:bookmarkEnd w:id="242"/>
      <w:bookmarkEnd w:id="243"/>
      <w:bookmarkEnd w:id="244"/>
      <w:bookmarkEnd w:id="245"/>
      <w:bookmarkEnd w:id="246"/>
    </w:p>
    <w:p>
      <w:pPr>
        <w:shd w:val="clear"/>
        <w:tabs>
          <w:tab w:val="left" w:pos="720"/>
        </w:tabs>
        <w:spacing w:line="360" w:lineRule="auto"/>
        <w:rPr>
          <w:rFonts w:ascii="宋体" w:hAnsi="宋体" w:cs="宋体"/>
          <w:color w:val="auto"/>
          <w:sz w:val="24"/>
          <w:highlight w:val="none"/>
        </w:rPr>
      </w:pPr>
      <w:r>
        <w:rPr>
          <w:rFonts w:hint="eastAsia" w:ascii="宋体" w:hAnsi="宋体" w:cs="宋体"/>
          <w:color w:val="auto"/>
          <w:sz w:val="24"/>
          <w:highlight w:val="none"/>
        </w:rPr>
        <w:t>3.7.1 供应商在制作电子响应文件时，按照河南省公共资源交易中心提供的“投标文件制作工具”制作电子响应文件。具体查询河南省公共资源交易中心网站主页→办事指南及下载专区。</w:t>
      </w:r>
    </w:p>
    <w:p>
      <w:pPr>
        <w:shd w:val="clear"/>
        <w:spacing w:line="360" w:lineRule="auto"/>
        <w:rPr>
          <w:rFonts w:ascii="宋体" w:hAnsi="宋体" w:cs="宋体"/>
          <w:b/>
          <w:bCs/>
          <w:color w:val="auto"/>
          <w:sz w:val="24"/>
          <w:highlight w:val="none"/>
        </w:rPr>
      </w:pPr>
      <w:r>
        <w:rPr>
          <w:rFonts w:hint="eastAsia" w:ascii="宋体" w:hAnsi="宋体" w:cs="宋体"/>
          <w:color w:val="auto"/>
          <w:sz w:val="24"/>
          <w:highlight w:val="none"/>
        </w:rPr>
        <w:t>3.7.2 响应文件格式所要求包含的全部资料应全部制作在响应文件内（格式中写明可以不提供的除外），严格按照本项目竞争性磋商文件中提供的所有格式如实填写（不涉及的内容除外），不应存在漏项或缺项，否则将存在响应文件被拒绝的风险。</w:t>
      </w:r>
      <w:r>
        <w:rPr>
          <w:rFonts w:hint="eastAsia" w:ascii="宋体" w:hAnsi="宋体" w:cs="宋体"/>
          <w:b/>
          <w:bCs/>
          <w:color w:val="auto"/>
          <w:sz w:val="24"/>
          <w:highlight w:val="none"/>
          <w:u w:val="single"/>
        </w:rPr>
        <w:t>响应函（磋商函）及报价一览表，须严格按照格式编辑，并作为电子评审系统上传的依据。</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3.7.3 </w:t>
      </w:r>
      <w:r>
        <w:rPr>
          <w:rFonts w:hint="eastAsia" w:ascii="宋体" w:hAnsi="宋体" w:cs="宋体"/>
          <w:b/>
          <w:bCs/>
          <w:color w:val="auto"/>
          <w:sz w:val="24"/>
          <w:highlight w:val="none"/>
        </w:rPr>
        <w:t>供应商编辑电子响应文件时，根据竞争性磋商文件要求用法人CA密钥和企业CA密钥进行签章制作；最后一步生成电子响应文件时，只能用本单位的企业CA密钥。</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3.7.4 供应商须在响应</w:t>
      </w:r>
      <w:r>
        <w:rPr>
          <w:rFonts w:hint="eastAsia" w:ascii="宋体" w:hAnsi="宋体" w:cs="宋体"/>
          <w:color w:val="auto"/>
          <w:kern w:val="0"/>
          <w:sz w:val="24"/>
          <w:highlight w:val="none"/>
          <w:lang w:val="zh-CN"/>
        </w:rPr>
        <w:t>文件提交截止时间</w:t>
      </w:r>
      <w:r>
        <w:rPr>
          <w:rFonts w:hint="eastAsia" w:ascii="宋体" w:hAnsi="宋体" w:cs="宋体"/>
          <w:color w:val="auto"/>
          <w:sz w:val="24"/>
          <w:highlight w:val="none"/>
        </w:rPr>
        <w:t>前制作并提交响应文件。加密的电子响应文件,应在响应文件提交截止时间前通过“河南省公共资源交易中心”电子交易平台内上传。</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3.7.5 加密的电子响应文件为“河南省公共资源交易中心” 网站提供的“投标文件制作工具”软件制作生成的加密版响应文件。</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3.7.6响应文件的修改：供应商如果对响应文件进行了修改，则应在修改处加盖企业（单位）的电子签章。</w:t>
      </w:r>
    </w:p>
    <w:p>
      <w:pPr>
        <w:pStyle w:val="5"/>
        <w:shd w:val="clear"/>
        <w:spacing w:before="0" w:after="0" w:line="360" w:lineRule="auto"/>
        <w:rPr>
          <w:rFonts w:ascii="宋体" w:hAnsi="宋体" w:eastAsia="宋体" w:cs="宋体"/>
          <w:color w:val="auto"/>
          <w:sz w:val="24"/>
          <w:szCs w:val="24"/>
          <w:highlight w:val="none"/>
        </w:rPr>
      </w:pPr>
      <w:bookmarkStart w:id="247" w:name="_Toc520356159"/>
      <w:bookmarkStart w:id="248" w:name="_Toc18106"/>
      <w:bookmarkStart w:id="249" w:name="_Toc27916"/>
      <w:bookmarkStart w:id="250" w:name="_Toc515647774"/>
      <w:bookmarkStart w:id="251" w:name="_Toc532473466"/>
      <w:bookmarkStart w:id="252" w:name="_Toc57217251"/>
      <w:bookmarkStart w:id="253" w:name="_Toc11179"/>
      <w:bookmarkStart w:id="254" w:name="_Toc216582808"/>
      <w:bookmarkStart w:id="255" w:name="_Toc6442"/>
      <w:bookmarkStart w:id="256" w:name="_Toc15048305"/>
      <w:bookmarkStart w:id="257" w:name="_Toc16865"/>
      <w:r>
        <w:rPr>
          <w:rFonts w:hint="eastAsia" w:ascii="宋体" w:hAnsi="宋体" w:eastAsia="宋体" w:cs="宋体"/>
          <w:color w:val="auto"/>
          <w:sz w:val="24"/>
          <w:szCs w:val="24"/>
          <w:highlight w:val="none"/>
        </w:rPr>
        <w:t>4、响应文件的提交</w:t>
      </w:r>
      <w:bookmarkEnd w:id="247"/>
      <w:bookmarkEnd w:id="248"/>
      <w:bookmarkEnd w:id="249"/>
      <w:bookmarkEnd w:id="250"/>
      <w:bookmarkEnd w:id="251"/>
      <w:bookmarkEnd w:id="252"/>
      <w:bookmarkEnd w:id="253"/>
      <w:bookmarkEnd w:id="254"/>
      <w:bookmarkEnd w:id="255"/>
      <w:bookmarkEnd w:id="256"/>
      <w:bookmarkEnd w:id="257"/>
    </w:p>
    <w:p>
      <w:pPr>
        <w:pStyle w:val="7"/>
        <w:shd w:val="clear"/>
        <w:spacing w:before="0" w:after="0" w:line="360" w:lineRule="auto"/>
        <w:rPr>
          <w:rFonts w:ascii="宋体" w:hAnsi="宋体" w:eastAsia="宋体" w:cs="宋体"/>
          <w:color w:val="auto"/>
          <w:sz w:val="24"/>
          <w:szCs w:val="24"/>
          <w:highlight w:val="none"/>
        </w:rPr>
      </w:pPr>
      <w:bookmarkStart w:id="258" w:name="_Toc532473467"/>
      <w:bookmarkStart w:id="259" w:name="_Toc515647775"/>
      <w:bookmarkStart w:id="260" w:name="_Toc15048306"/>
      <w:bookmarkStart w:id="261" w:name="_Toc23152"/>
      <w:bookmarkStart w:id="262" w:name="_Toc520356160"/>
      <w:bookmarkStart w:id="263" w:name="_Toc57217252"/>
      <w:bookmarkStart w:id="264" w:name="_Toc21645"/>
      <w:bookmarkStart w:id="265" w:name="_Toc25758"/>
      <w:bookmarkStart w:id="266" w:name="_Toc25110"/>
      <w:bookmarkStart w:id="267" w:name="_Toc32337"/>
      <w:r>
        <w:rPr>
          <w:rFonts w:hint="eastAsia" w:ascii="宋体" w:hAnsi="宋体" w:eastAsia="宋体" w:cs="宋体"/>
          <w:color w:val="auto"/>
          <w:sz w:val="24"/>
          <w:szCs w:val="24"/>
          <w:highlight w:val="none"/>
        </w:rPr>
        <w:t>4.1 响应文件的密封和标记</w:t>
      </w:r>
      <w:bookmarkEnd w:id="258"/>
      <w:bookmarkEnd w:id="259"/>
      <w:bookmarkEnd w:id="260"/>
      <w:bookmarkEnd w:id="261"/>
      <w:bookmarkEnd w:id="262"/>
      <w:bookmarkEnd w:id="263"/>
      <w:bookmarkEnd w:id="264"/>
      <w:bookmarkEnd w:id="265"/>
      <w:bookmarkEnd w:id="266"/>
      <w:bookmarkEnd w:id="267"/>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因采用全程不见面磋商、评审方式，故电子响应文件按本竞争性磋商文件第4.2.2条要求加密上传到指定平台。</w:t>
      </w:r>
    </w:p>
    <w:p>
      <w:pPr>
        <w:pStyle w:val="7"/>
        <w:shd w:val="clear"/>
        <w:spacing w:before="0" w:after="0" w:line="360" w:lineRule="auto"/>
        <w:rPr>
          <w:rFonts w:ascii="宋体" w:hAnsi="宋体" w:eastAsia="宋体" w:cs="宋体"/>
          <w:color w:val="auto"/>
          <w:sz w:val="24"/>
          <w:szCs w:val="24"/>
          <w:highlight w:val="none"/>
        </w:rPr>
      </w:pPr>
      <w:bookmarkStart w:id="268" w:name="_Toc532473468"/>
      <w:bookmarkStart w:id="269" w:name="_Toc520356161"/>
      <w:bookmarkStart w:id="270" w:name="_Toc12751"/>
      <w:bookmarkStart w:id="271" w:name="_Toc9840"/>
      <w:bookmarkStart w:id="272" w:name="_Toc15048307"/>
      <w:bookmarkStart w:id="273" w:name="_Toc515647776"/>
      <w:bookmarkStart w:id="274" w:name="_Toc2005"/>
      <w:bookmarkStart w:id="275" w:name="_Toc13625"/>
      <w:bookmarkStart w:id="276" w:name="_Toc57217253"/>
      <w:bookmarkStart w:id="277" w:name="_Toc7534"/>
      <w:r>
        <w:rPr>
          <w:rFonts w:hint="eastAsia" w:ascii="宋体" w:hAnsi="宋体" w:eastAsia="宋体" w:cs="宋体"/>
          <w:color w:val="auto"/>
          <w:sz w:val="24"/>
          <w:szCs w:val="24"/>
          <w:highlight w:val="none"/>
        </w:rPr>
        <w:t>4.2 响应文件提交截止</w:t>
      </w:r>
      <w:bookmarkEnd w:id="268"/>
      <w:bookmarkEnd w:id="269"/>
      <w:bookmarkEnd w:id="270"/>
      <w:bookmarkEnd w:id="271"/>
      <w:bookmarkEnd w:id="272"/>
      <w:bookmarkEnd w:id="273"/>
      <w:r>
        <w:rPr>
          <w:rFonts w:hint="eastAsia" w:ascii="宋体" w:hAnsi="宋体" w:eastAsia="宋体" w:cs="宋体"/>
          <w:color w:val="auto"/>
          <w:sz w:val="24"/>
          <w:szCs w:val="24"/>
          <w:highlight w:val="none"/>
        </w:rPr>
        <w:t>时间</w:t>
      </w:r>
      <w:bookmarkEnd w:id="274"/>
      <w:bookmarkEnd w:id="275"/>
      <w:bookmarkEnd w:id="276"/>
      <w:bookmarkEnd w:id="277"/>
    </w:p>
    <w:p>
      <w:pPr>
        <w:shd w:val="clear"/>
        <w:tabs>
          <w:tab w:val="left" w:pos="360"/>
          <w:tab w:val="left" w:pos="720"/>
          <w:tab w:val="left" w:pos="1185"/>
        </w:tabs>
        <w:spacing w:line="360" w:lineRule="auto"/>
        <w:rPr>
          <w:rFonts w:ascii="宋体" w:hAnsi="宋体" w:cs="宋体"/>
          <w:color w:val="auto"/>
          <w:sz w:val="24"/>
          <w:highlight w:val="none"/>
        </w:rPr>
      </w:pPr>
      <w:r>
        <w:rPr>
          <w:rFonts w:hint="eastAsia" w:ascii="宋体" w:hAnsi="宋体" w:cs="宋体"/>
          <w:color w:val="auto"/>
          <w:sz w:val="24"/>
          <w:highlight w:val="none"/>
        </w:rPr>
        <w:t>4.2.1 响应文件提交截止时间</w:t>
      </w:r>
      <w:r>
        <w:rPr>
          <w:rFonts w:hint="eastAsia" w:ascii="宋体" w:hAnsi="宋体" w:cs="宋体"/>
          <w:b/>
          <w:color w:val="auto"/>
          <w:sz w:val="24"/>
          <w:highlight w:val="none"/>
          <w:u w:val="single"/>
        </w:rPr>
        <w:t>见供应商须知前附表</w:t>
      </w:r>
      <w:r>
        <w:rPr>
          <w:rFonts w:hint="eastAsia" w:ascii="宋体" w:hAnsi="宋体" w:cs="宋体"/>
          <w:color w:val="auto"/>
          <w:sz w:val="24"/>
          <w:highlight w:val="none"/>
        </w:rPr>
        <w:t>。</w:t>
      </w:r>
    </w:p>
    <w:p>
      <w:pPr>
        <w:shd w:val="clear"/>
        <w:tabs>
          <w:tab w:val="left" w:pos="360"/>
          <w:tab w:val="left" w:pos="720"/>
          <w:tab w:val="left" w:pos="1185"/>
        </w:tabs>
        <w:spacing w:line="360" w:lineRule="auto"/>
        <w:rPr>
          <w:rFonts w:ascii="宋体" w:hAnsi="宋体" w:cs="宋体"/>
          <w:color w:val="auto"/>
          <w:sz w:val="24"/>
          <w:highlight w:val="none"/>
        </w:rPr>
      </w:pPr>
      <w:r>
        <w:rPr>
          <w:rFonts w:hint="eastAsia" w:ascii="宋体" w:hAnsi="宋体" w:cs="宋体"/>
          <w:color w:val="auto"/>
          <w:sz w:val="24"/>
          <w:highlight w:val="none"/>
        </w:rPr>
        <w:t>4.2.2 加密的电子响应文件应在响应文件提交截止时间前通过“河南省公共资源交易中心（www.hnggzy.net）”电子交易平台上传。</w:t>
      </w:r>
    </w:p>
    <w:p>
      <w:pPr>
        <w:shd w:val="clear"/>
        <w:tabs>
          <w:tab w:val="left" w:pos="360"/>
          <w:tab w:val="left" w:pos="720"/>
          <w:tab w:val="left" w:pos="1185"/>
        </w:tabs>
        <w:spacing w:line="360" w:lineRule="auto"/>
        <w:rPr>
          <w:rFonts w:ascii="宋体" w:hAnsi="宋体" w:cs="宋体"/>
          <w:color w:val="auto"/>
          <w:sz w:val="24"/>
          <w:highlight w:val="none"/>
        </w:rPr>
      </w:pPr>
      <w:r>
        <w:rPr>
          <w:rFonts w:hint="eastAsia" w:ascii="宋体" w:hAnsi="宋体" w:cs="宋体"/>
          <w:color w:val="auto"/>
          <w:sz w:val="24"/>
          <w:highlight w:val="none"/>
        </w:rPr>
        <w:t>4.2.3 采购人和采购代理机构可以按本章第2.2.2条、2.4条的规定，通过修改竞争性磋商文件自行决定是否酌情延长响应文件提交截止时间的期限。如果采购人和采购代理机构延长了响应文件提交截止时间的期限，供应商提交响应文件的截止时间则以延长后的时间为准。</w:t>
      </w:r>
    </w:p>
    <w:p>
      <w:pPr>
        <w:shd w:val="clear"/>
        <w:tabs>
          <w:tab w:val="left" w:pos="360"/>
          <w:tab w:val="left" w:pos="720"/>
          <w:tab w:val="left" w:pos="1185"/>
        </w:tabs>
        <w:spacing w:line="360" w:lineRule="auto"/>
        <w:rPr>
          <w:rFonts w:ascii="宋体" w:hAnsi="宋体" w:cs="宋体"/>
          <w:color w:val="auto"/>
          <w:sz w:val="24"/>
          <w:highlight w:val="none"/>
        </w:rPr>
      </w:pPr>
      <w:r>
        <w:rPr>
          <w:rFonts w:hint="eastAsia" w:ascii="宋体" w:hAnsi="宋体" w:cs="宋体"/>
          <w:bCs/>
          <w:color w:val="auto"/>
          <w:sz w:val="24"/>
          <w:highlight w:val="none"/>
        </w:rPr>
        <w:t>4.2.4 迟交的响应文件</w:t>
      </w:r>
      <w:r>
        <w:rPr>
          <w:rFonts w:hint="eastAsia" w:ascii="宋体" w:hAnsi="宋体" w:cs="宋体"/>
          <w:color w:val="auto"/>
          <w:sz w:val="24"/>
          <w:highlight w:val="none"/>
        </w:rPr>
        <w:t>采购人和采购代理机构将拒绝在规定的时间内未上传、未解密的响应文件。</w:t>
      </w:r>
    </w:p>
    <w:p>
      <w:pPr>
        <w:pStyle w:val="7"/>
        <w:shd w:val="clear"/>
        <w:spacing w:before="0" w:after="0" w:line="360" w:lineRule="auto"/>
        <w:rPr>
          <w:rFonts w:ascii="宋体" w:hAnsi="宋体" w:eastAsia="宋体" w:cs="宋体"/>
          <w:color w:val="auto"/>
          <w:sz w:val="24"/>
          <w:szCs w:val="24"/>
          <w:highlight w:val="none"/>
        </w:rPr>
      </w:pPr>
      <w:bookmarkStart w:id="278" w:name="_Toc15048308"/>
      <w:bookmarkStart w:id="279" w:name="_Toc24275"/>
      <w:bookmarkStart w:id="280" w:name="_Toc18315"/>
      <w:bookmarkStart w:id="281" w:name="_Toc515647777"/>
      <w:bookmarkStart w:id="282" w:name="_Toc17112"/>
      <w:bookmarkStart w:id="283" w:name="_Toc57217254"/>
      <w:bookmarkStart w:id="284" w:name="_Toc520356162"/>
      <w:bookmarkStart w:id="285" w:name="_Toc7684"/>
      <w:bookmarkStart w:id="286" w:name="_Toc18537"/>
      <w:bookmarkStart w:id="287" w:name="_Toc532473469"/>
      <w:r>
        <w:rPr>
          <w:rFonts w:hint="eastAsia" w:ascii="宋体" w:hAnsi="宋体" w:eastAsia="宋体" w:cs="宋体"/>
          <w:color w:val="auto"/>
          <w:sz w:val="24"/>
          <w:szCs w:val="24"/>
          <w:highlight w:val="none"/>
        </w:rPr>
        <w:t>4.3  响应文件的提交、修改与撤回</w:t>
      </w:r>
      <w:bookmarkEnd w:id="278"/>
      <w:bookmarkEnd w:id="279"/>
      <w:bookmarkEnd w:id="280"/>
      <w:bookmarkEnd w:id="281"/>
      <w:bookmarkEnd w:id="282"/>
      <w:bookmarkEnd w:id="283"/>
      <w:bookmarkEnd w:id="284"/>
      <w:bookmarkEnd w:id="285"/>
      <w:bookmarkEnd w:id="286"/>
      <w:bookmarkEnd w:id="287"/>
    </w:p>
    <w:p>
      <w:pPr>
        <w:shd w:val="clear"/>
        <w:tabs>
          <w:tab w:val="left" w:pos="360"/>
          <w:tab w:val="left" w:pos="72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4.3.1 响应文件的提交</w:t>
      </w:r>
    </w:p>
    <w:p>
      <w:pPr>
        <w:shd w:val="clea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4.3.1.1 供应商应在响应文件提交截止时间前上传加密的电子响应文件到河南省公共资源交易中心系统的指定位置。请供应商在上传时认真检查上传的响应文件是否完整、正确。</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4.3.1.2 供应商因交易中心投标系统问题无法上传电子响应文件时，请在工作时间与河南省公共资源交易中心联系。</w:t>
      </w:r>
    </w:p>
    <w:p>
      <w:pPr>
        <w:shd w:val="clear"/>
        <w:tabs>
          <w:tab w:val="left" w:pos="360"/>
          <w:tab w:val="left" w:pos="72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4.3.2 响应文件的修改和撤回</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4.3.2.1 供应商在提交响应文件后，在响应文件提交截止时间之前可以修改或撤回其响应文件。</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4.3.2.2 供应商在提交了最后报价之后至供应商在响应文件中载明的响应文件有效期满期间，供应商不得撤回（撤销）其响应文件，否则应当向采购代理机构及采购人分别支付本项目预算金额（或最高限价）2%的违约赔偿金。</w:t>
      </w:r>
    </w:p>
    <w:p>
      <w:pPr>
        <w:pStyle w:val="5"/>
        <w:shd w:val="clear"/>
        <w:spacing w:before="0" w:after="0" w:line="360" w:lineRule="auto"/>
        <w:rPr>
          <w:rFonts w:ascii="宋体" w:hAnsi="宋体" w:eastAsia="宋体" w:cs="宋体"/>
          <w:color w:val="auto"/>
          <w:sz w:val="24"/>
          <w:szCs w:val="24"/>
          <w:highlight w:val="none"/>
        </w:rPr>
      </w:pPr>
      <w:bookmarkStart w:id="288" w:name="_Toc520356163"/>
      <w:bookmarkStart w:id="289" w:name="_Toc15048309"/>
      <w:bookmarkStart w:id="290" w:name="_Toc216582809"/>
      <w:bookmarkStart w:id="291" w:name="_Toc12436"/>
      <w:bookmarkStart w:id="292" w:name="_Toc28398"/>
      <w:bookmarkStart w:id="293" w:name="_Toc515647778"/>
      <w:bookmarkStart w:id="294" w:name="_Toc13251"/>
      <w:bookmarkStart w:id="295" w:name="_Toc27922"/>
      <w:bookmarkStart w:id="296" w:name="_Toc57217255"/>
      <w:bookmarkStart w:id="297" w:name="_Toc532473470"/>
      <w:bookmarkStart w:id="298" w:name="_Toc7306"/>
      <w:r>
        <w:rPr>
          <w:rFonts w:hint="eastAsia" w:ascii="宋体" w:hAnsi="宋体" w:eastAsia="宋体" w:cs="宋体"/>
          <w:color w:val="auto"/>
          <w:sz w:val="24"/>
          <w:szCs w:val="24"/>
          <w:highlight w:val="none"/>
        </w:rPr>
        <w:t>5、磋商及评审</w:t>
      </w:r>
      <w:bookmarkEnd w:id="288"/>
      <w:bookmarkEnd w:id="289"/>
      <w:bookmarkEnd w:id="290"/>
      <w:bookmarkEnd w:id="291"/>
      <w:bookmarkEnd w:id="292"/>
      <w:bookmarkEnd w:id="293"/>
      <w:bookmarkEnd w:id="294"/>
      <w:bookmarkEnd w:id="295"/>
      <w:bookmarkEnd w:id="296"/>
      <w:bookmarkEnd w:id="297"/>
      <w:bookmarkEnd w:id="298"/>
    </w:p>
    <w:p>
      <w:pPr>
        <w:pStyle w:val="7"/>
        <w:shd w:val="clear"/>
        <w:autoSpaceDE w:val="0"/>
        <w:autoSpaceDN w:val="0"/>
        <w:adjustRightInd w:val="0"/>
        <w:spacing w:before="0" w:after="0" w:line="360" w:lineRule="auto"/>
        <w:jc w:val="left"/>
        <w:rPr>
          <w:rFonts w:ascii="宋体" w:hAnsi="宋体" w:eastAsia="宋体" w:cs="宋体"/>
          <w:color w:val="auto"/>
          <w:sz w:val="24"/>
          <w:szCs w:val="24"/>
          <w:highlight w:val="none"/>
        </w:rPr>
      </w:pPr>
      <w:bookmarkStart w:id="299" w:name="_Toc532473471"/>
      <w:bookmarkStart w:id="300" w:name="_Toc515647779"/>
      <w:bookmarkStart w:id="301" w:name="_Toc520356164"/>
      <w:bookmarkStart w:id="302" w:name="_Toc7186"/>
      <w:bookmarkStart w:id="303" w:name="_Toc25345"/>
      <w:bookmarkStart w:id="304" w:name="_Toc15048310"/>
      <w:bookmarkStart w:id="305" w:name="_Toc10235"/>
      <w:bookmarkStart w:id="306" w:name="_Toc17711"/>
      <w:bookmarkStart w:id="307" w:name="_Toc57217256"/>
      <w:bookmarkStart w:id="308" w:name="_Toc3952"/>
      <w:r>
        <w:rPr>
          <w:rFonts w:hint="eastAsia" w:ascii="宋体" w:hAnsi="宋体" w:eastAsia="宋体" w:cs="宋体"/>
          <w:color w:val="auto"/>
          <w:sz w:val="24"/>
          <w:szCs w:val="24"/>
          <w:highlight w:val="none"/>
        </w:rPr>
        <w:t>5.1 磋商</w:t>
      </w:r>
      <w:bookmarkEnd w:id="299"/>
      <w:bookmarkEnd w:id="300"/>
      <w:bookmarkEnd w:id="301"/>
      <w:bookmarkEnd w:id="302"/>
      <w:bookmarkEnd w:id="303"/>
      <w:bookmarkEnd w:id="304"/>
      <w:r>
        <w:rPr>
          <w:rFonts w:hint="eastAsia" w:ascii="宋体" w:hAnsi="宋体" w:eastAsia="宋体" w:cs="宋体"/>
          <w:color w:val="auto"/>
          <w:sz w:val="24"/>
          <w:szCs w:val="24"/>
          <w:highlight w:val="none"/>
        </w:rPr>
        <w:t>会议</w:t>
      </w:r>
      <w:bookmarkEnd w:id="305"/>
      <w:bookmarkEnd w:id="306"/>
      <w:bookmarkEnd w:id="307"/>
      <w:bookmarkEnd w:id="308"/>
    </w:p>
    <w:p>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5.1.1 采购人和采购代理机构将在“</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 中规定的时间和地点组织磋商会议。</w:t>
      </w:r>
      <w:r>
        <w:rPr>
          <w:rFonts w:hint="eastAsia" w:ascii="宋体" w:hAnsi="宋体" w:cs="宋体"/>
          <w:b/>
          <w:color w:val="auto"/>
          <w:sz w:val="24"/>
          <w:highlight w:val="none"/>
        </w:rPr>
        <w:t>供应商无需到河南省交易中心现场参加磋商会议， 磋商会议采用“远程不见面”方式,供应商须在磋商文件规定的响应文件提交截止时间前,登录远程开标大厅,在线准时参加磋商会议活动，并在规定的时间内对响应文件进行解密、答疑澄清（如需要）、</w:t>
      </w:r>
      <w:bookmarkStart w:id="309" w:name="_Hlk57213779"/>
      <w:r>
        <w:rPr>
          <w:rFonts w:hint="eastAsia" w:ascii="宋体" w:hAnsi="宋体" w:cs="宋体"/>
          <w:b/>
          <w:color w:val="auto"/>
          <w:sz w:val="24"/>
          <w:highlight w:val="none"/>
        </w:rPr>
        <w:t>最后报价</w:t>
      </w:r>
      <w:bookmarkEnd w:id="309"/>
      <w:r>
        <w:rPr>
          <w:rFonts w:hint="eastAsia" w:ascii="宋体" w:hAnsi="宋体" w:cs="宋体"/>
          <w:b/>
          <w:color w:val="auto"/>
          <w:sz w:val="24"/>
          <w:highlight w:val="none"/>
        </w:rPr>
        <w:t>等。具体事宜请查阅河南省公共资源交易中心网站“办事指南”专区的《河南省公共资源交易平台不见面服务系统使用指南》。</w:t>
      </w:r>
    </w:p>
    <w:p>
      <w:pPr>
        <w:shd w:val="clear"/>
        <w:tabs>
          <w:tab w:val="left" w:pos="360"/>
          <w:tab w:val="left" w:pos="720"/>
        </w:tabs>
        <w:spacing w:line="360" w:lineRule="auto"/>
        <w:rPr>
          <w:rFonts w:ascii="宋体" w:hAnsi="宋体" w:cs="宋体"/>
          <w:color w:val="auto"/>
          <w:sz w:val="24"/>
          <w:highlight w:val="none"/>
        </w:rPr>
      </w:pPr>
      <w:r>
        <w:rPr>
          <w:rFonts w:hint="eastAsia" w:ascii="宋体" w:hAnsi="宋体" w:cs="宋体"/>
          <w:color w:val="auto"/>
          <w:sz w:val="24"/>
          <w:highlight w:val="none"/>
        </w:rPr>
        <w:t>5.1.2 供应商须在</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规定的时间内完成响应文件的解密。由于供应商的自身原因，在规定时间内解密不成功的，其响应文件将被拒绝。</w:t>
      </w:r>
    </w:p>
    <w:p>
      <w:pPr>
        <w:shd w:val="clear"/>
        <w:tabs>
          <w:tab w:val="left" w:pos="360"/>
          <w:tab w:val="left" w:pos="720"/>
        </w:tabs>
        <w:spacing w:line="360" w:lineRule="auto"/>
        <w:rPr>
          <w:rFonts w:ascii="宋体" w:hAnsi="宋体" w:cs="宋体"/>
          <w:color w:val="auto"/>
          <w:sz w:val="24"/>
          <w:highlight w:val="none"/>
        </w:rPr>
      </w:pPr>
      <w:r>
        <w:rPr>
          <w:rFonts w:hint="eastAsia" w:ascii="宋体" w:hAnsi="宋体" w:cs="宋体"/>
          <w:color w:val="auto"/>
          <w:sz w:val="24"/>
          <w:highlight w:val="none"/>
        </w:rPr>
        <w:t>5.1.3 供应商在“河南省公共资源交易中心（http://www.hnggzy.net/）”网站下载竞争性磋商文件成功后，如未在竞争性磋商文件规定的“响应文件提交截止时间”前成功上传或误传加密的响应文件，而导致的解密失败,其响应文件将被拒绝。</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5.1.4 供应商代表对磋商会议过程有疑义的，应当在磋商开始前通过交易系统提出询问。</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5.1.5 在供应商须知前附表规定的时间内完成响应文件解密的供应商不足3家的，将不再进行磋商。主持人按下列程序进行开标：</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（1）宣布投标时间截止；</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（2）公布在投标截止时间前递交响应文件的供应商名称；</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（3）投标单位进行文件解密，因加密电子投标文件未能成功上传或误传等自身原因而导致的解密失败，投标将被拒绝（具体操作流程详见具体操纵流程详见河南省公共资源交易中心首页中办事指南流程）；</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（4）批量导入；</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（5）唱标；</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（6）质疑及回复；</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（7）开标结束；</w:t>
      </w:r>
    </w:p>
    <w:p>
      <w:pPr>
        <w:shd w:val="clear"/>
        <w:tabs>
          <w:tab w:val="left" w:pos="360"/>
          <w:tab w:val="left" w:pos="720"/>
        </w:tabs>
        <w:spacing w:line="360" w:lineRule="auto"/>
        <w:rPr>
          <w:rFonts w:ascii="宋体" w:hAnsi="宋体" w:cs="宋体"/>
          <w:b/>
          <w:color w:val="auto"/>
          <w:sz w:val="24"/>
          <w:highlight w:val="none"/>
        </w:rPr>
      </w:pPr>
      <w:r>
        <w:rPr>
          <w:rFonts w:hint="eastAsia" w:ascii="宋体" w:hAnsi="宋体" w:cs="宋体"/>
          <w:color w:val="auto"/>
          <w:sz w:val="24"/>
          <w:highlight w:val="none"/>
        </w:rPr>
        <w:t>备注：本项目为不见面电子开标，开标记录表显示后，各投标单位对自己的开标记录表进行核对，如有疑问及时系统提出，如未在规定时间内提出质疑视为认同开标结果，开标结束后，不再接受对开标记录的质疑。</w:t>
      </w:r>
    </w:p>
    <w:p>
      <w:pPr>
        <w:pStyle w:val="7"/>
        <w:shd w:val="clear"/>
        <w:spacing w:before="0" w:after="0" w:line="360" w:lineRule="auto"/>
        <w:rPr>
          <w:rFonts w:ascii="宋体" w:hAnsi="宋体" w:eastAsia="宋体" w:cs="宋体"/>
          <w:color w:val="auto"/>
          <w:sz w:val="24"/>
          <w:szCs w:val="24"/>
          <w:highlight w:val="none"/>
        </w:rPr>
      </w:pPr>
      <w:bookmarkStart w:id="310" w:name="_Toc515647780"/>
      <w:bookmarkStart w:id="311" w:name="_Toc21372"/>
      <w:bookmarkStart w:id="312" w:name="_Toc15048311"/>
      <w:bookmarkStart w:id="313" w:name="_Toc19296"/>
      <w:bookmarkStart w:id="314" w:name="_Toc532473472"/>
      <w:bookmarkStart w:id="315" w:name="_Toc15196"/>
      <w:bookmarkStart w:id="316" w:name="_Toc26691"/>
      <w:bookmarkStart w:id="317" w:name="_Toc57217257"/>
      <w:bookmarkStart w:id="318" w:name="_Toc29175"/>
      <w:r>
        <w:rPr>
          <w:rFonts w:hint="eastAsia" w:ascii="宋体" w:hAnsi="宋体" w:eastAsia="宋体" w:cs="宋体"/>
          <w:color w:val="auto"/>
          <w:sz w:val="24"/>
          <w:szCs w:val="24"/>
          <w:highlight w:val="none"/>
        </w:rPr>
        <w:t>5.2 组建</w:t>
      </w:r>
      <w:bookmarkEnd w:id="310"/>
      <w:bookmarkEnd w:id="311"/>
      <w:bookmarkEnd w:id="312"/>
      <w:bookmarkEnd w:id="313"/>
      <w:bookmarkEnd w:id="314"/>
      <w:r>
        <w:rPr>
          <w:rFonts w:hint="eastAsia" w:ascii="宋体" w:hAnsi="宋体" w:eastAsia="宋体" w:cs="宋体"/>
          <w:color w:val="auto"/>
          <w:sz w:val="24"/>
          <w:szCs w:val="24"/>
          <w:highlight w:val="none"/>
        </w:rPr>
        <w:t>磋商小组</w:t>
      </w:r>
      <w:bookmarkEnd w:id="315"/>
      <w:bookmarkEnd w:id="316"/>
      <w:bookmarkEnd w:id="317"/>
      <w:bookmarkEnd w:id="318"/>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5.2.1 采购人与采购代理机构将按照《中华人民共和国政府采购法》、《中华人民共和国政府采购法实施条例》、《政府采购竞争性磋商采购方式管理暂行办法》财库〔2014〕214号文及本项目本级和上级财政部门的有关规定依法组建竞争性磋商小组（以下简称磋商小组），负责本项目的磋商及评审工作。</w:t>
      </w:r>
    </w:p>
    <w:p>
      <w:pPr>
        <w:shd w:val="clear"/>
        <w:tabs>
          <w:tab w:val="left" w:pos="720"/>
        </w:tabs>
        <w:spacing w:line="360" w:lineRule="auto"/>
        <w:rPr>
          <w:rFonts w:ascii="宋体" w:hAnsi="宋体" w:cs="宋体"/>
          <w:color w:val="auto"/>
          <w:sz w:val="24"/>
          <w:highlight w:val="none"/>
        </w:rPr>
      </w:pPr>
      <w:r>
        <w:rPr>
          <w:rFonts w:hint="eastAsia" w:ascii="宋体" w:hAnsi="宋体" w:cs="宋体"/>
          <w:color w:val="auto"/>
          <w:sz w:val="24"/>
          <w:highlight w:val="none"/>
        </w:rPr>
        <w:t>5.2.2磋商小组由采购人代表和评审专家组成，成员人数为三人或以上单数。其中，评审专家不得少于成员总数的三分之二。具体成员人数见</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w:t>
      </w:r>
    </w:p>
    <w:p>
      <w:pPr>
        <w:pStyle w:val="7"/>
        <w:shd w:val="clear"/>
        <w:spacing w:before="0" w:after="0" w:line="360" w:lineRule="auto"/>
        <w:rPr>
          <w:rFonts w:ascii="宋体" w:hAnsi="宋体" w:eastAsia="宋体" w:cs="宋体"/>
          <w:color w:val="auto"/>
          <w:sz w:val="24"/>
          <w:szCs w:val="24"/>
          <w:highlight w:val="none"/>
        </w:rPr>
      </w:pPr>
      <w:bookmarkStart w:id="319" w:name="_Toc27725"/>
      <w:bookmarkStart w:id="320" w:name="_Toc57217258"/>
      <w:bookmarkStart w:id="321" w:name="_Toc31150"/>
      <w:bookmarkStart w:id="322" w:name="_Toc11631"/>
      <w:r>
        <w:rPr>
          <w:rFonts w:hint="eastAsia" w:ascii="宋体" w:hAnsi="宋体" w:eastAsia="宋体" w:cs="宋体"/>
          <w:color w:val="auto"/>
          <w:sz w:val="24"/>
          <w:szCs w:val="24"/>
          <w:highlight w:val="none"/>
        </w:rPr>
        <w:t>5.3资格审查</w:t>
      </w:r>
      <w:bookmarkEnd w:id="319"/>
      <w:bookmarkEnd w:id="320"/>
      <w:bookmarkEnd w:id="321"/>
      <w:bookmarkEnd w:id="322"/>
    </w:p>
    <w:p>
      <w:pPr>
        <w:shd w:val="clea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rPr>
        <w:t>5.3.1 磋商小组依据法律法规和竞争性磋商文件中规定的内容，对供应商的资格（提交的资格证明材料）进行审查。未通过资格审查的供应商不能进入下一阶段评审；通过资格审查的供应商不足3家的</w:t>
      </w:r>
      <w:r>
        <w:rPr>
          <w:rFonts w:hint="eastAsia" w:ascii="宋体" w:hAnsi="宋体" w:cs="宋体"/>
          <w:color w:val="auto"/>
          <w:sz w:val="24"/>
          <w:highlight w:val="none"/>
          <w:shd w:val="clear" w:color="auto" w:fill="FFFFFF"/>
        </w:rPr>
        <w:t>，不得进入下一阶段评审。</w:t>
      </w:r>
    </w:p>
    <w:p>
      <w:pPr>
        <w:shd w:val="clear"/>
        <w:spacing w:line="360" w:lineRule="auto"/>
        <w:ind w:left="-2" w:leftChars="-1"/>
        <w:rPr>
          <w:rFonts w:ascii="宋体" w:hAnsi="宋体" w:cs="宋体"/>
          <w:color w:val="auto"/>
          <w:sz w:val="24"/>
          <w:highlight w:val="none"/>
        </w:rPr>
      </w:pPr>
      <w:r>
        <w:rPr>
          <w:rFonts w:hint="eastAsia" w:ascii="宋体" w:hAnsi="宋体" w:cs="宋体"/>
          <w:color w:val="auto"/>
          <w:sz w:val="24"/>
          <w:highlight w:val="none"/>
        </w:rPr>
        <w:t>5.3.2采购人或采购代理机构将按照</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中规定的时间查询供应商的信用记录。供应商存在不良信用记录的，其响应文件将被认定为</w:t>
      </w:r>
      <w:r>
        <w:rPr>
          <w:rFonts w:hint="eastAsia" w:ascii="宋体" w:hAnsi="宋体" w:cs="宋体"/>
          <w:b/>
          <w:bCs/>
          <w:color w:val="auto"/>
          <w:sz w:val="24"/>
          <w:highlight w:val="none"/>
        </w:rPr>
        <w:t>无效响应文件</w:t>
      </w:r>
      <w:r>
        <w:rPr>
          <w:rFonts w:hint="eastAsia" w:ascii="宋体" w:hAnsi="宋体" w:cs="宋体"/>
          <w:color w:val="auto"/>
          <w:sz w:val="24"/>
          <w:highlight w:val="none"/>
        </w:rPr>
        <w:t>。</w:t>
      </w:r>
    </w:p>
    <w:p>
      <w:pPr>
        <w:shd w:val="clea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shd w:val="clear" w:color="auto" w:fill="FFFFFF"/>
        </w:rPr>
        <w:t xml:space="preserve">5.3.2.1 </w:t>
      </w:r>
      <w:r>
        <w:rPr>
          <w:rFonts w:hint="eastAsia" w:ascii="宋体" w:hAnsi="宋体" w:cs="宋体"/>
          <w:color w:val="auto"/>
          <w:sz w:val="24"/>
          <w:highlight w:val="none"/>
        </w:rPr>
        <w:t>不良信用记录指：供应商在中国政府采购网（www.ccgp.gov.cn）被列入政府采购严重违法失信行为信息记录名单，或在“信用中国”网站（www.creditchina.gov.cn）被列入失信被执行人、重大税收违法失信主体，以及存在《中华人民共和国政府采购法实施条例》第十九条规定的行政处罚记录。</w:t>
      </w:r>
    </w:p>
    <w:p>
      <w:pPr>
        <w:shd w:val="clear"/>
        <w:spacing w:line="360" w:lineRule="auto"/>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以</w:t>
      </w:r>
      <w:r>
        <w:rPr>
          <w:rFonts w:hint="eastAsia" w:ascii="宋体" w:hAnsi="宋体" w:cs="宋体"/>
          <w:color w:val="auto"/>
          <w:sz w:val="24"/>
          <w:highlight w:val="none"/>
          <w:shd w:val="clear" w:color="auto" w:fill="FFFFFF"/>
        </w:rPr>
        <w:t>联合体形式参加政府采购活动的，联合体任何成员存在以上不良信用记录的，联合体响应文件将被认定为</w:t>
      </w:r>
      <w:r>
        <w:rPr>
          <w:rFonts w:hint="eastAsia" w:ascii="宋体" w:hAnsi="宋体" w:cs="宋体"/>
          <w:b/>
          <w:bCs/>
          <w:color w:val="auto"/>
          <w:sz w:val="24"/>
          <w:highlight w:val="none"/>
          <w:shd w:val="clear" w:color="auto" w:fill="FFFFFF"/>
        </w:rPr>
        <w:t>无效响应文件</w:t>
      </w:r>
      <w:r>
        <w:rPr>
          <w:rFonts w:hint="eastAsia" w:ascii="宋体" w:hAnsi="宋体" w:cs="宋体"/>
          <w:color w:val="auto"/>
          <w:sz w:val="24"/>
          <w:highlight w:val="none"/>
          <w:shd w:val="clear" w:color="auto" w:fill="FFFFFF"/>
        </w:rPr>
        <w:t>。</w:t>
      </w:r>
    </w:p>
    <w:p>
      <w:pPr>
        <w:pStyle w:val="14"/>
        <w:shd w:val="clea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5.3.2.2 查询及记录方式：采购人或采购代理机构经办人将查询网页打印并存档备查。供应商不良信用记录以采购人或采购代理机构查询结果为准。供应商自行提供的与网站信息不一致的其他证明材料亦不作为资格审查依据。在磋商文件规定的查询时间之外，网站信息发生的任何变更均不作为资格审查依据。</w:t>
      </w:r>
    </w:p>
    <w:p>
      <w:pPr>
        <w:pStyle w:val="7"/>
        <w:shd w:val="clear"/>
        <w:spacing w:before="0" w:after="0" w:line="360" w:lineRule="auto"/>
        <w:rPr>
          <w:rFonts w:ascii="宋体" w:hAnsi="宋体" w:eastAsia="宋体" w:cs="宋体"/>
          <w:b w:val="0"/>
          <w:bCs/>
          <w:color w:val="auto"/>
          <w:sz w:val="24"/>
          <w:szCs w:val="24"/>
          <w:highlight w:val="none"/>
          <w:bdr w:val="single" w:color="auto" w:sz="4" w:space="0"/>
        </w:rPr>
      </w:pPr>
      <w:bookmarkStart w:id="323" w:name="_Toc612"/>
      <w:bookmarkStart w:id="324" w:name="_Toc15048312"/>
      <w:bookmarkStart w:id="325" w:name="_Toc28479"/>
      <w:bookmarkStart w:id="326" w:name="_Toc23324"/>
      <w:bookmarkStart w:id="327" w:name="_Toc15269"/>
      <w:bookmarkStart w:id="328" w:name="_Toc57217259"/>
      <w:bookmarkStart w:id="329" w:name="_Toc515647781"/>
      <w:bookmarkStart w:id="330" w:name="_Toc19949"/>
      <w:bookmarkStart w:id="331" w:name="_Toc532473473"/>
      <w:r>
        <w:rPr>
          <w:rFonts w:hint="eastAsia" w:ascii="宋体" w:hAnsi="宋体" w:eastAsia="宋体" w:cs="宋体"/>
          <w:color w:val="auto"/>
          <w:sz w:val="24"/>
          <w:szCs w:val="24"/>
          <w:highlight w:val="none"/>
        </w:rPr>
        <w:t>5.4 响应文件符合性审查与澄清</w:t>
      </w:r>
      <w:bookmarkEnd w:id="323"/>
      <w:bookmarkEnd w:id="324"/>
      <w:bookmarkEnd w:id="325"/>
      <w:bookmarkEnd w:id="326"/>
      <w:bookmarkEnd w:id="327"/>
      <w:bookmarkEnd w:id="328"/>
      <w:bookmarkEnd w:id="329"/>
      <w:bookmarkEnd w:id="330"/>
      <w:bookmarkEnd w:id="331"/>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5.4.1</w:t>
      </w:r>
      <w:bookmarkStart w:id="332" w:name="_Hlt522424701"/>
      <w:bookmarkEnd w:id="332"/>
      <w:r>
        <w:rPr>
          <w:rFonts w:hint="eastAsia" w:ascii="宋体" w:hAnsi="宋体" w:cs="宋体"/>
          <w:color w:val="auto"/>
          <w:sz w:val="24"/>
          <w:highlight w:val="none"/>
        </w:rPr>
        <w:t>符合性审查是指依据竞争性磋商文件的规定，从商务和技术角度对响应文件的有效性、完整性和响应程度进行审查，以确定是否对竞争性磋商文件的实质性要求做出响应。供应商应当按照竞争性磋商文件中的相关要求，提交符合性证明材料。未通过符合性审查的供应商不能进入下一阶段评审，其响应文件将被认定为无效响应文件；通过符合性审查的供应商数量不足3家的(特殊情况下不足2家的)，不得作进一步的比较和评价。</w:t>
      </w:r>
    </w:p>
    <w:p>
      <w:pPr>
        <w:shd w:val="clea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特殊情况：</w:t>
      </w:r>
      <w:r>
        <w:rPr>
          <w:rFonts w:hint="eastAsia" w:ascii="宋体" w:hAnsi="宋体" w:cs="宋体"/>
          <w:color w:val="auto"/>
          <w:sz w:val="24"/>
          <w:highlight w:val="none"/>
        </w:rPr>
        <w:t xml:space="preserve"> 采用竞争性磋商采购方式采购“市场竞争不充分的科研项目， 以及需 要扶持的科技成果转化项目”，通过符合性审查的供应商不足2家的，不得进入下一 阶段评审。采用竞争性磋商采购方式采购的政府购买服务项目(含政府和社会资本合 作项目)，在采购过程中符合要求的供应商(社会资本)只有2家的，竞争性磋商采购活动可以继续进行。采购过程中符合要求的供应商(社会资本)只有1家的，采购人(项目实施机构) 或者采购代理机构应当终止竞争性磋商采购活动， 发布项目终止公告并说明原因，重新开展采购活动。</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5.4.2 响应文件的澄清</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5.4.2.1在磋商期间，磋商小组可以书面要求供应商对其响应文件中含义不明确、同类问题表述不一致或者有明显文字和计算错误的内容等作必要的澄清、说明或更正。供应商的澄清、说明或更正应在磋商小组规定的时间内以书面方式进行，并不得超出响应文件范围或者改变响应文件的实质性内容。供应商拒不进行澄清、说明、更正的，或者不能在规定时间内作出书面澄清、说明、更正的，其响应文件将被作为无效响应文件处理。</w:t>
      </w:r>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要求供应商澄清、说明或者更正响应文件将以书面形式作出，并在交易系统中向供应商发出，供应商在收到该要求后，应在磋商小组规定时间内在交易系统中做出相应的回复，如果磋商小组在规定时间内没有收到供应商的回复则视为该供应商没有回复。</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5.4.2.2 供应商应当在竞争性磋商文件中确定的响应文件递交截止时间前,登录远程开标大厅,在线准时参加磋商活动并根据需要进行文件答疑澄清等。</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5.4.2.3供应商的澄清、说明或者更正应当加盖单位的电子签章及法定代表人（或单位负责人）的电子签章。供应商为自然人的，应当由本人签字并附身份证明。</w:t>
      </w:r>
    </w:p>
    <w:p>
      <w:pPr>
        <w:shd w:val="clear"/>
        <w:tabs>
          <w:tab w:val="left" w:pos="360"/>
          <w:tab w:val="left" w:pos="720"/>
        </w:tabs>
        <w:spacing w:line="348" w:lineRule="auto"/>
        <w:rPr>
          <w:rFonts w:ascii="宋体" w:hAnsi="宋体" w:cs="宋体"/>
          <w:color w:val="auto"/>
          <w:sz w:val="24"/>
          <w:highlight w:val="none"/>
        </w:rPr>
      </w:pPr>
      <w:r>
        <w:rPr>
          <w:rFonts w:hint="eastAsia" w:ascii="宋体" w:hAnsi="宋体" w:cs="宋体"/>
          <w:color w:val="auto"/>
          <w:sz w:val="24"/>
          <w:highlight w:val="none"/>
        </w:rPr>
        <w:t>5.4.2.4 响应文件的澄清、说明或者更正不得对响应文件的内容进行实质性修改。</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5.4.2.5 供应商的澄清、说明或更正将作为响应文件的一部分并取代响应文件中被澄清的部分。</w:t>
      </w:r>
    </w:p>
    <w:p>
      <w:pPr>
        <w:pStyle w:val="7"/>
        <w:shd w:val="clear"/>
        <w:spacing w:before="0" w:after="0" w:line="348" w:lineRule="auto"/>
        <w:rPr>
          <w:rFonts w:ascii="宋体" w:hAnsi="宋体" w:eastAsia="宋体" w:cs="宋体"/>
          <w:color w:val="auto"/>
          <w:sz w:val="24"/>
          <w:szCs w:val="24"/>
          <w:highlight w:val="none"/>
        </w:rPr>
      </w:pPr>
      <w:bookmarkStart w:id="333" w:name="_Toc297"/>
      <w:bookmarkStart w:id="334" w:name="_Toc30062"/>
      <w:bookmarkStart w:id="335" w:name="_Toc57217260"/>
      <w:bookmarkStart w:id="336" w:name="_Toc18189"/>
      <w:r>
        <w:rPr>
          <w:rFonts w:hint="eastAsia" w:ascii="宋体" w:hAnsi="宋体" w:eastAsia="宋体" w:cs="宋体"/>
          <w:color w:val="auto"/>
          <w:sz w:val="24"/>
          <w:szCs w:val="24"/>
          <w:highlight w:val="none"/>
        </w:rPr>
        <w:t>5.5磋商</w:t>
      </w:r>
      <w:bookmarkEnd w:id="333"/>
      <w:bookmarkEnd w:id="334"/>
      <w:bookmarkEnd w:id="335"/>
      <w:bookmarkEnd w:id="336"/>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5.5.1若有必要，磋商小组所有成员应当集中与单一供应商分别进行磋商。磋商小组将根据竞争性磋商文件规定的程序、评定成交的标准等事项与实质性响应竞争性磋商文件要求的供应商分别进行磋商。在磋商中，磋商的任何一方不得透露与磋商有关的其他供应商的技术资料、价格和其他信息。</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5.5.2在磋商过程中，磋商小组可以根据竞争性磋商文件和磋商情况，经采购人代表确认后变动采购需求中的技术、服务要求以及合同草案条款等实质性内容，但不得变动磋商文件中的其他内容。</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5.5.3对竞争性磋商文件作出实质性变动是竞争性磋商文件的有效组成部分，磋商小组将及时以书面形式同时通知所有参加磋商的供应商。</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5.5.4如果竞争性磋商文件作出实质性变动，供应商应当按照竞争性磋商文件的变动情况和磋商小组的要求重新提交响应文件，并按要求加盖电子签章，供应商为自然人的，应当由本人签字并附身份证明。</w:t>
      </w:r>
    </w:p>
    <w:p>
      <w:pPr>
        <w:pStyle w:val="7"/>
        <w:shd w:val="clear"/>
        <w:spacing w:before="0" w:after="0" w:line="348" w:lineRule="auto"/>
        <w:rPr>
          <w:rFonts w:ascii="宋体" w:hAnsi="宋体" w:eastAsia="宋体" w:cs="宋体"/>
          <w:color w:val="auto"/>
          <w:sz w:val="24"/>
          <w:szCs w:val="24"/>
          <w:highlight w:val="none"/>
        </w:rPr>
      </w:pPr>
      <w:bookmarkStart w:id="337" w:name="_Toc9708"/>
      <w:bookmarkStart w:id="338" w:name="_Toc57217261"/>
      <w:bookmarkStart w:id="339" w:name="_Toc23460"/>
      <w:bookmarkStart w:id="340" w:name="_Toc21447"/>
      <w:r>
        <w:rPr>
          <w:rFonts w:hint="eastAsia" w:ascii="宋体" w:hAnsi="宋体" w:eastAsia="宋体" w:cs="宋体"/>
          <w:color w:val="auto"/>
          <w:sz w:val="24"/>
          <w:szCs w:val="24"/>
          <w:highlight w:val="none"/>
        </w:rPr>
        <w:t>5.6最后报价</w:t>
      </w:r>
      <w:bookmarkEnd w:id="337"/>
      <w:bookmarkEnd w:id="338"/>
      <w:bookmarkEnd w:id="339"/>
      <w:bookmarkEnd w:id="340"/>
    </w:p>
    <w:p>
      <w:pPr>
        <w:shd w:val="clear"/>
        <w:spacing w:line="348" w:lineRule="auto"/>
        <w:rPr>
          <w:rFonts w:ascii="宋体" w:hAnsi="宋体" w:cs="宋体"/>
          <w:b/>
          <w:bCs/>
          <w:color w:val="auto"/>
          <w:sz w:val="24"/>
          <w:highlight w:val="none"/>
        </w:rPr>
      </w:pPr>
      <w:r>
        <w:rPr>
          <w:rFonts w:hint="eastAsia" w:ascii="宋体" w:hAnsi="宋体" w:cs="宋体"/>
          <w:color w:val="auto"/>
          <w:sz w:val="24"/>
          <w:highlight w:val="none"/>
        </w:rPr>
        <w:t>5.6.1</w:t>
      </w:r>
      <w:r>
        <w:rPr>
          <w:rFonts w:hint="eastAsia" w:ascii="宋体" w:hAnsi="宋体" w:cs="宋体"/>
          <w:b/>
          <w:bCs/>
          <w:color w:val="auto"/>
          <w:sz w:val="24"/>
          <w:highlight w:val="none"/>
        </w:rPr>
        <w:t>竞争性磋商文件能够详细列明采购标的的技术、服务要求的，磋商结束后，磋商小组将要求所有实质性响应的供应商在规定时间内提交最后报价，供应商在接到磋商小组的通知后，未在规定的时间内提交最后报价的，视为该供应商退出磋商。磋商小组将不再评审该供应商递交的响应文件。</w:t>
      </w:r>
    </w:p>
    <w:p>
      <w:pPr>
        <w:shd w:val="clear"/>
        <w:spacing w:line="348"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备注：本次采购项目采用远程不见面开标方式，请各供应商在磋商文件确定的投标截止时间前，登录远程开标大厅，在规定时间内提交二次报价（最终报价）。未在规定时间内提交二次报价（最终报价）的投标报价无效，其投标将被拒绝。具体步骤请查阅河南省公共资源交易中心《不见面服务操作手册远程开标（供应商）。</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　　竞争性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提交最后报价的供应商不得少于3家，本须知第5.6.2条规定的情形除外。</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5.6.2 采用竞争性磋商方式开展采购的“市场竞争不充分的科研项目，以及需要扶持的科技成果转化项目”，提交最后报价的供应商可以为2家。</w:t>
      </w:r>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5.6.3最后报价是供应商响应文件的有效组成部分，且以最后报价为准。大写金额和小写金额不一致的，以大写金额为准；报价有算术错误的，其风险由供应商承担。</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5.6.4</w:t>
      </w:r>
      <w:r>
        <w:rPr>
          <w:rFonts w:hint="eastAsia" w:ascii="宋体" w:hAnsi="宋体" w:cs="宋体"/>
          <w:color w:val="auto"/>
          <w:kern w:val="0"/>
          <w:sz w:val="24"/>
          <w:highlight w:val="none"/>
        </w:rPr>
        <w:t>磋商小组</w:t>
      </w:r>
      <w:r>
        <w:rPr>
          <w:rFonts w:hint="eastAsia" w:ascii="宋体" w:hAnsi="宋体" w:cs="宋体"/>
          <w:color w:val="auto"/>
          <w:sz w:val="24"/>
          <w:highlight w:val="none"/>
        </w:rPr>
        <w:t>认为某供应商的报价明显低于其他通过符合性审查供应商的报价，有可能影响产品质量或者不能诚信履约的，磋商小组将通过交易系统向该供应商发出通知，要求该供应商通过交易系统（</w:t>
      </w:r>
      <w:r>
        <w:rPr>
          <w:rFonts w:hint="eastAsia" w:ascii="宋体" w:hAnsi="宋体" w:cs="宋体"/>
          <w:color w:val="auto"/>
          <w:kern w:val="0"/>
          <w:sz w:val="24"/>
          <w:highlight w:val="none"/>
        </w:rPr>
        <w:t>接到通知后</w:t>
      </w:r>
      <w:r>
        <w:rPr>
          <w:rFonts w:hint="eastAsia" w:ascii="宋体" w:hAnsi="宋体" w:cs="宋体"/>
          <w:color w:val="auto"/>
          <w:kern w:val="0"/>
          <w:sz w:val="24"/>
          <w:highlight w:val="none"/>
          <w:u w:val="single"/>
        </w:rPr>
        <w:t>30</w:t>
      </w:r>
      <w:r>
        <w:rPr>
          <w:rFonts w:hint="eastAsia" w:ascii="宋体" w:hAnsi="宋体" w:cs="宋体"/>
          <w:color w:val="auto"/>
          <w:kern w:val="0"/>
          <w:sz w:val="24"/>
          <w:highlight w:val="none"/>
        </w:rPr>
        <w:t>分钟</w:t>
      </w:r>
      <w:r>
        <w:rPr>
          <w:rFonts w:hint="eastAsia" w:ascii="宋体" w:hAnsi="宋体" w:cs="宋体"/>
          <w:color w:val="auto"/>
          <w:sz w:val="24"/>
          <w:highlight w:val="none"/>
        </w:rPr>
        <w:t>内）提供书面说明，并提交相关证明材料，</w:t>
      </w:r>
      <w:r>
        <w:rPr>
          <w:rFonts w:hint="eastAsia" w:ascii="宋体" w:hAnsi="宋体" w:cs="宋体"/>
          <w:color w:val="auto"/>
          <w:kern w:val="0"/>
          <w:sz w:val="24"/>
          <w:highlight w:val="none"/>
        </w:rPr>
        <w:t>供应商不能证明其报价合理性的，磋商小组将</w:t>
      </w:r>
      <w:r>
        <w:rPr>
          <w:rFonts w:hint="eastAsia" w:ascii="宋体" w:hAnsi="宋体" w:cs="宋体"/>
          <w:color w:val="auto"/>
          <w:sz w:val="24"/>
          <w:highlight w:val="none"/>
        </w:rPr>
        <w:t>其响应文件作为</w:t>
      </w:r>
      <w:r>
        <w:rPr>
          <w:rFonts w:hint="eastAsia" w:ascii="宋体" w:hAnsi="宋体" w:cs="宋体"/>
          <w:b/>
          <w:bCs/>
          <w:color w:val="auto"/>
          <w:sz w:val="24"/>
          <w:highlight w:val="none"/>
        </w:rPr>
        <w:t>无效响应文件处理</w:t>
      </w:r>
      <w:r>
        <w:rPr>
          <w:rFonts w:hint="eastAsia" w:ascii="宋体" w:hAnsi="宋体" w:cs="宋体"/>
          <w:color w:val="auto"/>
          <w:sz w:val="24"/>
          <w:highlight w:val="none"/>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供应商的书面说明材料包含货物（包括伴随的服务）/工程（伴随的服务）本身成本、人工费用、运输、税费等，以及最后报价不会影响产品质量或诚信履约能力的说明等。</w:t>
      </w:r>
    </w:p>
    <w:p>
      <w:pPr>
        <w:shd w:val="clear"/>
        <w:adjustRightInd w:val="0"/>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供应商的书面说明材料应当加盖供应商单位及法定代表人（或负责人）的电子签章，否则无效。</w:t>
      </w:r>
    </w:p>
    <w:p>
      <w:pPr>
        <w:shd w:val="clear"/>
        <w:adjustRightInd w:val="0"/>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提供书面说明后，磋商小组应当结合采购项目采购需求、专业实际情况、供应商财务状况、与其他供应商比较情况等就供应商的书面说明进行审查评价。供应商如有下列情况的，磋商小组将其响应文件作为无效处理：</w:t>
      </w:r>
    </w:p>
    <w:p>
      <w:pPr>
        <w:shd w:val="clear"/>
        <w:adjustRightInd w:val="0"/>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（1）拒绝或者变相拒绝提供有效书面说明；</w:t>
      </w:r>
    </w:p>
    <w:p>
      <w:pPr>
        <w:shd w:val="clear"/>
        <w:adjustRightInd w:val="0"/>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（2）书面说明不能证明其报价合理性的；</w:t>
      </w:r>
    </w:p>
    <w:p>
      <w:pPr>
        <w:shd w:val="clear"/>
        <w:adjustRightInd w:val="0"/>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（3）书面说明或相关证明材料不被磋商小组认可的；</w:t>
      </w:r>
    </w:p>
    <w:p>
      <w:pPr>
        <w:pStyle w:val="21"/>
        <w:shd w:val="clear"/>
        <w:spacing w:after="0" w:line="34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（4）未在规定时间内提供书面说明或相关证明材料的。</w:t>
      </w:r>
    </w:p>
    <w:p>
      <w:pPr>
        <w:pStyle w:val="7"/>
        <w:shd w:val="clear"/>
        <w:spacing w:before="0" w:after="0" w:line="348" w:lineRule="auto"/>
        <w:rPr>
          <w:rFonts w:ascii="宋体" w:hAnsi="宋体" w:eastAsia="宋体" w:cs="宋体"/>
          <w:b w:val="0"/>
          <w:bCs/>
          <w:color w:val="auto"/>
          <w:sz w:val="24"/>
          <w:szCs w:val="24"/>
          <w:highlight w:val="none"/>
          <w:bdr w:val="single" w:color="auto" w:sz="4" w:space="0"/>
        </w:rPr>
      </w:pPr>
      <w:bookmarkStart w:id="341" w:name="_Toc532473475"/>
      <w:bookmarkStart w:id="342" w:name="_Toc11925"/>
      <w:bookmarkStart w:id="343" w:name="_Toc515647783"/>
      <w:bookmarkStart w:id="344" w:name="_Toc6092"/>
      <w:bookmarkStart w:id="345" w:name="_Toc57217262"/>
      <w:bookmarkStart w:id="346" w:name="_Toc30993"/>
      <w:bookmarkStart w:id="347" w:name="_Toc4950"/>
      <w:bookmarkStart w:id="348" w:name="_Toc13396"/>
      <w:bookmarkStart w:id="349" w:name="_Toc15048314"/>
      <w:r>
        <w:rPr>
          <w:rFonts w:hint="eastAsia" w:ascii="宋体" w:hAnsi="宋体" w:eastAsia="宋体" w:cs="宋体"/>
          <w:color w:val="auto"/>
          <w:sz w:val="24"/>
          <w:szCs w:val="24"/>
          <w:highlight w:val="none"/>
        </w:rPr>
        <w:t>5.7 无效响应文件的规定</w:t>
      </w:r>
      <w:bookmarkEnd w:id="341"/>
      <w:bookmarkEnd w:id="342"/>
      <w:bookmarkEnd w:id="343"/>
      <w:bookmarkEnd w:id="344"/>
      <w:bookmarkEnd w:id="345"/>
      <w:bookmarkEnd w:id="346"/>
      <w:bookmarkEnd w:id="347"/>
      <w:bookmarkEnd w:id="348"/>
      <w:bookmarkEnd w:id="349"/>
    </w:p>
    <w:p>
      <w:pPr>
        <w:shd w:val="clear"/>
        <w:spacing w:line="348" w:lineRule="auto"/>
        <w:rPr>
          <w:rFonts w:ascii="宋体" w:hAnsi="宋体" w:cs="宋体"/>
          <w:b/>
          <w:color w:val="auto"/>
          <w:sz w:val="24"/>
          <w:highlight w:val="none"/>
        </w:rPr>
      </w:pPr>
      <w:r>
        <w:rPr>
          <w:rFonts w:hint="eastAsia" w:ascii="宋体" w:hAnsi="宋体" w:cs="宋体"/>
          <w:color w:val="auto"/>
          <w:sz w:val="24"/>
          <w:highlight w:val="none"/>
        </w:rPr>
        <w:t>5.7.1 在评审之前，根据竞争性磋商文件的规定，磋商小组将审查每份响应文件是否实质性响应了竞争性磋商文件的要求。供应商不得通过修正或撤销不符合要求的偏离，从而使其响应文件成为实质上响应竞争性磋商文件。</w:t>
      </w:r>
      <w:r>
        <w:rPr>
          <w:rFonts w:hint="eastAsia" w:ascii="宋体" w:hAnsi="宋体" w:cs="宋体"/>
          <w:b/>
          <w:color w:val="auto"/>
          <w:sz w:val="24"/>
          <w:highlight w:val="none"/>
        </w:rPr>
        <w:t>磋商小组决定响应文件是否符合要求是否实质性响应只根据竞争性磋商文件要求、响应文件内容及政府采购的相关法律法规、财政主管部门的相关文件。</w:t>
      </w:r>
    </w:p>
    <w:p>
      <w:pPr>
        <w:shd w:val="clear"/>
        <w:spacing w:line="348" w:lineRule="auto"/>
        <w:rPr>
          <w:rFonts w:ascii="宋体" w:hAnsi="宋体" w:cs="宋体"/>
          <w:b/>
          <w:color w:val="auto"/>
          <w:sz w:val="24"/>
          <w:highlight w:val="none"/>
        </w:rPr>
      </w:pPr>
      <w:r>
        <w:rPr>
          <w:rFonts w:hint="eastAsia" w:ascii="宋体" w:hAnsi="宋体" w:cs="宋体"/>
          <w:color w:val="auto"/>
          <w:sz w:val="24"/>
          <w:highlight w:val="none"/>
        </w:rPr>
        <w:t>5.7.2</w:t>
      </w:r>
      <w:r>
        <w:rPr>
          <w:rFonts w:hint="eastAsia" w:ascii="宋体" w:hAnsi="宋体" w:cs="宋体"/>
          <w:b/>
          <w:color w:val="auto"/>
          <w:sz w:val="24"/>
          <w:highlight w:val="none"/>
        </w:rPr>
        <w:t>如果响应文件没有对竞争性磋商文件的实质性要求进行响应，将作为无效响应处理，供应商不得再对响应文件进行任何修正从而使其响应成为实质上响应。</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5.7.3如发现下列情况之一的，其响应文件将被认定为无效响应文件：</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5.7.3.1 供应商未按磋商文件要求签字或加盖电子签章的；</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5.7.3.2 供应商的报价超过了竞争性磋商文件中规定的预算金额或者最高限价的；</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5.7.3.3 不具备竞争性磋商文件中规定的资格要求的；</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5.7.3.4 不同供应商递交的响应文件制作机器码一致的；</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5.7.3.5 未满足竞争性磋商文件中商务和技术条款的实质性要求；</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5.7.3.6 属于供应商之间串通，或者依法被视为供应商之间串通；</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5.7.3.7 磋商小组认为供应商的报价明显低于其他符合要求供应商的报价，有可能影响履约的，且供应商未按照磋商小组要求提供证明其报价合理性的相关材料；</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5.7.3.8 响应文件含有采购人不能接受的附加条件的；</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5.7.3.9 属于法律、法规和竞争性磋商文件中规定的其他无效响应情形的。</w:t>
      </w:r>
    </w:p>
    <w:p>
      <w:pPr>
        <w:shd w:val="clear"/>
        <w:spacing w:line="348" w:lineRule="auto"/>
        <w:outlineLvl w:val="3"/>
        <w:rPr>
          <w:rFonts w:ascii="宋体" w:hAnsi="宋体" w:cs="宋体"/>
          <w:bCs/>
          <w:color w:val="auto"/>
          <w:sz w:val="24"/>
          <w:highlight w:val="none"/>
        </w:rPr>
      </w:pPr>
      <w:bookmarkStart w:id="350" w:name="_Toc21854"/>
      <w:bookmarkStart w:id="351" w:name="_Toc6737"/>
      <w:bookmarkStart w:id="352" w:name="_Toc12151"/>
      <w:bookmarkStart w:id="353" w:name="_Toc57217263"/>
      <w:bookmarkStart w:id="354" w:name="_Toc532473476"/>
      <w:bookmarkStart w:id="355" w:name="_Toc22941"/>
      <w:bookmarkStart w:id="356" w:name="_Toc15048315"/>
      <w:bookmarkStart w:id="357" w:name="_Toc515647784"/>
      <w:bookmarkStart w:id="358" w:name="_Toc13652"/>
      <w:r>
        <w:rPr>
          <w:rFonts w:hint="eastAsia" w:ascii="宋体" w:hAnsi="宋体" w:cs="宋体"/>
          <w:b/>
          <w:bCs/>
          <w:color w:val="auto"/>
          <w:sz w:val="24"/>
          <w:highlight w:val="none"/>
        </w:rPr>
        <w:t>5.8</w:t>
      </w:r>
      <w:r>
        <w:rPr>
          <w:rFonts w:hint="eastAsia" w:ascii="宋体" w:hAnsi="宋体" w:cs="宋体"/>
          <w:color w:val="auto"/>
          <w:sz w:val="24"/>
          <w:highlight w:val="none"/>
        </w:rPr>
        <w:t xml:space="preserve"> </w:t>
      </w:r>
      <w:r>
        <w:rPr>
          <w:rFonts w:hint="eastAsia" w:ascii="宋体" w:hAnsi="宋体" w:cs="宋体"/>
          <w:b/>
          <w:bCs/>
          <w:color w:val="auto"/>
          <w:sz w:val="24"/>
          <w:highlight w:val="none"/>
        </w:rPr>
        <w:t>依据《河南省财政厅关于防范投标人串通投标促进政府采购公平竞争的通知》</w:t>
      </w:r>
      <w:r>
        <w:rPr>
          <w:rFonts w:hint="eastAsia" w:ascii="宋体" w:hAnsi="宋体" w:cs="宋体"/>
          <w:color w:val="auto"/>
          <w:sz w:val="24"/>
          <w:highlight w:val="none"/>
        </w:rPr>
        <w:t>{豫</w:t>
      </w:r>
      <w:r>
        <w:rPr>
          <w:rFonts w:hint="eastAsia" w:ascii="宋体" w:hAnsi="宋体" w:cs="宋体"/>
          <w:bCs/>
          <w:color w:val="auto"/>
          <w:sz w:val="24"/>
          <w:highlight w:val="none"/>
        </w:rPr>
        <w:t>财购﹝2021﹞6号}文件中的相关规定，参与同一个标段（包）的投标人存在下列情形之一的，其投标（响应）文件无效：</w:t>
      </w:r>
      <w:bookmarkEnd w:id="350"/>
      <w:bookmarkEnd w:id="351"/>
      <w:bookmarkEnd w:id="352"/>
    </w:p>
    <w:p>
      <w:pPr>
        <w:shd w:val="clear"/>
        <w:spacing w:line="348"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（1）不同投标人的电子投标（响应）文件上传计算机的网卡MAC地址、CPU序列号和硬盘序列号等硬件信息相同的；</w:t>
      </w:r>
    </w:p>
    <w:p>
      <w:pPr>
        <w:shd w:val="clear"/>
        <w:spacing w:line="348"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（2）不同投标人的投标（响应）文件由同一电子设备编制、打印加密或者上传；</w:t>
      </w:r>
    </w:p>
    <w:p>
      <w:pPr>
        <w:shd w:val="clear"/>
        <w:spacing w:line="348"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（3）不同投标人的投标（响应）文件由同一电子设备打印、复印；</w:t>
      </w:r>
    </w:p>
    <w:p>
      <w:pPr>
        <w:shd w:val="clear"/>
        <w:spacing w:line="348"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（4）不同投标人的投标（响应）文件由同一人送达或者分发，或者不同投标人联系人为同一人或不同联系人的联系电话一致的；</w:t>
      </w:r>
    </w:p>
    <w:p>
      <w:pPr>
        <w:shd w:val="clear"/>
        <w:spacing w:line="348"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（5）不同投标人的投标（响应）文件的内容存在两处以上细节错误一致；</w:t>
      </w:r>
    </w:p>
    <w:p>
      <w:pPr>
        <w:shd w:val="clear"/>
        <w:spacing w:line="348"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（6）不同投标人的法定代表人、委托代理人、项目经理、项目负责人等由同一个单位缴纳社会保险或者领取报酬的；</w:t>
      </w:r>
    </w:p>
    <w:p>
      <w:pPr>
        <w:shd w:val="clear"/>
        <w:spacing w:line="348"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（7）不同投标人投标（响应）文件中法定代表人或者负责人签字出自同一人之手；</w:t>
      </w:r>
    </w:p>
    <w:p>
      <w:pPr>
        <w:shd w:val="clear"/>
        <w:spacing w:line="348" w:lineRule="auto"/>
        <w:ind w:firstLine="240" w:firstLineChars="100"/>
        <w:rPr>
          <w:rFonts w:ascii="宋体" w:hAnsi="宋体" w:cs="宋体"/>
          <w:color w:val="auto"/>
          <w:sz w:val="24"/>
          <w:highlight w:val="none"/>
        </w:rPr>
      </w:pPr>
      <w:r>
        <w:rPr>
          <w:rFonts w:hint="eastAsia" w:ascii="宋体" w:hAnsi="宋体" w:cs="宋体"/>
          <w:bCs/>
          <w:color w:val="auto"/>
          <w:sz w:val="24"/>
          <w:highlight w:val="none"/>
        </w:rPr>
        <w:t>（8）其它涉嫌串通的情形。</w:t>
      </w:r>
    </w:p>
    <w:p>
      <w:pPr>
        <w:pStyle w:val="7"/>
        <w:shd w:val="clear"/>
        <w:spacing w:before="0" w:after="0" w:line="348" w:lineRule="auto"/>
        <w:rPr>
          <w:rFonts w:ascii="宋体" w:hAnsi="宋体" w:eastAsia="宋体" w:cs="宋体"/>
          <w:color w:val="auto"/>
          <w:sz w:val="24"/>
          <w:szCs w:val="24"/>
          <w:highlight w:val="none"/>
        </w:rPr>
      </w:pPr>
      <w:bookmarkStart w:id="359" w:name="_Toc24878"/>
      <w:bookmarkStart w:id="360" w:name="_Toc9572"/>
      <w:bookmarkStart w:id="361" w:name="_Toc24679"/>
      <w:r>
        <w:rPr>
          <w:rFonts w:hint="eastAsia" w:ascii="宋体" w:hAnsi="宋体" w:eastAsia="宋体" w:cs="宋体"/>
          <w:color w:val="auto"/>
          <w:sz w:val="24"/>
          <w:szCs w:val="24"/>
          <w:highlight w:val="none"/>
        </w:rPr>
        <w:t>5.9 响应文件的评审</w:t>
      </w:r>
      <w:bookmarkEnd w:id="353"/>
      <w:bookmarkEnd w:id="354"/>
      <w:bookmarkEnd w:id="355"/>
      <w:bookmarkEnd w:id="356"/>
      <w:bookmarkEnd w:id="357"/>
      <w:bookmarkEnd w:id="358"/>
      <w:bookmarkEnd w:id="359"/>
      <w:bookmarkEnd w:id="360"/>
      <w:bookmarkEnd w:id="361"/>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5.3.1磋商小组依据法律法规和采购文件中规定的内容，对供应商的资格（提交的资格证明材料见供应商须知前附表）进行审查。未通过资格审查的供应商不能进入下一阶段评审；通过资格审查的供应商不足3家的（特殊情况下不足2家的），不得进入下一阶段评审。 特殊情况：采用竞争性磋商采购方式采购“市场竞争不充分的科研项目，以及需 要扶持的科技成果转化项目”，通过资格审查的供应商不足2家的，不得进入下一阶段评审。采用竞争性磋商采购方式采购的政府购买服务项目（含政府和社会资本合作 项目），在采购过程中符合要求的供应商（社会资本）只有2家的，竞争性磋商采购 活动可以继续进行。采购过程中符合要求的供应商（社会资本）只有1家的，采购人 （项目实施机构）或者采购代理机构应当终止竞争性磋商采购活动，发布项目终止公告并说明原因，重新开展采购活动。</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5.9.1磋商小组成员将按照客观、公正、审慎的原则，根据竞争性磋商文件规定的评审程序、评审方法和评审标准进行独立评审。经符合性审查合格的响应文件，磋商小组将对其技术部分和商务部分作进一步的评审。未实质性响应竞争性磋商文件的响应文件按无效响应处理。</w:t>
      </w:r>
    </w:p>
    <w:p>
      <w:pPr>
        <w:pStyle w:val="21"/>
        <w:shd w:val="clear"/>
        <w:spacing w:after="0" w:line="348"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经磋商确定最终采购需求和提交最后报价的供应商后，由磋商小组采用综合评分法对提交最后报价的供应商的响应文件和最后报价进行综合评分。</w:t>
      </w:r>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评审时，磋商小组各成员应当独立对每个有效响应的文件进行评价、打分，然后汇总每个供应商每项评分因素的得分。</w:t>
      </w:r>
      <w:r>
        <w:rPr>
          <w:rFonts w:hint="eastAsia" w:ascii="宋体" w:hAnsi="宋体" w:cs="宋体"/>
          <w:color w:val="auto"/>
          <w:sz w:val="24"/>
          <w:highlight w:val="none"/>
        </w:rPr>
        <w:t>以磋商小组所有成员打分的算数平均值作为供应商的最终得分，按最终得分由高到低的序顺推荐成交候选人。分值计算保留小数点后两位，第三位四舍五入。</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5.9.2 评审严格按照竞争性磋商文件的要求和标准进行，采用综合评分法进行评审。详细评审标准见竞争性磋商文件；</w:t>
      </w:r>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综合评分法，是指响应文件满足磋商文件全部实质性要求且按评审因素的量化指标评审得分最高的供应商为成交候选供应商的评审方法。</w:t>
      </w:r>
    </w:p>
    <w:p>
      <w:pPr>
        <w:pStyle w:val="7"/>
        <w:shd w:val="clear"/>
        <w:spacing w:before="0" w:after="0" w:line="348" w:lineRule="auto"/>
        <w:rPr>
          <w:rFonts w:ascii="宋体" w:hAnsi="宋体" w:eastAsia="宋体" w:cs="宋体"/>
          <w:color w:val="auto"/>
          <w:sz w:val="24"/>
          <w:szCs w:val="24"/>
          <w:highlight w:val="none"/>
        </w:rPr>
      </w:pPr>
      <w:bookmarkStart w:id="362" w:name="_Toc25994"/>
      <w:bookmarkStart w:id="363" w:name="_Toc13800"/>
      <w:bookmarkStart w:id="364" w:name="_Toc57217264"/>
      <w:bookmarkStart w:id="365" w:name="_Toc15459"/>
      <w:r>
        <w:rPr>
          <w:rFonts w:hint="eastAsia" w:ascii="宋体" w:hAnsi="宋体" w:eastAsia="宋体" w:cs="宋体"/>
          <w:color w:val="auto"/>
          <w:sz w:val="24"/>
          <w:szCs w:val="24"/>
          <w:highlight w:val="none"/>
        </w:rPr>
        <w:t>5.10 竞争性磋商文件执行的政府采购政策</w:t>
      </w:r>
      <w:bookmarkEnd w:id="362"/>
      <w:bookmarkEnd w:id="363"/>
      <w:bookmarkEnd w:id="364"/>
      <w:bookmarkEnd w:id="365"/>
    </w:p>
    <w:p>
      <w:pPr>
        <w:shd w:val="clear"/>
        <w:spacing w:line="348" w:lineRule="auto"/>
        <w:ind w:firstLine="480" w:firstLineChars="200"/>
        <w:rPr>
          <w:rFonts w:ascii="宋体" w:hAnsi="宋体" w:cs="宋体"/>
          <w:color w:val="auto"/>
          <w:sz w:val="24"/>
          <w:highlight w:val="none"/>
        </w:rPr>
      </w:pPr>
      <w:bookmarkStart w:id="366" w:name="_Hlk56096905"/>
      <w:r>
        <w:rPr>
          <w:rFonts w:hint="eastAsia" w:ascii="宋体" w:hAnsi="宋体" w:cs="宋体"/>
          <w:color w:val="auto"/>
          <w:sz w:val="24"/>
          <w:highlight w:val="none"/>
        </w:rPr>
        <w:t>本项目需要执行的政府采购政策：详见竞争性磋商文件。</w:t>
      </w:r>
      <w:bookmarkEnd w:id="366"/>
    </w:p>
    <w:p>
      <w:pPr>
        <w:pStyle w:val="7"/>
        <w:shd w:val="clear"/>
        <w:spacing w:before="0" w:after="0" w:line="348" w:lineRule="auto"/>
        <w:rPr>
          <w:rFonts w:ascii="宋体" w:hAnsi="宋体" w:eastAsia="宋体" w:cs="宋体"/>
          <w:color w:val="auto"/>
          <w:sz w:val="24"/>
          <w:szCs w:val="24"/>
          <w:highlight w:val="none"/>
        </w:rPr>
      </w:pPr>
      <w:bookmarkStart w:id="367" w:name="_Toc57217265"/>
      <w:bookmarkStart w:id="368" w:name="_Toc23160"/>
      <w:bookmarkStart w:id="369" w:name="_Toc23655"/>
      <w:bookmarkStart w:id="370" w:name="_Toc16490"/>
      <w:r>
        <w:rPr>
          <w:rFonts w:hint="eastAsia" w:ascii="宋体" w:hAnsi="宋体" w:eastAsia="宋体" w:cs="宋体"/>
          <w:color w:val="auto"/>
          <w:sz w:val="24"/>
          <w:szCs w:val="24"/>
          <w:highlight w:val="none"/>
        </w:rPr>
        <w:t>5.11终止本次磋商</w:t>
      </w:r>
      <w:bookmarkEnd w:id="367"/>
      <w:bookmarkEnd w:id="368"/>
      <w:bookmarkEnd w:id="369"/>
      <w:bookmarkEnd w:id="370"/>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出现下列情形之一的，采购人或采购代理机构应当终止本次竞争性磋商。</w:t>
      </w:r>
    </w:p>
    <w:p>
      <w:pPr>
        <w:shd w:val="clear"/>
        <w:spacing w:line="348"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pPr>
        <w:shd w:val="clear"/>
        <w:spacing w:line="348"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hd w:val="clear"/>
        <w:spacing w:line="348"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（3）在采购过程中符合要求的供应商不足3家的（特殊情况下为不足2的）。</w:t>
      </w:r>
    </w:p>
    <w:p>
      <w:pPr>
        <w:shd w:val="clear"/>
        <w:spacing w:line="348"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（4）因重大变故，采购任务取消的。</w:t>
      </w:r>
    </w:p>
    <w:p>
      <w:pPr>
        <w:pStyle w:val="7"/>
        <w:shd w:val="clear"/>
        <w:spacing w:before="0" w:after="0" w:line="348" w:lineRule="auto"/>
        <w:rPr>
          <w:rFonts w:ascii="宋体" w:hAnsi="宋体" w:eastAsia="宋体" w:cs="宋体"/>
          <w:color w:val="auto"/>
          <w:sz w:val="24"/>
          <w:szCs w:val="24"/>
          <w:highlight w:val="none"/>
        </w:rPr>
      </w:pPr>
      <w:bookmarkStart w:id="371" w:name="_Toc31289"/>
      <w:bookmarkStart w:id="372" w:name="_Toc24972"/>
      <w:bookmarkStart w:id="373" w:name="_Toc515647786"/>
      <w:bookmarkStart w:id="374" w:name="_Toc32658"/>
      <w:bookmarkStart w:id="375" w:name="_Toc29508"/>
      <w:bookmarkStart w:id="376" w:name="_Toc15048317"/>
      <w:bookmarkStart w:id="377" w:name="_Toc532473478"/>
      <w:bookmarkStart w:id="378" w:name="_Toc11981"/>
      <w:bookmarkStart w:id="379" w:name="_Toc57217266"/>
      <w:bookmarkStart w:id="380" w:name="_Toc520356169"/>
      <w:r>
        <w:rPr>
          <w:rFonts w:hint="eastAsia" w:ascii="宋体" w:hAnsi="宋体" w:eastAsia="宋体" w:cs="宋体"/>
          <w:color w:val="auto"/>
          <w:sz w:val="24"/>
          <w:szCs w:val="24"/>
          <w:highlight w:val="none"/>
        </w:rPr>
        <w:t>5.12保密</w:t>
      </w:r>
      <w:bookmarkEnd w:id="371"/>
      <w:bookmarkEnd w:id="372"/>
      <w:bookmarkEnd w:id="373"/>
      <w:r>
        <w:rPr>
          <w:rFonts w:hint="eastAsia" w:ascii="宋体" w:hAnsi="宋体" w:eastAsia="宋体" w:cs="宋体"/>
          <w:color w:val="auto"/>
          <w:sz w:val="24"/>
          <w:szCs w:val="24"/>
          <w:highlight w:val="none"/>
        </w:rPr>
        <w:t>要求</w:t>
      </w:r>
      <w:bookmarkEnd w:id="374"/>
      <w:bookmarkEnd w:id="375"/>
      <w:bookmarkEnd w:id="376"/>
      <w:bookmarkEnd w:id="377"/>
      <w:bookmarkEnd w:id="378"/>
      <w:bookmarkEnd w:id="379"/>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5.12.1评审将在严格保密的情况下进行。</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5.12.2 有关人员应当遵守评审工作纪律，不得泄露评审文件、评审情况和评审过程中获悉的国家秘密、商业秘密。</w:t>
      </w:r>
    </w:p>
    <w:bookmarkEnd w:id="380"/>
    <w:p>
      <w:pPr>
        <w:pStyle w:val="5"/>
        <w:shd w:val="clear"/>
        <w:spacing w:before="0" w:after="0" w:line="348" w:lineRule="auto"/>
        <w:rPr>
          <w:rFonts w:ascii="宋体" w:hAnsi="宋体" w:eastAsia="宋体" w:cs="宋体"/>
          <w:color w:val="auto"/>
          <w:sz w:val="24"/>
          <w:szCs w:val="24"/>
          <w:highlight w:val="none"/>
        </w:rPr>
      </w:pPr>
      <w:bookmarkStart w:id="381" w:name="_Toc12143"/>
      <w:bookmarkStart w:id="382" w:name="_Toc15048318"/>
      <w:bookmarkStart w:id="383" w:name="_Toc216582810"/>
      <w:bookmarkStart w:id="384" w:name="_Toc23904"/>
      <w:bookmarkStart w:id="385" w:name="_Toc515647787"/>
      <w:bookmarkStart w:id="386" w:name="_Toc532473479"/>
      <w:bookmarkStart w:id="387" w:name="_Toc57217267"/>
      <w:bookmarkStart w:id="388" w:name="_Toc13758"/>
      <w:bookmarkStart w:id="389" w:name="_Toc6145"/>
      <w:bookmarkStart w:id="390" w:name="_Toc24135"/>
      <w:r>
        <w:rPr>
          <w:rFonts w:hint="eastAsia" w:ascii="宋体" w:hAnsi="宋体" w:eastAsia="宋体" w:cs="宋体"/>
          <w:color w:val="auto"/>
          <w:sz w:val="24"/>
          <w:szCs w:val="24"/>
          <w:highlight w:val="none"/>
        </w:rPr>
        <w:t>6、确定成交</w:t>
      </w:r>
      <w:bookmarkEnd w:id="381"/>
      <w:bookmarkEnd w:id="382"/>
      <w:bookmarkEnd w:id="383"/>
      <w:bookmarkEnd w:id="384"/>
      <w:bookmarkEnd w:id="385"/>
      <w:bookmarkEnd w:id="386"/>
      <w:r>
        <w:rPr>
          <w:rFonts w:hint="eastAsia" w:ascii="宋体" w:hAnsi="宋体" w:eastAsia="宋体" w:cs="宋体"/>
          <w:color w:val="auto"/>
          <w:sz w:val="24"/>
          <w:szCs w:val="24"/>
          <w:highlight w:val="none"/>
        </w:rPr>
        <w:t>供应商</w:t>
      </w:r>
      <w:bookmarkEnd w:id="387"/>
      <w:bookmarkEnd w:id="388"/>
      <w:bookmarkEnd w:id="389"/>
      <w:bookmarkEnd w:id="390"/>
    </w:p>
    <w:p>
      <w:pPr>
        <w:pStyle w:val="7"/>
        <w:shd w:val="clear"/>
        <w:spacing w:before="0" w:after="0" w:line="348" w:lineRule="auto"/>
        <w:rPr>
          <w:rFonts w:ascii="宋体" w:hAnsi="宋体" w:eastAsia="宋体" w:cs="宋体"/>
          <w:color w:val="auto"/>
          <w:sz w:val="24"/>
          <w:szCs w:val="24"/>
          <w:highlight w:val="none"/>
        </w:rPr>
      </w:pPr>
      <w:bookmarkStart w:id="391" w:name="_Toc20323"/>
      <w:bookmarkStart w:id="392" w:name="_Toc15048319"/>
      <w:bookmarkStart w:id="393" w:name="_Ref467307010"/>
      <w:bookmarkStart w:id="394" w:name="_Toc23617"/>
      <w:bookmarkStart w:id="395" w:name="_Toc5111"/>
      <w:bookmarkStart w:id="396" w:name="_Toc532473480"/>
      <w:bookmarkStart w:id="397" w:name="_Toc57217268"/>
      <w:bookmarkStart w:id="398" w:name="_Toc23762"/>
      <w:bookmarkStart w:id="399" w:name="_Toc25206"/>
      <w:bookmarkStart w:id="400" w:name="_Toc515647788"/>
      <w:bookmarkStart w:id="401" w:name="_Toc520356170"/>
      <w:r>
        <w:rPr>
          <w:rFonts w:hint="eastAsia" w:ascii="宋体" w:hAnsi="宋体" w:eastAsia="宋体" w:cs="宋体"/>
          <w:color w:val="auto"/>
          <w:sz w:val="24"/>
          <w:szCs w:val="24"/>
          <w:highlight w:val="none"/>
        </w:rPr>
        <w:t>6.1 成交候选供应商的确定原则及标准</w:t>
      </w:r>
      <w:bookmarkEnd w:id="391"/>
      <w:bookmarkEnd w:id="392"/>
      <w:bookmarkEnd w:id="393"/>
      <w:bookmarkEnd w:id="394"/>
      <w:bookmarkEnd w:id="395"/>
      <w:bookmarkEnd w:id="396"/>
      <w:bookmarkEnd w:id="397"/>
      <w:bookmarkEnd w:id="398"/>
      <w:bookmarkEnd w:id="399"/>
      <w:bookmarkEnd w:id="400"/>
      <w:bookmarkEnd w:id="401"/>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6.1.1除第6.3条规定外，磋商结束后，除了算数修正和落实政府采购政策需进行的价格扣除外，不对供应商的最后报价进行任何调整。评审结果按照得分由高至低的顺序排序。得分相同的，按修正和扣除后的最后报价由低到高顺序排列。具体处理办法详见评审方法。</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6.1.2磋商小组将按</w:t>
      </w:r>
      <w:r>
        <w:rPr>
          <w:rFonts w:hint="eastAsia" w:ascii="宋体" w:hAnsi="宋体" w:cs="宋体"/>
          <w:b/>
          <w:bCs/>
          <w:color w:val="auto"/>
          <w:sz w:val="24"/>
          <w:highlight w:val="none"/>
          <w:u w:val="single"/>
        </w:rPr>
        <w:t>供应商须知表</w:t>
      </w:r>
      <w:r>
        <w:rPr>
          <w:rFonts w:hint="eastAsia" w:ascii="宋体" w:hAnsi="宋体" w:cs="宋体"/>
          <w:color w:val="auto"/>
          <w:sz w:val="24"/>
          <w:highlight w:val="none"/>
        </w:rPr>
        <w:t>中规定的数量推荐成交候选供应商或按</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中规定，由磋商小组直接确定成交供应商。</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6.1.3因推荐成交候选供应商名单产生其他问题，由磋商小组集体研究处理。</w:t>
      </w:r>
    </w:p>
    <w:p>
      <w:pPr>
        <w:pStyle w:val="7"/>
        <w:shd w:val="clear"/>
        <w:tabs>
          <w:tab w:val="left" w:pos="900"/>
        </w:tabs>
        <w:spacing w:before="0" w:after="0" w:line="348" w:lineRule="auto"/>
        <w:rPr>
          <w:rFonts w:ascii="宋体" w:hAnsi="宋体" w:eastAsia="宋体" w:cs="宋体"/>
          <w:color w:val="auto"/>
          <w:sz w:val="24"/>
          <w:szCs w:val="24"/>
          <w:highlight w:val="none"/>
        </w:rPr>
      </w:pPr>
      <w:bookmarkStart w:id="402" w:name="_Toc15048320"/>
      <w:bookmarkStart w:id="403" w:name="_Toc22134"/>
      <w:bookmarkStart w:id="404" w:name="_Toc532473481"/>
      <w:bookmarkStart w:id="405" w:name="_Toc31442"/>
      <w:bookmarkStart w:id="406" w:name="_Toc57217269"/>
      <w:bookmarkStart w:id="407" w:name="_Toc9653"/>
      <w:bookmarkStart w:id="408" w:name="_Toc15465"/>
      <w:bookmarkStart w:id="409" w:name="_Toc23951"/>
      <w:r>
        <w:rPr>
          <w:rFonts w:hint="eastAsia" w:ascii="宋体" w:hAnsi="宋体" w:eastAsia="宋体" w:cs="宋体"/>
          <w:color w:val="auto"/>
          <w:sz w:val="24"/>
          <w:szCs w:val="24"/>
          <w:highlight w:val="none"/>
        </w:rPr>
        <w:t>6.2 确定成交供应商</w:t>
      </w:r>
      <w:bookmarkEnd w:id="402"/>
      <w:bookmarkEnd w:id="403"/>
      <w:bookmarkEnd w:id="404"/>
      <w:bookmarkEnd w:id="405"/>
      <w:bookmarkEnd w:id="406"/>
      <w:bookmarkEnd w:id="407"/>
      <w:bookmarkEnd w:id="408"/>
      <w:bookmarkEnd w:id="409"/>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在收到评审报告5个工作日内,从评审报告提出的成交候选供应商中,根据质量和服务均能满足竞争性磋商文件实质性响应要求且综合得分最高的原则确定成交供应商,也可以书面授权磋商小组直接确定成交供应商。</w:t>
      </w:r>
    </w:p>
    <w:p>
      <w:pPr>
        <w:pStyle w:val="7"/>
        <w:shd w:val="clear"/>
        <w:tabs>
          <w:tab w:val="left" w:pos="900"/>
        </w:tabs>
        <w:spacing w:before="0" w:after="0" w:line="348" w:lineRule="auto"/>
        <w:rPr>
          <w:rFonts w:ascii="宋体" w:hAnsi="宋体" w:eastAsia="宋体" w:cs="宋体"/>
          <w:color w:val="auto"/>
          <w:sz w:val="24"/>
          <w:szCs w:val="24"/>
          <w:highlight w:val="none"/>
        </w:rPr>
      </w:pPr>
      <w:bookmarkStart w:id="410" w:name="_Toc18495"/>
      <w:bookmarkStart w:id="411" w:name="_Toc15400"/>
      <w:bookmarkStart w:id="412" w:name="_Toc29118"/>
      <w:bookmarkStart w:id="413" w:name="_Toc57217270"/>
      <w:r>
        <w:rPr>
          <w:rFonts w:hint="eastAsia" w:ascii="宋体" w:hAnsi="宋体" w:eastAsia="宋体" w:cs="宋体"/>
          <w:color w:val="auto"/>
          <w:sz w:val="24"/>
          <w:szCs w:val="24"/>
          <w:highlight w:val="none"/>
        </w:rPr>
        <w:t>6.3采购任务取消</w:t>
      </w:r>
      <w:bookmarkEnd w:id="410"/>
      <w:bookmarkEnd w:id="411"/>
      <w:bookmarkEnd w:id="412"/>
      <w:bookmarkEnd w:id="413"/>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因重大变故采购任务取消时，采购人有权拒绝任何供应商成交，且对受影响的供应商不承担任何责任。</w:t>
      </w:r>
    </w:p>
    <w:p>
      <w:pPr>
        <w:pStyle w:val="7"/>
        <w:shd w:val="clear"/>
        <w:tabs>
          <w:tab w:val="left" w:pos="900"/>
        </w:tabs>
        <w:spacing w:before="0" w:after="0" w:line="348" w:lineRule="auto"/>
        <w:rPr>
          <w:rFonts w:ascii="宋体" w:hAnsi="宋体" w:eastAsia="宋体" w:cs="宋体"/>
          <w:color w:val="auto"/>
          <w:sz w:val="24"/>
          <w:szCs w:val="24"/>
          <w:highlight w:val="none"/>
        </w:rPr>
      </w:pPr>
      <w:bookmarkStart w:id="414" w:name="_Toc19052"/>
      <w:bookmarkStart w:id="415" w:name="_Toc15048321"/>
      <w:bookmarkStart w:id="416" w:name="_Toc5998"/>
      <w:bookmarkStart w:id="417" w:name="_Toc23352"/>
      <w:bookmarkStart w:id="418" w:name="_Toc57217271"/>
      <w:bookmarkStart w:id="419" w:name="_Toc30170"/>
      <w:bookmarkStart w:id="420" w:name="_Toc31099"/>
      <w:bookmarkStart w:id="421" w:name="_Toc515647791"/>
      <w:bookmarkStart w:id="422" w:name="_Toc532473483"/>
      <w:bookmarkStart w:id="423" w:name="_Toc520356174"/>
      <w:r>
        <w:rPr>
          <w:rFonts w:hint="eastAsia" w:ascii="宋体" w:hAnsi="宋体" w:eastAsia="宋体" w:cs="宋体"/>
          <w:color w:val="auto"/>
          <w:sz w:val="24"/>
          <w:szCs w:val="24"/>
          <w:highlight w:val="none"/>
        </w:rPr>
        <w:t>6.4 发出成交通知书</w:t>
      </w:r>
      <w:bookmarkEnd w:id="414"/>
      <w:bookmarkEnd w:id="415"/>
      <w:bookmarkEnd w:id="416"/>
      <w:bookmarkEnd w:id="417"/>
      <w:bookmarkEnd w:id="418"/>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应当在成交供应商确定之日起2个工作日内，在《河南省政府采购网》、《河南省公共资源交易中心网》、《河南省电子招标投标公共服务平台》、《中国招标投标公共服务平台》上公告成交结果，同时向成交供应商发出成交通知书，成交通知书是合同的组成部分。</w:t>
      </w:r>
    </w:p>
    <w:bookmarkEnd w:id="419"/>
    <w:bookmarkEnd w:id="420"/>
    <w:bookmarkEnd w:id="421"/>
    <w:bookmarkEnd w:id="422"/>
    <w:bookmarkEnd w:id="423"/>
    <w:p>
      <w:pPr>
        <w:pStyle w:val="5"/>
        <w:shd w:val="clear"/>
        <w:spacing w:before="0" w:after="0" w:line="348" w:lineRule="auto"/>
        <w:rPr>
          <w:rFonts w:ascii="宋体" w:hAnsi="宋体" w:eastAsia="宋体" w:cs="宋体"/>
          <w:color w:val="auto"/>
          <w:sz w:val="24"/>
          <w:szCs w:val="24"/>
          <w:highlight w:val="none"/>
        </w:rPr>
      </w:pPr>
      <w:bookmarkStart w:id="424" w:name="_Ref467307204"/>
      <w:bookmarkStart w:id="425" w:name="_Ref467307062"/>
      <w:bookmarkStart w:id="426" w:name="_Toc520356175"/>
      <w:bookmarkStart w:id="427" w:name="_Toc790"/>
      <w:bookmarkStart w:id="428" w:name="_Toc515647792"/>
      <w:bookmarkStart w:id="429" w:name="_Ref467306978"/>
      <w:bookmarkStart w:id="430" w:name="_Ref467306377"/>
      <w:bookmarkStart w:id="431" w:name="_Toc8240"/>
      <w:bookmarkStart w:id="432" w:name="_Toc15048323"/>
      <w:bookmarkStart w:id="433" w:name="_Toc532473484"/>
      <w:bookmarkStart w:id="434" w:name="_Toc13372"/>
      <w:bookmarkStart w:id="435" w:name="_Toc57217272"/>
      <w:bookmarkStart w:id="436" w:name="_Toc7779"/>
      <w:bookmarkStart w:id="437" w:name="_Toc4429"/>
      <w:r>
        <w:rPr>
          <w:rFonts w:hint="eastAsia" w:ascii="宋体" w:hAnsi="宋体" w:eastAsia="宋体" w:cs="宋体"/>
          <w:color w:val="auto"/>
          <w:sz w:val="24"/>
          <w:szCs w:val="24"/>
          <w:highlight w:val="none"/>
        </w:rPr>
        <w:t>7、签订合同</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7.1成交供应商应当自发出成交通知书之日起15日内，按照竞争性磋商文件确定的合同文本以及采购标的、规格型号、采购金额、采购数量、技术和服务要求等事项与采购人签订政府采购合同。</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7.2除不可抗力等因素外，成交通知书发出后，采购人改变成交结果，或者成交供应商拒绝签订政府采购合同的，应当承担相应的法律责任。</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7.3竞争性磋商文件、成交供应商的响应文件及其澄清文件等，均为签订合同的依据。所签订的合同不得对竞争性磋商文件确定的事项和成交供应商响应文件作实质性修改。采购人不得向成交供应商提出超出竞争性磋商文件以外的任何不合理的要求，作为签订合同的条件，不得与成交供应商订立背离竞争性磋商文件确定的合同文本以及采购标的、规格型号、采购金额、采购数量、技术和服务要求等实质性内容的协议。</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7.4如成交供应商拒绝与采购人签订合同的，成交供应商须按“供应商参加磋商采购活动的承诺书”中的承诺内容向采购人和采购代理机构支付赔偿；采购人可以按照评审报告推荐的成交候选供应商名单排序，确定下一成交候选供应商为成交供应商，也可以重新开展政府采购活动。拒绝签订政府采购合同的成交供应商不得参加对该项目重新开展的采购活动。</w:t>
      </w:r>
    </w:p>
    <w:p>
      <w:pPr>
        <w:shd w:val="clear"/>
        <w:spacing w:line="348" w:lineRule="auto"/>
        <w:rPr>
          <w:rFonts w:ascii="宋体" w:hAnsi="宋体" w:cs="宋体"/>
          <w:color w:val="auto"/>
          <w:sz w:val="24"/>
          <w:highlight w:val="none"/>
        </w:rPr>
      </w:pPr>
      <w:bookmarkStart w:id="438" w:name="_Toc520356176"/>
      <w:bookmarkStart w:id="439" w:name="_Ref467306425"/>
      <w:bookmarkStart w:id="440" w:name="_Ref467307090"/>
      <w:r>
        <w:rPr>
          <w:rFonts w:hint="eastAsia" w:ascii="宋体" w:hAnsi="宋体" w:cs="宋体"/>
          <w:color w:val="auto"/>
          <w:sz w:val="24"/>
          <w:highlight w:val="none"/>
        </w:rPr>
        <w:t>7.5当出现法律法规规定的成交无效或成交结果无效情形时，采购人可以按照评审报告推荐的成交候选供应商名单排序，确定下一成交候选供应商为成交供应商，也可以重新开展政府采购活动。</w:t>
      </w:r>
    </w:p>
    <w:p>
      <w:pPr>
        <w:pStyle w:val="5"/>
        <w:shd w:val="clear"/>
        <w:spacing w:before="0" w:after="0" w:line="348" w:lineRule="auto"/>
        <w:rPr>
          <w:rFonts w:ascii="宋体" w:hAnsi="宋体" w:eastAsia="宋体" w:cs="宋体"/>
          <w:color w:val="auto"/>
          <w:sz w:val="24"/>
          <w:szCs w:val="24"/>
          <w:highlight w:val="none"/>
        </w:rPr>
      </w:pPr>
      <w:bookmarkStart w:id="441" w:name="_Toc21142"/>
      <w:bookmarkStart w:id="442" w:name="_Toc515647793"/>
      <w:bookmarkStart w:id="443" w:name="_Toc532473485"/>
      <w:bookmarkStart w:id="444" w:name="_Toc15048324"/>
      <w:bookmarkStart w:id="445" w:name="_Toc3300"/>
      <w:bookmarkStart w:id="446" w:name="_Toc22799"/>
      <w:bookmarkStart w:id="447" w:name="_Toc57217273"/>
      <w:bookmarkStart w:id="448" w:name="_Toc22555"/>
      <w:bookmarkStart w:id="449" w:name="_Toc14080"/>
      <w:r>
        <w:rPr>
          <w:rFonts w:hint="eastAsia" w:ascii="宋体" w:hAnsi="宋体" w:eastAsia="宋体" w:cs="宋体"/>
          <w:color w:val="auto"/>
          <w:sz w:val="24"/>
          <w:szCs w:val="24"/>
          <w:highlight w:val="none"/>
        </w:rPr>
        <w:t>8、履约保证金</w:t>
      </w:r>
      <w:bookmarkEnd w:id="438"/>
      <w:bookmarkEnd w:id="439"/>
      <w:bookmarkEnd w:id="440"/>
      <w:bookmarkEnd w:id="441"/>
      <w:bookmarkEnd w:id="442"/>
      <w:bookmarkEnd w:id="443"/>
      <w:bookmarkEnd w:id="444"/>
      <w:bookmarkEnd w:id="445"/>
      <w:bookmarkEnd w:id="446"/>
      <w:bookmarkEnd w:id="447"/>
      <w:bookmarkEnd w:id="448"/>
      <w:bookmarkEnd w:id="449"/>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中的规定。</w:t>
      </w:r>
    </w:p>
    <w:p>
      <w:pPr>
        <w:pStyle w:val="5"/>
        <w:shd w:val="clear"/>
        <w:spacing w:before="0" w:after="0" w:line="348" w:lineRule="auto"/>
        <w:rPr>
          <w:rFonts w:ascii="宋体" w:hAnsi="宋体" w:eastAsia="宋体" w:cs="宋体"/>
          <w:color w:val="auto"/>
          <w:sz w:val="24"/>
          <w:szCs w:val="24"/>
          <w:highlight w:val="none"/>
        </w:rPr>
      </w:pPr>
      <w:bookmarkStart w:id="450" w:name="_Toc5262"/>
      <w:bookmarkStart w:id="451" w:name="_Toc6212"/>
      <w:bookmarkStart w:id="452" w:name="_Toc2583659"/>
      <w:bookmarkStart w:id="453" w:name="_Toc57217275"/>
      <w:bookmarkStart w:id="454" w:name="_Toc15048326"/>
      <w:bookmarkStart w:id="455" w:name="_Toc7623"/>
      <w:r>
        <w:rPr>
          <w:rFonts w:hint="eastAsia" w:ascii="宋体" w:hAnsi="宋体" w:eastAsia="宋体" w:cs="宋体"/>
          <w:color w:val="auto"/>
          <w:sz w:val="24"/>
          <w:szCs w:val="24"/>
          <w:highlight w:val="none"/>
        </w:rPr>
        <w:t>9、采购代理服务费</w:t>
      </w:r>
      <w:bookmarkEnd w:id="450"/>
      <w:bookmarkEnd w:id="451"/>
      <w:bookmarkEnd w:id="452"/>
      <w:bookmarkEnd w:id="453"/>
      <w:bookmarkEnd w:id="454"/>
      <w:bookmarkEnd w:id="455"/>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成交供应商须按照供应商须知表的规定，向采购代理机构支付采购代理服务费。</w:t>
      </w:r>
    </w:p>
    <w:p>
      <w:pPr>
        <w:pStyle w:val="5"/>
        <w:shd w:val="clear"/>
        <w:spacing w:before="0" w:after="0" w:line="348" w:lineRule="auto"/>
        <w:rPr>
          <w:rFonts w:ascii="宋体" w:hAnsi="宋体" w:eastAsia="宋体" w:cs="宋体"/>
          <w:color w:val="auto"/>
          <w:sz w:val="24"/>
          <w:szCs w:val="24"/>
          <w:highlight w:val="none"/>
        </w:rPr>
      </w:pPr>
      <w:bookmarkStart w:id="456" w:name="_Toc518923102"/>
      <w:bookmarkStart w:id="457" w:name="_Toc8744"/>
      <w:bookmarkStart w:id="458" w:name="_Toc15048330"/>
      <w:bookmarkStart w:id="459" w:name="_Toc5159"/>
      <w:bookmarkStart w:id="460" w:name="_Toc57217277"/>
      <w:bookmarkStart w:id="461" w:name="_Toc11313"/>
      <w:bookmarkStart w:id="462" w:name="_Toc2583663"/>
      <w:r>
        <w:rPr>
          <w:rFonts w:hint="eastAsia" w:ascii="宋体" w:hAnsi="宋体" w:eastAsia="宋体" w:cs="宋体"/>
          <w:color w:val="auto"/>
          <w:sz w:val="24"/>
          <w:szCs w:val="24"/>
          <w:highlight w:val="none"/>
        </w:rPr>
        <w:t>10、质疑的提出与接收</w:t>
      </w:r>
      <w:bookmarkEnd w:id="456"/>
      <w:bookmarkEnd w:id="457"/>
      <w:bookmarkEnd w:id="458"/>
      <w:bookmarkEnd w:id="459"/>
      <w:bookmarkEnd w:id="460"/>
      <w:bookmarkEnd w:id="461"/>
      <w:bookmarkEnd w:id="462"/>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10.1供应商认为竞争性磋商文件、采购过程和成交结果使自己的权益受到损害的，可以根据《中华人民共和国政府采购法》、《中华人民共和国政府采购法实施条例》、《政府采购竞争性磋商采购方式暂行办法》和《政府采购质疑和投诉办法》等有关规定，依法向采购人或其委托的采购代理机构提出质疑。</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10.2质疑供应商应按照财政部门制定的《政府采购质疑函范本》格式（可从财政部官方网站下载）和《政府采购质疑和投诉办法》的要求，在法定质疑期内以书面形式提出质疑，针对同一采购程序环节的质疑应一次性提出。超出法定质疑期的、重复提出的、分次提出的或内容、形式不符合《政府采购质疑和投诉办法》的，质疑供应商将依法承担不利后果。</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10.3采购代理机构质疑函接收部门、联系电话和通讯地址, 见</w:t>
      </w:r>
      <w:r>
        <w:rPr>
          <w:rFonts w:hint="eastAsia" w:ascii="宋体" w:hAnsi="宋体" w:cs="宋体"/>
          <w:b/>
          <w:color w:val="auto"/>
          <w:sz w:val="24"/>
          <w:highlight w:val="none"/>
          <w:u w:val="single"/>
        </w:rPr>
        <w:t>供应商须知前附表</w:t>
      </w:r>
      <w:r>
        <w:rPr>
          <w:rFonts w:hint="eastAsia" w:ascii="宋体" w:hAnsi="宋体" w:cs="宋体"/>
          <w:color w:val="auto"/>
          <w:sz w:val="24"/>
          <w:highlight w:val="none"/>
        </w:rPr>
        <w:t>。</w:t>
      </w:r>
    </w:p>
    <w:p>
      <w:pPr>
        <w:pStyle w:val="5"/>
        <w:shd w:val="clear"/>
        <w:spacing w:before="0" w:after="0" w:line="348" w:lineRule="auto"/>
        <w:rPr>
          <w:rFonts w:ascii="宋体" w:hAnsi="宋体" w:eastAsia="宋体" w:cs="宋体"/>
          <w:color w:val="auto"/>
          <w:sz w:val="24"/>
          <w:szCs w:val="24"/>
          <w:highlight w:val="none"/>
        </w:rPr>
      </w:pPr>
      <w:bookmarkStart w:id="463" w:name="_Toc29673"/>
      <w:bookmarkStart w:id="464" w:name="_Toc15660"/>
      <w:bookmarkStart w:id="465" w:name="_Toc57217278"/>
      <w:bookmarkStart w:id="466" w:name="_Toc6422"/>
      <w:r>
        <w:rPr>
          <w:rFonts w:hint="eastAsia" w:ascii="宋体" w:hAnsi="宋体" w:eastAsia="宋体" w:cs="宋体"/>
          <w:color w:val="auto"/>
          <w:sz w:val="24"/>
          <w:szCs w:val="24"/>
          <w:highlight w:val="none"/>
        </w:rPr>
        <w:t>11、知识产权</w:t>
      </w:r>
      <w:bookmarkEnd w:id="463"/>
      <w:bookmarkEnd w:id="464"/>
      <w:bookmarkEnd w:id="465"/>
      <w:bookmarkEnd w:id="466"/>
    </w:p>
    <w:p>
      <w:pPr>
        <w:shd w:val="clear"/>
        <w:tabs>
          <w:tab w:val="left" w:pos="360"/>
        </w:tabs>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须保证采购人在中华人民共和国境内使用供应商所提供的货物（包括伴随的服务）/工程（伴随的服务）或其任何一部分时，不会产生因第三方提出侵犯其专利权、商标权或其它知识产权而引起的法律或经济纠纷。如供应商不拥有相应的知识产权，则在响应报价中必须包括合法获取该知识产权的一切相关费用。如因此导致采购人损失的，供应商须承担全部赔偿责任。</w:t>
      </w:r>
    </w:p>
    <w:p>
      <w:pPr>
        <w:pStyle w:val="5"/>
        <w:shd w:val="clear"/>
        <w:spacing w:before="0" w:after="0" w:line="348" w:lineRule="auto"/>
        <w:rPr>
          <w:rFonts w:ascii="宋体" w:hAnsi="宋体" w:eastAsia="宋体" w:cs="宋体"/>
          <w:color w:val="auto"/>
          <w:sz w:val="24"/>
          <w:szCs w:val="24"/>
          <w:highlight w:val="none"/>
        </w:rPr>
      </w:pPr>
      <w:bookmarkStart w:id="467" w:name="_Toc57217279"/>
      <w:bookmarkStart w:id="468" w:name="_Toc3866"/>
      <w:bookmarkStart w:id="469" w:name="_Toc20611"/>
      <w:bookmarkStart w:id="470" w:name="_Toc17992"/>
      <w:r>
        <w:rPr>
          <w:rFonts w:hint="eastAsia" w:ascii="宋体" w:hAnsi="宋体" w:eastAsia="宋体" w:cs="宋体"/>
          <w:color w:val="auto"/>
          <w:sz w:val="24"/>
          <w:szCs w:val="24"/>
          <w:highlight w:val="none"/>
        </w:rPr>
        <w:t>12、供应商的赔偿责任</w:t>
      </w:r>
      <w:bookmarkEnd w:id="467"/>
      <w:bookmarkEnd w:id="468"/>
      <w:bookmarkEnd w:id="469"/>
      <w:bookmarkEnd w:id="470"/>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有下列情形之一的，供应商应当向采购代理机构及采购人支付本项目预算金额（或最高限价）的2%的违约赔偿金。</w:t>
      </w:r>
    </w:p>
    <w:p>
      <w:pPr>
        <w:shd w:val="clear"/>
        <w:spacing w:line="348"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（1）供应商在提交响应文件截止时间后撤回（撤销）响应文件的（不包括在提交最后报价之前退出磋商的）；</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　　（2）供应商在响应文件中提供虚假材料的；</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　　（3）除因不可抗力或竞争性磋商文件认可的情形以外，成交供应商不与采购人签订合同的；</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　　（4）供应商与采购人、其他供应商或者采购代理机构恶意串通的；</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　　（5）磋商文件规定的其他情形。</w:t>
      </w:r>
    </w:p>
    <w:p>
      <w:pPr>
        <w:pStyle w:val="5"/>
        <w:shd w:val="clear"/>
        <w:spacing w:before="0" w:after="0" w:line="348" w:lineRule="auto"/>
        <w:rPr>
          <w:rFonts w:ascii="宋体" w:hAnsi="宋体" w:eastAsia="宋体" w:cs="宋体"/>
          <w:color w:val="auto"/>
          <w:sz w:val="24"/>
          <w:szCs w:val="24"/>
          <w:highlight w:val="none"/>
        </w:rPr>
      </w:pPr>
      <w:bookmarkStart w:id="471" w:name="_Toc28211"/>
      <w:bookmarkStart w:id="472" w:name="_Toc32255"/>
      <w:bookmarkStart w:id="473" w:name="_Toc2583661"/>
      <w:bookmarkStart w:id="474" w:name="_Toc518923100"/>
      <w:bookmarkStart w:id="475" w:name="_Toc18941"/>
      <w:bookmarkStart w:id="476" w:name="_Toc57217280"/>
      <w:bookmarkStart w:id="477" w:name="_Toc15048328"/>
      <w:r>
        <w:rPr>
          <w:rFonts w:hint="eastAsia" w:ascii="宋体" w:hAnsi="宋体" w:eastAsia="宋体" w:cs="宋体"/>
          <w:color w:val="auto"/>
          <w:sz w:val="24"/>
          <w:szCs w:val="24"/>
          <w:highlight w:val="none"/>
        </w:rPr>
        <w:t>13、廉洁自律规定</w:t>
      </w:r>
      <w:bookmarkEnd w:id="471"/>
      <w:bookmarkEnd w:id="472"/>
      <w:bookmarkEnd w:id="473"/>
      <w:bookmarkEnd w:id="474"/>
      <w:bookmarkEnd w:id="475"/>
      <w:bookmarkEnd w:id="476"/>
      <w:bookmarkEnd w:id="477"/>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13.1采购代理机构工作人员不得以不正当手段获取政府采购代理业务，不得与采购人、供应商恶意串通操纵政府采购活动。</w:t>
      </w:r>
    </w:p>
    <w:p>
      <w:pPr>
        <w:shd w:val="clear"/>
        <w:spacing w:line="348" w:lineRule="auto"/>
        <w:rPr>
          <w:rFonts w:ascii="宋体" w:hAnsi="宋体" w:cs="宋体"/>
          <w:color w:val="auto"/>
          <w:sz w:val="24"/>
          <w:highlight w:val="none"/>
        </w:rPr>
      </w:pPr>
      <w:r>
        <w:rPr>
          <w:rFonts w:hint="eastAsia" w:ascii="宋体" w:hAnsi="宋体" w:cs="宋体"/>
          <w:color w:val="auto"/>
          <w:sz w:val="24"/>
          <w:highlight w:val="none"/>
        </w:rPr>
        <w:t>13.2采购代理机构工作人员不得接受采购人或者供应商组织的宴请、旅游、娱乐，不得收受礼品、现金、有价证券等，不得向采购人或者供应商报销应当由个人承担的费用。</w:t>
      </w:r>
    </w:p>
    <w:p>
      <w:pPr>
        <w:pStyle w:val="5"/>
        <w:shd w:val="clear"/>
        <w:spacing w:before="0" w:after="0" w:line="348" w:lineRule="auto"/>
        <w:rPr>
          <w:rFonts w:ascii="宋体" w:hAnsi="宋体" w:eastAsia="宋体" w:cs="宋体"/>
          <w:color w:val="auto"/>
          <w:sz w:val="24"/>
          <w:szCs w:val="24"/>
          <w:highlight w:val="none"/>
        </w:rPr>
      </w:pPr>
      <w:bookmarkStart w:id="478" w:name="_Toc18167"/>
      <w:bookmarkStart w:id="479" w:name="_Toc518923101"/>
      <w:bookmarkStart w:id="480" w:name="_Toc30625"/>
      <w:bookmarkStart w:id="481" w:name="_Toc2583662"/>
      <w:bookmarkStart w:id="482" w:name="_Toc31517"/>
      <w:bookmarkStart w:id="483" w:name="_Toc15048329"/>
      <w:bookmarkStart w:id="484" w:name="_Toc57217281"/>
      <w:r>
        <w:rPr>
          <w:rFonts w:hint="eastAsia" w:ascii="宋体" w:hAnsi="宋体" w:eastAsia="宋体" w:cs="宋体"/>
          <w:color w:val="auto"/>
          <w:sz w:val="24"/>
          <w:szCs w:val="24"/>
          <w:highlight w:val="none"/>
        </w:rPr>
        <w:t>14、人员回避</w:t>
      </w:r>
      <w:bookmarkEnd w:id="478"/>
      <w:bookmarkEnd w:id="479"/>
      <w:bookmarkEnd w:id="480"/>
      <w:bookmarkEnd w:id="481"/>
      <w:bookmarkEnd w:id="482"/>
      <w:bookmarkEnd w:id="483"/>
      <w:bookmarkEnd w:id="484"/>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供应商认为采购人员及其相关人员有法律法规所列与其他供应商有利害关系的，可以向采购人或采购代理机构书面提出回避申请，并说明理由。</w:t>
      </w:r>
    </w:p>
    <w:p>
      <w:pPr>
        <w:pStyle w:val="5"/>
        <w:shd w:val="clear"/>
        <w:spacing w:before="0" w:after="0" w:line="348" w:lineRule="auto"/>
        <w:rPr>
          <w:rFonts w:ascii="宋体" w:hAnsi="宋体" w:eastAsia="宋体" w:cs="宋体"/>
          <w:color w:val="auto"/>
          <w:sz w:val="24"/>
          <w:szCs w:val="24"/>
          <w:highlight w:val="none"/>
        </w:rPr>
      </w:pPr>
      <w:bookmarkStart w:id="485" w:name="_Toc36564765"/>
      <w:bookmarkStart w:id="486" w:name="_Toc34732584"/>
      <w:bookmarkStart w:id="487" w:name="_Toc34732664"/>
      <w:bookmarkStart w:id="488" w:name="_Toc26809"/>
      <w:bookmarkStart w:id="489" w:name="_Toc8185"/>
      <w:bookmarkStart w:id="490" w:name="_Toc25832449"/>
      <w:bookmarkStart w:id="491" w:name="_Toc40972840"/>
      <w:bookmarkStart w:id="492" w:name="_Toc57217282"/>
      <w:bookmarkStart w:id="493" w:name="_Toc34733052"/>
      <w:bookmarkStart w:id="494" w:name="_Toc27862"/>
      <w:r>
        <w:rPr>
          <w:rFonts w:hint="eastAsia" w:ascii="宋体" w:hAnsi="宋体" w:eastAsia="宋体" w:cs="宋体"/>
          <w:color w:val="auto"/>
          <w:sz w:val="24"/>
          <w:szCs w:val="24"/>
          <w:highlight w:val="none"/>
        </w:rPr>
        <w:t>15、纪律和监督</w:t>
      </w:r>
      <w:bookmarkEnd w:id="485"/>
      <w:bookmarkEnd w:id="486"/>
      <w:bookmarkEnd w:id="487"/>
      <w:bookmarkEnd w:id="488"/>
      <w:bookmarkEnd w:id="489"/>
      <w:bookmarkEnd w:id="490"/>
      <w:bookmarkEnd w:id="491"/>
      <w:bookmarkEnd w:id="492"/>
      <w:bookmarkEnd w:id="493"/>
      <w:bookmarkEnd w:id="494"/>
    </w:p>
    <w:p>
      <w:pPr>
        <w:keepNext/>
        <w:keepLines/>
        <w:shd w:val="clear"/>
        <w:spacing w:line="348" w:lineRule="auto"/>
        <w:outlineLvl w:val="3"/>
        <w:rPr>
          <w:rFonts w:ascii="宋体" w:hAnsi="宋体" w:cs="宋体"/>
          <w:b/>
          <w:color w:val="auto"/>
          <w:sz w:val="24"/>
          <w:highlight w:val="none"/>
        </w:rPr>
      </w:pPr>
      <w:bookmarkStart w:id="495" w:name="_Toc16546"/>
      <w:bookmarkStart w:id="496" w:name="_Toc25832450"/>
      <w:bookmarkStart w:id="497" w:name="_Toc34732585"/>
      <w:bookmarkStart w:id="498" w:name="_Toc40972841"/>
      <w:bookmarkStart w:id="499" w:name="_Toc31357"/>
      <w:bookmarkStart w:id="500" w:name="_Toc57217283"/>
      <w:bookmarkStart w:id="501" w:name="_Toc36564766"/>
      <w:bookmarkStart w:id="502" w:name="_Toc18705"/>
      <w:bookmarkStart w:id="503" w:name="_Toc34733053"/>
      <w:r>
        <w:rPr>
          <w:rFonts w:hint="eastAsia" w:ascii="宋体" w:hAnsi="宋体" w:cs="宋体"/>
          <w:b/>
          <w:color w:val="auto"/>
          <w:sz w:val="24"/>
          <w:highlight w:val="none"/>
        </w:rPr>
        <w:t>15.1对采购人的纪律要求</w:t>
      </w:r>
      <w:bookmarkEnd w:id="495"/>
      <w:bookmarkEnd w:id="496"/>
      <w:bookmarkEnd w:id="497"/>
      <w:bookmarkEnd w:id="498"/>
      <w:bookmarkEnd w:id="499"/>
      <w:bookmarkEnd w:id="500"/>
      <w:bookmarkEnd w:id="501"/>
      <w:bookmarkEnd w:id="502"/>
      <w:bookmarkEnd w:id="503"/>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采购人不得泄漏采购活动中应当保密的情况和资料，不得与供应商串通损害国家利益、社会公共利益或者他人合法权益。</w:t>
      </w:r>
    </w:p>
    <w:p>
      <w:pPr>
        <w:keepNext/>
        <w:keepLines/>
        <w:shd w:val="clear"/>
        <w:spacing w:line="348" w:lineRule="auto"/>
        <w:outlineLvl w:val="3"/>
        <w:rPr>
          <w:rFonts w:ascii="宋体" w:hAnsi="宋体" w:cs="宋体"/>
          <w:b/>
          <w:color w:val="auto"/>
          <w:sz w:val="24"/>
          <w:highlight w:val="none"/>
        </w:rPr>
      </w:pPr>
      <w:bookmarkStart w:id="504" w:name="_Toc34732586"/>
      <w:bookmarkStart w:id="505" w:name="_Toc40972842"/>
      <w:bookmarkStart w:id="506" w:name="_Toc7708"/>
      <w:bookmarkStart w:id="507" w:name="_Toc11902"/>
      <w:bookmarkStart w:id="508" w:name="_Toc36564767"/>
      <w:bookmarkStart w:id="509" w:name="_Toc25832451"/>
      <w:bookmarkStart w:id="510" w:name="_Toc34733054"/>
      <w:bookmarkStart w:id="511" w:name="_Toc57217284"/>
      <w:bookmarkStart w:id="512" w:name="_Toc17739"/>
      <w:r>
        <w:rPr>
          <w:rFonts w:hint="eastAsia" w:ascii="宋体" w:hAnsi="宋体" w:cs="宋体"/>
          <w:b/>
          <w:color w:val="auto"/>
          <w:sz w:val="24"/>
          <w:highlight w:val="none"/>
        </w:rPr>
        <w:t>15.2对供应商的纪律要求</w:t>
      </w:r>
      <w:bookmarkEnd w:id="504"/>
      <w:bookmarkEnd w:id="505"/>
      <w:bookmarkEnd w:id="506"/>
      <w:bookmarkEnd w:id="507"/>
      <w:bookmarkEnd w:id="508"/>
      <w:bookmarkEnd w:id="509"/>
      <w:bookmarkEnd w:id="510"/>
      <w:bookmarkEnd w:id="511"/>
      <w:bookmarkEnd w:id="512"/>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供应商不得相互串通或者与采购人串通，不得向采购人或者磋商小组成员行贿谋取成交，不得以他人名义参加采购活动或者以其他方式弄虚作假骗取成交；供应商不得以任何方式干扰、影响采购工作。</w:t>
      </w:r>
    </w:p>
    <w:p>
      <w:pPr>
        <w:keepNext/>
        <w:keepLines/>
        <w:shd w:val="clear"/>
        <w:spacing w:line="348" w:lineRule="auto"/>
        <w:outlineLvl w:val="3"/>
        <w:rPr>
          <w:rFonts w:ascii="宋体" w:hAnsi="宋体" w:cs="宋体"/>
          <w:b/>
          <w:color w:val="auto"/>
          <w:sz w:val="24"/>
          <w:highlight w:val="none"/>
        </w:rPr>
      </w:pPr>
      <w:bookmarkStart w:id="513" w:name="_Toc40972843"/>
      <w:bookmarkStart w:id="514" w:name="_Toc19777"/>
      <w:bookmarkStart w:id="515" w:name="_Toc57217285"/>
      <w:bookmarkStart w:id="516" w:name="_Toc1620"/>
      <w:bookmarkStart w:id="517" w:name="_Toc34733055"/>
      <w:bookmarkStart w:id="518" w:name="_Toc36564768"/>
      <w:bookmarkStart w:id="519" w:name="_Toc25832452"/>
      <w:bookmarkStart w:id="520" w:name="_Toc34732587"/>
      <w:bookmarkStart w:id="521" w:name="_Toc10230"/>
      <w:r>
        <w:rPr>
          <w:rFonts w:hint="eastAsia" w:ascii="宋体" w:hAnsi="宋体" w:cs="宋体"/>
          <w:b/>
          <w:color w:val="auto"/>
          <w:sz w:val="24"/>
          <w:highlight w:val="none"/>
        </w:rPr>
        <w:t>15.3对磋商小组成员的纪律要求</w:t>
      </w:r>
      <w:bookmarkEnd w:id="513"/>
      <w:bookmarkEnd w:id="514"/>
      <w:bookmarkEnd w:id="515"/>
      <w:bookmarkEnd w:id="516"/>
      <w:bookmarkEnd w:id="517"/>
      <w:bookmarkEnd w:id="518"/>
      <w:bookmarkEnd w:id="519"/>
      <w:bookmarkEnd w:id="520"/>
      <w:bookmarkEnd w:id="521"/>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成员不得收受他人的财物或者其他好处，不得向他人透漏对响应文件的评审和比较、成交候选人的推荐情况以及评审有关的其他情况。在评审过程中，磋商小组成员不得擅离职守，影响评审程序正常进行，不得使用第四章“评审方法及标准”没有规定的评审因素和标准进行评审。</w:t>
      </w:r>
    </w:p>
    <w:p>
      <w:pPr>
        <w:keepNext/>
        <w:keepLines/>
        <w:shd w:val="clear"/>
        <w:spacing w:line="348" w:lineRule="auto"/>
        <w:outlineLvl w:val="3"/>
        <w:rPr>
          <w:rFonts w:ascii="宋体" w:hAnsi="宋体" w:cs="宋体"/>
          <w:b/>
          <w:color w:val="auto"/>
          <w:sz w:val="24"/>
          <w:highlight w:val="none"/>
        </w:rPr>
      </w:pPr>
      <w:bookmarkStart w:id="522" w:name="_Toc36564769"/>
      <w:bookmarkStart w:id="523" w:name="_Toc34732588"/>
      <w:bookmarkStart w:id="524" w:name="_Toc7318"/>
      <w:bookmarkStart w:id="525" w:name="_Toc57217286"/>
      <w:bookmarkStart w:id="526" w:name="_Toc25832453"/>
      <w:bookmarkStart w:id="527" w:name="_Toc3421"/>
      <w:bookmarkStart w:id="528" w:name="_Toc23778"/>
      <w:bookmarkStart w:id="529" w:name="_Toc34733056"/>
      <w:bookmarkStart w:id="530" w:name="_Toc40972844"/>
      <w:r>
        <w:rPr>
          <w:rFonts w:hint="eastAsia" w:ascii="宋体" w:hAnsi="宋体" w:cs="宋体"/>
          <w:b/>
          <w:color w:val="auto"/>
          <w:sz w:val="24"/>
          <w:highlight w:val="none"/>
        </w:rPr>
        <w:t>15.4对与评审活动有关的工作人员的纪律要求</w:t>
      </w:r>
      <w:bookmarkEnd w:id="522"/>
      <w:bookmarkEnd w:id="523"/>
      <w:bookmarkEnd w:id="524"/>
      <w:bookmarkEnd w:id="525"/>
      <w:bookmarkEnd w:id="526"/>
      <w:bookmarkEnd w:id="527"/>
      <w:bookmarkEnd w:id="528"/>
      <w:bookmarkEnd w:id="529"/>
      <w:bookmarkEnd w:id="530"/>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评审活动有关的工作人员不得收受他人的财物或者其他好处，不得向他人透漏对响应文件的评审和比较、成交候选人的推荐情况以及评审有关的其他情况。在评审过程中，与评审活动有关的工作人员不得擅离职守，影响评审程序正常进行。</w:t>
      </w:r>
    </w:p>
    <w:p>
      <w:pPr>
        <w:pStyle w:val="5"/>
        <w:shd w:val="clear"/>
        <w:spacing w:before="0" w:after="0" w:line="348" w:lineRule="auto"/>
        <w:rPr>
          <w:rFonts w:ascii="宋体" w:hAnsi="宋体" w:eastAsia="宋体" w:cs="宋体"/>
          <w:color w:val="auto"/>
          <w:sz w:val="24"/>
          <w:szCs w:val="24"/>
          <w:highlight w:val="none"/>
        </w:rPr>
      </w:pPr>
      <w:bookmarkStart w:id="531" w:name="_Toc57217287"/>
      <w:bookmarkStart w:id="532" w:name="_Toc13383"/>
      <w:bookmarkStart w:id="533" w:name="_Toc22511"/>
      <w:bookmarkStart w:id="534" w:name="_Toc15968"/>
      <w:r>
        <w:rPr>
          <w:rFonts w:hint="eastAsia" w:ascii="宋体" w:hAnsi="宋体" w:eastAsia="宋体" w:cs="宋体"/>
          <w:color w:val="auto"/>
          <w:sz w:val="24"/>
          <w:szCs w:val="24"/>
          <w:highlight w:val="none"/>
        </w:rPr>
        <w:t>16、履约验收</w:t>
      </w:r>
      <w:bookmarkEnd w:id="531"/>
      <w:bookmarkEnd w:id="532"/>
      <w:bookmarkEnd w:id="533"/>
      <w:bookmarkEnd w:id="534"/>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本项目采购人将严格按照政府采购相关法律法规的要求进行验收。</w:t>
      </w:r>
    </w:p>
    <w:p>
      <w:pPr>
        <w:pStyle w:val="5"/>
        <w:shd w:val="clear"/>
        <w:spacing w:before="0" w:after="0" w:line="34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bookmarkStart w:id="535" w:name="_Toc34733058"/>
      <w:bookmarkStart w:id="536" w:name="_Toc34732590"/>
      <w:bookmarkStart w:id="537" w:name="_Toc29202"/>
      <w:bookmarkStart w:id="538" w:name="_Toc25832455"/>
      <w:bookmarkStart w:id="539" w:name="_Toc31785"/>
      <w:bookmarkStart w:id="540" w:name="_Toc57217288"/>
      <w:bookmarkStart w:id="541" w:name="_Toc40972846"/>
      <w:bookmarkStart w:id="542" w:name="_Toc34732665"/>
      <w:bookmarkStart w:id="543" w:name="_Toc36564771"/>
      <w:bookmarkStart w:id="544" w:name="_Toc25930"/>
      <w:r>
        <w:rPr>
          <w:rFonts w:hint="eastAsia" w:ascii="宋体" w:hAnsi="宋体" w:eastAsia="宋体" w:cs="宋体"/>
          <w:color w:val="auto"/>
          <w:sz w:val="24"/>
          <w:szCs w:val="24"/>
          <w:highlight w:val="none"/>
        </w:rPr>
        <w:t>需要补充的其他内容</w:t>
      </w:r>
      <w:bookmarkEnd w:id="535"/>
      <w:bookmarkEnd w:id="536"/>
      <w:bookmarkEnd w:id="537"/>
      <w:bookmarkEnd w:id="538"/>
      <w:bookmarkEnd w:id="539"/>
      <w:bookmarkEnd w:id="540"/>
      <w:bookmarkEnd w:id="541"/>
      <w:bookmarkEnd w:id="542"/>
      <w:bookmarkEnd w:id="543"/>
      <w:bookmarkEnd w:id="544"/>
    </w:p>
    <w:p>
      <w:pPr>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需要补充的其他内容：</w:t>
      </w:r>
      <w:r>
        <w:rPr>
          <w:rFonts w:hint="eastAsia" w:ascii="宋体" w:hAnsi="宋体" w:cs="宋体"/>
          <w:b/>
          <w:color w:val="auto"/>
          <w:sz w:val="24"/>
          <w:highlight w:val="none"/>
          <w:u w:val="single"/>
        </w:rPr>
        <w:t>见供应商须知前附表</w:t>
      </w:r>
      <w:r>
        <w:rPr>
          <w:rFonts w:hint="eastAsia" w:ascii="宋体" w:hAnsi="宋体" w:cs="宋体"/>
          <w:color w:val="auto"/>
          <w:sz w:val="24"/>
          <w:highlight w:val="none"/>
        </w:rPr>
        <w:t>。</w:t>
      </w:r>
    </w:p>
    <w:p>
      <w:pPr>
        <w:shd w:val="clear"/>
        <w:spacing w:line="348"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pPr>
        <w:pStyle w:val="3"/>
        <w:numPr>
          <w:ilvl w:val="0"/>
          <w:numId w:val="3"/>
        </w:numPr>
        <w:shd w:val="clear"/>
        <w:tabs>
          <w:tab w:val="left" w:pos="3282"/>
          <w:tab w:val="center" w:pos="5156"/>
        </w:tabs>
        <w:spacing w:line="360" w:lineRule="auto"/>
        <w:jc w:val="left"/>
        <w:rPr>
          <w:rFonts w:ascii="宋体" w:hAnsi="宋体" w:cs="宋体"/>
          <w:color w:val="auto"/>
          <w:sz w:val="32"/>
          <w:szCs w:val="32"/>
          <w:highlight w:val="none"/>
        </w:rPr>
      </w:pPr>
      <w:bookmarkStart w:id="545" w:name="_Toc939"/>
      <w:r>
        <w:rPr>
          <w:rFonts w:hint="eastAsia" w:ascii="宋体" w:hAnsi="宋体" w:cs="宋体"/>
          <w:color w:val="auto"/>
          <w:sz w:val="32"/>
          <w:szCs w:val="32"/>
          <w:highlight w:val="none"/>
        </w:rPr>
        <w:t xml:space="preserve"> 采购需求</w:t>
      </w:r>
      <w:bookmarkEnd w:id="545"/>
      <w:bookmarkStart w:id="546" w:name="_Toc436327328"/>
    </w:p>
    <w:tbl>
      <w:tblPr>
        <w:tblStyle w:val="49"/>
        <w:tblW w:w="5218" w:type="pc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558"/>
        <w:gridCol w:w="4583"/>
        <w:gridCol w:w="807"/>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bookmarkStart w:id="547" w:name="_Toc13093"/>
            <w:r>
              <w:rPr>
                <w:rFonts w:hint="eastAsia" w:ascii="宋体" w:hAnsi="宋体" w:cs="宋体"/>
                <w:color w:val="auto"/>
                <w:sz w:val="24"/>
                <w:highlight w:val="none"/>
              </w:rPr>
              <w:t>序号</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2392"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参数描述</w:t>
            </w:r>
          </w:p>
        </w:tc>
        <w:tc>
          <w:tcPr>
            <w:tcW w:w="42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数量</w:t>
            </w:r>
          </w:p>
        </w:tc>
        <w:tc>
          <w:tcPr>
            <w:tcW w:w="458"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心理危机干预管理平台</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一、整体功能要求</w:t>
            </w:r>
          </w:p>
          <w:p>
            <w:pPr>
              <w:widowControl/>
              <w:shd w:val="clear"/>
              <w:spacing w:line="360" w:lineRule="auto"/>
              <w:jc w:val="left"/>
              <w:textAlignment w:val="center"/>
              <w:rPr>
                <w:rFonts w:ascii="宋体" w:hAnsi="宋体" w:cs="宋体"/>
                <w:b/>
                <w:bCs/>
                <w:color w:val="auto"/>
                <w:sz w:val="24"/>
                <w:highlight w:val="none"/>
              </w:rPr>
            </w:pPr>
            <w:r>
              <w:rPr>
                <w:rFonts w:hint="eastAsia" w:ascii="宋体" w:hAnsi="宋体" w:cs="宋体"/>
                <w:color w:val="auto"/>
                <w:sz w:val="24"/>
                <w:highlight w:val="none"/>
              </w:rPr>
              <w:t>1、要求平台支持PC、移动端两种方式登录，学生端与管理端可通过手机登录。学生端心理测评功能具备语言切换功能，学生可根据需求自由切换，管理员可根据学生需要进行语言编辑，满足不同语种学生的使用需求。移动端管理端具备学生综合查询、等级异动管理、测评任务、心理评估管理、预约管理、咨询预检管理、分配咨询师、心理咨询管理、危机干预管理、上报案例管理等功能，满足不同情景的使用需求，实现随时随地心理工作管理。</w:t>
            </w:r>
            <w:r>
              <w:rPr>
                <w:rFonts w:hint="eastAsia" w:ascii="宋体" w:hAnsi="宋体" w:cs="宋体"/>
                <w:b/>
                <w:bCs/>
                <w:color w:val="auto"/>
                <w:sz w:val="24"/>
                <w:highlight w:val="none"/>
              </w:rPr>
              <w:t>须提供该功能界面截图证明材料进行佐证，要求截图清晰有效。</w:t>
            </w:r>
          </w:p>
          <w:p>
            <w:pPr>
              <w:widowControl/>
              <w:shd w:val="clear"/>
              <w:spacing w:line="360" w:lineRule="auto"/>
              <w:jc w:val="left"/>
              <w:textAlignment w:val="center"/>
              <w:rPr>
                <w:rFonts w:ascii="宋体" w:hAnsi="宋体" w:cs="宋体"/>
                <w:b/>
                <w:bCs/>
                <w:color w:val="auto"/>
                <w:sz w:val="24"/>
                <w:highlight w:val="none"/>
              </w:rPr>
            </w:pPr>
            <w:r>
              <w:rPr>
                <w:rFonts w:hint="eastAsia" w:ascii="宋体" w:hAnsi="宋体" w:cs="宋体"/>
                <w:color w:val="auto"/>
                <w:sz w:val="24"/>
                <w:highlight w:val="none"/>
              </w:rPr>
              <w:t>★2、要求平台内置专业本土化危机预警筛查量表，具有更低初筛率和更高击中率，降低假阳性情况，可以降低学生访谈工作量，针对性开展心理工作提升工作效能。量表评估内容须包括大学生近期危机风险评估（对学生近期抑郁程度、症状严重程度和高危行为准备情况等方面进行评估）、大学生长期危机风险评估（从危机易发人格方面进行评估）、大学生空心病评估（对学生的意义感、价值观和自我认同等方面进行评估）等，改变以往普通筛查工具仅对即时症状评估的局限性，将测查重点放在了家庭背景、成长经历、个人价值观、意义感和自我认同等对于自杀等危机行为有深刻影响的因素方面，以此预测学生长期风险。</w:t>
            </w:r>
            <w:r>
              <w:rPr>
                <w:rFonts w:hint="eastAsia" w:ascii="宋体" w:hAnsi="宋体" w:cs="宋体"/>
                <w:b/>
                <w:bCs/>
                <w:color w:val="auto"/>
                <w:sz w:val="24"/>
                <w:highlight w:val="none"/>
              </w:rPr>
              <w:t>须提供该功能界面截图证明材料进行佐证，要求截图清晰有效。</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要求平台支持自定义添加角色，用户可根据本校的实际情况自定义添加用户角色，满足班级、院系、中心、学校四级管理。同时，支持角色自由切换，同一个用户可添加多个角色，帮助用户解决多角色多账号登录问题，实现一号通便捷登录。</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要求平台支持微信绑定，可通过学校的公众号绑定微信，绑定后免二次登录，且平台具备预约通知功能，学生的预约情况可通过微信公众号及时通知至学生/咨询师双方，避免学生预约咨询后咨询师遗忘预约信息，实现信息实时同步，有效避免咨询资源的浪费。</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二、学生端功能要求</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要求学生端采用H5页面自适应技术设计，学生通过浏览器即可直接访问，支持电脑、平板、手机端等跨平台访问使用。学生端须具有在线投票、心理测评、在线预约、新闻中心、活动信息、心理自助、心情随笔、智能方案、在线咨询、个人中心等功能，学生可通过心理文章、心理训练、音乐调节、在线课程等，提升心理知识认知广度和宽度，通过积极参与心理中心发布的活动，与校园心理中心紧密互通。</w:t>
            </w:r>
            <w:r>
              <w:rPr>
                <w:rFonts w:hint="eastAsia" w:ascii="宋体" w:hAnsi="宋体" w:cs="宋体"/>
                <w:b/>
                <w:bCs/>
                <w:color w:val="auto"/>
                <w:sz w:val="24"/>
                <w:highlight w:val="none"/>
              </w:rPr>
              <w:t>须提供该功能界面截图证明材料进行佐证，要求截图清晰有效。</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2、学生可通过平台智能方案开展系统化训练，根据实际情况填写心理测评量表后，系统将自动出具评估结果及训练建议，帮助学生开展系统、科学训练，提升心理健康水平。</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学生可根据需要进行在线咨询，平台提供咨询师姓名、性别、咨询类别、咨询语种、咨询主题、是否接受个案等检索信息，学生可根据自身需求筛选咨询主题、查看咨询师列表选择合适的心理咨询师开展线上心理咨询，查看咨询记录，了解已咨询过的记录。</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4、学生可根据平台公示的心理中心24小时热线列表选择合适的热线进行电话咨询，在线接受心理热线功能有利于学生了解中心求助电话，帮助学生减轻心理负担，及时接受心理帮助，预防心理疾病产生。</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三、院系辅导员端功能要求</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★1、要求院系辅导员端须具备首页概览、特殊案例上报、心理周/月报、会商管理等功能，可以进行近期工作快速了解、日常心理工作处理，特殊情况及时上报，重点学生协同关注等。</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2、要求院系辅导员可查看警戒/高危学生名单、危机干预学生、上报的学生案例沟通记录等信息，便捷概览近期工作状况，并及时对相关信息进行处理。</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要求院系辅导员可以进行特殊案例上报，对于需要进行心理帮扶的学生可直接上报至心理中心进行快速沟通，要求至少包含学院联系信息、案例汇报、近1个月内生活事件汇报3部分，其中生活事件要求至少包含人际关系、学业压力、行为改变、感情问题、疾病、家庭、经济、其他等方面的至少45项生活事件清单。平台支持附件添加功能，可将学生的就医诊断记录等上传到系统中，便于咨询师及时了解学生当前的心理健康状况。通过特殊案例上报功能，辅导员可以与中心咨询师实现协同工作、共同关注重点学生，平台支持在线交流，可详细记沟通信息，确保高危个案得到及时关注和干预。</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四、咨询师端功能要求</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要求心理咨询师端须具备学生综合查询、等级异动管理、测评任务、量表设置、心理评估管理、预约管理、心理咨询管理等至少19项功能，具备专业、全面、系统的特点，帮助咨询师规避伦理、法律风险，高效开展心理工作。须提供该功能界面截图证明材料进行佐证，要求截图清晰有效。</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要求咨询师可查看学生的综合信息档案，平台可集中显示学生的综合档案信息，要求包含学生相关的测评记录、评估记录、预检记录、咨询记录、危机干预记录、院系上报记录、等级异动记录、预约申请记录、重点关注学生记录等信息。</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要求咨询师可查看学生的预警级别，平台将学生心理健康水平划分为“警戒”、“高危”、“追踪”、“关注”、“正常”五个预警等级，学生参与危机预警筛查量表测评后，系统会自动根据测评结果对学生进行预警等级划分，并按照危机等级由高到低的顺序排列。</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4、要求咨询师可对学生的预警级别进行异动处理，平台支持记录学生等级异动过程信息，包含变动来源、变动时间、变更前等级、变更后等级、变动原因等信息。</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要求咨询师可自定义发布测评计划，系统具备心理普测及日常咨询测评两种工作情景设计更具人性化，咨询师可自定义可设置计划名称、起止时间、知情同意书内容，可在计划中添加多个量表，针对敏感名称量表可支持设置量表别名以及是否允许学生查看报告，支持账号、性别、入学年份、攻读学位、组织机构等条件定义测试学生范围，测评计划支持启用和禁用状态功能切换，日常咨询测评可采用输入学号方式发布测评任务。测评计划的设计有助于数据的独立管理，工作更加清晰便捷。</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6、要求咨询师可对学生测评档案进行管理，支持对测评结果进行查询、重新计算，要求可导出测评报告、因子得分、题目选项等原始测评数据。</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7、要求咨询师可对测评进程一手掌握，能够统计测评计划下各院系参评率、查询参与进度、导出各院系参测情况。要求可按照已完成、未完成两种状态统计测评计划内参与人员的测评进度，导出测试人员名单，辅助各院系督促学生在时间内完成测评计划。</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8、要求咨询师可对具有预设预警条件的量表进行自动预警筛查分析，可查询、导出预警人员名单，查看详细测评报告。支持导出当前测评报告的答题记录、因子得分以及详细测评报告。</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9、要求咨询师可对系统分配的学生进行心理咨询，查看、添加咨询记录及学生基本情况，逐条导出咨询记录。系统支持7天内咨询记录修改，且咨询记录模板符合规范化流程、专业化设置、伦理性保障，依据《中国心理学会临床与咨询心理学工作伦理守则》、《中华人民共和国精神卫生法》等伦理、法律规定，结合中国高校示范性心理中心工作情境创建，符合咨询工作情景，包含对个案进行临床心理评估的内容，且具有咨询附件管理功能，支持将以往咨询的记录、就诊及服药记录上传至咨询记录附件中，记录结束针对个案出具处理意见。</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10、要求咨询师可以进行危机干预管理，支持咨询师对个案进行专业的危机干预。要求系统预设自杀危险性、自伤危险性、攻击危险性以及危险性评估结论评估模板，支持咨询师选择首要危机问题类型以及危机处理方案等，便于咨询师对个案进行相应精准评估，当选择“通知院系”后，系统自动将咨询师填写的中心建议推送到院系管理员首界面，实现中心与院系的紧密联动。</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五、学校管理员端功能要求</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1、平台为公众用户提供心理科普内容，具有心理文章栏管理功能。管理员可对心理自助资源进行管理，可添加心理文章信息，上传资源文件和内容。</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2、要求平台具有活动信息功能，管理员可在线发布活动信息，学生选择相应的活动进行在线报名，报名记录详细列表呈现，支持导出报名学生名单。</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要求平台支持自主添加测评量表，可对量表名称、题目、选项、计分、因子公式、维度解释、预警范围等进行自主管理。提供原始分与标准分数据转换输入功能。支持T分、Z分、标准10分、标准20分以及自定义性别、年龄范围条件的分值转换。量表添加模版完全采用“所见即所得”的设计规范。系统支持添加单选题目，具有题目排序功能，可通过鼠标拖曳变换题目排列次序。</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4、要求平台具有系统管理功能，管理员可进行微信配置管理，系统提供详细的操作流程帮助管理员实现微信二维码上传用于微信登录，微信登录后可开启预约信息提醒功能，实现预约信息实时同步。</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要求平台具有个性化设计功能，学生端及移动端支持首页banner自定义设计，学校可根据新学期、校庆等不同时期的宣传需要进行图片设计呈现，更新过后学生端及移动端将同步更新，学生可及时了解学校信息。</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心理信箱</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1.材质要求：铁艺彩绘；</w:t>
            </w:r>
            <w:r>
              <w:rPr>
                <w:rFonts w:hint="eastAsia" w:ascii="宋体" w:hAnsi="宋体" w:cs="宋体"/>
                <w:color w:val="auto"/>
                <w:sz w:val="24"/>
                <w:highlight w:val="none"/>
              </w:rPr>
              <w:br w:type="textWrapping"/>
            </w:r>
            <w:r>
              <w:rPr>
                <w:rFonts w:hint="eastAsia" w:ascii="宋体" w:hAnsi="宋体" w:cs="宋体"/>
                <w:color w:val="auto"/>
                <w:sz w:val="24"/>
                <w:highlight w:val="none"/>
              </w:rPr>
              <w:t>2.整体尺寸：≥35cm*30cm*12cm（高*宽*厚）；</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办公桌椅</w:t>
            </w:r>
          </w:p>
        </w:tc>
        <w:tc>
          <w:tcPr>
            <w:tcW w:w="2392" w:type="pct"/>
            <w:shd w:val="clear" w:color="auto" w:fill="auto"/>
            <w:vAlign w:val="center"/>
          </w:tcPr>
          <w:p>
            <w:pPr>
              <w:widowControl/>
              <w:numPr>
                <w:ilvl w:val="0"/>
                <w:numId w:val="4"/>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桌：尺寸：≥1400*760*600mm；材质：应至少采用三聚氰胺高密度板；功能要求：带储藏柜，台面面板厚度≥25mm。</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2.椅子：人体工学椅；材质：网布；功能要求：椅背功能，扶手功能。</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饮水机</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1.要求:温热/冰热 ；颜色：可定制；外观:立式；2.尺寸：≥280*255*850（mm）</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心理挂图</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1.尺寸：≥50*70cm；材质要求：后背板材质：木纤维，内芯材质：高清相纸。白色边框，高级松木，高密度贴纸后挡板、高透度聚苯乙烯塑料。</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2.高清喷图画面；</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3.实木加厚相框，宽度、厚度2厘米；</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4.弓形扣拨片替换铁片，方便更换照片；</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5.相框挂墙可随意横竖使用；</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6.配件：无痕钉、S挂钩。</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7.要求：与房间设计风格相符合，提供不同主题挂图，制作前沟通图片内容、尺寸、可根据具体情况定制。</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28</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接待组合沙发</w:t>
            </w:r>
          </w:p>
        </w:tc>
        <w:tc>
          <w:tcPr>
            <w:tcW w:w="2392" w:type="pct"/>
            <w:shd w:val="clear" w:color="auto" w:fill="auto"/>
            <w:vAlign w:val="center"/>
          </w:tcPr>
          <w:p>
            <w:pPr>
              <w:widowControl/>
              <w:numPr>
                <w:ilvl w:val="0"/>
                <w:numId w:val="5"/>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尺寸：双人≥1400*740*560mm单人≥73*76*90cm</w:t>
            </w:r>
          </w:p>
          <w:p>
            <w:pPr>
              <w:widowControl/>
              <w:numPr>
                <w:ilvl w:val="0"/>
                <w:numId w:val="5"/>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材质要求：布艺海绵沙发、可拆洗，实木框架；</w:t>
            </w:r>
          </w:p>
          <w:p>
            <w:pPr>
              <w:widowControl/>
              <w:numPr>
                <w:ilvl w:val="255"/>
                <w:numId w:val="0"/>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3.颜色：应与功能室环境相匹配。</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7</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长条茶几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1.尺寸：≥1300*700mm；</w:t>
            </w:r>
            <w:r>
              <w:rPr>
                <w:rFonts w:hint="eastAsia" w:ascii="宋体" w:hAnsi="宋体" w:cs="宋体"/>
                <w:color w:val="auto"/>
                <w:sz w:val="24"/>
                <w:highlight w:val="none"/>
              </w:rPr>
              <w:br w:type="textWrapping"/>
            </w:r>
            <w:r>
              <w:rPr>
                <w:rFonts w:hint="eastAsia" w:ascii="宋体" w:hAnsi="宋体" w:cs="宋体"/>
                <w:color w:val="auto"/>
                <w:sz w:val="24"/>
                <w:highlight w:val="none"/>
              </w:rPr>
              <w:t>2.材质：应采用复合实木或玻璃面；</w:t>
            </w:r>
            <w:r>
              <w:rPr>
                <w:rFonts w:hint="eastAsia" w:ascii="宋体" w:hAnsi="宋体" w:cs="宋体"/>
                <w:color w:val="auto"/>
                <w:sz w:val="24"/>
                <w:highlight w:val="none"/>
              </w:rPr>
              <w:br w:type="textWrapping"/>
            </w:r>
            <w:r>
              <w:rPr>
                <w:rFonts w:hint="eastAsia" w:ascii="宋体" w:hAnsi="宋体" w:cs="宋体"/>
                <w:color w:val="auto"/>
                <w:sz w:val="24"/>
                <w:highlight w:val="none"/>
              </w:rPr>
              <w:t>3.色系：根据功能室环境搭配。</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8</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预约接待室功能改造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改造要求：需营造出温馨舒适的感觉、应满足心理学相关要求；</w:t>
            </w:r>
            <w:r>
              <w:rPr>
                <w:rFonts w:hint="eastAsia" w:ascii="宋体" w:hAnsi="宋体" w:cs="宋体"/>
                <w:color w:val="auto"/>
                <w:sz w:val="24"/>
                <w:highlight w:val="none"/>
              </w:rPr>
              <w:br w:type="textWrapping"/>
            </w:r>
            <w:r>
              <w:rPr>
                <w:rFonts w:hint="eastAsia" w:ascii="宋体" w:hAnsi="宋体" w:cs="宋体"/>
                <w:color w:val="auto"/>
                <w:sz w:val="24"/>
                <w:highlight w:val="none"/>
              </w:rPr>
              <w:t>1、吊顶：需设计造型吊顶,灯光照明设备等；</w:t>
            </w:r>
            <w:r>
              <w:rPr>
                <w:rFonts w:hint="eastAsia" w:ascii="宋体" w:hAnsi="宋体" w:cs="宋体"/>
                <w:color w:val="auto"/>
                <w:sz w:val="24"/>
                <w:highlight w:val="none"/>
              </w:rPr>
              <w:br w:type="textWrapping"/>
            </w:r>
            <w:r>
              <w:rPr>
                <w:rFonts w:hint="eastAsia" w:ascii="宋体" w:hAnsi="宋体" w:cs="宋体"/>
                <w:color w:val="auto"/>
                <w:sz w:val="24"/>
                <w:highlight w:val="none"/>
              </w:rPr>
              <w:t>2、墙面：要求采用环保无污染乳胶漆；</w:t>
            </w:r>
            <w:r>
              <w:rPr>
                <w:rFonts w:hint="eastAsia" w:ascii="宋体" w:hAnsi="宋体" w:cs="宋体"/>
                <w:color w:val="auto"/>
                <w:sz w:val="24"/>
                <w:highlight w:val="none"/>
              </w:rPr>
              <w:br w:type="textWrapping"/>
            </w:r>
            <w:r>
              <w:rPr>
                <w:rFonts w:hint="eastAsia" w:ascii="宋体" w:hAnsi="宋体" w:cs="宋体"/>
                <w:color w:val="auto"/>
                <w:sz w:val="24"/>
                <w:highlight w:val="none"/>
              </w:rPr>
              <w:t>3、窗帘：要求采用棉麻布艺材质，颜色应与功能室环境相匹配；</w:t>
            </w:r>
            <w:r>
              <w:rPr>
                <w:rFonts w:hint="eastAsia" w:ascii="宋体" w:hAnsi="宋体" w:cs="宋体"/>
                <w:color w:val="auto"/>
                <w:sz w:val="24"/>
                <w:highlight w:val="none"/>
              </w:rPr>
              <w:br w:type="textWrapping"/>
            </w:r>
            <w:r>
              <w:rPr>
                <w:rFonts w:hint="eastAsia" w:ascii="宋体" w:hAnsi="宋体" w:cs="宋体"/>
                <w:color w:val="auto"/>
                <w:sz w:val="24"/>
                <w:highlight w:val="none"/>
              </w:rPr>
              <w:t>4、其它：应根据功能室功能需求，含门、纱窗更换，强弱电改造，隔断墙，木地板等。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9</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档案柜</w:t>
            </w:r>
          </w:p>
        </w:tc>
        <w:tc>
          <w:tcPr>
            <w:tcW w:w="2392" w:type="pct"/>
            <w:shd w:val="clear" w:color="auto" w:fill="auto"/>
            <w:vAlign w:val="center"/>
          </w:tcPr>
          <w:p>
            <w:pPr>
              <w:widowControl/>
              <w:numPr>
                <w:ilvl w:val="0"/>
                <w:numId w:val="6"/>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 xml:space="preserve">尺寸：≥1800mm*850mm*390mm </w:t>
            </w:r>
          </w:p>
          <w:p>
            <w:pPr>
              <w:widowControl/>
              <w:numPr>
                <w:ilvl w:val="0"/>
                <w:numId w:val="6"/>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功能：用于存放中心的办公文件、资料以及学生心理档案等。要求上下两层，上部玻璃门,内置活动搁板二块；下部对开门,内置活动搁板一块；</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10</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办公桌椅</w:t>
            </w:r>
          </w:p>
        </w:tc>
        <w:tc>
          <w:tcPr>
            <w:tcW w:w="2392" w:type="pct"/>
            <w:shd w:val="clear" w:color="auto" w:fill="auto"/>
            <w:vAlign w:val="center"/>
          </w:tcPr>
          <w:p>
            <w:pPr>
              <w:widowControl/>
              <w:numPr>
                <w:ilvl w:val="0"/>
                <w:numId w:val="7"/>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桌：尺寸：≥1400*760*600mm；材质：应至少采用三聚氰胺高密度板；功能要求：带储藏柜，台面面板厚度≥25mm。</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2.椅子：人体工学椅；材质：网布；功能要求：椅背功能，扶手功能。</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11</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配套辅助设备</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1.含：办公桌椅*1套、衣架*1个、录音电话机*1个、液晶壁挂显示屏*1个</w:t>
            </w:r>
            <w:r>
              <w:rPr>
                <w:rFonts w:hint="eastAsia" w:ascii="宋体" w:hAnsi="宋体" w:cs="宋体"/>
                <w:color w:val="auto"/>
                <w:sz w:val="24"/>
                <w:highlight w:val="none"/>
              </w:rPr>
              <w:br w:type="textWrapping"/>
            </w:r>
            <w:r>
              <w:rPr>
                <w:rFonts w:hint="eastAsia" w:ascii="宋体" w:hAnsi="宋体" w:cs="宋体"/>
                <w:color w:val="auto"/>
                <w:sz w:val="24"/>
                <w:highlight w:val="none"/>
              </w:rPr>
              <w:t>2.办公桌椅：功能：用于教师办公及训练测评；弓形支架设计，加绒复合网布；8cm加厚原生海绵坐垫。</w:t>
            </w:r>
            <w:r>
              <w:rPr>
                <w:rFonts w:hint="eastAsia" w:ascii="宋体" w:hAnsi="宋体" w:cs="宋体"/>
                <w:color w:val="auto"/>
                <w:sz w:val="24"/>
                <w:highlight w:val="none"/>
              </w:rPr>
              <w:br w:type="textWrapping"/>
            </w:r>
            <w:r>
              <w:rPr>
                <w:rFonts w:hint="eastAsia" w:ascii="宋体" w:hAnsi="宋体" w:cs="宋体"/>
                <w:color w:val="auto"/>
                <w:sz w:val="24"/>
                <w:highlight w:val="none"/>
              </w:rPr>
              <w:t>3.衣架：环保无污染，木质材质；高度至少不低于1750mm，圆盘底座；</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4.录音电话机：带来电显示，在设置时间内无人接听，系统将自动接通来电并播放提示音，开启录音功能。</w:t>
            </w:r>
            <w:r>
              <w:rPr>
                <w:rFonts w:hint="eastAsia" w:ascii="宋体" w:hAnsi="宋体" w:cs="宋体"/>
                <w:color w:val="auto"/>
                <w:sz w:val="24"/>
                <w:highlight w:val="none"/>
              </w:rPr>
              <w:br w:type="textWrapping"/>
            </w:r>
            <w:r>
              <w:rPr>
                <w:rFonts w:hint="eastAsia" w:ascii="宋体" w:hAnsi="宋体" w:cs="宋体"/>
                <w:color w:val="auto"/>
                <w:sz w:val="24"/>
                <w:highlight w:val="none"/>
              </w:rPr>
              <w:t>5.液晶壁挂显示屏：</w:t>
            </w:r>
            <w:r>
              <w:rPr>
                <w:rFonts w:hint="eastAsia" w:ascii="宋体" w:hAnsi="宋体" w:cs="宋体"/>
                <w:color w:val="auto"/>
                <w:sz w:val="24"/>
                <w:highlight w:val="none"/>
              </w:rPr>
              <w:br w:type="textWrapping"/>
            </w:r>
            <w:r>
              <w:rPr>
                <w:rFonts w:hint="eastAsia" w:ascii="宋体" w:hAnsi="宋体" w:cs="宋体"/>
                <w:color w:val="auto"/>
                <w:sz w:val="24"/>
                <w:highlight w:val="none"/>
              </w:rPr>
              <w:t>5.1尺寸≥18.5寸  显示比例16:9  电源输入内置电源，AC90-250V,50/60Hz</w:t>
            </w:r>
            <w:r>
              <w:rPr>
                <w:rFonts w:hint="eastAsia" w:ascii="宋体" w:hAnsi="宋体" w:cs="宋体"/>
                <w:color w:val="auto"/>
                <w:sz w:val="24"/>
                <w:highlight w:val="none"/>
              </w:rPr>
              <w:br w:type="textWrapping"/>
            </w:r>
            <w:r>
              <w:rPr>
                <w:rFonts w:hint="eastAsia" w:ascii="宋体" w:hAnsi="宋体" w:cs="宋体"/>
                <w:color w:val="auto"/>
                <w:sz w:val="24"/>
                <w:highlight w:val="none"/>
              </w:rPr>
              <w:t>5.2功能要求：</w:t>
            </w:r>
            <w:r>
              <w:rPr>
                <w:rFonts w:hint="eastAsia" w:ascii="宋体" w:hAnsi="宋体" w:cs="宋体"/>
                <w:color w:val="auto"/>
                <w:sz w:val="24"/>
                <w:highlight w:val="none"/>
              </w:rPr>
              <w:br w:type="textWrapping"/>
            </w:r>
            <w:r>
              <w:rPr>
                <w:rFonts w:hint="eastAsia" w:ascii="宋体" w:hAnsi="宋体" w:cs="宋体"/>
                <w:color w:val="auto"/>
                <w:sz w:val="24"/>
                <w:highlight w:val="none"/>
              </w:rPr>
              <w:t>5.2.1铝型材拉丝窄边框结构设计，全金属外壳，防静电、防磁场、防干扰、无辐射；</w:t>
            </w:r>
            <w:r>
              <w:rPr>
                <w:rFonts w:hint="eastAsia" w:ascii="宋体" w:hAnsi="宋体" w:cs="宋体"/>
                <w:color w:val="auto"/>
                <w:sz w:val="24"/>
                <w:highlight w:val="none"/>
              </w:rPr>
              <w:br w:type="textWrapping"/>
            </w:r>
            <w:r>
              <w:rPr>
                <w:rFonts w:hint="eastAsia" w:ascii="宋体" w:hAnsi="宋体" w:cs="宋体"/>
                <w:color w:val="auto"/>
                <w:sz w:val="24"/>
                <w:highlight w:val="none"/>
              </w:rPr>
              <w:t>5.2.2内置立体声环绕音响，采用高品质音频电容和低噪音魔音音效技术；</w:t>
            </w:r>
            <w:r>
              <w:rPr>
                <w:rFonts w:hint="eastAsia" w:ascii="宋体" w:hAnsi="宋体" w:cs="宋体"/>
                <w:color w:val="auto"/>
                <w:sz w:val="24"/>
                <w:highlight w:val="none"/>
              </w:rPr>
              <w:br w:type="textWrapping"/>
            </w:r>
            <w:r>
              <w:rPr>
                <w:rFonts w:hint="eastAsia" w:ascii="宋体" w:hAnsi="宋体" w:cs="宋体"/>
                <w:color w:val="auto"/>
                <w:sz w:val="24"/>
                <w:highlight w:val="none"/>
              </w:rPr>
              <w:t>5.2.3超长寿命，性能稳定，使用寿命至少不少于6 万小时以上，全年能 7*24 小时不间断工作；</w:t>
            </w:r>
            <w:r>
              <w:rPr>
                <w:rFonts w:hint="eastAsia" w:ascii="宋体" w:hAnsi="宋体" w:cs="宋体"/>
                <w:color w:val="auto"/>
                <w:sz w:val="24"/>
                <w:highlight w:val="none"/>
              </w:rPr>
              <w:br w:type="textWrapping"/>
            </w:r>
            <w:r>
              <w:rPr>
                <w:rFonts w:hint="eastAsia" w:ascii="宋体" w:hAnsi="宋体" w:cs="宋体"/>
                <w:color w:val="auto"/>
                <w:sz w:val="24"/>
                <w:highlight w:val="none"/>
              </w:rPr>
              <w:t>5.2.4采用专用工业级液晶屏；高亮度、高对比度、高清晰度，保证图像显示不变形，无失真；</w:t>
            </w:r>
            <w:r>
              <w:rPr>
                <w:rFonts w:hint="eastAsia" w:ascii="宋体" w:hAnsi="宋体" w:cs="宋体"/>
                <w:color w:val="auto"/>
                <w:sz w:val="24"/>
                <w:highlight w:val="none"/>
              </w:rPr>
              <w:br w:type="textWrapping"/>
            </w:r>
            <w:r>
              <w:rPr>
                <w:rFonts w:hint="eastAsia" w:ascii="宋体" w:hAnsi="宋体" w:cs="宋体"/>
                <w:color w:val="auto"/>
                <w:sz w:val="24"/>
                <w:highlight w:val="none"/>
              </w:rPr>
              <w:t>5.2.5采用最新 3D 数字滤波和 3D 数字降噪技术；</w:t>
            </w:r>
            <w:r>
              <w:rPr>
                <w:rFonts w:hint="eastAsia" w:ascii="宋体" w:hAnsi="宋体" w:cs="宋体"/>
                <w:color w:val="auto"/>
                <w:sz w:val="24"/>
                <w:highlight w:val="none"/>
              </w:rPr>
              <w:br w:type="textWrapping"/>
            </w:r>
            <w:r>
              <w:rPr>
                <w:rFonts w:hint="eastAsia" w:ascii="宋体" w:hAnsi="宋体" w:cs="宋体"/>
                <w:color w:val="auto"/>
                <w:sz w:val="24"/>
                <w:highlight w:val="none"/>
              </w:rPr>
              <w:t>5.2.6 5ms快速响应时间，去除画面拖影，自动消除残影功能。</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12</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心理测评室基础改造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1.改造要求：需营造出温馨舒适的感觉、应满足心理学相关要求，材料要环保无毒。</w:t>
            </w:r>
            <w:r>
              <w:rPr>
                <w:rFonts w:hint="eastAsia" w:ascii="宋体" w:hAnsi="宋体" w:cs="宋体"/>
                <w:color w:val="auto"/>
                <w:sz w:val="24"/>
                <w:highlight w:val="none"/>
              </w:rPr>
              <w:br w:type="textWrapping"/>
            </w:r>
            <w:r>
              <w:rPr>
                <w:rFonts w:hint="eastAsia" w:ascii="宋体" w:hAnsi="宋体" w:cs="宋体"/>
                <w:color w:val="auto"/>
                <w:sz w:val="24"/>
                <w:highlight w:val="none"/>
              </w:rPr>
              <w:t>2.吊顶：需设计造型吊顶,灯光照明设备等；</w:t>
            </w:r>
            <w:r>
              <w:rPr>
                <w:rFonts w:hint="eastAsia" w:ascii="宋体" w:hAnsi="宋体" w:cs="宋体"/>
                <w:color w:val="auto"/>
                <w:sz w:val="24"/>
                <w:highlight w:val="none"/>
              </w:rPr>
              <w:br w:type="textWrapping"/>
            </w:r>
            <w:r>
              <w:rPr>
                <w:rFonts w:hint="eastAsia" w:ascii="宋体" w:hAnsi="宋体" w:cs="宋体"/>
                <w:color w:val="auto"/>
                <w:sz w:val="24"/>
                <w:highlight w:val="none"/>
              </w:rPr>
              <w:t>3.墙面：要求采用环保无污染乳胶漆；</w:t>
            </w:r>
            <w:r>
              <w:rPr>
                <w:rFonts w:hint="eastAsia" w:ascii="宋体" w:hAnsi="宋体" w:cs="宋体"/>
                <w:color w:val="auto"/>
                <w:sz w:val="24"/>
                <w:highlight w:val="none"/>
              </w:rPr>
              <w:br w:type="textWrapping"/>
            </w:r>
            <w:r>
              <w:rPr>
                <w:rFonts w:hint="eastAsia" w:ascii="宋体" w:hAnsi="宋体" w:cs="宋体"/>
                <w:color w:val="auto"/>
                <w:sz w:val="24"/>
                <w:highlight w:val="none"/>
              </w:rPr>
              <w:t>4.窗帘：要求采用棉麻布艺材质，颜色应与功能室环境相匹配；</w:t>
            </w:r>
            <w:r>
              <w:rPr>
                <w:rFonts w:hint="eastAsia" w:ascii="宋体" w:hAnsi="宋体" w:cs="宋体"/>
                <w:color w:val="auto"/>
                <w:sz w:val="24"/>
                <w:highlight w:val="none"/>
              </w:rPr>
              <w:br w:type="textWrapping"/>
            </w:r>
            <w:r>
              <w:rPr>
                <w:rFonts w:hint="eastAsia" w:ascii="宋体" w:hAnsi="宋体" w:cs="宋体"/>
                <w:color w:val="auto"/>
                <w:sz w:val="24"/>
                <w:highlight w:val="none"/>
              </w:rPr>
              <w:t>5.其它：应根据功能室功能需求，含门、窗纱更换，强弱电改造，隔断墙，木地板等。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13</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个体咨询沙发</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1.配置：单人位沙发2张、圆桌1张</w:t>
            </w:r>
            <w:r>
              <w:rPr>
                <w:rFonts w:hint="eastAsia" w:ascii="宋体" w:hAnsi="宋体" w:cs="宋体"/>
                <w:color w:val="auto"/>
                <w:sz w:val="24"/>
                <w:highlight w:val="none"/>
              </w:rPr>
              <w:br w:type="textWrapping"/>
            </w:r>
            <w:r>
              <w:rPr>
                <w:rFonts w:hint="eastAsia" w:ascii="宋体" w:hAnsi="宋体" w:cs="宋体"/>
                <w:color w:val="auto"/>
                <w:sz w:val="24"/>
                <w:highlight w:val="none"/>
              </w:rPr>
              <w:t>2.咨询沙发：要求承重力强，纹理清晰，原木色脚。棉麻面料，内填充海绵软硬适中回弹力足，布纹清晰有条理，透气性好，耐磨抗皱。</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14</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房树人心理测验系统</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1.相配套的测验桌椅1套。</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2.系统支持多级用户及多级管理功能，不同用户可以调置不同的管理权限。</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3.具有HTP测试分析操作功能，支持导入作品照片，提供便捷的测试分析操作，可进行内容分析和形式分析。分析完毕即可生成测试分析报告，支持对测试报告进行重新分析。</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4.测验后生成的测验报告，不仅包含了被测者的基础信息、还具有实验特征描述、人格特征描述以及测验结论等，并允许管理员根据测试者的情况自行编辑报告内容及评语等。</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5.支持自定义测试分析项目，支持自主添加新的分析项目，可编辑参考图例、项目名称、分析内容等。确保软件专业性与HTP技术的发展同步。</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6.具有HTP档案管理功能，系统将自动的对该用户进行同步建档，可对测试档案进行查询操作，可查看人员的多份测试报告，支持报告的批量导出或在线打印。</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7.系统包含人格分析模块，可以让管理员学习和了解各种人格的分类及特点。</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8.系统除支持标准纸质测试外，还允许测试者通过在线绘画工具进行在线绘制。</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9.色彩倾向模块，系统提供十余种不同的色彩模块供管理员自主学习使用。</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10.在线咨询模块，系统提供在线咨询模块可以方便用户和管理员建立有效的沟通机制。</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★11.系统可实时监测来访者操作过程中的目光注视，面部表情，肢体动作，身体语言，声音特质，空间距离，操作流程，情绪状态等细节。</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12.系统支持在线抓拍功能，可以将来访者在活动过程时时进行拍照保存。同时，系统支持同步保存功能，可将设备摄制相关资料上传于系统中，方便治疗师进行前后对比，数据分析等。</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★13.软件服务器端支持一键快速安装，无需其他任何数据库和服务器配置，装完即可使用，软件可运行于台式机、笔记本电脑、触摸互动一体机、手机等硬件平台上。</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14. 可以批量导入生成账号以及机构信息；B/S架构，响应式网站，支持百人以上并发访问，同网内可以在不同平台（台式机、平板、手机）上同时登录使用，能够实现批量的心理特质状态筛查。</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15.软件中可以进行数据备份和数据还原，增加了安全系数,软件可安装应用于Windows系列版本上。</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无声挂钟</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1.简约北欧风，静音，形状、颜色可定制。</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12</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16</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个体辅导室1基础改造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1.改造要求：需营造出温馨舒适的感觉、应满足心理学相关要求；材料要环保无毒。</w:t>
            </w:r>
            <w:r>
              <w:rPr>
                <w:rFonts w:hint="eastAsia" w:ascii="宋体" w:hAnsi="宋体" w:cs="宋体"/>
                <w:color w:val="auto"/>
                <w:sz w:val="24"/>
                <w:highlight w:val="none"/>
              </w:rPr>
              <w:br w:type="textWrapping"/>
            </w:r>
            <w:r>
              <w:rPr>
                <w:rFonts w:hint="eastAsia" w:ascii="宋体" w:hAnsi="宋体" w:cs="宋体"/>
                <w:color w:val="auto"/>
                <w:sz w:val="24"/>
                <w:highlight w:val="none"/>
              </w:rPr>
              <w:t>2.吊顶：需设计造型吊顶,灯光照明设备等；</w:t>
            </w:r>
            <w:r>
              <w:rPr>
                <w:rFonts w:hint="eastAsia" w:ascii="宋体" w:hAnsi="宋体" w:cs="宋体"/>
                <w:color w:val="auto"/>
                <w:sz w:val="24"/>
                <w:highlight w:val="none"/>
              </w:rPr>
              <w:br w:type="textWrapping"/>
            </w:r>
            <w:r>
              <w:rPr>
                <w:rFonts w:hint="eastAsia" w:ascii="宋体" w:hAnsi="宋体" w:cs="宋体"/>
                <w:color w:val="auto"/>
                <w:sz w:val="24"/>
                <w:highlight w:val="none"/>
              </w:rPr>
              <w:t>3.墙面：要求采用环保无污染乳胶漆；</w:t>
            </w:r>
            <w:r>
              <w:rPr>
                <w:rFonts w:hint="eastAsia" w:ascii="宋体" w:hAnsi="宋体" w:cs="宋体"/>
                <w:color w:val="auto"/>
                <w:sz w:val="24"/>
                <w:highlight w:val="none"/>
              </w:rPr>
              <w:br w:type="textWrapping"/>
            </w:r>
            <w:r>
              <w:rPr>
                <w:rFonts w:hint="eastAsia" w:ascii="宋体" w:hAnsi="宋体" w:cs="宋体"/>
                <w:color w:val="auto"/>
                <w:sz w:val="24"/>
                <w:highlight w:val="none"/>
              </w:rPr>
              <w:t>4.窗帘：要求采用棉麻布艺材质，颜色应与功能室环境相匹配；</w:t>
            </w:r>
            <w:r>
              <w:rPr>
                <w:rFonts w:hint="eastAsia" w:ascii="宋体" w:hAnsi="宋体" w:cs="宋体"/>
                <w:color w:val="auto"/>
                <w:sz w:val="24"/>
                <w:highlight w:val="none"/>
              </w:rPr>
              <w:br w:type="textWrapping"/>
            </w:r>
            <w:r>
              <w:rPr>
                <w:rFonts w:hint="eastAsia" w:ascii="宋体" w:hAnsi="宋体" w:cs="宋体"/>
                <w:color w:val="auto"/>
                <w:sz w:val="24"/>
                <w:highlight w:val="none"/>
              </w:rPr>
              <w:t>5.其它：应根据功能室功能需求，含门、窗纱更换，强弱电改造，隔断墙，木地板等。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17</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智能身心反馈系统</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1、系统集生理指标监控、情绪评估、身心状态调节、情绪稳定性训练为一体。至少包括调节训练、数据中心2大模块；</w:t>
            </w:r>
            <w:r>
              <w:rPr>
                <w:rFonts w:hint="eastAsia" w:ascii="宋体" w:hAnsi="宋体" w:cs="宋体"/>
                <w:color w:val="auto"/>
                <w:sz w:val="24"/>
                <w:highlight w:val="none"/>
              </w:rPr>
              <w:br w:type="textWrapping"/>
            </w:r>
            <w:r>
              <w:rPr>
                <w:rFonts w:hint="eastAsia" w:ascii="宋体" w:hAnsi="宋体" w:cs="宋体"/>
                <w:color w:val="auto"/>
                <w:sz w:val="24"/>
                <w:highlight w:val="none"/>
              </w:rPr>
              <w:t>2、系统具有管理员管理功能，可以修改密码以及添加用户、用户信息修改、用户查询、删除用户等几项操作；</w:t>
            </w:r>
            <w:r>
              <w:rPr>
                <w:rFonts w:hint="eastAsia" w:ascii="宋体" w:hAnsi="宋体" w:cs="宋体"/>
                <w:color w:val="auto"/>
                <w:sz w:val="24"/>
                <w:highlight w:val="none"/>
              </w:rPr>
              <w:br w:type="textWrapping"/>
            </w:r>
            <w:r>
              <w:rPr>
                <w:rFonts w:hint="eastAsia" w:ascii="宋体" w:hAnsi="宋体" w:cs="宋体"/>
                <w:color w:val="auto"/>
                <w:sz w:val="24"/>
                <w:highlight w:val="none"/>
              </w:rPr>
              <w:t>3、调节训练模块同时至少包含“放松训练”、“音乐调适”、“自主调节”3个模块；</w:t>
            </w:r>
            <w:r>
              <w:rPr>
                <w:rFonts w:hint="eastAsia" w:ascii="宋体" w:hAnsi="宋体" w:cs="宋体"/>
                <w:color w:val="auto"/>
                <w:sz w:val="24"/>
                <w:highlight w:val="none"/>
              </w:rPr>
              <w:br w:type="textWrapping"/>
            </w:r>
            <w:r>
              <w:rPr>
                <w:rFonts w:hint="eastAsia" w:ascii="宋体" w:hAnsi="宋体" w:cs="宋体"/>
                <w:color w:val="auto"/>
                <w:sz w:val="24"/>
                <w:highlight w:val="none"/>
              </w:rPr>
              <w:t>4、放松训练模块：至少提供肌肉放松方法1种、呼吸放松方法1种、想象放松场景3种；</w:t>
            </w:r>
            <w:r>
              <w:rPr>
                <w:rFonts w:hint="eastAsia" w:ascii="宋体" w:hAnsi="宋体" w:cs="宋体"/>
                <w:color w:val="auto"/>
                <w:sz w:val="24"/>
                <w:highlight w:val="none"/>
              </w:rPr>
              <w:br w:type="textWrapping"/>
            </w:r>
            <w:r>
              <w:rPr>
                <w:rFonts w:hint="eastAsia" w:ascii="宋体" w:hAnsi="宋体" w:cs="宋体"/>
                <w:color w:val="auto"/>
                <w:sz w:val="24"/>
                <w:highlight w:val="none"/>
              </w:rPr>
              <w:t>5、音乐调适模块：要求依据用户的个性类型以及情绪状态2个维度来提供音乐调适内容，且至少12种个性类型，5种不同情绪状态的音乐，同时具有自由欣赏模块，用户可自主添加音乐；</w:t>
            </w:r>
            <w:r>
              <w:rPr>
                <w:rFonts w:hint="eastAsia" w:ascii="宋体" w:hAnsi="宋体" w:cs="宋体"/>
                <w:color w:val="auto"/>
                <w:sz w:val="24"/>
                <w:highlight w:val="none"/>
              </w:rPr>
              <w:br w:type="textWrapping"/>
            </w:r>
            <w:r>
              <w:rPr>
                <w:rFonts w:hint="eastAsia" w:ascii="宋体" w:hAnsi="宋体" w:cs="宋体"/>
                <w:color w:val="auto"/>
                <w:sz w:val="24"/>
                <w:highlight w:val="none"/>
              </w:rPr>
              <w:t>6、自主调节模块：要求训练项目不能少于6个，并包含训练认知操作能力的项目，且每个训练项目应至少有3个难度等级，训练项目之间也是由易到难的逻辑关系，便于用户逐步提高其情绪控制能力，同时可以生成训练报告；</w:t>
            </w:r>
            <w:r>
              <w:rPr>
                <w:rFonts w:hint="eastAsia" w:ascii="宋体" w:hAnsi="宋体" w:cs="宋体"/>
                <w:color w:val="auto"/>
                <w:sz w:val="24"/>
                <w:highlight w:val="none"/>
              </w:rPr>
              <w:br w:type="textWrapping"/>
            </w:r>
            <w:r>
              <w:rPr>
                <w:rFonts w:hint="eastAsia" w:ascii="宋体" w:hAnsi="宋体" w:cs="宋体"/>
                <w:color w:val="auto"/>
                <w:sz w:val="24"/>
                <w:highlight w:val="none"/>
              </w:rPr>
              <w:t>7、数据中心模块可实现对档案的管理，包括用户对个人压力评估报告和调节训练报告的查看、导出、打印等，同时也可供用户修改个人信息，并进行自由欣赏的音乐管理；</w:t>
            </w:r>
            <w:r>
              <w:rPr>
                <w:rFonts w:hint="eastAsia" w:ascii="宋体" w:hAnsi="宋体" w:cs="宋体"/>
                <w:color w:val="auto"/>
                <w:sz w:val="24"/>
                <w:highlight w:val="none"/>
              </w:rPr>
              <w:br w:type="textWrapping"/>
            </w:r>
            <w:r>
              <w:rPr>
                <w:rFonts w:hint="eastAsia" w:ascii="宋体" w:hAnsi="宋体" w:cs="宋体"/>
                <w:color w:val="auto"/>
                <w:sz w:val="24"/>
                <w:highlight w:val="none"/>
              </w:rPr>
              <w:t>8、系统采用指夹式生理采集仪，同时至少采集包含心率、血氧饱和度、脉搏强度3个指标；</w:t>
            </w:r>
            <w:r>
              <w:rPr>
                <w:rFonts w:hint="eastAsia" w:ascii="宋体" w:hAnsi="宋体" w:cs="宋体"/>
                <w:color w:val="auto"/>
                <w:sz w:val="24"/>
                <w:highlight w:val="none"/>
              </w:rPr>
              <w:br w:type="textWrapping"/>
            </w:r>
            <w:r>
              <w:rPr>
                <w:rFonts w:hint="eastAsia" w:ascii="宋体" w:hAnsi="宋体" w:cs="宋体"/>
                <w:color w:val="auto"/>
                <w:sz w:val="24"/>
                <w:highlight w:val="none"/>
              </w:rPr>
              <w:t>9、新型太空舱理念设计，零重力按摩功能，自动将使用者腿部位置抬到高于心脏位置，达到舒心缓压的结果；</w:t>
            </w:r>
            <w:r>
              <w:rPr>
                <w:rFonts w:hint="eastAsia" w:ascii="宋体" w:hAnsi="宋体" w:cs="宋体"/>
                <w:color w:val="auto"/>
                <w:sz w:val="24"/>
                <w:highlight w:val="none"/>
              </w:rPr>
              <w:br w:type="textWrapping"/>
            </w:r>
            <w:r>
              <w:rPr>
                <w:rFonts w:hint="eastAsia" w:ascii="宋体" w:hAnsi="宋体" w:cs="宋体"/>
                <w:color w:val="auto"/>
                <w:sz w:val="24"/>
                <w:highlight w:val="none"/>
              </w:rPr>
              <w:t>10、人体工学设计，靠背柔软度AAA级，内置多个气囊，通过遥控器控制椅子的最佳姿势状态角度。满足训练者躺、仰、坐姿势，角度调节范围：靠背110度-180度，腿部90度-180度；</w:t>
            </w:r>
            <w:r>
              <w:rPr>
                <w:rFonts w:hint="eastAsia" w:ascii="宋体" w:hAnsi="宋体" w:cs="宋体"/>
                <w:color w:val="auto"/>
                <w:sz w:val="24"/>
                <w:highlight w:val="none"/>
              </w:rPr>
              <w:br w:type="textWrapping"/>
            </w:r>
            <w:r>
              <w:rPr>
                <w:rFonts w:hint="eastAsia" w:ascii="宋体" w:hAnsi="宋体" w:cs="宋体"/>
                <w:color w:val="auto"/>
                <w:sz w:val="24"/>
                <w:highlight w:val="none"/>
              </w:rPr>
              <w:t>11、配套移动机车1台，方便咨询师操作。机车ABS材质，带抽屉，尺寸：≥110CMx40CMx40CM左右，放置二合一带键盘平板电脑，生理采集仪等；</w:t>
            </w:r>
            <w:r>
              <w:rPr>
                <w:rFonts w:hint="eastAsia" w:ascii="宋体" w:hAnsi="宋体" w:cs="宋体"/>
                <w:color w:val="auto"/>
                <w:sz w:val="24"/>
                <w:highlight w:val="none"/>
              </w:rPr>
              <w:br w:type="textWrapping"/>
            </w:r>
            <w:r>
              <w:rPr>
                <w:rFonts w:hint="eastAsia" w:ascii="宋体" w:hAnsi="宋体" w:cs="宋体"/>
                <w:color w:val="auto"/>
                <w:sz w:val="24"/>
                <w:highlight w:val="none"/>
              </w:rPr>
              <w:t>11、产品配置</w:t>
            </w:r>
            <w:r>
              <w:rPr>
                <w:rFonts w:hint="eastAsia" w:ascii="宋体" w:hAnsi="宋体" w:cs="宋体"/>
                <w:color w:val="auto"/>
                <w:sz w:val="24"/>
                <w:highlight w:val="none"/>
              </w:rPr>
              <w:br w:type="textWrapping"/>
            </w:r>
            <w:r>
              <w:rPr>
                <w:rFonts w:hint="eastAsia" w:ascii="宋体" w:hAnsi="宋体" w:cs="宋体"/>
                <w:color w:val="auto"/>
                <w:sz w:val="24"/>
                <w:highlight w:val="none"/>
              </w:rPr>
              <w:t>音乐按摩椅1台、心理反馈系统1套、二合一平板（≥11.6寸，8G内存，128G固态硬盘）、指夹式生理采集仪1套、移动工作台1套、工具包1套、说明书1份。</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18</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智能身心反馈放松室基础改造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1.改造要求：需营造出温馨舒适的感觉、应满足心理学相关要求；</w:t>
            </w:r>
            <w:r>
              <w:rPr>
                <w:rFonts w:hint="eastAsia" w:ascii="宋体" w:hAnsi="宋体" w:cs="宋体"/>
                <w:color w:val="auto"/>
                <w:sz w:val="24"/>
                <w:highlight w:val="none"/>
              </w:rPr>
              <w:br w:type="textWrapping"/>
            </w:r>
            <w:r>
              <w:rPr>
                <w:rFonts w:hint="eastAsia" w:ascii="宋体" w:hAnsi="宋体" w:cs="宋体"/>
                <w:color w:val="auto"/>
                <w:sz w:val="24"/>
                <w:highlight w:val="none"/>
              </w:rPr>
              <w:t>2.吊顶：需设计造型吊顶,灯光照明设备等；</w:t>
            </w:r>
            <w:r>
              <w:rPr>
                <w:rFonts w:hint="eastAsia" w:ascii="宋体" w:hAnsi="宋体" w:cs="宋体"/>
                <w:color w:val="auto"/>
                <w:sz w:val="24"/>
                <w:highlight w:val="none"/>
              </w:rPr>
              <w:br w:type="textWrapping"/>
            </w:r>
            <w:r>
              <w:rPr>
                <w:rFonts w:hint="eastAsia" w:ascii="宋体" w:hAnsi="宋体" w:cs="宋体"/>
                <w:color w:val="auto"/>
                <w:sz w:val="24"/>
                <w:highlight w:val="none"/>
              </w:rPr>
              <w:t>3.墙面：要求采用环保无污染乳胶漆；</w:t>
            </w:r>
            <w:r>
              <w:rPr>
                <w:rFonts w:hint="eastAsia" w:ascii="宋体" w:hAnsi="宋体" w:cs="宋体"/>
                <w:color w:val="auto"/>
                <w:sz w:val="24"/>
                <w:highlight w:val="none"/>
              </w:rPr>
              <w:br w:type="textWrapping"/>
            </w:r>
            <w:r>
              <w:rPr>
                <w:rFonts w:hint="eastAsia" w:ascii="宋体" w:hAnsi="宋体" w:cs="宋体"/>
                <w:color w:val="auto"/>
                <w:sz w:val="24"/>
                <w:highlight w:val="none"/>
              </w:rPr>
              <w:t>4.窗帘：要求采用棉麻布艺材质，颜色应与功能室环境相匹配；</w:t>
            </w:r>
            <w:r>
              <w:rPr>
                <w:rFonts w:hint="eastAsia" w:ascii="宋体" w:hAnsi="宋体" w:cs="宋体"/>
                <w:color w:val="auto"/>
                <w:sz w:val="24"/>
                <w:highlight w:val="none"/>
              </w:rPr>
              <w:br w:type="textWrapping"/>
            </w:r>
            <w:r>
              <w:rPr>
                <w:rFonts w:hint="eastAsia" w:ascii="宋体" w:hAnsi="宋体" w:cs="宋体"/>
                <w:color w:val="auto"/>
                <w:sz w:val="24"/>
                <w:highlight w:val="none"/>
              </w:rPr>
              <w:t>5.其它：应根据功能室功能需求，含门、窗纱更换，强弱电改造，隔断墙，木地板等。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19</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体感音波治疗床</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一、硬件要求：</w:t>
            </w:r>
            <w:r>
              <w:rPr>
                <w:rFonts w:hint="eastAsia" w:ascii="宋体" w:hAnsi="宋体" w:cs="宋体"/>
                <w:color w:val="auto"/>
                <w:sz w:val="24"/>
                <w:highlight w:val="none"/>
              </w:rPr>
              <w:br w:type="textWrapping"/>
            </w:r>
            <w:r>
              <w:rPr>
                <w:rFonts w:hint="eastAsia" w:ascii="宋体" w:hAnsi="宋体" w:cs="宋体"/>
                <w:color w:val="auto"/>
                <w:sz w:val="24"/>
                <w:highlight w:val="none"/>
              </w:rPr>
              <w:t>1、应采用新型太空舱理念设计，零重力按摩功能，自动将使用者腿部位置抬到高于心脏位置，达到舒心缓压的结果；</w:t>
            </w:r>
            <w:r>
              <w:rPr>
                <w:rFonts w:hint="eastAsia" w:ascii="宋体" w:hAnsi="宋体" w:cs="宋体"/>
                <w:color w:val="auto"/>
                <w:sz w:val="24"/>
                <w:highlight w:val="none"/>
              </w:rPr>
              <w:br w:type="textWrapping"/>
            </w:r>
            <w:r>
              <w:rPr>
                <w:rFonts w:hint="eastAsia" w:ascii="宋体" w:hAnsi="宋体" w:cs="宋体"/>
                <w:color w:val="auto"/>
                <w:sz w:val="24"/>
                <w:highlight w:val="none"/>
              </w:rPr>
              <w:t>2、应符合人体工学设计，靠背柔软度应达到AAA级，内置多个气囊，通过遥控器控制椅子的最佳姿势状态角度。满足训练者躺、仰、坐姿势，角度调节范围：靠背110度-180度，腿部90度-180度；</w:t>
            </w:r>
            <w:r>
              <w:rPr>
                <w:rFonts w:hint="eastAsia" w:ascii="宋体" w:hAnsi="宋体" w:cs="宋体"/>
                <w:color w:val="auto"/>
                <w:sz w:val="24"/>
                <w:highlight w:val="none"/>
              </w:rPr>
              <w:br w:type="textWrapping"/>
            </w:r>
            <w:r>
              <w:rPr>
                <w:rFonts w:hint="eastAsia" w:ascii="宋体" w:hAnsi="宋体" w:cs="宋体"/>
                <w:color w:val="auto"/>
                <w:sz w:val="24"/>
                <w:highlight w:val="none"/>
              </w:rPr>
              <w:t>3、需配套移动台车1台，方便咨询师操作。台车应采用ABS材质，带抽屉，尺寸：不少于110CMx40CMx40CM，应配备采集设备终端1台，终端内应内置精神压力分析软件1套，生理采集设备1套等。</w:t>
            </w:r>
            <w:r>
              <w:rPr>
                <w:rFonts w:hint="eastAsia" w:ascii="宋体" w:hAnsi="宋体" w:cs="宋体"/>
                <w:color w:val="auto"/>
                <w:sz w:val="24"/>
                <w:highlight w:val="none"/>
              </w:rPr>
              <w:br w:type="textWrapping"/>
            </w:r>
            <w:r>
              <w:rPr>
                <w:rFonts w:hint="eastAsia" w:ascii="宋体" w:hAnsi="宋体" w:cs="宋体"/>
                <w:color w:val="auto"/>
                <w:sz w:val="24"/>
                <w:highlight w:val="none"/>
              </w:rPr>
              <w:t>二、软件技术要求：</w:t>
            </w:r>
            <w:r>
              <w:rPr>
                <w:rFonts w:hint="eastAsia" w:ascii="宋体" w:hAnsi="宋体" w:cs="宋体"/>
                <w:color w:val="auto"/>
                <w:sz w:val="24"/>
                <w:highlight w:val="none"/>
              </w:rPr>
              <w:br w:type="textWrapping"/>
            </w:r>
            <w:r>
              <w:rPr>
                <w:rFonts w:hint="eastAsia" w:ascii="宋体" w:hAnsi="宋体" w:cs="宋体"/>
                <w:color w:val="auto"/>
                <w:sz w:val="24"/>
                <w:highlight w:val="none"/>
              </w:rPr>
              <w:t>1、体质分析与报告：根据九大体质进行体质检测，并根据其体质类型给予相应的体质调理与训练方案；</w:t>
            </w:r>
            <w:r>
              <w:rPr>
                <w:rFonts w:hint="eastAsia" w:ascii="宋体" w:hAnsi="宋体" w:cs="宋体"/>
                <w:color w:val="auto"/>
                <w:sz w:val="24"/>
                <w:highlight w:val="none"/>
              </w:rPr>
              <w:br w:type="textWrapping"/>
            </w:r>
            <w:r>
              <w:rPr>
                <w:rFonts w:hint="eastAsia" w:ascii="宋体" w:hAnsi="宋体" w:cs="宋体"/>
                <w:color w:val="auto"/>
                <w:sz w:val="24"/>
                <w:highlight w:val="none"/>
              </w:rPr>
              <w:t>★2、精神压力分析功能：应自动化获取生理数据，应至少能直观展现：实时心率、血氧、脉搏波、加速度脉搏波、灌注指数、平衡指数、血管弹性指数、疲劳指数、抗压指数、压力指数、情绪指数等指标,采集结束后应给予压力管理指导建议，应自动匹配多种放松训练方案，训练完成后可自动生产训练报告，提供功能界面截图证明；</w:t>
            </w:r>
            <w:r>
              <w:rPr>
                <w:rFonts w:hint="eastAsia" w:ascii="宋体" w:hAnsi="宋体" w:cs="宋体"/>
                <w:color w:val="auto"/>
                <w:sz w:val="24"/>
                <w:highlight w:val="none"/>
              </w:rPr>
              <w:br w:type="textWrapping"/>
            </w:r>
            <w:r>
              <w:rPr>
                <w:rFonts w:hint="eastAsia" w:ascii="宋体" w:hAnsi="宋体" w:cs="宋体"/>
                <w:color w:val="auto"/>
                <w:sz w:val="24"/>
                <w:highlight w:val="none"/>
              </w:rPr>
              <w:t>3、精神压力报告：报告内容应至少包含：</w:t>
            </w:r>
            <w:r>
              <w:rPr>
                <w:rFonts w:hint="eastAsia" w:ascii="宋体" w:hAnsi="宋体" w:cs="宋体"/>
                <w:color w:val="auto"/>
                <w:sz w:val="24"/>
                <w:highlight w:val="none"/>
              </w:rPr>
              <w:br w:type="textWrapping"/>
            </w:r>
            <w:r>
              <w:rPr>
                <w:rFonts w:hint="eastAsia" w:ascii="宋体" w:hAnsi="宋体" w:cs="宋体"/>
                <w:color w:val="auto"/>
                <w:sz w:val="24"/>
                <w:highlight w:val="none"/>
              </w:rPr>
              <w:t>3.1 基本指标：心率、血氧饱和度、灌注指数、平衡指数、脉搏波、加速度脉搏波、心率变异性等；</w:t>
            </w:r>
            <w:r>
              <w:rPr>
                <w:rFonts w:hint="eastAsia" w:ascii="宋体" w:hAnsi="宋体" w:cs="宋体"/>
                <w:color w:val="auto"/>
                <w:sz w:val="24"/>
                <w:highlight w:val="none"/>
              </w:rPr>
              <w:br w:type="textWrapping"/>
            </w:r>
            <w:r>
              <w:rPr>
                <w:rFonts w:hint="eastAsia" w:ascii="宋体" w:hAnsi="宋体" w:cs="宋体"/>
                <w:color w:val="auto"/>
                <w:sz w:val="24"/>
                <w:highlight w:val="none"/>
              </w:rPr>
              <w:t>3.2 时域指标：RR_Mean、RR_SDNN、RR_RMSSD、RR_NN50、RR_CV、RR_DRR、RR_SDSD、RR_PNN50等；</w:t>
            </w:r>
            <w:r>
              <w:rPr>
                <w:rFonts w:hint="eastAsia" w:ascii="宋体" w:hAnsi="宋体" w:cs="宋体"/>
                <w:color w:val="auto"/>
                <w:sz w:val="24"/>
                <w:highlight w:val="none"/>
              </w:rPr>
              <w:br w:type="textWrapping"/>
            </w:r>
            <w:r>
              <w:rPr>
                <w:rFonts w:hint="eastAsia" w:ascii="宋体" w:hAnsi="宋体" w:cs="宋体"/>
                <w:color w:val="auto"/>
                <w:sz w:val="24"/>
                <w:highlight w:val="none"/>
              </w:rPr>
              <w:t>3.3频域指标: TP、VLF、LF、HF、LF/HF、LFnorm、HFnorm等；</w:t>
            </w:r>
            <w:r>
              <w:rPr>
                <w:rFonts w:hint="eastAsia" w:ascii="宋体" w:hAnsi="宋体" w:cs="宋体"/>
                <w:color w:val="auto"/>
                <w:sz w:val="24"/>
                <w:highlight w:val="none"/>
              </w:rPr>
              <w:br w:type="textWrapping"/>
            </w:r>
            <w:r>
              <w:rPr>
                <w:rFonts w:hint="eastAsia" w:ascii="宋体" w:hAnsi="宋体" w:cs="宋体"/>
                <w:color w:val="auto"/>
                <w:sz w:val="24"/>
                <w:highlight w:val="none"/>
              </w:rPr>
              <w:t>3.4 非线性指标：需以散点图的形式直观展示 VAI、VLI、SD1、SD2等数据；</w:t>
            </w:r>
            <w:r>
              <w:rPr>
                <w:rFonts w:hint="eastAsia" w:ascii="宋体" w:hAnsi="宋体" w:cs="宋体"/>
                <w:color w:val="auto"/>
                <w:sz w:val="24"/>
                <w:highlight w:val="none"/>
              </w:rPr>
              <w:br w:type="textWrapping"/>
            </w:r>
            <w:r>
              <w:rPr>
                <w:rFonts w:hint="eastAsia" w:ascii="宋体" w:hAnsi="宋体" w:cs="宋体"/>
                <w:color w:val="auto"/>
                <w:sz w:val="24"/>
                <w:highlight w:val="none"/>
              </w:rPr>
              <w:t>3.5 自主神经指标：应至少包含交感神经、迷走神经、自主神经活性、自主神经平衡性等；</w:t>
            </w:r>
            <w:r>
              <w:rPr>
                <w:rFonts w:hint="eastAsia" w:ascii="宋体" w:hAnsi="宋体" w:cs="宋体"/>
                <w:color w:val="auto"/>
                <w:sz w:val="24"/>
                <w:highlight w:val="none"/>
              </w:rPr>
              <w:br w:type="textWrapping"/>
            </w:r>
            <w:r>
              <w:rPr>
                <w:rFonts w:hint="eastAsia" w:ascii="宋体" w:hAnsi="宋体" w:cs="宋体"/>
                <w:color w:val="auto"/>
                <w:sz w:val="24"/>
                <w:highlight w:val="none"/>
              </w:rPr>
              <w:t>★4、训练中心：应至少包含脑波音乐、静心催眠、减压放松、脉轮音乐、冥想音乐、振奋精神、五行音乐、抒情欣赏等八种音乐类型，提供功能界面截图证明；</w:t>
            </w:r>
            <w:r>
              <w:rPr>
                <w:rFonts w:hint="eastAsia" w:ascii="宋体" w:hAnsi="宋体" w:cs="宋体"/>
                <w:color w:val="auto"/>
                <w:sz w:val="24"/>
                <w:highlight w:val="none"/>
              </w:rPr>
              <w:br w:type="textWrapping"/>
            </w:r>
            <w:r>
              <w:rPr>
                <w:rFonts w:hint="eastAsia" w:ascii="宋体" w:hAnsi="宋体" w:cs="宋体"/>
                <w:color w:val="auto"/>
                <w:sz w:val="24"/>
                <w:highlight w:val="none"/>
              </w:rPr>
              <w:t>5.睡眠管理：通过匹茨堡睡眠质量指数测评量表（PSQI），有助于受测者了解自身的睡眠状况；</w:t>
            </w:r>
            <w:r>
              <w:rPr>
                <w:rFonts w:hint="eastAsia" w:ascii="宋体" w:hAnsi="宋体" w:cs="宋体"/>
                <w:color w:val="auto"/>
                <w:sz w:val="24"/>
                <w:highlight w:val="none"/>
              </w:rPr>
              <w:br w:type="textWrapping"/>
            </w:r>
            <w:r>
              <w:rPr>
                <w:rFonts w:hint="eastAsia" w:ascii="宋体" w:hAnsi="宋体" w:cs="宋体"/>
                <w:color w:val="auto"/>
                <w:sz w:val="24"/>
                <w:highlight w:val="none"/>
              </w:rPr>
              <w:t>6.情绪调养：通过焦虑—抑郁综合测评量表，了解受测者是否存在焦虑或抑郁症状；</w:t>
            </w:r>
            <w:r>
              <w:rPr>
                <w:rFonts w:hint="eastAsia" w:ascii="宋体" w:hAnsi="宋体" w:cs="宋体"/>
                <w:color w:val="auto"/>
                <w:sz w:val="24"/>
                <w:highlight w:val="none"/>
              </w:rPr>
              <w:br w:type="textWrapping"/>
            </w:r>
            <w:r>
              <w:rPr>
                <w:rFonts w:hint="eastAsia" w:ascii="宋体" w:hAnsi="宋体" w:cs="宋体"/>
                <w:color w:val="auto"/>
                <w:sz w:val="24"/>
                <w:highlight w:val="none"/>
              </w:rPr>
              <w:t>7、身心调节：应至少包含万物复苏游戏及生物测评反馈数据；</w:t>
            </w:r>
            <w:r>
              <w:rPr>
                <w:rFonts w:hint="eastAsia" w:ascii="宋体" w:hAnsi="宋体" w:cs="宋体"/>
                <w:color w:val="auto"/>
                <w:sz w:val="24"/>
                <w:highlight w:val="none"/>
              </w:rPr>
              <w:br w:type="textWrapping"/>
            </w:r>
            <w:r>
              <w:rPr>
                <w:rFonts w:hint="eastAsia" w:ascii="宋体" w:hAnsi="宋体" w:cs="宋体"/>
                <w:color w:val="auto"/>
                <w:sz w:val="24"/>
                <w:highlight w:val="none"/>
              </w:rPr>
              <w:t>★8、心理量表测评：应至少包含心理健康临床症状自评测验（SCL-90）、创伤后应激障碍自评量表、压力应对方式测验、PSTR心理压力自评量表、贝克抑郁量表、马氏工作倦怠通用量表等至少六个常用量表、用于评估训练者心理健康状况、抑郁情绪、压力情绪等基本指标，提供功能界面截图证明；</w:t>
            </w:r>
            <w:r>
              <w:rPr>
                <w:rFonts w:hint="eastAsia" w:ascii="宋体" w:hAnsi="宋体" w:cs="宋体"/>
                <w:color w:val="auto"/>
                <w:sz w:val="24"/>
                <w:highlight w:val="none"/>
              </w:rPr>
              <w:br w:type="textWrapping"/>
            </w:r>
            <w:r>
              <w:rPr>
                <w:rFonts w:hint="eastAsia" w:ascii="宋体" w:hAnsi="宋体" w:cs="宋体"/>
                <w:color w:val="auto"/>
                <w:sz w:val="24"/>
                <w:highlight w:val="none"/>
              </w:rPr>
              <w:t>9、训练方案管理：系统应至少配备10个方案训练，管理人员可在系统中自主设计并添加相应的训练方案，完成其训练调节；</w:t>
            </w:r>
            <w:r>
              <w:rPr>
                <w:rFonts w:hint="eastAsia" w:ascii="宋体" w:hAnsi="宋体" w:cs="宋体"/>
                <w:color w:val="auto"/>
                <w:sz w:val="24"/>
                <w:highlight w:val="none"/>
              </w:rPr>
              <w:br w:type="textWrapping"/>
            </w:r>
            <w:r>
              <w:rPr>
                <w:rFonts w:hint="eastAsia" w:ascii="宋体" w:hAnsi="宋体" w:cs="宋体"/>
                <w:color w:val="auto"/>
                <w:sz w:val="24"/>
                <w:highlight w:val="none"/>
              </w:rPr>
              <w:t>10、报告管理：可对报告加以管理，可自行点击“批量删除”、 “查看”、“导出”、“删除”“搜索”或“刷新”报告等；</w:t>
            </w:r>
            <w:r>
              <w:rPr>
                <w:rFonts w:hint="eastAsia" w:ascii="宋体" w:hAnsi="宋体" w:cs="宋体"/>
                <w:color w:val="auto"/>
                <w:sz w:val="24"/>
                <w:highlight w:val="none"/>
              </w:rPr>
              <w:br w:type="textWrapping"/>
            </w:r>
            <w:r>
              <w:rPr>
                <w:rFonts w:hint="eastAsia" w:ascii="宋体" w:hAnsi="宋体" w:cs="宋体"/>
                <w:color w:val="auto"/>
                <w:sz w:val="24"/>
                <w:highlight w:val="none"/>
              </w:rPr>
              <w:t>11、数据管理模块：可实现对档案的管理，应包括用户对个人压力评估报告和调节训练报告的查看、导出、打印等，同时也可供用户修改个人信息，个人档案及训练报告；</w:t>
            </w:r>
            <w:r>
              <w:rPr>
                <w:rFonts w:hint="eastAsia" w:ascii="宋体" w:hAnsi="宋体" w:cs="宋体"/>
                <w:color w:val="auto"/>
                <w:sz w:val="24"/>
                <w:highlight w:val="none"/>
              </w:rPr>
              <w:br w:type="textWrapping"/>
            </w:r>
            <w:r>
              <w:rPr>
                <w:rFonts w:hint="eastAsia" w:ascii="宋体" w:hAnsi="宋体" w:cs="宋体"/>
                <w:color w:val="auto"/>
                <w:sz w:val="24"/>
                <w:highlight w:val="none"/>
              </w:rPr>
              <w:t>12、电动伸缩：腿部电动伸缩；</w:t>
            </w:r>
            <w:r>
              <w:rPr>
                <w:rFonts w:hint="eastAsia" w:ascii="宋体" w:hAnsi="宋体" w:cs="宋体"/>
                <w:color w:val="auto"/>
                <w:sz w:val="24"/>
                <w:highlight w:val="none"/>
              </w:rPr>
              <w:br w:type="textWrapping"/>
            </w:r>
            <w:r>
              <w:rPr>
                <w:rFonts w:hint="eastAsia" w:ascii="宋体" w:hAnsi="宋体" w:cs="宋体"/>
                <w:color w:val="auto"/>
                <w:sz w:val="24"/>
                <w:highlight w:val="none"/>
              </w:rPr>
              <w:t>13、快捷设置：扶手快捷按键控制、专业蓝牙音箱。</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20</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音乐放松室基础改造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改造要求：需营造出温馨舒适的感觉、应满足心理学相关要求；</w:t>
            </w:r>
            <w:r>
              <w:rPr>
                <w:rFonts w:hint="eastAsia" w:ascii="宋体" w:hAnsi="宋体" w:cs="宋体"/>
                <w:color w:val="auto"/>
                <w:sz w:val="24"/>
                <w:highlight w:val="none"/>
              </w:rPr>
              <w:br w:type="textWrapping"/>
            </w:r>
            <w:r>
              <w:rPr>
                <w:rFonts w:hint="eastAsia" w:ascii="宋体" w:hAnsi="宋体" w:cs="宋体"/>
                <w:color w:val="auto"/>
                <w:sz w:val="24"/>
                <w:highlight w:val="none"/>
              </w:rPr>
              <w:t>1、吊顶：需设计造型吊顶,灯光照明设备等；</w:t>
            </w:r>
            <w:r>
              <w:rPr>
                <w:rFonts w:hint="eastAsia" w:ascii="宋体" w:hAnsi="宋体" w:cs="宋体"/>
                <w:color w:val="auto"/>
                <w:sz w:val="24"/>
                <w:highlight w:val="none"/>
              </w:rPr>
              <w:br w:type="textWrapping"/>
            </w:r>
            <w:r>
              <w:rPr>
                <w:rFonts w:hint="eastAsia" w:ascii="宋体" w:hAnsi="宋体" w:cs="宋体"/>
                <w:color w:val="auto"/>
                <w:sz w:val="24"/>
                <w:highlight w:val="none"/>
              </w:rPr>
              <w:t>2、墙面：要求采用环保无污染乳胶漆；</w:t>
            </w:r>
            <w:r>
              <w:rPr>
                <w:rFonts w:hint="eastAsia" w:ascii="宋体" w:hAnsi="宋体" w:cs="宋体"/>
                <w:color w:val="auto"/>
                <w:sz w:val="24"/>
                <w:highlight w:val="none"/>
              </w:rPr>
              <w:br w:type="textWrapping"/>
            </w:r>
            <w:r>
              <w:rPr>
                <w:rFonts w:hint="eastAsia" w:ascii="宋体" w:hAnsi="宋体" w:cs="宋体"/>
                <w:color w:val="auto"/>
                <w:sz w:val="24"/>
                <w:highlight w:val="none"/>
              </w:rPr>
              <w:t>3、窗帘：要求采用棉麻布艺材质，颜色应与功能室环境相匹配；</w:t>
            </w:r>
            <w:r>
              <w:rPr>
                <w:rFonts w:hint="eastAsia" w:ascii="宋体" w:hAnsi="宋体" w:cs="宋体"/>
                <w:color w:val="auto"/>
                <w:sz w:val="24"/>
                <w:highlight w:val="none"/>
              </w:rPr>
              <w:br w:type="textWrapping"/>
            </w:r>
            <w:r>
              <w:rPr>
                <w:rFonts w:hint="eastAsia" w:ascii="宋体" w:hAnsi="宋体" w:cs="宋体"/>
                <w:color w:val="auto"/>
                <w:sz w:val="24"/>
                <w:highlight w:val="none"/>
              </w:rPr>
              <w:t>4、其它：应根据功能室功能需求，含门、窗纱更换，强弱电改造，隔断墙，木地板等。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21</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定制造型书柜</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功能：用于存放图书和其他装饰饰品；</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1.要求：环保无污染木质材质；结合实际场地，定制造型符合该功能室使用需求。</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22</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瑜伽垫</w:t>
            </w:r>
          </w:p>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瑜伽砖</w:t>
            </w:r>
          </w:p>
        </w:tc>
        <w:tc>
          <w:tcPr>
            <w:tcW w:w="2392" w:type="pct"/>
            <w:shd w:val="clear" w:color="auto" w:fill="auto"/>
            <w:vAlign w:val="center"/>
          </w:tcPr>
          <w:p>
            <w:pPr>
              <w:widowControl/>
              <w:numPr>
                <w:ilvl w:val="0"/>
                <w:numId w:val="8"/>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配置：教师专用瑜伽垫*2个；尺寸≥1850*680*4.5mm；功能要求：轻盈且缓冲,天然橡胶材质；</w:t>
            </w:r>
            <w:r>
              <w:rPr>
                <w:rFonts w:hint="eastAsia" w:ascii="宋体" w:hAnsi="宋体" w:cs="宋体"/>
                <w:color w:val="auto"/>
                <w:sz w:val="24"/>
                <w:highlight w:val="none"/>
              </w:rPr>
              <w:br w:type="textWrapping"/>
            </w:r>
            <w:r>
              <w:rPr>
                <w:rFonts w:hint="eastAsia" w:ascii="宋体" w:hAnsi="宋体" w:cs="宋体"/>
                <w:color w:val="auto"/>
                <w:sz w:val="24"/>
                <w:highlight w:val="none"/>
              </w:rPr>
              <w:t>2.体能瑜伽垫*12个；尺寸≥1800*610*6mm；</w:t>
            </w:r>
          </w:p>
          <w:p>
            <w:pPr>
              <w:widowControl/>
              <w:numPr>
                <w:ilvl w:val="255"/>
                <w:numId w:val="0"/>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功能要求：运动瑜伽垫。3.品牌瑜伽砖*28个；尺寸：23*15*8.5cm;材质：EVA材质。</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23</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积极心理体验中心基础改造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改造要求：需营造出温馨舒适的感觉、应满足心理学相关要求；</w:t>
            </w:r>
            <w:r>
              <w:rPr>
                <w:rFonts w:hint="eastAsia" w:ascii="宋体" w:hAnsi="宋体" w:cs="宋体"/>
                <w:color w:val="auto"/>
                <w:sz w:val="24"/>
                <w:highlight w:val="none"/>
              </w:rPr>
              <w:br w:type="textWrapping"/>
            </w:r>
            <w:r>
              <w:rPr>
                <w:rFonts w:hint="eastAsia" w:ascii="宋体" w:hAnsi="宋体" w:cs="宋体"/>
                <w:color w:val="auto"/>
                <w:sz w:val="24"/>
                <w:highlight w:val="none"/>
              </w:rPr>
              <w:t>1、吊顶：需设计造型吊顶,灯光照明设备等；</w:t>
            </w:r>
            <w:r>
              <w:rPr>
                <w:rFonts w:hint="eastAsia" w:ascii="宋体" w:hAnsi="宋体" w:cs="宋体"/>
                <w:color w:val="auto"/>
                <w:sz w:val="24"/>
                <w:highlight w:val="none"/>
              </w:rPr>
              <w:br w:type="textWrapping"/>
            </w:r>
            <w:r>
              <w:rPr>
                <w:rFonts w:hint="eastAsia" w:ascii="宋体" w:hAnsi="宋体" w:cs="宋体"/>
                <w:color w:val="auto"/>
                <w:sz w:val="24"/>
                <w:highlight w:val="none"/>
              </w:rPr>
              <w:t>2、墙面：要求采用环保无污染乳胶漆；</w:t>
            </w:r>
            <w:r>
              <w:rPr>
                <w:rFonts w:hint="eastAsia" w:ascii="宋体" w:hAnsi="宋体" w:cs="宋体"/>
                <w:color w:val="auto"/>
                <w:sz w:val="24"/>
                <w:highlight w:val="none"/>
              </w:rPr>
              <w:br w:type="textWrapping"/>
            </w:r>
            <w:r>
              <w:rPr>
                <w:rFonts w:hint="eastAsia" w:ascii="宋体" w:hAnsi="宋体" w:cs="宋体"/>
                <w:color w:val="auto"/>
                <w:sz w:val="24"/>
                <w:highlight w:val="none"/>
              </w:rPr>
              <w:t>3、窗帘：要求采用棉麻布艺材质，颜色应与功能室环境相匹配；</w:t>
            </w:r>
            <w:r>
              <w:rPr>
                <w:rFonts w:hint="eastAsia" w:ascii="宋体" w:hAnsi="宋体" w:cs="宋体"/>
                <w:color w:val="auto"/>
                <w:sz w:val="24"/>
                <w:highlight w:val="none"/>
              </w:rPr>
              <w:br w:type="textWrapping"/>
            </w:r>
            <w:r>
              <w:rPr>
                <w:rFonts w:hint="eastAsia" w:ascii="宋体" w:hAnsi="宋体" w:cs="宋体"/>
                <w:color w:val="auto"/>
                <w:sz w:val="24"/>
                <w:highlight w:val="none"/>
              </w:rPr>
              <w:t>4、其它：应根据功能室功能需求，含门、窗纱更换，强弱电改造，隔断墙，木地板等。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24</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心理剧多媒体设备</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1.调音台：1台</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1.1八路专业调音台，带MP3，带蓝牙，带16种DSP效果，</w:t>
            </w:r>
            <w:r>
              <w:rPr>
                <w:rFonts w:hint="eastAsia" w:ascii="宋体" w:hAnsi="宋体" w:cs="宋体"/>
                <w:color w:val="auto"/>
                <w:sz w:val="24"/>
                <w:highlight w:val="none"/>
              </w:rPr>
              <w:br w:type="textWrapping"/>
            </w:r>
            <w:r>
              <w:rPr>
                <w:rFonts w:hint="eastAsia" w:ascii="宋体" w:hAnsi="宋体" w:cs="宋体"/>
                <w:color w:val="auto"/>
                <w:sz w:val="24"/>
                <w:highlight w:val="none"/>
              </w:rPr>
              <w:t>1.2适用于各种酒吧，演出场所，KTV包房，录音室，排演场    功耗：30W 信躁比:95dB 频率响应：20Hz-20KHz 模式抑制：-70dB 电压：110V-240V</w:t>
            </w:r>
            <w:r>
              <w:rPr>
                <w:rFonts w:hint="eastAsia" w:ascii="宋体" w:hAnsi="宋体" w:cs="宋体"/>
                <w:color w:val="auto"/>
                <w:sz w:val="24"/>
                <w:highlight w:val="none"/>
              </w:rPr>
              <w:br w:type="textWrapping"/>
            </w:r>
            <w:r>
              <w:rPr>
                <w:rFonts w:hint="eastAsia" w:ascii="宋体" w:hAnsi="宋体" w:cs="宋体"/>
                <w:color w:val="auto"/>
                <w:sz w:val="24"/>
                <w:highlight w:val="none"/>
              </w:rPr>
              <w:t>1.3尺寸：≥385*350*60mm</w:t>
            </w:r>
            <w:r>
              <w:rPr>
                <w:rFonts w:hint="eastAsia" w:ascii="宋体" w:hAnsi="宋体" w:cs="宋体"/>
                <w:color w:val="auto"/>
                <w:sz w:val="24"/>
                <w:highlight w:val="none"/>
              </w:rPr>
              <w:br w:type="textWrapping"/>
            </w:r>
            <w:r>
              <w:rPr>
                <w:rFonts w:hint="eastAsia" w:ascii="宋体" w:hAnsi="宋体" w:cs="宋体"/>
                <w:color w:val="auto"/>
                <w:sz w:val="24"/>
                <w:highlight w:val="none"/>
              </w:rPr>
              <w:t>1.4输入灵敏度：-60dBm-40dBm</w:t>
            </w:r>
            <w:r>
              <w:rPr>
                <w:rFonts w:hint="eastAsia" w:ascii="宋体" w:hAnsi="宋体" w:cs="宋体"/>
                <w:color w:val="auto"/>
                <w:sz w:val="24"/>
                <w:highlight w:val="none"/>
              </w:rPr>
              <w:br w:type="textWrapping"/>
            </w:r>
            <w:r>
              <w:rPr>
                <w:rFonts w:hint="eastAsia" w:ascii="宋体" w:hAnsi="宋体" w:cs="宋体"/>
                <w:color w:val="auto"/>
                <w:sz w:val="24"/>
                <w:highlight w:val="none"/>
              </w:rPr>
              <w:t>1.5标称输入电平：麦克风：-60dBm，线路：-60dBm，效果返回：-60dBm，录音输入：-60dBm</w:t>
            </w:r>
            <w:r>
              <w:rPr>
                <w:rFonts w:hint="eastAsia" w:ascii="宋体" w:hAnsi="宋体" w:cs="宋体"/>
                <w:color w:val="auto"/>
                <w:sz w:val="24"/>
                <w:highlight w:val="none"/>
              </w:rPr>
              <w:br w:type="textWrapping"/>
            </w:r>
            <w:r>
              <w:rPr>
                <w:rFonts w:hint="eastAsia" w:ascii="宋体" w:hAnsi="宋体" w:cs="宋体"/>
                <w:color w:val="auto"/>
                <w:sz w:val="24"/>
                <w:highlight w:val="none"/>
              </w:rPr>
              <w:t>1.6标称输出电平：效果发送-10dBm，辅助发送0dBm</w:t>
            </w:r>
            <w:r>
              <w:rPr>
                <w:rFonts w:hint="eastAsia" w:ascii="宋体" w:hAnsi="宋体" w:cs="宋体"/>
                <w:color w:val="auto"/>
                <w:sz w:val="24"/>
                <w:highlight w:val="none"/>
              </w:rPr>
              <w:br w:type="textWrapping"/>
            </w:r>
            <w:r>
              <w:rPr>
                <w:rFonts w:hint="eastAsia" w:ascii="宋体" w:hAnsi="宋体" w:cs="宋体"/>
                <w:color w:val="auto"/>
                <w:sz w:val="24"/>
                <w:highlight w:val="none"/>
              </w:rPr>
              <w:t>1.7输出电压：最大输出电压不低于4V</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1.8模式抑制：-60dB---80dB</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1.9信噪比：90dBm--100dBm</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1.10通道均衡：Hi±15dB/12KHz   Mid±15dB/2.5K  low±15dB/80HKz</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1.11功耗：20W--40W</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1.12电压：110v-240v</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2.功放机1台</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2.1频率响应：不小于20Hz-20KHz</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2.2输出功率：8Ω，220W；4Ω，320W   </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2.3噪音电平：˂3.0mV</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2.4零点电压：˂10.0mV</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2.5输入阻抗：20K Ohm</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2.8总谐波失真：20Hz-20KHz THD+N 1KHz 1W≦0.05%</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2.9输入灵敏度：stereo@8 Ohm RMS,1KHz,1.0% THD+N,0.732V</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2.10信燥比:stereo@8 Ohm RMS,1KHz,1.0% THD+N,&gt;80dB(A计权)</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2.11阻尼系数:stereo@8 Ohm RMS,400Hz,1.0% THD+N 207</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br w:type="textWrapping"/>
            </w:r>
            <w:r>
              <w:rPr>
                <w:rFonts w:hint="eastAsia" w:ascii="宋体" w:hAnsi="宋体" w:cs="宋体"/>
                <w:color w:val="auto"/>
                <w:sz w:val="24"/>
                <w:highlight w:val="none"/>
              </w:rPr>
              <w:t>2.12串扰:8 Ohm RMS,10KHz,1.0% THD+N,&gt;75dB</w:t>
            </w:r>
            <w:r>
              <w:rPr>
                <w:rFonts w:hint="eastAsia" w:ascii="宋体" w:hAnsi="宋体" w:cs="宋体"/>
                <w:color w:val="auto"/>
                <w:sz w:val="24"/>
                <w:highlight w:val="none"/>
              </w:rPr>
              <w:br w:type="textWrapping"/>
            </w:r>
            <w:r>
              <w:rPr>
                <w:rFonts w:hint="eastAsia" w:ascii="宋体" w:hAnsi="宋体" w:cs="宋体"/>
                <w:color w:val="auto"/>
                <w:sz w:val="24"/>
                <w:highlight w:val="none"/>
              </w:rPr>
              <w:t>2.13信燥比:stereo@8 Ohm RMS,1KHz,1.0% THD+N,&gt;80dB(A计权)</w:t>
            </w:r>
            <w:r>
              <w:rPr>
                <w:rFonts w:hint="eastAsia" w:ascii="宋体" w:hAnsi="宋体" w:cs="宋体"/>
                <w:color w:val="auto"/>
                <w:sz w:val="24"/>
                <w:highlight w:val="none"/>
              </w:rPr>
              <w:br w:type="textWrapping"/>
            </w:r>
            <w:r>
              <w:rPr>
                <w:rFonts w:hint="eastAsia" w:ascii="宋体" w:hAnsi="宋体" w:cs="宋体"/>
                <w:color w:val="auto"/>
                <w:sz w:val="24"/>
                <w:highlight w:val="none"/>
              </w:rPr>
              <w:t>2.14电压增益:stereo@8 Ohm RMS,1KHz,1.0% THD+N,74.8dB</w:t>
            </w:r>
            <w:r>
              <w:rPr>
                <w:rFonts w:hint="eastAsia" w:ascii="宋体" w:hAnsi="宋体" w:cs="宋体"/>
                <w:color w:val="auto"/>
                <w:sz w:val="24"/>
                <w:highlight w:val="none"/>
              </w:rPr>
              <w:br w:type="textWrapping"/>
            </w:r>
            <w:r>
              <w:rPr>
                <w:rFonts w:hint="eastAsia" w:ascii="宋体" w:hAnsi="宋体" w:cs="宋体"/>
                <w:color w:val="auto"/>
                <w:sz w:val="24"/>
                <w:highlight w:val="none"/>
              </w:rPr>
              <w:t>2.15上升速率:stereo@8 Ohm RMS,10KHz,1.0% THD+N,42V/36us</w:t>
            </w:r>
            <w:r>
              <w:rPr>
                <w:rFonts w:hint="eastAsia" w:ascii="宋体" w:hAnsi="宋体" w:cs="宋体"/>
                <w:color w:val="auto"/>
                <w:sz w:val="24"/>
                <w:highlight w:val="none"/>
              </w:rPr>
              <w:br w:type="textWrapping"/>
            </w:r>
            <w:r>
              <w:rPr>
                <w:rFonts w:hint="eastAsia" w:ascii="宋体" w:hAnsi="宋体" w:cs="宋体"/>
                <w:color w:val="auto"/>
                <w:sz w:val="24"/>
                <w:highlight w:val="none"/>
              </w:rPr>
              <w:t>2.16阻尼系数:stereo@8 Ohm RMS,400Hz,1.0% THD+N 207</w:t>
            </w:r>
            <w:r>
              <w:rPr>
                <w:rFonts w:hint="eastAsia" w:ascii="宋体" w:hAnsi="宋体" w:cs="宋体"/>
                <w:color w:val="auto"/>
                <w:sz w:val="24"/>
                <w:highlight w:val="none"/>
              </w:rPr>
              <w:br w:type="textWrapping"/>
            </w:r>
            <w:r>
              <w:rPr>
                <w:rFonts w:hint="eastAsia" w:ascii="宋体" w:hAnsi="宋体" w:cs="宋体"/>
                <w:color w:val="auto"/>
                <w:sz w:val="24"/>
                <w:highlight w:val="none"/>
              </w:rPr>
              <w:t>2.17输入阻抗：20K Ohm</w:t>
            </w:r>
            <w:r>
              <w:rPr>
                <w:rFonts w:hint="eastAsia" w:ascii="宋体" w:hAnsi="宋体" w:cs="宋体"/>
                <w:color w:val="auto"/>
                <w:sz w:val="24"/>
                <w:highlight w:val="none"/>
              </w:rPr>
              <w:br w:type="textWrapping"/>
            </w:r>
            <w:r>
              <w:rPr>
                <w:rFonts w:hint="eastAsia" w:ascii="宋体" w:hAnsi="宋体" w:cs="宋体"/>
                <w:color w:val="auto"/>
                <w:sz w:val="24"/>
                <w:highlight w:val="none"/>
              </w:rPr>
              <w:t>2.18短路保护：20Hz-20KHz  Output 2V</w:t>
            </w:r>
            <w:r>
              <w:rPr>
                <w:rFonts w:hint="eastAsia" w:ascii="宋体" w:hAnsi="宋体" w:cs="宋体"/>
                <w:color w:val="auto"/>
                <w:sz w:val="24"/>
                <w:highlight w:val="none"/>
              </w:rPr>
              <w:br w:type="textWrapping"/>
            </w:r>
            <w:r>
              <w:rPr>
                <w:rFonts w:hint="eastAsia" w:ascii="宋体" w:hAnsi="宋体" w:cs="宋体"/>
                <w:color w:val="auto"/>
                <w:sz w:val="24"/>
                <w:highlight w:val="none"/>
              </w:rPr>
              <w:t>3.音响2个，三角支架2个</w:t>
            </w:r>
            <w:r>
              <w:rPr>
                <w:rFonts w:hint="eastAsia" w:ascii="宋体" w:hAnsi="宋体" w:cs="宋体"/>
                <w:color w:val="auto"/>
                <w:sz w:val="24"/>
                <w:highlight w:val="none"/>
              </w:rPr>
              <w:br w:type="textWrapping"/>
            </w:r>
            <w:r>
              <w:rPr>
                <w:rFonts w:hint="eastAsia" w:ascii="宋体" w:hAnsi="宋体" w:cs="宋体"/>
                <w:color w:val="auto"/>
                <w:sz w:val="24"/>
                <w:highlight w:val="none"/>
              </w:rPr>
              <w:t>3.1频率响应：20Hz-20KHz</w:t>
            </w:r>
            <w:r>
              <w:rPr>
                <w:rFonts w:hint="eastAsia" w:ascii="宋体" w:hAnsi="宋体" w:cs="宋体"/>
                <w:color w:val="auto"/>
                <w:sz w:val="24"/>
                <w:highlight w:val="none"/>
              </w:rPr>
              <w:br w:type="textWrapping"/>
            </w:r>
            <w:r>
              <w:rPr>
                <w:rFonts w:hint="eastAsia" w:ascii="宋体" w:hAnsi="宋体" w:cs="宋体"/>
                <w:color w:val="auto"/>
                <w:sz w:val="24"/>
                <w:highlight w:val="none"/>
              </w:rPr>
              <w:t>3.2灵敏度：95dB</w:t>
            </w:r>
            <w:r>
              <w:rPr>
                <w:rFonts w:hint="eastAsia" w:ascii="宋体" w:hAnsi="宋体" w:cs="宋体"/>
                <w:color w:val="auto"/>
                <w:sz w:val="24"/>
                <w:highlight w:val="none"/>
              </w:rPr>
              <w:br w:type="textWrapping"/>
            </w:r>
            <w:r>
              <w:rPr>
                <w:rFonts w:hint="eastAsia" w:ascii="宋体" w:hAnsi="宋体" w:cs="宋体"/>
                <w:color w:val="auto"/>
                <w:sz w:val="24"/>
                <w:highlight w:val="none"/>
              </w:rPr>
              <w:t>3.3额定阻抗：8Ω</w:t>
            </w:r>
            <w:r>
              <w:rPr>
                <w:rFonts w:hint="eastAsia" w:ascii="宋体" w:hAnsi="宋体" w:cs="宋体"/>
                <w:color w:val="auto"/>
                <w:sz w:val="24"/>
                <w:highlight w:val="none"/>
              </w:rPr>
              <w:br w:type="textWrapping"/>
            </w:r>
            <w:r>
              <w:rPr>
                <w:rFonts w:hint="eastAsia" w:ascii="宋体" w:hAnsi="宋体" w:cs="宋体"/>
                <w:color w:val="auto"/>
                <w:sz w:val="24"/>
                <w:highlight w:val="none"/>
              </w:rPr>
              <w:t>3.4额定功率：150W</w:t>
            </w:r>
            <w:r>
              <w:rPr>
                <w:rFonts w:hint="eastAsia" w:ascii="宋体" w:hAnsi="宋体" w:cs="宋体"/>
                <w:color w:val="auto"/>
                <w:sz w:val="24"/>
                <w:highlight w:val="none"/>
              </w:rPr>
              <w:br w:type="textWrapping"/>
            </w:r>
            <w:r>
              <w:rPr>
                <w:rFonts w:hint="eastAsia" w:ascii="宋体" w:hAnsi="宋体" w:cs="宋体"/>
                <w:color w:val="auto"/>
                <w:sz w:val="24"/>
                <w:highlight w:val="none"/>
              </w:rPr>
              <w:t>3.5最大声压：120dB</w:t>
            </w:r>
            <w:r>
              <w:rPr>
                <w:rFonts w:hint="eastAsia" w:ascii="宋体" w:hAnsi="宋体" w:cs="宋体"/>
                <w:color w:val="auto"/>
                <w:sz w:val="24"/>
                <w:highlight w:val="none"/>
              </w:rPr>
              <w:br w:type="textWrapping"/>
            </w:r>
            <w:r>
              <w:rPr>
                <w:rFonts w:hint="eastAsia" w:ascii="宋体" w:hAnsi="宋体" w:cs="宋体"/>
                <w:color w:val="auto"/>
                <w:sz w:val="24"/>
                <w:highlight w:val="none"/>
              </w:rPr>
              <w:t>3.6低频：4寸*6 磁钢φ70*15mm，25芯</w:t>
            </w:r>
            <w:r>
              <w:rPr>
                <w:rFonts w:hint="eastAsia" w:ascii="宋体" w:hAnsi="宋体" w:cs="宋体"/>
                <w:color w:val="auto"/>
                <w:sz w:val="24"/>
                <w:highlight w:val="none"/>
              </w:rPr>
              <w:br w:type="textWrapping"/>
            </w:r>
            <w:r>
              <w:rPr>
                <w:rFonts w:hint="eastAsia" w:ascii="宋体" w:hAnsi="宋体" w:cs="宋体"/>
                <w:color w:val="auto"/>
                <w:sz w:val="24"/>
                <w:highlight w:val="none"/>
              </w:rPr>
              <w:t>3.7高频：2寸*2 25芯黑色仿钛膜 钕铁硼号角驱动</w:t>
            </w:r>
            <w:r>
              <w:rPr>
                <w:rFonts w:hint="eastAsia" w:ascii="宋体" w:hAnsi="宋体" w:cs="宋体"/>
                <w:color w:val="auto"/>
                <w:sz w:val="24"/>
                <w:highlight w:val="none"/>
              </w:rPr>
              <w:br w:type="textWrapping"/>
            </w:r>
            <w:r>
              <w:rPr>
                <w:rFonts w:hint="eastAsia" w:ascii="宋体" w:hAnsi="宋体" w:cs="宋体"/>
                <w:color w:val="auto"/>
                <w:sz w:val="24"/>
                <w:highlight w:val="none"/>
              </w:rPr>
              <w:t>3.8箱体尺寸：150*185*1008mm</w:t>
            </w:r>
            <w:r>
              <w:rPr>
                <w:rFonts w:hint="eastAsia" w:ascii="宋体" w:hAnsi="宋体" w:cs="宋体"/>
                <w:color w:val="auto"/>
                <w:sz w:val="24"/>
                <w:highlight w:val="none"/>
              </w:rPr>
              <w:br w:type="textWrapping"/>
            </w:r>
            <w:r>
              <w:rPr>
                <w:rFonts w:hint="eastAsia" w:ascii="宋体" w:hAnsi="宋体" w:cs="宋体"/>
                <w:color w:val="auto"/>
                <w:sz w:val="24"/>
                <w:highlight w:val="none"/>
              </w:rPr>
              <w:t>3.9重量：9.45KG/只</w:t>
            </w:r>
            <w:r>
              <w:rPr>
                <w:rFonts w:hint="eastAsia" w:ascii="宋体" w:hAnsi="宋体" w:cs="宋体"/>
                <w:color w:val="auto"/>
                <w:sz w:val="24"/>
                <w:highlight w:val="none"/>
              </w:rPr>
              <w:br w:type="textWrapping"/>
            </w:r>
            <w:r>
              <w:rPr>
                <w:rFonts w:hint="eastAsia" w:ascii="宋体" w:hAnsi="宋体" w:cs="宋体"/>
                <w:color w:val="auto"/>
                <w:sz w:val="24"/>
                <w:highlight w:val="none"/>
              </w:rPr>
              <w:t>4.托八话筒1套。</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4.1.频率频段：UHF635～695MHz.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4.2.调制方式：宽带 FM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4.3.振荡方式：PLL 相位锁定频率合成. 射频稳定度：±0.005﹪（-10～50℃）.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4.4.接受灵敏度:在偏移度等於 40KHz,输入 6dBμv 时， S/N&gt;80dB.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4.5.最大偏移度：±68 KHz 具有音量扩展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4.6.频带宽度：60MHz.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4.7.频率间隔：300KHz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4.8.切换频率数：200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4.9.预设频道：200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4.10.综合 S/N 比：&gt;105dB（A）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4.11.综合 T.H.D：&lt;0.5﹪@1KHz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4.12.综合频率响应：50Hz～18KHz±3Db,具低频衰减率频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4.13.电路输出插座：BNC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4.14.面板显示：LCD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4.15.频率调整：ACT 红外对频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4.16.电源供应：12V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4.17.载波频段：UHF635～695MHz </w:t>
            </w:r>
            <w:r>
              <w:rPr>
                <w:rFonts w:hint="eastAsia" w:ascii="宋体" w:hAnsi="宋体" w:cs="宋体"/>
                <w:color w:val="auto"/>
                <w:sz w:val="24"/>
                <w:highlight w:val="none"/>
              </w:rPr>
              <w:br w:type="textWrapping"/>
            </w:r>
            <w:r>
              <w:rPr>
                <w:rFonts w:hint="eastAsia" w:ascii="宋体" w:hAnsi="宋体" w:cs="宋体"/>
                <w:color w:val="auto"/>
                <w:sz w:val="24"/>
                <w:highlight w:val="none"/>
              </w:rPr>
              <w:t>4.18.谐波辐射：＜-55dbc 最大偏移度；±68KHz 具有音量扩展。</w:t>
            </w:r>
            <w:r>
              <w:rPr>
                <w:rFonts w:hint="eastAsia" w:ascii="宋体" w:hAnsi="宋体" w:cs="宋体"/>
                <w:color w:val="auto"/>
                <w:sz w:val="24"/>
                <w:highlight w:val="none"/>
              </w:rPr>
              <w:br w:type="textWrapping"/>
            </w:r>
            <w:r>
              <w:rPr>
                <w:rFonts w:hint="eastAsia" w:ascii="宋体" w:hAnsi="宋体" w:cs="宋体"/>
                <w:color w:val="auto"/>
                <w:sz w:val="24"/>
                <w:highlight w:val="none"/>
              </w:rPr>
              <w:t>5.八路电源时序器1个。</w:t>
            </w:r>
            <w:r>
              <w:rPr>
                <w:rFonts w:hint="eastAsia" w:ascii="宋体" w:hAnsi="宋体" w:cs="宋体"/>
                <w:color w:val="auto"/>
                <w:sz w:val="24"/>
                <w:highlight w:val="none"/>
              </w:rPr>
              <w:br w:type="textWrapping"/>
            </w:r>
            <w:r>
              <w:rPr>
                <w:rFonts w:hint="eastAsia" w:ascii="宋体" w:hAnsi="宋体" w:cs="宋体"/>
                <w:color w:val="auto"/>
                <w:sz w:val="24"/>
                <w:highlight w:val="none"/>
              </w:rPr>
              <w:t>单独控制每一路功能；有串接功能；有开关外接功能！有一个直插座</w:t>
            </w:r>
            <w:r>
              <w:rPr>
                <w:rFonts w:hint="eastAsia" w:ascii="宋体" w:hAnsi="宋体" w:cs="宋体"/>
                <w:color w:val="auto"/>
                <w:sz w:val="24"/>
                <w:highlight w:val="none"/>
              </w:rPr>
              <w:br w:type="textWrapping"/>
            </w:r>
            <w:r>
              <w:rPr>
                <w:rFonts w:hint="eastAsia" w:ascii="宋体" w:hAnsi="宋体" w:cs="宋体"/>
                <w:color w:val="auto"/>
                <w:sz w:val="24"/>
                <w:highlight w:val="none"/>
              </w:rPr>
              <w:t>6.16U带轮机柜1个。16U防震航空机柜，采用SPCC优质冷扎钢板，拥有抗震抗压性能、防震防辐射功能，表面处理经过脱脂、酸洗、磷化、静电喷塑等处理。</w:t>
            </w:r>
            <w:r>
              <w:rPr>
                <w:rFonts w:hint="eastAsia" w:ascii="宋体" w:hAnsi="宋体" w:cs="宋体"/>
                <w:color w:val="auto"/>
                <w:sz w:val="24"/>
                <w:highlight w:val="none"/>
              </w:rPr>
              <w:br w:type="textWrapping"/>
            </w:r>
            <w:r>
              <w:rPr>
                <w:rFonts w:hint="eastAsia" w:ascii="宋体" w:hAnsi="宋体" w:cs="宋体"/>
                <w:color w:val="auto"/>
                <w:sz w:val="24"/>
                <w:highlight w:val="none"/>
              </w:rPr>
              <w:t>7.高清数码摄像机1台。12倍及以上光学变焦、64G及以上内存，含包和三角支架1套。</w:t>
            </w:r>
            <w:r>
              <w:rPr>
                <w:rFonts w:hint="eastAsia" w:ascii="宋体" w:hAnsi="宋体" w:cs="宋体"/>
                <w:color w:val="auto"/>
                <w:sz w:val="24"/>
                <w:highlight w:val="none"/>
              </w:rPr>
              <w:br w:type="textWrapping"/>
            </w:r>
            <w:r>
              <w:rPr>
                <w:rFonts w:hint="eastAsia" w:ascii="宋体" w:hAnsi="宋体" w:cs="宋体"/>
                <w:color w:val="auto"/>
                <w:sz w:val="24"/>
                <w:highlight w:val="none"/>
              </w:rPr>
              <w:t>8.无线麦克风1套</w:t>
            </w:r>
            <w:r>
              <w:rPr>
                <w:rFonts w:hint="eastAsia" w:ascii="宋体" w:hAnsi="宋体" w:cs="宋体"/>
                <w:color w:val="auto"/>
                <w:sz w:val="24"/>
                <w:highlight w:val="none"/>
              </w:rPr>
              <w:br w:type="textWrapping"/>
            </w:r>
            <w:r>
              <w:rPr>
                <w:rFonts w:hint="eastAsia" w:ascii="宋体" w:hAnsi="宋体" w:cs="宋体"/>
                <w:color w:val="auto"/>
                <w:sz w:val="24"/>
                <w:highlight w:val="none"/>
              </w:rPr>
              <w:t>9.单反监视器1套</w:t>
            </w:r>
            <w:r>
              <w:rPr>
                <w:rFonts w:hint="eastAsia" w:ascii="宋体" w:hAnsi="宋体" w:cs="宋体"/>
                <w:color w:val="auto"/>
                <w:sz w:val="24"/>
                <w:highlight w:val="none"/>
              </w:rPr>
              <w:br w:type="textWrapping"/>
            </w:r>
            <w:r>
              <w:rPr>
                <w:rFonts w:hint="eastAsia" w:ascii="宋体" w:hAnsi="宋体" w:cs="宋体"/>
                <w:color w:val="auto"/>
                <w:sz w:val="24"/>
                <w:highlight w:val="none"/>
              </w:rPr>
              <w:t>10.补光灯1套，单反稳定器1套</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11.相机内存cfe卡128g一个， uv镜一个，镜头转接环EF—EOSR一个。</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25</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心理剧器材箱</w:t>
            </w:r>
          </w:p>
        </w:tc>
        <w:tc>
          <w:tcPr>
            <w:tcW w:w="2392" w:type="pct"/>
            <w:shd w:val="clear" w:color="auto" w:fill="auto"/>
            <w:vAlign w:val="center"/>
          </w:tcPr>
          <w:p>
            <w:pPr>
              <w:shd w:val="clear"/>
              <w:spacing w:line="360" w:lineRule="auto"/>
              <w:ind w:right="105" w:rightChars="50"/>
              <w:rPr>
                <w:rFonts w:ascii="宋体" w:hAnsi="宋体" w:cs="宋体"/>
                <w:color w:val="auto"/>
                <w:sz w:val="24"/>
                <w:highlight w:val="none"/>
              </w:rPr>
            </w:pPr>
            <w:r>
              <w:rPr>
                <w:rFonts w:hint="eastAsia" w:ascii="宋体" w:hAnsi="宋体" w:cs="宋体"/>
                <w:b/>
                <w:color w:val="auto"/>
                <w:sz w:val="24"/>
                <w:highlight w:val="none"/>
              </w:rPr>
              <w:t>产品功能：</w:t>
            </w:r>
            <w:r>
              <w:rPr>
                <w:rFonts w:hint="eastAsia" w:ascii="宋体" w:hAnsi="宋体" w:cs="宋体"/>
                <w:color w:val="auto"/>
                <w:sz w:val="24"/>
                <w:highlight w:val="none"/>
              </w:rPr>
              <w:t>心理剧是由精神科管理者/咨询师雅各·莫雷诺创立的一种团体心理治疗方法，通过舞台表演和心理剧导演的指导催化，让参与的成员在表达中探索内心深处的一些情节，从而提高自我表达认识和能力，获得对自我和问题的更深更新的理解，并在心理咨询师的指导下创设来访者能掌控的一个安全、信任、支持、接纳、受保护的环境进而发展积极、健康、富有建设性的新理念和行为。</w:t>
            </w:r>
          </w:p>
          <w:p>
            <w:pPr>
              <w:shd w:val="clear"/>
              <w:spacing w:line="360" w:lineRule="auto"/>
              <w:ind w:left="105" w:leftChars="50" w:right="105" w:rightChars="50"/>
              <w:rPr>
                <w:rFonts w:ascii="宋体" w:hAnsi="宋体" w:cs="宋体"/>
                <w:b/>
                <w:color w:val="auto"/>
                <w:sz w:val="24"/>
                <w:highlight w:val="none"/>
              </w:rPr>
            </w:pPr>
            <w:r>
              <w:rPr>
                <w:rFonts w:hint="eastAsia" w:ascii="宋体" w:hAnsi="宋体" w:cs="宋体"/>
                <w:b/>
                <w:color w:val="auto"/>
                <w:sz w:val="24"/>
                <w:highlight w:val="none"/>
              </w:rPr>
              <w:t>产品参数：</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1、束绳背包6个。</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2、空椅1张。</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3、替身卡10张。</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4、雕塑技术专用包1个（含彩铅笔5盒，剪刀5把，橡皮10块，签字笔4盒，雕塑卡纸50张，标签序位卡纸50张，主题关系贴纸50张，主题关系称谓示范卡5张，意像投射图标贴纸50张，社会序差原子图导向卡50张，未来投射卡50张，自定义空白卡50张）。</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5、心理剧专用教材3本。</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6、心理剧情景剧本30个（敞开心灵、象牙塔之梦、不要怀疑我、最初的梦想、虚荣的代价、每个人都要勇气、我本英雄、留守的泪花等）</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7、情绪疏导小道具5个。</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8、趣味意像投射手偶30个。意像投射头饰50个。</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9、心理剧剧本专用人物标签1套。</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10、心理剧剧本专用头戴式面具15张。</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11、心理剧专用背景音乐</w:t>
            </w:r>
            <w:r>
              <w:rPr>
                <w:rFonts w:hint="eastAsia"/>
                <w:color w:val="auto"/>
                <w:highlight w:val="none"/>
              </w:rPr>
              <w:t>≥480G固态硬盘一个</w:t>
            </w:r>
            <w:r>
              <w:rPr>
                <w:rFonts w:hint="eastAsia" w:ascii="宋体" w:hAnsi="宋体" w:cs="宋体"/>
                <w:color w:val="auto"/>
                <w:sz w:val="24"/>
                <w:highlight w:val="none"/>
              </w:rPr>
              <w:t>1张。</w:t>
            </w:r>
          </w:p>
          <w:p>
            <w:pPr>
              <w:pStyle w:val="19"/>
              <w:shd w:val="clear"/>
              <w:rPr>
                <w:rFonts w:ascii="宋体" w:hAnsi="宋体" w:cs="宋体"/>
                <w:color w:val="auto"/>
                <w:sz w:val="24"/>
                <w:highlight w:val="none"/>
              </w:rPr>
            </w:pPr>
            <w:r>
              <w:rPr>
                <w:rFonts w:hint="eastAsia" w:ascii="宋体" w:hAnsi="宋体" w:cs="宋体"/>
                <w:color w:val="auto"/>
                <w:sz w:val="24"/>
                <w:highlight w:val="none"/>
              </w:rPr>
              <w:t>12、无线蓝牙专用拉杆音箱</w:t>
            </w:r>
            <w:r>
              <w:rPr>
                <w:rFonts w:hint="eastAsia"/>
                <w:color w:val="auto"/>
                <w:highlight w:val="none"/>
              </w:rPr>
              <w:t xml:space="preserve">≥8英寸  </w:t>
            </w:r>
            <w:r>
              <w:rPr>
                <w:rFonts w:hint="eastAsia" w:ascii="宋体" w:hAnsi="宋体" w:cs="宋体"/>
                <w:color w:val="auto"/>
                <w:sz w:val="24"/>
                <w:highlight w:val="none"/>
              </w:rPr>
              <w:t>1个。</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13、心理剧背景地排灯2展（电压：AC220V±5% 50-60Hz）。光源：2000W卤钨灯管，内带排风机。</w:t>
            </w:r>
          </w:p>
          <w:p>
            <w:pPr>
              <w:pStyle w:val="19"/>
              <w:shd w:val="clear"/>
              <w:rPr>
                <w:rFonts w:ascii="宋体" w:hAnsi="宋体" w:cs="宋体"/>
                <w:color w:val="auto"/>
                <w:sz w:val="24"/>
                <w:highlight w:val="none"/>
              </w:rPr>
            </w:pPr>
            <w:r>
              <w:rPr>
                <w:rFonts w:hint="eastAsia" w:ascii="宋体" w:hAnsi="宋体" w:cs="宋体"/>
                <w:color w:val="auto"/>
                <w:sz w:val="24"/>
                <w:highlight w:val="none"/>
              </w:rPr>
              <w:t>功率：</w:t>
            </w:r>
            <w:r>
              <w:rPr>
                <w:rFonts w:hint="eastAsia"/>
                <w:color w:val="auto"/>
                <w:highlight w:val="none"/>
              </w:rPr>
              <w:t>≥</w:t>
            </w:r>
            <w:r>
              <w:rPr>
                <w:rFonts w:hint="eastAsia" w:ascii="宋体" w:hAnsi="宋体" w:cs="宋体"/>
                <w:color w:val="auto"/>
                <w:sz w:val="24"/>
                <w:highlight w:val="none"/>
              </w:rPr>
              <w:t>2000W，包装尺寸：540x460x260mm；重量：</w:t>
            </w:r>
            <w:r>
              <w:rPr>
                <w:rFonts w:hint="eastAsia"/>
                <w:color w:val="auto"/>
                <w:highlight w:val="none"/>
              </w:rPr>
              <w:t>≥</w:t>
            </w:r>
            <w:r>
              <w:rPr>
                <w:rFonts w:hint="eastAsia" w:ascii="宋体" w:hAnsi="宋体" w:cs="宋体"/>
                <w:color w:val="auto"/>
                <w:sz w:val="24"/>
                <w:highlight w:val="none"/>
              </w:rPr>
              <w:t>8KG；色温：</w:t>
            </w:r>
            <w:r>
              <w:rPr>
                <w:rFonts w:hint="eastAsia"/>
                <w:color w:val="auto"/>
                <w:highlight w:val="none"/>
              </w:rPr>
              <w:t>≥</w:t>
            </w:r>
            <w:r>
              <w:rPr>
                <w:rFonts w:hint="eastAsia" w:ascii="宋体" w:hAnsi="宋体" w:cs="宋体"/>
                <w:color w:val="auto"/>
                <w:sz w:val="24"/>
                <w:highlight w:val="none"/>
              </w:rPr>
              <w:t>3200k。</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14、魔术修颜道具1组。</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15、心理剧专用器材箱不少于2个。</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16、情绪调节训练包1套：配置移动式色彩拼图块4组，每组四块，2.5*2.5*2.5厘米，共四种颜色；不重复配套情绪识别卡64张，每组16张，5*5厘米；共四种颜色；情绪识别认知训练卡12张；用于发觉来鼓励来访者的情绪表达和内感识别，增加其自我情绪认知以及积极的情绪表达训练。为其更好的管控识别情绪提供可视化，可实操的趣味心理体验。</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26</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配套桌椅</w:t>
            </w:r>
          </w:p>
        </w:tc>
        <w:tc>
          <w:tcPr>
            <w:tcW w:w="2392" w:type="pct"/>
            <w:shd w:val="clear" w:color="auto" w:fill="auto"/>
            <w:vAlign w:val="center"/>
          </w:tcPr>
          <w:p>
            <w:pPr>
              <w:widowControl/>
              <w:numPr>
                <w:ilvl w:val="0"/>
                <w:numId w:val="9"/>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桌：尺寸：≥1400*760*600mm；</w:t>
            </w:r>
          </w:p>
          <w:p>
            <w:pPr>
              <w:widowControl/>
              <w:numPr>
                <w:ilvl w:val="0"/>
                <w:numId w:val="9"/>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材质：应至少采用三聚氰胺高密度板；功能要求：带储藏柜，台面面板厚度≥25mm。</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27</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心理影视工作坊基础改造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改造要求：需营造出温馨舒适的感觉、应满足心理学相关要求；</w:t>
            </w:r>
            <w:r>
              <w:rPr>
                <w:rFonts w:hint="eastAsia" w:ascii="宋体" w:hAnsi="宋体" w:cs="宋体"/>
                <w:color w:val="auto"/>
                <w:sz w:val="24"/>
                <w:highlight w:val="none"/>
              </w:rPr>
              <w:br w:type="textWrapping"/>
            </w:r>
            <w:r>
              <w:rPr>
                <w:rFonts w:hint="eastAsia" w:ascii="宋体" w:hAnsi="宋体" w:cs="宋体"/>
                <w:color w:val="auto"/>
                <w:sz w:val="24"/>
                <w:highlight w:val="none"/>
              </w:rPr>
              <w:t>1、吊顶：需设计造型吊顶,灯光照明设备等；</w:t>
            </w:r>
            <w:r>
              <w:rPr>
                <w:rFonts w:hint="eastAsia" w:ascii="宋体" w:hAnsi="宋体" w:cs="宋体"/>
                <w:color w:val="auto"/>
                <w:sz w:val="24"/>
                <w:highlight w:val="none"/>
              </w:rPr>
              <w:br w:type="textWrapping"/>
            </w:r>
            <w:r>
              <w:rPr>
                <w:rFonts w:hint="eastAsia" w:ascii="宋体" w:hAnsi="宋体" w:cs="宋体"/>
                <w:color w:val="auto"/>
                <w:sz w:val="24"/>
                <w:highlight w:val="none"/>
              </w:rPr>
              <w:t>2、墙面：要求采用环保无污染乳胶漆；</w:t>
            </w:r>
            <w:r>
              <w:rPr>
                <w:rFonts w:hint="eastAsia" w:ascii="宋体" w:hAnsi="宋体" w:cs="宋体"/>
                <w:color w:val="auto"/>
                <w:sz w:val="24"/>
                <w:highlight w:val="none"/>
              </w:rPr>
              <w:br w:type="textWrapping"/>
            </w:r>
            <w:r>
              <w:rPr>
                <w:rFonts w:hint="eastAsia" w:ascii="宋体" w:hAnsi="宋体" w:cs="宋体"/>
                <w:color w:val="auto"/>
                <w:sz w:val="24"/>
                <w:highlight w:val="none"/>
              </w:rPr>
              <w:t>3、窗帘：要求采用棉麻布艺材质，颜色应与功能室环境相匹配；</w:t>
            </w:r>
            <w:r>
              <w:rPr>
                <w:rFonts w:hint="eastAsia" w:ascii="宋体" w:hAnsi="宋体" w:cs="宋体"/>
                <w:color w:val="auto"/>
                <w:sz w:val="24"/>
                <w:highlight w:val="none"/>
              </w:rPr>
              <w:br w:type="textWrapping"/>
            </w:r>
            <w:r>
              <w:rPr>
                <w:rFonts w:hint="eastAsia" w:ascii="宋体" w:hAnsi="宋体" w:cs="宋体"/>
                <w:color w:val="auto"/>
                <w:sz w:val="24"/>
                <w:highlight w:val="none"/>
              </w:rPr>
              <w:t>4、其它：应根据功能室功能需求，含门更换，强弱电改造，隔断墙，木地板等。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28</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个体咨询沙发</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1.配置：单人位沙发2张、圆桌1张；</w:t>
            </w:r>
            <w:r>
              <w:rPr>
                <w:rFonts w:hint="eastAsia" w:ascii="宋体" w:hAnsi="宋体" w:cs="宋体"/>
                <w:color w:val="auto"/>
                <w:sz w:val="24"/>
                <w:highlight w:val="none"/>
              </w:rPr>
              <w:br w:type="textWrapping"/>
            </w:r>
            <w:r>
              <w:rPr>
                <w:rFonts w:hint="eastAsia" w:ascii="宋体" w:hAnsi="宋体" w:cs="宋体"/>
                <w:color w:val="auto"/>
                <w:sz w:val="24"/>
                <w:highlight w:val="none"/>
              </w:rPr>
              <w:t>2.咨询沙发：要求承重力强，纹理清晰，原木色脚。棉麻面料，舒适透气，内填充海绵软硬适中回弹力足，布纹清晰有条理，透气性好，耐磨抗皱。</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29</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个体辅导室2基础改造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改造要求：需营造出温馨舒适的感觉、应满足心理学相关要求；</w:t>
            </w:r>
            <w:r>
              <w:rPr>
                <w:rFonts w:hint="eastAsia" w:ascii="宋体" w:hAnsi="宋体" w:cs="宋体"/>
                <w:color w:val="auto"/>
                <w:sz w:val="24"/>
                <w:highlight w:val="none"/>
              </w:rPr>
              <w:br w:type="textWrapping"/>
            </w:r>
            <w:r>
              <w:rPr>
                <w:rFonts w:hint="eastAsia" w:ascii="宋体" w:hAnsi="宋体" w:cs="宋体"/>
                <w:color w:val="auto"/>
                <w:sz w:val="24"/>
                <w:highlight w:val="none"/>
              </w:rPr>
              <w:t>1、吊顶：需设计造型吊顶,灯光照明设备等；</w:t>
            </w:r>
            <w:r>
              <w:rPr>
                <w:rFonts w:hint="eastAsia" w:ascii="宋体" w:hAnsi="宋体" w:cs="宋体"/>
                <w:color w:val="auto"/>
                <w:sz w:val="24"/>
                <w:highlight w:val="none"/>
              </w:rPr>
              <w:br w:type="textWrapping"/>
            </w:r>
            <w:r>
              <w:rPr>
                <w:rFonts w:hint="eastAsia" w:ascii="宋体" w:hAnsi="宋体" w:cs="宋体"/>
                <w:color w:val="auto"/>
                <w:sz w:val="24"/>
                <w:highlight w:val="none"/>
              </w:rPr>
              <w:t>2、墙面：要求采用环保无污染乳胶漆；</w:t>
            </w:r>
            <w:r>
              <w:rPr>
                <w:rFonts w:hint="eastAsia" w:ascii="宋体" w:hAnsi="宋体" w:cs="宋体"/>
                <w:color w:val="auto"/>
                <w:sz w:val="24"/>
                <w:highlight w:val="none"/>
              </w:rPr>
              <w:br w:type="textWrapping"/>
            </w:r>
            <w:r>
              <w:rPr>
                <w:rFonts w:hint="eastAsia" w:ascii="宋体" w:hAnsi="宋体" w:cs="宋体"/>
                <w:color w:val="auto"/>
                <w:sz w:val="24"/>
                <w:highlight w:val="none"/>
              </w:rPr>
              <w:t>3、窗帘：要求采用棉麻布艺材质，颜色应与功能室环境相匹配；</w:t>
            </w:r>
            <w:r>
              <w:rPr>
                <w:rFonts w:hint="eastAsia" w:ascii="宋体" w:hAnsi="宋体" w:cs="宋体"/>
                <w:color w:val="auto"/>
                <w:sz w:val="24"/>
                <w:highlight w:val="none"/>
              </w:rPr>
              <w:br w:type="textWrapping"/>
            </w:r>
            <w:r>
              <w:rPr>
                <w:rFonts w:hint="eastAsia" w:ascii="宋体" w:hAnsi="宋体" w:cs="宋体"/>
                <w:color w:val="auto"/>
                <w:sz w:val="24"/>
                <w:highlight w:val="none"/>
              </w:rPr>
              <w:t>4、其它：应根据功能室功能需求，含门更换，强弱电改造，隔断墙，木地板等。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心理沙盘成套系统</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2400个沙具：自主开模上百余种沙具。沙具大类和次类别。至少包括人物类、动物类、植物类、建筑类、食物类、家具生活用品类、交通类、自然物质类、场景类、等8大类及32次类别。通过次类别的划分面向不同群体的应用需求；材质多样性：分陶瓷、树脂、木质、塑料、塑胶、泥质等，可满足不同偏好访者的需要，形象、逼真，与现实之物极为相似；</w:t>
            </w:r>
            <w:r>
              <w:rPr>
                <w:rFonts w:hint="eastAsia" w:ascii="宋体" w:hAnsi="宋体" w:cs="宋体"/>
                <w:color w:val="auto"/>
                <w:sz w:val="24"/>
                <w:highlight w:val="none"/>
              </w:rPr>
              <w:br w:type="textWrapping"/>
            </w:r>
            <w:r>
              <w:rPr>
                <w:rFonts w:hint="eastAsia" w:ascii="宋体" w:hAnsi="宋体" w:cs="宋体"/>
                <w:color w:val="auto"/>
                <w:sz w:val="24"/>
                <w:highlight w:val="none"/>
              </w:rPr>
              <w:t>2.标准个体沙箱：3个、规格尺寸：约72cm*57cm*7cm；团体沙箱：1个、规格尺寸：约120cm*80cm*10cm；</w:t>
            </w:r>
            <w:r>
              <w:rPr>
                <w:rFonts w:hint="eastAsia" w:ascii="宋体" w:hAnsi="宋体" w:cs="宋体"/>
                <w:color w:val="auto"/>
                <w:sz w:val="24"/>
                <w:highlight w:val="none"/>
              </w:rPr>
              <w:br w:type="textWrapping"/>
            </w:r>
            <w:r>
              <w:rPr>
                <w:rFonts w:hint="eastAsia" w:ascii="宋体" w:hAnsi="宋体" w:cs="宋体"/>
                <w:color w:val="auto"/>
                <w:sz w:val="24"/>
                <w:highlight w:val="none"/>
              </w:rPr>
              <w:t>材质特性：天然实木，原始卯榫结构，防漏沙，更牢固；沙箱内侧刷有环保海蓝色防水油漆，外侧刷有环保清漆，防潮耐腐，结构稳固。内侧蓝色代表蓝天，底部蓝色代表江河湖海。其中个体沙箱配套专业防水内衬；</w:t>
            </w:r>
            <w:r>
              <w:rPr>
                <w:rFonts w:hint="eastAsia" w:ascii="宋体" w:hAnsi="宋体" w:cs="宋体"/>
                <w:color w:val="auto"/>
                <w:sz w:val="24"/>
                <w:highlight w:val="none"/>
              </w:rPr>
              <w:br w:type="textWrapping"/>
            </w:r>
            <w:r>
              <w:rPr>
                <w:rFonts w:hint="eastAsia" w:ascii="宋体" w:hAnsi="宋体" w:cs="宋体"/>
                <w:color w:val="auto"/>
                <w:sz w:val="24"/>
                <w:highlight w:val="none"/>
              </w:rPr>
              <w:t>3.沙具放置柜：6个；规格尺寸：约160cm*80cm*30cm，5层9阶，层高约34cm；</w:t>
            </w:r>
            <w:r>
              <w:rPr>
                <w:rFonts w:hint="eastAsia" w:ascii="宋体" w:hAnsi="宋体" w:cs="宋体"/>
                <w:color w:val="auto"/>
                <w:sz w:val="24"/>
                <w:highlight w:val="none"/>
              </w:rPr>
              <w:br w:type="textWrapping"/>
            </w:r>
            <w:r>
              <w:rPr>
                <w:rFonts w:hint="eastAsia" w:ascii="宋体" w:hAnsi="宋体" w:cs="宋体"/>
                <w:color w:val="auto"/>
                <w:sz w:val="24"/>
                <w:highlight w:val="none"/>
              </w:rPr>
              <w:t>材质特性：一级樟子松，自然木纹色，环保漆涂刷，防潮耐腐，结构稳固。提供安装拆卸说明，方便多次拆卸；</w:t>
            </w:r>
            <w:r>
              <w:rPr>
                <w:rFonts w:hint="eastAsia" w:ascii="宋体" w:hAnsi="宋体" w:cs="宋体"/>
                <w:color w:val="auto"/>
                <w:sz w:val="24"/>
                <w:highlight w:val="none"/>
              </w:rPr>
              <w:br w:type="textWrapping"/>
            </w:r>
            <w:r>
              <w:rPr>
                <w:rFonts w:hint="eastAsia" w:ascii="宋体" w:hAnsi="宋体" w:cs="宋体"/>
                <w:color w:val="auto"/>
                <w:sz w:val="24"/>
                <w:highlight w:val="none"/>
              </w:rPr>
              <w:t>4.天然海沙：经高温消毒，无杂质，手感舒适，大小均匀；要求个体沙箱配沙重量≥10kg，团体沙箱配沙重量≥30kg；</w:t>
            </w:r>
            <w:r>
              <w:rPr>
                <w:rFonts w:hint="eastAsia" w:ascii="宋体" w:hAnsi="宋体" w:cs="宋体"/>
                <w:color w:val="auto"/>
                <w:sz w:val="24"/>
                <w:highlight w:val="none"/>
              </w:rPr>
              <w:br w:type="textWrapping"/>
            </w:r>
            <w:r>
              <w:rPr>
                <w:rFonts w:hint="eastAsia" w:ascii="宋体" w:hAnsi="宋体" w:cs="宋体"/>
                <w:color w:val="auto"/>
                <w:sz w:val="24"/>
                <w:highlight w:val="none"/>
              </w:rPr>
              <w:t>5.另配：刮沙工具、清洁工具2套；沙游指导手册2本；沙盘安装指导手册1份；沙盘游戏治疗技术培训录像资料选辑光盘1张。</w:t>
            </w:r>
            <w:r>
              <w:rPr>
                <w:rFonts w:hint="eastAsia" w:ascii="宋体" w:hAnsi="宋体" w:cs="宋体"/>
                <w:color w:val="auto"/>
                <w:sz w:val="24"/>
                <w:highlight w:val="none"/>
              </w:rPr>
              <w:br w:type="textWrapping"/>
            </w:r>
            <w:r>
              <w:rPr>
                <w:rFonts w:hint="eastAsia" w:ascii="宋体" w:hAnsi="宋体" w:cs="宋体"/>
                <w:color w:val="auto"/>
                <w:sz w:val="24"/>
                <w:highlight w:val="none"/>
              </w:rPr>
              <w:t>其他要求：</w:t>
            </w:r>
            <w:r>
              <w:rPr>
                <w:rFonts w:hint="eastAsia" w:ascii="宋体" w:hAnsi="宋体" w:cs="宋体"/>
                <w:color w:val="auto"/>
                <w:sz w:val="24"/>
                <w:highlight w:val="none"/>
              </w:rPr>
              <w:br w:type="textWrapping"/>
            </w:r>
            <w:r>
              <w:rPr>
                <w:rFonts w:hint="eastAsia" w:ascii="宋体" w:hAnsi="宋体" w:cs="宋体"/>
                <w:color w:val="auto"/>
                <w:sz w:val="24"/>
                <w:highlight w:val="none"/>
              </w:rPr>
              <w:t>★1、为避免采购人在使用产品过程中不会产生因第三方提出侵犯其知识产权而引起的法律或经济纠纷，</w:t>
            </w:r>
            <w:r>
              <w:rPr>
                <w:rFonts w:hint="eastAsia" w:ascii="宋体" w:hAnsi="宋体" w:cs="宋体"/>
                <w:b/>
                <w:bCs/>
                <w:color w:val="auto"/>
                <w:sz w:val="24"/>
                <w:highlight w:val="none"/>
              </w:rPr>
              <w:t>需提供心理沙盘成套系统软件著作权登记证书。</w:t>
            </w:r>
            <w:r>
              <w:rPr>
                <w:rFonts w:hint="eastAsia" w:ascii="宋体" w:hAnsi="宋体" w:cs="宋体"/>
                <w:color w:val="auto"/>
                <w:sz w:val="24"/>
                <w:highlight w:val="none"/>
              </w:rPr>
              <w:br w:type="textWrapping"/>
            </w:r>
            <w:r>
              <w:rPr>
                <w:rFonts w:hint="eastAsia" w:ascii="宋体" w:hAnsi="宋体" w:cs="宋体"/>
                <w:color w:val="auto"/>
                <w:sz w:val="24"/>
                <w:highlight w:val="none"/>
              </w:rPr>
              <w:t>★2、</w:t>
            </w:r>
            <w:r>
              <w:rPr>
                <w:rFonts w:hint="eastAsia" w:ascii="宋体" w:hAnsi="宋体" w:cs="宋体"/>
                <w:b/>
                <w:bCs/>
                <w:color w:val="auto"/>
                <w:sz w:val="24"/>
                <w:highlight w:val="none"/>
              </w:rPr>
              <w:t>需提供心理沙盘成套系统产品厂家确认的、相应的功能证明材料（包括但不仅限于测试报告或官网或功能截图等）。</w:t>
            </w:r>
            <w:r>
              <w:rPr>
                <w:rFonts w:hint="eastAsia" w:ascii="宋体" w:hAnsi="宋体" w:cs="宋体"/>
                <w:color w:val="auto"/>
                <w:sz w:val="24"/>
                <w:highlight w:val="none"/>
              </w:rPr>
              <w:br w:type="textWrapping"/>
            </w:r>
            <w:r>
              <w:rPr>
                <w:rFonts w:hint="eastAsia" w:ascii="宋体" w:hAnsi="宋体" w:cs="宋体"/>
                <w:color w:val="auto"/>
                <w:sz w:val="24"/>
                <w:highlight w:val="none"/>
              </w:rPr>
              <w:t>★3、沙盘中甲醛释放量须符合《室内装饰装修材料木家具中有害物质限量标准》，检测项目甲醛释放量应≤1.5mg/L，</w:t>
            </w:r>
            <w:r>
              <w:rPr>
                <w:rFonts w:hint="eastAsia" w:ascii="宋体" w:hAnsi="宋体" w:cs="宋体"/>
                <w:b/>
                <w:bCs/>
                <w:color w:val="auto"/>
                <w:sz w:val="24"/>
                <w:highlight w:val="none"/>
              </w:rPr>
              <w:t>提供厂家确认的、相应的功能证明材料（</w:t>
            </w:r>
            <w:r>
              <w:rPr>
                <w:rFonts w:hint="eastAsia" w:ascii="宋体" w:hAnsi="宋体" w:cs="宋体"/>
                <w:b/>
                <w:bCs/>
                <w:color w:val="auto"/>
                <w:sz w:val="24"/>
                <w:highlight w:val="none"/>
                <w:lang w:eastAsia="zh-CN"/>
              </w:rPr>
              <w:t>可以是检测报告或官网截图或功能截图</w:t>
            </w:r>
            <w:r>
              <w:rPr>
                <w:rFonts w:hint="eastAsia" w:ascii="宋体" w:hAnsi="宋体" w:cs="宋体"/>
                <w:b/>
                <w:bCs/>
                <w:color w:val="auto"/>
                <w:sz w:val="24"/>
                <w:highlight w:val="none"/>
              </w:rPr>
              <w:t>）。</w:t>
            </w:r>
            <w:r>
              <w:rPr>
                <w:rFonts w:hint="eastAsia" w:ascii="宋体" w:hAnsi="宋体" w:cs="宋体"/>
                <w:color w:val="auto"/>
                <w:sz w:val="24"/>
                <w:highlight w:val="none"/>
              </w:rPr>
              <w:br w:type="textWrapping"/>
            </w:r>
            <w:r>
              <w:rPr>
                <w:rFonts w:hint="eastAsia" w:ascii="宋体" w:hAnsi="宋体" w:cs="宋体"/>
                <w:color w:val="auto"/>
                <w:sz w:val="24"/>
                <w:highlight w:val="none"/>
              </w:rPr>
              <w:t>★4、沙具柜中甲醛释放量须符合《室内装饰装修材料木家具中有害物质限量标准》，检测项目甲醛释放量应≤1.5mg/L，</w:t>
            </w:r>
            <w:r>
              <w:rPr>
                <w:rFonts w:hint="eastAsia" w:ascii="宋体" w:hAnsi="宋体" w:cs="宋体"/>
                <w:b/>
                <w:bCs/>
                <w:color w:val="auto"/>
                <w:sz w:val="24"/>
                <w:highlight w:val="none"/>
              </w:rPr>
              <w:t>提供厂家确认的、相应的功能证明材料（包括但不仅限于测试报告或官网或功能截图等）。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31</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3D电子心理沙盘系统</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一、功能要求</w:t>
            </w:r>
            <w:r>
              <w:rPr>
                <w:rFonts w:hint="eastAsia" w:ascii="宋体" w:hAnsi="宋体" w:cs="宋体"/>
                <w:color w:val="auto"/>
                <w:sz w:val="24"/>
                <w:highlight w:val="none"/>
              </w:rPr>
              <w:br w:type="textWrapping"/>
            </w:r>
            <w:r>
              <w:rPr>
                <w:rFonts w:hint="eastAsia" w:ascii="宋体" w:hAnsi="宋体" w:cs="宋体"/>
                <w:color w:val="auto"/>
                <w:sz w:val="24"/>
                <w:highlight w:val="none"/>
              </w:rPr>
              <w:t>1、要求系统基于U3D技术开发，依据沙盘游戏的原理，在计算机三维仿真环境下，全面的记录沙游过程信息，能自动建立电子档案，支持过程回放，具有完善的沙游作品分析功能模式；</w:t>
            </w:r>
            <w:r>
              <w:rPr>
                <w:rFonts w:hint="eastAsia" w:ascii="宋体" w:hAnsi="宋体" w:cs="宋体"/>
                <w:color w:val="auto"/>
                <w:sz w:val="24"/>
                <w:highlight w:val="none"/>
              </w:rPr>
              <w:br w:type="textWrapping"/>
            </w:r>
            <w:r>
              <w:rPr>
                <w:rFonts w:hint="eastAsia" w:ascii="宋体" w:hAnsi="宋体" w:cs="宋体"/>
                <w:color w:val="auto"/>
                <w:sz w:val="24"/>
                <w:highlight w:val="none"/>
              </w:rPr>
              <w:t>2、要求具有沙盘制作和沙盘管理功能模块，须支持触控操作和鼠标操作双模式控制。通过灵活精准的控制，实现沙具摆放、场景角度调整等所有功能的流畅操作；</w:t>
            </w:r>
            <w:r>
              <w:rPr>
                <w:rFonts w:hint="eastAsia" w:ascii="宋体" w:hAnsi="宋体" w:cs="宋体"/>
                <w:color w:val="auto"/>
                <w:sz w:val="24"/>
                <w:highlight w:val="none"/>
              </w:rPr>
              <w:br w:type="textWrapping"/>
            </w:r>
            <w:r>
              <w:rPr>
                <w:rFonts w:hint="eastAsia" w:ascii="宋体" w:hAnsi="宋体" w:cs="宋体"/>
                <w:color w:val="auto"/>
                <w:sz w:val="24"/>
                <w:highlight w:val="none"/>
              </w:rPr>
              <w:t>3、须具有地形设置功能，可对地形进行抬高、降低、平整等操作，抬高即成为高地山峰，降低即呈现水元素形成河流湖泊大海，平整即恢复为原来地形；</w:t>
            </w:r>
            <w:r>
              <w:rPr>
                <w:rFonts w:hint="eastAsia" w:ascii="宋体" w:hAnsi="宋体" w:cs="宋体"/>
                <w:color w:val="auto"/>
                <w:sz w:val="24"/>
                <w:highlight w:val="none"/>
              </w:rPr>
              <w:br w:type="textWrapping"/>
            </w:r>
            <w:r>
              <w:rPr>
                <w:rFonts w:hint="eastAsia" w:ascii="宋体" w:hAnsi="宋体" w:cs="宋体"/>
                <w:color w:val="auto"/>
                <w:sz w:val="24"/>
                <w:highlight w:val="none"/>
              </w:rPr>
              <w:t>4、要求系统具有鲜花、草地、沙漠、石子等多种路径贴图功能，通过触控涂抹即可实现地面风貌状态变换；</w:t>
            </w:r>
            <w:r>
              <w:rPr>
                <w:rFonts w:hint="eastAsia" w:ascii="宋体" w:hAnsi="宋体" w:cs="宋体"/>
                <w:color w:val="auto"/>
                <w:sz w:val="24"/>
                <w:highlight w:val="none"/>
              </w:rPr>
              <w:br w:type="textWrapping"/>
            </w:r>
            <w:r>
              <w:rPr>
                <w:rFonts w:hint="eastAsia" w:ascii="宋体" w:hAnsi="宋体" w:cs="宋体"/>
                <w:color w:val="auto"/>
                <w:sz w:val="24"/>
                <w:highlight w:val="none"/>
              </w:rPr>
              <w:t>5、要求具有空间环境设置，可提供晴空、宇宙、黄昏、曙光、深夜等不同风格天空背景；</w:t>
            </w:r>
            <w:r>
              <w:rPr>
                <w:rFonts w:hint="eastAsia" w:ascii="宋体" w:hAnsi="宋体" w:cs="宋体"/>
                <w:color w:val="auto"/>
                <w:sz w:val="24"/>
                <w:highlight w:val="none"/>
              </w:rPr>
              <w:br w:type="textWrapping"/>
            </w:r>
            <w:r>
              <w:rPr>
                <w:rFonts w:hint="eastAsia" w:ascii="宋体" w:hAnsi="宋体" w:cs="宋体"/>
                <w:color w:val="auto"/>
                <w:sz w:val="24"/>
                <w:highlight w:val="none"/>
              </w:rPr>
              <w:t>6、须具有多样的3D气候构建功能，具有下雨、下雪、晴天等三维虚拟气候模式，可动态展现雨雪等天气状况，在沙游过程中可随时动态改变天气状态；</w:t>
            </w:r>
            <w:r>
              <w:rPr>
                <w:rFonts w:hint="eastAsia" w:ascii="宋体" w:hAnsi="宋体" w:cs="宋体"/>
                <w:color w:val="auto"/>
                <w:sz w:val="24"/>
                <w:highlight w:val="none"/>
              </w:rPr>
              <w:br w:type="textWrapping"/>
            </w:r>
            <w:r>
              <w:rPr>
                <w:rFonts w:hint="eastAsia" w:ascii="宋体" w:hAnsi="宋体" w:cs="宋体"/>
                <w:color w:val="auto"/>
                <w:sz w:val="24"/>
                <w:highlight w:val="none"/>
              </w:rPr>
              <w:t>7、系统配备有沙游背景音乐，可自由开启、关闭背景音乐功能，可调节音量大小，自定义选择切换背景音乐曲目；</w:t>
            </w:r>
            <w:r>
              <w:rPr>
                <w:rFonts w:hint="eastAsia" w:ascii="宋体" w:hAnsi="宋体" w:cs="宋体"/>
                <w:color w:val="auto"/>
                <w:sz w:val="24"/>
                <w:highlight w:val="none"/>
              </w:rPr>
              <w:br w:type="textWrapping"/>
            </w:r>
            <w:r>
              <w:rPr>
                <w:rFonts w:hint="eastAsia" w:ascii="宋体" w:hAnsi="宋体" w:cs="宋体"/>
                <w:color w:val="auto"/>
                <w:sz w:val="24"/>
                <w:highlight w:val="none"/>
              </w:rPr>
              <w:t>8、须支持沙游场景截图功能，可将当前场景截图保存到指定目录下；</w:t>
            </w:r>
            <w:r>
              <w:rPr>
                <w:rFonts w:hint="eastAsia" w:ascii="宋体" w:hAnsi="宋体" w:cs="宋体"/>
                <w:color w:val="auto"/>
                <w:sz w:val="24"/>
                <w:highlight w:val="none"/>
              </w:rPr>
              <w:br w:type="textWrapping"/>
            </w:r>
            <w:r>
              <w:rPr>
                <w:rFonts w:hint="eastAsia" w:ascii="宋体" w:hAnsi="宋体" w:cs="宋体"/>
                <w:color w:val="auto"/>
                <w:sz w:val="24"/>
                <w:highlight w:val="none"/>
              </w:rPr>
              <w:t>9、系统须包括人物、死亡、文体、食物、家居、交通、军事、建筑、动物、植物、自然物等多个类别的3D沙具模型，要求部分沙具模型须带有骨骼动画效果；</w:t>
            </w:r>
            <w:r>
              <w:rPr>
                <w:rFonts w:hint="eastAsia" w:ascii="宋体" w:hAnsi="宋体" w:cs="宋体"/>
                <w:color w:val="auto"/>
                <w:sz w:val="24"/>
                <w:highlight w:val="none"/>
              </w:rPr>
              <w:br w:type="textWrapping"/>
            </w:r>
            <w:r>
              <w:rPr>
                <w:rFonts w:hint="eastAsia" w:ascii="宋体" w:hAnsi="宋体" w:cs="宋体"/>
                <w:color w:val="auto"/>
                <w:sz w:val="24"/>
                <w:highlight w:val="none"/>
              </w:rPr>
              <w:t>10、沙具要求可通过控制按钮进行三维立体方向上的放大、拉伸、缩小、旋转等操作，也可以进行对沙具进行掩埋、移动和删除操作；</w:t>
            </w:r>
            <w:r>
              <w:rPr>
                <w:rFonts w:hint="eastAsia" w:ascii="宋体" w:hAnsi="宋体" w:cs="宋体"/>
                <w:color w:val="auto"/>
                <w:sz w:val="24"/>
                <w:highlight w:val="none"/>
              </w:rPr>
              <w:br w:type="textWrapping"/>
            </w:r>
            <w:r>
              <w:rPr>
                <w:rFonts w:hint="eastAsia" w:ascii="宋体" w:hAnsi="宋体" w:cs="宋体"/>
                <w:color w:val="auto"/>
                <w:sz w:val="24"/>
                <w:highlight w:val="none"/>
              </w:rPr>
              <w:t>11、仿真3D沙游方式操作，可对沙盘场景进行360度环绕操控，沙盘的视角支持自由拉伸；</w:t>
            </w:r>
            <w:r>
              <w:rPr>
                <w:rFonts w:hint="eastAsia" w:ascii="宋体" w:hAnsi="宋体" w:cs="宋体"/>
                <w:color w:val="auto"/>
                <w:sz w:val="24"/>
                <w:highlight w:val="none"/>
              </w:rPr>
              <w:br w:type="textWrapping"/>
            </w:r>
            <w:r>
              <w:rPr>
                <w:rFonts w:hint="eastAsia" w:ascii="宋体" w:hAnsi="宋体" w:cs="宋体"/>
                <w:color w:val="auto"/>
                <w:sz w:val="24"/>
                <w:highlight w:val="none"/>
              </w:rPr>
              <w:t>12、要求系统实时记录沙具操作使用情况，可按照沙具名称、摆放时间、沙具状态等信息对沙具进行统计列表显示，点击列表上的沙具，系统场景可自动切换到当前沙具上；</w:t>
            </w:r>
            <w:r>
              <w:rPr>
                <w:rFonts w:hint="eastAsia" w:ascii="宋体" w:hAnsi="宋体" w:cs="宋体"/>
                <w:color w:val="auto"/>
                <w:sz w:val="24"/>
                <w:highlight w:val="none"/>
              </w:rPr>
              <w:br w:type="textWrapping"/>
            </w:r>
            <w:r>
              <w:rPr>
                <w:rFonts w:hint="eastAsia" w:ascii="宋体" w:hAnsi="宋体" w:cs="宋体"/>
                <w:color w:val="auto"/>
                <w:sz w:val="24"/>
                <w:highlight w:val="none"/>
              </w:rPr>
              <w:t>13、系统须支持沙游作品的保存功能，可将沙游作品定义名称后保存到系统中；</w:t>
            </w:r>
            <w:r>
              <w:rPr>
                <w:rFonts w:hint="eastAsia" w:ascii="宋体" w:hAnsi="宋体" w:cs="宋体"/>
                <w:color w:val="auto"/>
                <w:sz w:val="24"/>
                <w:highlight w:val="none"/>
              </w:rPr>
              <w:br w:type="textWrapping"/>
            </w:r>
            <w:r>
              <w:rPr>
                <w:rFonts w:hint="eastAsia" w:ascii="宋体" w:hAnsi="宋体" w:cs="宋体"/>
                <w:color w:val="auto"/>
                <w:sz w:val="24"/>
                <w:highlight w:val="none"/>
              </w:rPr>
              <w:t>14、须具有完善的沙游分析功能，系统能完整记录沙游过程信息，全程录制沙游场景过程。要求具有数据分析和视频回放功能；</w:t>
            </w:r>
            <w:r>
              <w:rPr>
                <w:rFonts w:hint="eastAsia" w:ascii="宋体" w:hAnsi="宋体" w:cs="宋体"/>
                <w:color w:val="auto"/>
                <w:sz w:val="24"/>
                <w:highlight w:val="none"/>
              </w:rPr>
              <w:br w:type="textWrapping"/>
            </w:r>
            <w:r>
              <w:rPr>
                <w:rFonts w:hint="eastAsia" w:ascii="宋体" w:hAnsi="宋体" w:cs="宋体"/>
                <w:color w:val="auto"/>
                <w:sz w:val="24"/>
                <w:highlight w:val="none"/>
              </w:rPr>
              <w:t>15、要求系统具有“显示被移除沙具”、“显示被隐藏沙具”、“显示被移动沙具”等功能按钮，可对沙具的移动、移除、掩埋等状态信息进行显示、关闭查看等操作；16、要求系统具有操作统计功能，可对用户的沙具操作、修改地形、保存场景等动作和用时予以记录，便于咨询师详细分析沙游数据；</w:t>
            </w:r>
            <w:r>
              <w:rPr>
                <w:rFonts w:hint="eastAsia" w:ascii="宋体" w:hAnsi="宋体" w:cs="宋体"/>
                <w:color w:val="auto"/>
                <w:sz w:val="24"/>
                <w:highlight w:val="none"/>
              </w:rPr>
              <w:br w:type="textWrapping"/>
            </w:r>
            <w:r>
              <w:rPr>
                <w:rFonts w:hint="eastAsia" w:ascii="宋体" w:hAnsi="宋体" w:cs="宋体"/>
                <w:color w:val="auto"/>
                <w:sz w:val="24"/>
                <w:highlight w:val="none"/>
              </w:rPr>
              <w:t>17、要求具有沙具统计功能，可查看用户使用沙具名称、操作类型（移除、移动、掩埋）、时间等信息；</w:t>
            </w:r>
            <w:r>
              <w:rPr>
                <w:rFonts w:hint="eastAsia" w:ascii="宋体" w:hAnsi="宋体" w:cs="宋体"/>
                <w:color w:val="auto"/>
                <w:sz w:val="24"/>
                <w:highlight w:val="none"/>
              </w:rPr>
              <w:br w:type="textWrapping"/>
            </w:r>
            <w:r>
              <w:rPr>
                <w:rFonts w:hint="eastAsia" w:ascii="宋体" w:hAnsi="宋体" w:cs="宋体"/>
                <w:color w:val="auto"/>
                <w:sz w:val="24"/>
                <w:highlight w:val="none"/>
              </w:rPr>
              <w:t>18、要求具有沙游场景游览功能，要求具有“第一人称视角”和“360度自由视角”两种模式，可以用第一人称视角在沙盘作品场景中漫游，亦可采用360度自由视角进行任意角度切换、放大、缩小等拉伸操作；</w:t>
            </w:r>
            <w:r>
              <w:rPr>
                <w:rFonts w:hint="eastAsia" w:ascii="宋体" w:hAnsi="宋体" w:cs="宋体"/>
                <w:color w:val="auto"/>
                <w:sz w:val="24"/>
                <w:highlight w:val="none"/>
              </w:rPr>
              <w:br w:type="textWrapping"/>
            </w:r>
            <w:r>
              <w:rPr>
                <w:rFonts w:hint="eastAsia" w:ascii="宋体" w:hAnsi="宋体" w:cs="宋体"/>
                <w:color w:val="auto"/>
                <w:sz w:val="24"/>
                <w:highlight w:val="none"/>
              </w:rPr>
              <w:t>19、具有沙游视频回放功能，系统可实时记录沙游过程，可回放沙游整个过程；</w:t>
            </w:r>
            <w:r>
              <w:rPr>
                <w:rFonts w:hint="eastAsia" w:ascii="宋体" w:hAnsi="宋体" w:cs="宋体"/>
                <w:color w:val="auto"/>
                <w:sz w:val="24"/>
                <w:highlight w:val="none"/>
              </w:rPr>
              <w:br w:type="textWrapping"/>
            </w:r>
            <w:r>
              <w:rPr>
                <w:rFonts w:hint="eastAsia" w:ascii="宋体" w:hAnsi="宋体" w:cs="宋体"/>
                <w:color w:val="auto"/>
                <w:sz w:val="24"/>
                <w:highlight w:val="none"/>
              </w:rPr>
              <w:t>20、具有详细的结果报告功能，完成沙盘制作后，自动生成沙盘报告。包括基本信息、沙盘图片、分类统计、摆放顺序、代表含义、分析记录等。报告支持导出为文档格式。</w:t>
            </w:r>
            <w:r>
              <w:rPr>
                <w:rFonts w:hint="eastAsia" w:ascii="宋体" w:hAnsi="宋体" w:cs="宋体"/>
                <w:color w:val="auto"/>
                <w:sz w:val="24"/>
                <w:highlight w:val="none"/>
              </w:rPr>
              <w:br w:type="textWrapping"/>
            </w:r>
            <w:r>
              <w:rPr>
                <w:rFonts w:hint="eastAsia" w:ascii="宋体" w:hAnsi="宋体" w:cs="宋体"/>
                <w:color w:val="auto"/>
                <w:sz w:val="24"/>
                <w:highlight w:val="none"/>
              </w:rPr>
              <w:t>二、产品组成</w:t>
            </w:r>
            <w:r>
              <w:rPr>
                <w:rFonts w:hint="eastAsia" w:ascii="宋体" w:hAnsi="宋体" w:cs="宋体"/>
                <w:color w:val="auto"/>
                <w:sz w:val="24"/>
                <w:highlight w:val="none"/>
              </w:rPr>
              <w:br w:type="textWrapping"/>
            </w:r>
            <w:r>
              <w:rPr>
                <w:rFonts w:hint="eastAsia" w:ascii="宋体" w:hAnsi="宋体" w:cs="宋体"/>
                <w:color w:val="auto"/>
                <w:sz w:val="24"/>
                <w:highlight w:val="none"/>
              </w:rPr>
              <w:t>1、要求包含3D心理数字沙盘系统1套（预置安装）；触控一体机1台；控制主机1台。</w:t>
            </w:r>
            <w:r>
              <w:rPr>
                <w:rFonts w:hint="eastAsia" w:ascii="宋体" w:hAnsi="宋体" w:cs="宋体"/>
                <w:color w:val="auto"/>
                <w:sz w:val="24"/>
                <w:highlight w:val="none"/>
              </w:rPr>
              <w:br w:type="textWrapping"/>
            </w:r>
            <w:r>
              <w:rPr>
                <w:rFonts w:hint="eastAsia" w:ascii="宋体" w:hAnsi="宋体" w:cs="宋体"/>
                <w:color w:val="auto"/>
                <w:sz w:val="24"/>
                <w:highlight w:val="none"/>
              </w:rPr>
              <w:t>三、硬件配置要求</w:t>
            </w:r>
            <w:r>
              <w:rPr>
                <w:rFonts w:hint="eastAsia" w:ascii="宋体" w:hAnsi="宋体" w:cs="宋体"/>
                <w:color w:val="auto"/>
                <w:sz w:val="24"/>
                <w:highlight w:val="none"/>
              </w:rPr>
              <w:br w:type="textWrapping"/>
            </w:r>
            <w:r>
              <w:rPr>
                <w:rFonts w:hint="eastAsia" w:ascii="宋体" w:hAnsi="宋体" w:cs="宋体"/>
                <w:color w:val="auto"/>
                <w:sz w:val="24"/>
                <w:highlight w:val="none"/>
              </w:rPr>
              <w:t>1、要求显示：不少于42英寸触控屏幕，分辨率不少于1920*1080；</w:t>
            </w:r>
            <w:r>
              <w:rPr>
                <w:rFonts w:hint="eastAsia" w:ascii="宋体" w:hAnsi="宋体" w:cs="宋体"/>
                <w:color w:val="auto"/>
                <w:sz w:val="24"/>
                <w:highlight w:val="none"/>
              </w:rPr>
              <w:br w:type="textWrapping"/>
            </w:r>
            <w:r>
              <w:rPr>
                <w:rFonts w:hint="eastAsia" w:ascii="宋体" w:hAnsi="宋体" w:cs="宋体"/>
                <w:color w:val="auto"/>
                <w:sz w:val="24"/>
                <w:highlight w:val="none"/>
              </w:rPr>
              <w:t>2、要求尺寸：不少于110*60*125cm（长*宽*高）；</w:t>
            </w:r>
            <w:r>
              <w:rPr>
                <w:rFonts w:hint="eastAsia" w:ascii="宋体" w:hAnsi="宋体" w:cs="宋体"/>
                <w:color w:val="auto"/>
                <w:sz w:val="24"/>
                <w:highlight w:val="none"/>
              </w:rPr>
              <w:br w:type="textWrapping"/>
            </w:r>
            <w:r>
              <w:rPr>
                <w:rFonts w:hint="eastAsia" w:ascii="宋体" w:hAnsi="宋体" w:cs="宋体"/>
                <w:color w:val="auto"/>
                <w:sz w:val="24"/>
                <w:highlight w:val="none"/>
              </w:rPr>
              <w:t>3、要求材质：钢制机壳。</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32</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凳子</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1.尺寸：≥280*450*29mm,材质:木制，环保，无刺激性气味，凳面圆形或方形，颜色：要求与功能室协调。</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33</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团体沙盘游戏室基础改造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改造要求：需营造出温馨舒适的感觉、应满足心理学相关要求；材料要环保无毒。</w:t>
            </w:r>
            <w:r>
              <w:rPr>
                <w:rFonts w:hint="eastAsia" w:ascii="宋体" w:hAnsi="宋体" w:cs="宋体"/>
                <w:color w:val="auto"/>
                <w:sz w:val="24"/>
                <w:highlight w:val="none"/>
              </w:rPr>
              <w:br w:type="textWrapping"/>
            </w:r>
            <w:r>
              <w:rPr>
                <w:rFonts w:hint="eastAsia" w:ascii="宋体" w:hAnsi="宋体" w:cs="宋体"/>
                <w:color w:val="auto"/>
                <w:sz w:val="24"/>
                <w:highlight w:val="none"/>
              </w:rPr>
              <w:t>1、吊顶：需设计造型吊顶,灯光照明设备等；</w:t>
            </w:r>
            <w:r>
              <w:rPr>
                <w:rFonts w:hint="eastAsia" w:ascii="宋体" w:hAnsi="宋体" w:cs="宋体"/>
                <w:color w:val="auto"/>
                <w:sz w:val="24"/>
                <w:highlight w:val="none"/>
              </w:rPr>
              <w:br w:type="textWrapping"/>
            </w:r>
            <w:r>
              <w:rPr>
                <w:rFonts w:hint="eastAsia" w:ascii="宋体" w:hAnsi="宋体" w:cs="宋体"/>
                <w:color w:val="auto"/>
                <w:sz w:val="24"/>
                <w:highlight w:val="none"/>
              </w:rPr>
              <w:t>2、墙面：要求采用环保无污染乳胶漆；</w:t>
            </w:r>
            <w:r>
              <w:rPr>
                <w:rFonts w:hint="eastAsia" w:ascii="宋体" w:hAnsi="宋体" w:cs="宋体"/>
                <w:color w:val="auto"/>
                <w:sz w:val="24"/>
                <w:highlight w:val="none"/>
              </w:rPr>
              <w:br w:type="textWrapping"/>
            </w:r>
            <w:r>
              <w:rPr>
                <w:rFonts w:hint="eastAsia" w:ascii="宋体" w:hAnsi="宋体" w:cs="宋体"/>
                <w:color w:val="auto"/>
                <w:sz w:val="24"/>
                <w:highlight w:val="none"/>
              </w:rPr>
              <w:t>3、窗帘：要求采用棉麻布艺材质，颜色应与功能室环境相匹配；</w:t>
            </w:r>
            <w:r>
              <w:rPr>
                <w:rFonts w:hint="eastAsia" w:ascii="宋体" w:hAnsi="宋体" w:cs="宋体"/>
                <w:color w:val="auto"/>
                <w:sz w:val="24"/>
                <w:highlight w:val="none"/>
              </w:rPr>
              <w:br w:type="textWrapping"/>
            </w:r>
            <w:r>
              <w:rPr>
                <w:rFonts w:hint="eastAsia" w:ascii="宋体" w:hAnsi="宋体" w:cs="宋体"/>
                <w:color w:val="auto"/>
                <w:sz w:val="24"/>
                <w:highlight w:val="none"/>
              </w:rPr>
              <w:t>4、其它：应根据功能室功能需求，含门、窗纱更换，强弱电改造，隔断墙，木地板等。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34</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智能击打呐喊宣泄系统</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要求：可提供多维度心理健康测评、多种主题训练方案和多款人机互动训练游戏，通过采集训练者的击打力度和频率、声音分贝及持续时间，系统智能匹配相应的指导语音，使训练者能在新颖独特的游戏训练中调节情绪，消除焦虑、紧张、冲动、压抑等负面情绪，从而达到身心放松、压力缓解、情绪疏散的宣泄效果，。要求具有双人PK击打训练模式，测评报告及人员档案均可以物联上传到智慧心理云平台。</w:t>
            </w:r>
            <w:r>
              <w:rPr>
                <w:rFonts w:hint="eastAsia" w:ascii="宋体" w:hAnsi="宋体" w:cs="宋体"/>
                <w:color w:val="auto"/>
                <w:sz w:val="24"/>
                <w:highlight w:val="none"/>
              </w:rPr>
              <w:br w:type="textWrapping"/>
            </w:r>
            <w:r>
              <w:rPr>
                <w:rFonts w:hint="eastAsia" w:ascii="宋体" w:hAnsi="宋体" w:cs="宋体"/>
                <w:color w:val="auto"/>
                <w:sz w:val="24"/>
                <w:highlight w:val="none"/>
              </w:rPr>
              <w:t>（一）硬件配置要求：≥43寸LED液晶触控屏，尺寸：≥1655x770x475mm，可触摸范围：≥990x580mm，≥I5处理器，≥8G内存，≥248G固态硬盘，分辨率1920x1080，触摸寿命60万次以上。移动式无线击打耙：内置无线传感器，2.4G无线传输模式，自动将力度模拟信号转为数字信号.外表是高档硅胶材质，打击袋的直径不少于300mm，高900mm，总高度1700mm，底座直径620mm，装沙重不少于160kg，带底座吸盘。</w:t>
            </w:r>
            <w:r>
              <w:rPr>
                <w:rFonts w:hint="eastAsia" w:ascii="宋体" w:hAnsi="宋体" w:cs="宋体"/>
                <w:color w:val="auto"/>
                <w:sz w:val="24"/>
                <w:highlight w:val="none"/>
              </w:rPr>
              <w:br w:type="textWrapping"/>
            </w:r>
            <w:r>
              <w:rPr>
                <w:rFonts w:hint="eastAsia" w:ascii="宋体" w:hAnsi="宋体" w:cs="宋体"/>
                <w:color w:val="auto"/>
                <w:sz w:val="24"/>
                <w:highlight w:val="none"/>
              </w:rPr>
              <w:t>（二）功能要求：</w:t>
            </w:r>
            <w:r>
              <w:rPr>
                <w:rFonts w:hint="eastAsia" w:ascii="宋体" w:hAnsi="宋体" w:cs="宋体"/>
                <w:color w:val="auto"/>
                <w:sz w:val="24"/>
                <w:highlight w:val="none"/>
              </w:rPr>
              <w:br w:type="textWrapping"/>
            </w:r>
            <w:r>
              <w:rPr>
                <w:rFonts w:hint="eastAsia" w:ascii="宋体" w:hAnsi="宋体" w:cs="宋体"/>
                <w:color w:val="auto"/>
                <w:sz w:val="24"/>
                <w:highlight w:val="none"/>
              </w:rPr>
              <w:t>2.1．应具有灵活的登录模式：用户档案信息应支持从智慧心理云平台下载登录和提供单点注册两种登录模式。系统为所有训练者分别建立训练档案，训练者只能查看自己的训练档案记录，确保信息安全防止泄漏；</w:t>
            </w:r>
            <w:r>
              <w:rPr>
                <w:rFonts w:hint="eastAsia" w:ascii="宋体" w:hAnsi="宋体" w:cs="宋体"/>
                <w:color w:val="auto"/>
                <w:sz w:val="24"/>
                <w:highlight w:val="none"/>
              </w:rPr>
              <w:br w:type="textWrapping"/>
            </w:r>
            <w:r>
              <w:rPr>
                <w:rFonts w:hint="eastAsia" w:ascii="宋体" w:hAnsi="宋体" w:cs="宋体"/>
                <w:color w:val="auto"/>
                <w:sz w:val="24"/>
                <w:highlight w:val="none"/>
              </w:rPr>
              <w:t>2.2．多维度心理测评：要求系统至少提供心理健康临床症状自评测验（SCL-90）、抑郁自评测验（SDS）、焦虑自评量表（SAS）、压力应对方式测验、心理健康诊断测验（CAS）、心理压力自评量表（PSTR）、艾森克人格问卷量表（EPQ）、汉密顿抑郁量表（HAMD）、汉密顿焦虑量表（HAMA）、自杀态度测评量表等10个国际标准测评量表；</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 xml:space="preserve"> 2.3．击打力度分析：采用移动式击打靶设计，击打舒适安全，系统内置高灵敏加速度传感器，采用2.4G无线传输模式，自动将力度模拟信号转为数字信号；</w:t>
            </w:r>
            <w:r>
              <w:rPr>
                <w:rFonts w:hint="eastAsia" w:ascii="宋体" w:hAnsi="宋体" w:cs="宋体"/>
                <w:color w:val="auto"/>
                <w:sz w:val="24"/>
                <w:highlight w:val="none"/>
              </w:rPr>
              <w:br w:type="textWrapping"/>
            </w:r>
            <w:r>
              <w:rPr>
                <w:rFonts w:hint="eastAsia" w:ascii="宋体" w:hAnsi="宋体" w:cs="宋体"/>
                <w:color w:val="auto"/>
                <w:sz w:val="24"/>
                <w:highlight w:val="none"/>
              </w:rPr>
              <w:t>2.4．宣泄主题要求：应至少包含学习工作、恋爱情感、人际交往、环境适应、情绪管理、自知自省、生命认知、挫折成败、家庭关系、应激调节等十大宣泄主题；</w:t>
            </w:r>
            <w:r>
              <w:rPr>
                <w:rFonts w:hint="eastAsia" w:ascii="宋体" w:hAnsi="宋体" w:cs="宋体"/>
                <w:color w:val="auto"/>
                <w:sz w:val="24"/>
                <w:highlight w:val="none"/>
              </w:rPr>
              <w:br w:type="textWrapping"/>
            </w:r>
            <w:r>
              <w:rPr>
                <w:rFonts w:hint="eastAsia" w:ascii="宋体" w:hAnsi="宋体" w:cs="宋体"/>
                <w:color w:val="auto"/>
                <w:sz w:val="24"/>
                <w:highlight w:val="none"/>
              </w:rPr>
              <w:t>2.5．智能语音互动：应具备男声、女声互动语音库，可自由切换语音指导模式，根据击打力度，自动匹配不同的正向语音指导，给予训练者积极正面的引导。另外训练者击打时可根据当下的心情选择对应的3D背景炫丽效果,可增加宣泄时场景的真实感；</w:t>
            </w:r>
            <w:r>
              <w:rPr>
                <w:rFonts w:hint="eastAsia" w:ascii="宋体" w:hAnsi="宋体" w:cs="宋体"/>
                <w:color w:val="auto"/>
                <w:sz w:val="24"/>
                <w:highlight w:val="none"/>
              </w:rPr>
              <w:br w:type="textWrapping"/>
            </w:r>
            <w:r>
              <w:rPr>
                <w:rFonts w:hint="eastAsia" w:ascii="宋体" w:hAnsi="宋体" w:cs="宋体"/>
                <w:color w:val="auto"/>
                <w:sz w:val="24"/>
                <w:highlight w:val="none"/>
              </w:rPr>
              <w:t>★2.6．应具有情境游戏互动系统：应至少提供心态果树、夜间灯塔、草原风车、放飞心愿等四款单人互动训练游戏，击打模式下应至少提供太空大战、急速狂奔、电音达人等三款双人互动训练游戏，游戏界面内容均应为3D引擎开发的3D游戏效果，应具备简单、普通、困难三个级难度的选择，满足训练者不断进阶来提升自身能力，双人互动游戏应可满足两人进行PK闯关模式，</w:t>
            </w:r>
            <w:r>
              <w:rPr>
                <w:rFonts w:hint="eastAsia" w:ascii="宋体" w:hAnsi="宋体" w:cs="宋体"/>
                <w:b/>
                <w:bCs/>
                <w:color w:val="auto"/>
                <w:sz w:val="24"/>
                <w:highlight w:val="none"/>
              </w:rPr>
              <w:t>提供功能界面截图证明</w:t>
            </w:r>
            <w:r>
              <w:rPr>
                <w:rFonts w:hint="eastAsia" w:ascii="宋体" w:hAnsi="宋体" w:cs="宋体"/>
                <w:color w:val="auto"/>
                <w:sz w:val="24"/>
                <w:highlight w:val="none"/>
              </w:rPr>
              <w:t>；</w:t>
            </w:r>
            <w:r>
              <w:rPr>
                <w:rFonts w:hint="eastAsia" w:ascii="宋体" w:hAnsi="宋体" w:cs="宋体"/>
                <w:color w:val="auto"/>
                <w:sz w:val="24"/>
                <w:highlight w:val="none"/>
              </w:rPr>
              <w:br w:type="textWrapping"/>
            </w:r>
            <w:r>
              <w:rPr>
                <w:rFonts w:hint="eastAsia" w:ascii="宋体" w:hAnsi="宋体" w:cs="宋体"/>
                <w:color w:val="auto"/>
                <w:sz w:val="24"/>
                <w:highlight w:val="none"/>
              </w:rPr>
              <w:t>2.7．心理放松系统：应提供音乐放松和调节训练，音乐放松应至少包含五行音乐、冥想音乐、减压方式、抒情欣赏、振奋精神、脑波音乐、精心催眠、颂钵脉轮等音乐分类，系统自带音乐应不少于150首，调节训练应至少包含呼吸放松训练、肌肉放松训练、催眠放松训练等。用户可自行添加、管理音视频文件，可设置随机播放、顺序播放等多种方式；</w:t>
            </w:r>
            <w:r>
              <w:rPr>
                <w:rFonts w:hint="eastAsia" w:ascii="宋体" w:hAnsi="宋体" w:cs="宋体"/>
                <w:color w:val="auto"/>
                <w:sz w:val="24"/>
                <w:highlight w:val="none"/>
              </w:rPr>
              <w:br w:type="textWrapping"/>
            </w:r>
            <w:r>
              <w:rPr>
                <w:rFonts w:hint="eastAsia" w:ascii="宋体" w:hAnsi="宋体" w:cs="宋体"/>
                <w:color w:val="auto"/>
                <w:sz w:val="24"/>
                <w:highlight w:val="none"/>
              </w:rPr>
              <w:t>2.8．训练指导系统：训练指导应至少包含呼吸放松训练、催眠放松训练、肌肉放松训练三大模块。系统一应内置训练教程，配备图片、语音等，指导训练者如何把握自我情绪，掌握合理宣泄的方式方法；</w:t>
            </w:r>
            <w:r>
              <w:rPr>
                <w:rFonts w:hint="eastAsia" w:ascii="宋体" w:hAnsi="宋体" w:cs="宋体"/>
                <w:color w:val="auto"/>
                <w:sz w:val="24"/>
                <w:highlight w:val="none"/>
              </w:rPr>
              <w:br w:type="textWrapping"/>
            </w:r>
            <w:r>
              <w:rPr>
                <w:rFonts w:hint="eastAsia" w:ascii="宋体" w:hAnsi="宋体" w:cs="宋体"/>
                <w:color w:val="auto"/>
                <w:sz w:val="24"/>
                <w:highlight w:val="none"/>
              </w:rPr>
              <w:t>2.9．应激训练系统：应激训练应至少包含火灾场景、地震场景、战争场景、洪灾场景、高空遇险等灾难场景，以渐进方式克服焦虑恐惧反应，管理员可通过系统后台自主发布场景视频。</w:t>
            </w:r>
            <w:r>
              <w:rPr>
                <w:rFonts w:hint="eastAsia" w:ascii="宋体" w:hAnsi="宋体" w:cs="宋体"/>
                <w:color w:val="auto"/>
                <w:sz w:val="24"/>
                <w:highlight w:val="none"/>
              </w:rPr>
              <w:br w:type="textWrapping"/>
            </w:r>
            <w:r>
              <w:rPr>
                <w:rFonts w:hint="eastAsia" w:ascii="宋体" w:hAnsi="宋体" w:cs="宋体"/>
                <w:color w:val="auto"/>
                <w:sz w:val="24"/>
                <w:highlight w:val="none"/>
              </w:rPr>
              <w:t>（三）产品配置：1．击打宣泄仪机柜1台；2．无线击打耙2个(硅胶材质带吸盘)；3．≥43寸触控液晶一体机1台；4．呼吸腰带传感器1条；5．说明书保修卡1份；6．拳击手套2副。</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35</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智能互动宣泄仪</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1.≥50寸高清液晶屏,可独立悬挂；</w:t>
            </w:r>
            <w:r>
              <w:rPr>
                <w:rFonts w:hint="eastAsia" w:ascii="宋体" w:hAnsi="宋体" w:cs="宋体"/>
                <w:color w:val="auto"/>
                <w:sz w:val="24"/>
                <w:highlight w:val="none"/>
              </w:rPr>
              <w:br w:type="textWrapping"/>
            </w:r>
            <w:r>
              <w:rPr>
                <w:rFonts w:hint="eastAsia" w:ascii="宋体" w:hAnsi="宋体" w:cs="宋体"/>
                <w:color w:val="auto"/>
                <w:sz w:val="24"/>
                <w:highlight w:val="none"/>
              </w:rPr>
              <w:t>2.机身尺寸：≥高170cm*宽115cm*底座厚度52cm；机柜采用ABS材质制作，一次冲压成型，安全环保；机柜配置万向轮，可随意移动和固定；</w:t>
            </w:r>
            <w:r>
              <w:rPr>
                <w:rFonts w:hint="eastAsia" w:ascii="宋体" w:hAnsi="宋体" w:cs="宋体"/>
                <w:color w:val="auto"/>
                <w:sz w:val="24"/>
                <w:highlight w:val="none"/>
              </w:rPr>
              <w:br w:type="textWrapping"/>
            </w:r>
            <w:r>
              <w:rPr>
                <w:rFonts w:hint="eastAsia" w:ascii="宋体" w:hAnsi="宋体" w:cs="宋体"/>
                <w:color w:val="auto"/>
                <w:sz w:val="24"/>
                <w:highlight w:val="none"/>
              </w:rPr>
              <w:t>3.内置红外热感应人体骨架扫描仪，通过肢体动作控制互动游戏（无需任何手持设备即可操作）；</w:t>
            </w:r>
            <w:r>
              <w:rPr>
                <w:rFonts w:hint="eastAsia" w:ascii="宋体" w:hAnsi="宋体" w:cs="宋体"/>
                <w:color w:val="auto"/>
                <w:sz w:val="24"/>
                <w:highlight w:val="none"/>
              </w:rPr>
              <w:br w:type="textWrapping"/>
            </w:r>
            <w:r>
              <w:rPr>
                <w:rFonts w:hint="eastAsia" w:ascii="宋体" w:hAnsi="宋体" w:cs="宋体"/>
                <w:color w:val="auto"/>
                <w:sz w:val="24"/>
                <w:highlight w:val="none"/>
              </w:rPr>
              <w:t>4.体验项目数量≥100，其中中文训练项目数量≥10；</w:t>
            </w:r>
            <w:r>
              <w:rPr>
                <w:rFonts w:hint="eastAsia" w:ascii="宋体" w:hAnsi="宋体" w:cs="宋体"/>
                <w:color w:val="auto"/>
                <w:sz w:val="24"/>
                <w:highlight w:val="none"/>
              </w:rPr>
              <w:br w:type="textWrapping"/>
            </w:r>
            <w:r>
              <w:rPr>
                <w:rFonts w:hint="eastAsia" w:ascii="宋体" w:hAnsi="宋体" w:cs="宋体"/>
                <w:color w:val="auto"/>
                <w:sz w:val="24"/>
                <w:highlight w:val="none"/>
              </w:rPr>
              <w:t>5.采用最新的体感控制技术，使用者无需任何手持设备即可操作；</w:t>
            </w:r>
            <w:r>
              <w:rPr>
                <w:rFonts w:hint="eastAsia" w:ascii="宋体" w:hAnsi="宋体" w:cs="宋体"/>
                <w:color w:val="auto"/>
                <w:sz w:val="24"/>
                <w:highlight w:val="none"/>
              </w:rPr>
              <w:br w:type="textWrapping"/>
            </w:r>
            <w:r>
              <w:rPr>
                <w:rFonts w:hint="eastAsia" w:ascii="宋体" w:hAnsi="宋体" w:cs="宋体"/>
                <w:color w:val="auto"/>
                <w:sz w:val="24"/>
                <w:highlight w:val="none"/>
              </w:rPr>
              <w:t>6.产品功能：具备身心平衡训练、小孩自闭症辅助训练、感觉统合训练、特殊儿童康复训练、左右脑协调等功能；</w:t>
            </w:r>
            <w:r>
              <w:rPr>
                <w:rFonts w:hint="eastAsia" w:ascii="宋体" w:hAnsi="宋体" w:cs="宋体"/>
                <w:color w:val="auto"/>
                <w:sz w:val="24"/>
                <w:highlight w:val="none"/>
              </w:rPr>
              <w:br w:type="textWrapping"/>
            </w:r>
            <w:r>
              <w:rPr>
                <w:rFonts w:hint="eastAsia" w:ascii="宋体" w:hAnsi="宋体" w:cs="宋体"/>
                <w:color w:val="auto"/>
                <w:sz w:val="24"/>
                <w:highlight w:val="none"/>
              </w:rPr>
              <w:t>7.最佳感应距离1.5m-3m；支持两人以上同时使用；</w:t>
            </w:r>
            <w:r>
              <w:rPr>
                <w:rFonts w:hint="eastAsia" w:ascii="宋体" w:hAnsi="宋体" w:cs="宋体"/>
                <w:color w:val="auto"/>
                <w:sz w:val="24"/>
                <w:highlight w:val="none"/>
              </w:rPr>
              <w:br w:type="textWrapping"/>
            </w:r>
            <w:r>
              <w:rPr>
                <w:rFonts w:hint="eastAsia" w:ascii="宋体" w:hAnsi="宋体" w:cs="宋体"/>
                <w:color w:val="auto"/>
                <w:sz w:val="24"/>
                <w:highlight w:val="none"/>
              </w:rPr>
              <w:t>8.控制设备：高速感应摄像头1个，准确识别人体动作。</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36</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VR心理动感单车</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一、软件包含：</w:t>
            </w:r>
            <w:r>
              <w:rPr>
                <w:rFonts w:hint="eastAsia" w:ascii="宋体" w:hAnsi="宋体" w:cs="宋体"/>
                <w:color w:val="auto"/>
                <w:sz w:val="24"/>
                <w:highlight w:val="none"/>
              </w:rPr>
              <w:br w:type="textWrapping"/>
            </w:r>
            <w:r>
              <w:rPr>
                <w:rFonts w:hint="eastAsia" w:ascii="宋体" w:hAnsi="宋体" w:cs="宋体"/>
                <w:color w:val="auto"/>
                <w:sz w:val="24"/>
                <w:highlight w:val="none"/>
              </w:rPr>
              <w:t>1、心理宣泄沉浸式放松内容：可选择所需的场景模块进行专业的身心训练。全程包含多种互动科普类心理行为训练知识点体验式学习，充分利用VR的沉浸感、互动性与心理健康知识点相融合，打造VR深度身心训练软件平台。清单应至少包含：冥想漫游、解压放松、美好人生；</w:t>
            </w:r>
            <w:r>
              <w:rPr>
                <w:rFonts w:hint="eastAsia" w:ascii="宋体" w:hAnsi="宋体" w:cs="宋体"/>
                <w:color w:val="auto"/>
                <w:sz w:val="24"/>
                <w:highlight w:val="none"/>
              </w:rPr>
              <w:br w:type="textWrapping"/>
            </w:r>
            <w:r>
              <w:rPr>
                <w:rFonts w:hint="eastAsia" w:ascii="宋体" w:hAnsi="宋体" w:cs="宋体"/>
                <w:color w:val="auto"/>
                <w:sz w:val="24"/>
                <w:highlight w:val="none"/>
              </w:rPr>
              <w:t>2、宣泄放松内容：应以“宣泄、解压”的理念作为开发基础。伴随着动感的音乐，结合体力宣泄以及旅行放松的宣泄项目，帮助来访者增强专注力；增加信心、释放自我；</w:t>
            </w:r>
            <w:r>
              <w:rPr>
                <w:rFonts w:hint="eastAsia" w:ascii="宋体" w:hAnsi="宋体" w:cs="宋体"/>
                <w:color w:val="auto"/>
                <w:sz w:val="24"/>
                <w:highlight w:val="none"/>
              </w:rPr>
              <w:br w:type="textWrapping"/>
            </w:r>
            <w:r>
              <w:rPr>
                <w:rFonts w:hint="eastAsia" w:ascii="宋体" w:hAnsi="宋体" w:cs="宋体"/>
                <w:color w:val="auto"/>
                <w:sz w:val="24"/>
                <w:highlight w:val="none"/>
              </w:rPr>
              <w:t>3、骑行娱乐宣泄内容：用户应以第一人称进入到虚拟场景中搭配VR单车进行虚拟骑行，骑行的同时伴随舒缓的音乐从而达到运动放松解压的效果。</w:t>
            </w:r>
            <w:r>
              <w:rPr>
                <w:rFonts w:hint="eastAsia" w:ascii="宋体" w:hAnsi="宋体" w:cs="宋体"/>
                <w:color w:val="auto"/>
                <w:sz w:val="24"/>
                <w:highlight w:val="none"/>
              </w:rPr>
              <w:br w:type="textWrapping"/>
            </w:r>
            <w:r>
              <w:rPr>
                <w:rFonts w:hint="eastAsia" w:ascii="宋体" w:hAnsi="宋体" w:cs="宋体"/>
                <w:color w:val="auto"/>
                <w:sz w:val="24"/>
                <w:highlight w:val="none"/>
              </w:rPr>
              <w:t>二、内容清单：</w:t>
            </w:r>
            <w:r>
              <w:rPr>
                <w:rFonts w:hint="eastAsia" w:ascii="宋体" w:hAnsi="宋体" w:cs="宋体"/>
                <w:color w:val="auto"/>
                <w:sz w:val="24"/>
                <w:highlight w:val="none"/>
              </w:rPr>
              <w:br w:type="textWrapping"/>
            </w:r>
            <w:r>
              <w:rPr>
                <w:rFonts w:hint="eastAsia" w:ascii="宋体" w:hAnsi="宋体" w:cs="宋体"/>
                <w:color w:val="auto"/>
                <w:sz w:val="24"/>
                <w:highlight w:val="none"/>
              </w:rPr>
              <w:t>★1、心理放松类应至少包含：美好人生、冥想漫游、跳伞、心理放松、心理解压、心理疏导，提供功能界面截图证明；</w:t>
            </w:r>
            <w:r>
              <w:rPr>
                <w:rFonts w:hint="eastAsia" w:ascii="宋体" w:hAnsi="宋体" w:cs="宋体"/>
                <w:color w:val="auto"/>
                <w:sz w:val="24"/>
                <w:highlight w:val="none"/>
              </w:rPr>
              <w:br w:type="textWrapping"/>
            </w:r>
            <w:r>
              <w:rPr>
                <w:rFonts w:hint="eastAsia" w:ascii="宋体" w:hAnsi="宋体" w:cs="宋体"/>
                <w:color w:val="auto"/>
                <w:sz w:val="24"/>
                <w:highlight w:val="none"/>
              </w:rPr>
              <w:t>2、娱乐骑行类应至少包含4款娱乐解压骑行资源，</w:t>
            </w:r>
            <w:r>
              <w:rPr>
                <w:rFonts w:hint="eastAsia" w:ascii="宋体" w:hAnsi="宋体" w:cs="宋体"/>
                <w:b/>
                <w:bCs/>
                <w:color w:val="auto"/>
                <w:sz w:val="24"/>
                <w:highlight w:val="none"/>
              </w:rPr>
              <w:t>提供功能界面截图证明</w:t>
            </w:r>
            <w:r>
              <w:rPr>
                <w:rFonts w:hint="eastAsia" w:ascii="宋体" w:hAnsi="宋体" w:cs="宋体"/>
                <w:color w:val="auto"/>
                <w:sz w:val="24"/>
                <w:highlight w:val="none"/>
              </w:rPr>
              <w:t>。</w:t>
            </w:r>
            <w:r>
              <w:rPr>
                <w:rFonts w:hint="eastAsia" w:ascii="宋体" w:hAnsi="宋体" w:cs="宋体"/>
                <w:color w:val="auto"/>
                <w:sz w:val="24"/>
                <w:highlight w:val="none"/>
              </w:rPr>
              <w:br w:type="textWrapping"/>
            </w:r>
            <w:r>
              <w:rPr>
                <w:rFonts w:hint="eastAsia" w:ascii="宋体" w:hAnsi="宋体" w:cs="宋体"/>
                <w:color w:val="auto"/>
                <w:sz w:val="24"/>
                <w:highlight w:val="none"/>
              </w:rPr>
              <w:t>三、硬件配置：</w:t>
            </w:r>
            <w:r>
              <w:rPr>
                <w:rFonts w:hint="eastAsia" w:ascii="宋体" w:hAnsi="宋体" w:cs="宋体"/>
                <w:color w:val="auto"/>
                <w:sz w:val="24"/>
                <w:highlight w:val="none"/>
              </w:rPr>
              <w:br w:type="textWrapping"/>
            </w:r>
            <w:r>
              <w:rPr>
                <w:rFonts w:hint="eastAsia" w:ascii="宋体" w:hAnsi="宋体" w:cs="宋体"/>
                <w:color w:val="auto"/>
                <w:sz w:val="24"/>
                <w:highlight w:val="none"/>
              </w:rPr>
              <w:t>1、应满足人体工学要求，专业车身设计；</w:t>
            </w:r>
            <w:r>
              <w:rPr>
                <w:rFonts w:hint="eastAsia" w:ascii="宋体" w:hAnsi="宋体" w:cs="宋体"/>
                <w:color w:val="auto"/>
                <w:sz w:val="24"/>
                <w:highlight w:val="none"/>
              </w:rPr>
              <w:br w:type="textWrapping"/>
            </w:r>
            <w:r>
              <w:rPr>
                <w:rFonts w:hint="eastAsia" w:ascii="宋体" w:hAnsi="宋体" w:cs="宋体"/>
                <w:color w:val="auto"/>
                <w:sz w:val="24"/>
                <w:highlight w:val="none"/>
              </w:rPr>
              <w:t>2、产品参数：电压：AC220V；功率：1000W；CPU：≥I5；外形尺寸：约L2000*W1000*H2300；头盔:1个；屏幕：≥32寸； 鼠标键盘:1套；</w:t>
            </w:r>
            <w:r>
              <w:rPr>
                <w:rFonts w:hint="eastAsia" w:ascii="宋体" w:hAnsi="宋体" w:cs="宋体"/>
                <w:color w:val="auto"/>
                <w:sz w:val="24"/>
                <w:highlight w:val="none"/>
              </w:rPr>
              <w:br w:type="textWrapping"/>
            </w:r>
            <w:r>
              <w:rPr>
                <w:rFonts w:hint="eastAsia" w:ascii="宋体" w:hAnsi="宋体" w:cs="宋体"/>
                <w:color w:val="auto"/>
                <w:sz w:val="24"/>
                <w:highlight w:val="none"/>
              </w:rPr>
              <w:t>3、VR骑行专用头盔：110度视场角、重力传感器、陀螺仪、自适应瞳距；</w:t>
            </w:r>
            <w:r>
              <w:rPr>
                <w:rFonts w:hint="eastAsia" w:ascii="宋体" w:hAnsi="宋体" w:cs="宋体"/>
                <w:color w:val="auto"/>
                <w:sz w:val="24"/>
                <w:highlight w:val="none"/>
              </w:rPr>
              <w:br w:type="textWrapping"/>
            </w:r>
            <w:r>
              <w:rPr>
                <w:rFonts w:hint="eastAsia" w:ascii="宋体" w:hAnsi="宋体" w:cs="宋体"/>
                <w:color w:val="auto"/>
                <w:sz w:val="24"/>
                <w:highlight w:val="none"/>
              </w:rPr>
              <w:t>4、骑行套件：与VR场景进行实时的画面同步，实现在VR大场景内自如行动；</w:t>
            </w:r>
            <w:r>
              <w:rPr>
                <w:rFonts w:hint="eastAsia" w:ascii="宋体" w:hAnsi="宋体" w:cs="宋体"/>
                <w:color w:val="auto"/>
                <w:sz w:val="24"/>
                <w:highlight w:val="none"/>
              </w:rPr>
              <w:br w:type="textWrapping"/>
            </w:r>
            <w:r>
              <w:rPr>
                <w:rFonts w:hint="eastAsia" w:ascii="宋体" w:hAnsi="宋体" w:cs="宋体"/>
                <w:color w:val="auto"/>
                <w:sz w:val="24"/>
                <w:highlight w:val="none"/>
              </w:rPr>
              <w:t>5、一体化设计，包括VR头显及VR主机在内，便于公共区域的设备管理与维护；</w:t>
            </w:r>
            <w:r>
              <w:rPr>
                <w:rFonts w:hint="eastAsia" w:ascii="宋体" w:hAnsi="宋体" w:cs="宋体"/>
                <w:color w:val="auto"/>
                <w:sz w:val="24"/>
                <w:highlight w:val="none"/>
              </w:rPr>
              <w:br w:type="textWrapping"/>
            </w:r>
            <w:r>
              <w:rPr>
                <w:rFonts w:hint="eastAsia" w:ascii="宋体" w:hAnsi="宋体" w:cs="宋体"/>
                <w:color w:val="auto"/>
                <w:sz w:val="24"/>
                <w:highlight w:val="none"/>
              </w:rPr>
              <w:t>6、整机配备一体化设计的屏幕支架，与设备一体。</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37</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VR心理辅导系统</w:t>
            </w:r>
          </w:p>
        </w:tc>
        <w:tc>
          <w:tcPr>
            <w:tcW w:w="2392" w:type="pct"/>
            <w:shd w:val="clear" w:color="auto" w:fill="auto"/>
            <w:vAlign w:val="center"/>
          </w:tcPr>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VR眼镜硬件参数：</w:t>
            </w:r>
            <w:r>
              <w:rPr>
                <w:rFonts w:hint="eastAsia" w:ascii="宋体" w:hAnsi="宋体" w:cs="宋体"/>
                <w:color w:val="auto"/>
                <w:sz w:val="24"/>
                <w:highlight w:val="none"/>
              </w:rPr>
              <w:br w:type="textWrapping"/>
            </w:r>
            <w:r>
              <w:rPr>
                <w:rFonts w:hint="eastAsia" w:ascii="宋体" w:hAnsi="宋体" w:cs="宋体"/>
                <w:color w:val="auto"/>
                <w:sz w:val="24"/>
                <w:highlight w:val="none"/>
              </w:rPr>
              <w:t>1.VR生理反馈器是一款与VR心理完美结合的高性能生物反馈软硬件设备，佩戴VR头盔在界面系统中可直接观测各项生理指标。功能包含：心率监测、血压监测、血氧检测等功能。硬件配有高清LCD 彩屏。主机：处理器≥高通骁龙835 ≥八核；2.45GHz，64位，Kryo280 CPU，显示、音响、配件等硬件融为一体。无需安装、可随身携带、配有手柄、可佩戴眼镜使用、无需在网络环境下使用；</w:t>
            </w:r>
          </w:p>
          <w:p>
            <w:pPr>
              <w:pStyle w:val="19"/>
              <w:shd w:val="clear"/>
              <w:spacing w:line="360" w:lineRule="auto"/>
              <w:rPr>
                <w:rFonts w:ascii="宋体" w:hAnsi="宋体" w:cs="宋体"/>
                <w:color w:val="auto"/>
                <w:sz w:val="24"/>
                <w:highlight w:val="none"/>
              </w:rPr>
            </w:pPr>
            <w:r>
              <w:rPr>
                <w:rFonts w:hint="eastAsia" w:ascii="宋体" w:hAnsi="宋体" w:cs="宋体"/>
                <w:color w:val="auto"/>
                <w:sz w:val="24"/>
                <w:highlight w:val="none"/>
              </w:rPr>
              <w:t>2.存储：内存4GB LPDDR4X 1866MHz；闪存32GB UFS2.1；最高支持256GB Micro-SD卡扩展；</w:t>
            </w:r>
            <w:r>
              <w:rPr>
                <w:rFonts w:hint="eastAsia" w:ascii="宋体" w:hAnsi="宋体" w:cs="宋体"/>
                <w:color w:val="auto"/>
                <w:sz w:val="24"/>
                <w:highlight w:val="none"/>
              </w:rPr>
              <w:br w:type="textWrapping"/>
            </w:r>
            <w:r>
              <w:rPr>
                <w:rFonts w:hint="eastAsia" w:ascii="宋体" w:hAnsi="宋体" w:cs="宋体"/>
                <w:color w:val="auto"/>
                <w:sz w:val="24"/>
                <w:highlight w:val="none"/>
              </w:rPr>
              <w:t>3.显示屏：≥3840x2160，PPI:818，真4K分辨率，RGB排列，≥75Hz刷新率，Fast-Switch快速响应技术；镜片：菲涅尔镜片；视场角：</w:t>
            </w:r>
            <w:r>
              <w:rPr>
                <w:rFonts w:hint="eastAsia"/>
                <w:color w:val="auto"/>
                <w:highlight w:val="none"/>
              </w:rPr>
              <w:t>≥101°，≥8°</w:t>
            </w:r>
            <w:r>
              <w:rPr>
                <w:rFonts w:hint="eastAsia" w:ascii="宋体" w:hAnsi="宋体" w:cs="宋体"/>
                <w:color w:val="auto"/>
                <w:sz w:val="24"/>
                <w:highlight w:val="none"/>
              </w:rPr>
              <w:t>；可佩戴眼镜设计，无需视力调节，自适应瞳距；</w:t>
            </w:r>
            <w:r>
              <w:rPr>
                <w:rFonts w:hint="eastAsia" w:ascii="宋体" w:hAnsi="宋体" w:cs="宋体"/>
                <w:color w:val="auto"/>
                <w:sz w:val="24"/>
                <w:highlight w:val="none"/>
              </w:rPr>
              <w:br w:type="textWrapping"/>
            </w:r>
            <w:r>
              <w:rPr>
                <w:rFonts w:hint="eastAsia" w:ascii="宋体" w:hAnsi="宋体" w:cs="宋体"/>
                <w:color w:val="auto"/>
                <w:sz w:val="24"/>
                <w:highlight w:val="none"/>
              </w:rPr>
              <w:t>4.传感器：高精度九轴传感器、距离传感器、九轴姿态传感器；</w:t>
            </w:r>
            <w:r>
              <w:rPr>
                <w:rFonts w:hint="eastAsia" w:ascii="宋体" w:hAnsi="宋体" w:cs="宋体"/>
                <w:color w:val="auto"/>
                <w:sz w:val="24"/>
                <w:highlight w:val="none"/>
              </w:rPr>
              <w:br w:type="textWrapping"/>
            </w:r>
            <w:r>
              <w:rPr>
                <w:rFonts w:hint="eastAsia" w:ascii="宋体" w:hAnsi="宋体" w:cs="宋体"/>
                <w:color w:val="auto"/>
                <w:sz w:val="24"/>
                <w:highlight w:val="none"/>
              </w:rPr>
              <w:t>5.头盔：轻质聚合物机身，薄壁注塑工艺，航空级轻金属，织物材质前面板：T型佩戴结构，自适应顶部绑带；</w:t>
            </w:r>
            <w:r>
              <w:rPr>
                <w:rFonts w:hint="eastAsia" w:ascii="宋体" w:hAnsi="宋体" w:cs="宋体"/>
                <w:color w:val="auto"/>
                <w:sz w:val="24"/>
                <w:highlight w:val="none"/>
              </w:rPr>
              <w:br w:type="textWrapping"/>
            </w:r>
            <w:r>
              <w:rPr>
                <w:rFonts w:hint="eastAsia" w:ascii="宋体" w:hAnsi="宋体" w:cs="宋体"/>
                <w:color w:val="auto"/>
                <w:sz w:val="24"/>
                <w:highlight w:val="none"/>
              </w:rPr>
              <w:t>6.天线802.11b/g/n/ac 2.4G/5G WIFI连接，支持MIMO技术，双频双天线；</w:t>
            </w:r>
            <w:r>
              <w:rPr>
                <w:rFonts w:hint="eastAsia" w:ascii="宋体" w:hAnsi="宋体" w:cs="宋体"/>
                <w:color w:val="auto"/>
                <w:sz w:val="24"/>
                <w:highlight w:val="none"/>
              </w:rPr>
              <w:br w:type="textWrapping"/>
            </w:r>
            <w:r>
              <w:rPr>
                <w:rFonts w:hint="eastAsia" w:ascii="宋体" w:hAnsi="宋体" w:cs="宋体"/>
                <w:color w:val="auto"/>
                <w:sz w:val="24"/>
                <w:highlight w:val="none"/>
              </w:rPr>
              <w:t>7.电池：3500mAh 电池，约3小时影音连续使用时间；机身电池后置设计；8.手柄：两节AAA电池，约40小时使用时间；</w:t>
            </w:r>
            <w:r>
              <w:rPr>
                <w:rFonts w:hint="eastAsia" w:ascii="宋体" w:hAnsi="宋体" w:cs="宋体"/>
                <w:color w:val="auto"/>
                <w:sz w:val="24"/>
                <w:highlight w:val="none"/>
              </w:rPr>
              <w:br w:type="textWrapping"/>
            </w:r>
            <w:r>
              <w:rPr>
                <w:rFonts w:hint="eastAsia" w:ascii="宋体" w:hAnsi="宋体" w:cs="宋体"/>
                <w:color w:val="auto"/>
                <w:sz w:val="24"/>
                <w:highlight w:val="none"/>
              </w:rPr>
              <w:t>VR心理系统参数：</w:t>
            </w:r>
            <w:r>
              <w:rPr>
                <w:rFonts w:hint="eastAsia" w:ascii="宋体" w:hAnsi="宋体" w:cs="宋体"/>
                <w:color w:val="auto"/>
                <w:sz w:val="24"/>
                <w:highlight w:val="none"/>
              </w:rPr>
              <w:br w:type="textWrapping"/>
            </w:r>
            <w:r>
              <w:rPr>
                <w:rFonts w:hint="eastAsia" w:ascii="宋体" w:hAnsi="宋体" w:cs="宋体"/>
                <w:color w:val="auto"/>
                <w:sz w:val="24"/>
                <w:highlight w:val="none"/>
              </w:rPr>
              <w:t>1.VR头盔开机后需自动进入VR系统，系统中带有生物反馈数据功能；</w:t>
            </w:r>
            <w:r>
              <w:rPr>
                <w:rFonts w:hint="eastAsia" w:ascii="宋体" w:hAnsi="宋体" w:cs="宋体"/>
                <w:color w:val="auto"/>
                <w:sz w:val="24"/>
                <w:highlight w:val="none"/>
              </w:rPr>
              <w:br w:type="textWrapping"/>
            </w:r>
            <w:r>
              <w:rPr>
                <w:rFonts w:hint="eastAsia" w:ascii="宋体" w:hAnsi="宋体" w:cs="宋体"/>
                <w:color w:val="auto"/>
                <w:sz w:val="24"/>
                <w:highlight w:val="none"/>
              </w:rPr>
              <w:t>2.系统需屏蔽与主题无关内容，给用户一个独立的沉浸式虚拟体验空间；</w:t>
            </w:r>
            <w:r>
              <w:rPr>
                <w:rFonts w:hint="eastAsia" w:ascii="宋体" w:hAnsi="宋体" w:cs="宋体"/>
                <w:color w:val="auto"/>
                <w:sz w:val="24"/>
                <w:highlight w:val="none"/>
              </w:rPr>
              <w:br w:type="textWrapping"/>
            </w:r>
            <w:r>
              <w:rPr>
                <w:rFonts w:hint="eastAsia" w:ascii="宋体" w:hAnsi="宋体" w:cs="宋体"/>
                <w:color w:val="auto"/>
                <w:sz w:val="24"/>
                <w:highlight w:val="none"/>
              </w:rPr>
              <w:t>3.VR系统需支持主界面LOGO、主题、分类更改；</w:t>
            </w:r>
            <w:r>
              <w:rPr>
                <w:rFonts w:hint="eastAsia" w:ascii="宋体" w:hAnsi="宋体" w:cs="宋体"/>
                <w:color w:val="auto"/>
                <w:sz w:val="24"/>
                <w:highlight w:val="none"/>
              </w:rPr>
              <w:br w:type="textWrapping"/>
            </w:r>
            <w:r>
              <w:rPr>
                <w:rFonts w:hint="eastAsia" w:ascii="宋体" w:hAnsi="宋体" w:cs="宋体"/>
                <w:color w:val="auto"/>
                <w:sz w:val="24"/>
                <w:highlight w:val="none"/>
              </w:rPr>
              <w:t>4.系统需带有背景音乐功能，用户在虚拟场馆场景界面选择内容的同时还可收听优美的放松音乐；</w:t>
            </w:r>
            <w:r>
              <w:rPr>
                <w:rFonts w:hint="eastAsia" w:ascii="宋体" w:hAnsi="宋体" w:cs="宋体"/>
                <w:color w:val="auto"/>
                <w:sz w:val="24"/>
                <w:highlight w:val="none"/>
              </w:rPr>
              <w:br w:type="textWrapping"/>
            </w:r>
            <w:r>
              <w:rPr>
                <w:rFonts w:hint="eastAsia" w:ascii="宋体" w:hAnsi="宋体" w:cs="宋体"/>
                <w:color w:val="auto"/>
                <w:sz w:val="24"/>
                <w:highlight w:val="none"/>
              </w:rPr>
              <w:t>5.主界面需为虚拟心理放松室场景，主菜单在心理放松室内场景中；为用户提供一个高质感的虚拟空间；</w:t>
            </w:r>
            <w:r>
              <w:rPr>
                <w:rFonts w:hint="eastAsia" w:ascii="宋体" w:hAnsi="宋体" w:cs="宋体"/>
                <w:color w:val="auto"/>
                <w:sz w:val="24"/>
                <w:highlight w:val="none"/>
              </w:rPr>
              <w:br w:type="textWrapping"/>
            </w:r>
            <w:r>
              <w:rPr>
                <w:rFonts w:hint="eastAsia" w:ascii="宋体" w:hAnsi="宋体" w:cs="宋体"/>
                <w:color w:val="auto"/>
                <w:sz w:val="24"/>
                <w:highlight w:val="none"/>
              </w:rPr>
              <w:t>6.主界面需带有内容分类、翻页、LOGO显示、产品名称显示、电量剩余显示等功能；</w:t>
            </w:r>
            <w:r>
              <w:rPr>
                <w:rFonts w:hint="eastAsia" w:ascii="宋体" w:hAnsi="宋体" w:cs="宋体"/>
                <w:color w:val="auto"/>
                <w:sz w:val="24"/>
                <w:highlight w:val="none"/>
              </w:rPr>
              <w:br w:type="textWrapping"/>
            </w:r>
            <w:r>
              <w:rPr>
                <w:rFonts w:hint="eastAsia" w:ascii="宋体" w:hAnsi="宋体" w:cs="宋体"/>
                <w:color w:val="auto"/>
                <w:sz w:val="24"/>
                <w:highlight w:val="none"/>
              </w:rPr>
              <w:t>★7.主界面菜单分类需至少包含心理健康所需四大主题：心理疏导、宣泄解压、旅行放松、职业生涯等，</w:t>
            </w:r>
            <w:r>
              <w:rPr>
                <w:rFonts w:hint="eastAsia" w:ascii="宋体" w:hAnsi="宋体" w:cs="宋体"/>
                <w:b/>
                <w:bCs/>
                <w:color w:val="auto"/>
                <w:sz w:val="24"/>
                <w:highlight w:val="none"/>
              </w:rPr>
              <w:t>提供功能界面截图证明。</w:t>
            </w:r>
            <w:r>
              <w:rPr>
                <w:rFonts w:hint="eastAsia" w:ascii="宋体" w:hAnsi="宋体" w:cs="宋体"/>
                <w:b/>
                <w:bCs/>
                <w:color w:val="auto"/>
                <w:sz w:val="24"/>
                <w:highlight w:val="none"/>
              </w:rPr>
              <w:br w:type="textWrapping"/>
            </w:r>
            <w:r>
              <w:rPr>
                <w:rFonts w:hint="eastAsia" w:ascii="宋体" w:hAnsi="宋体" w:cs="宋体"/>
                <w:color w:val="auto"/>
                <w:sz w:val="24"/>
                <w:highlight w:val="none"/>
              </w:rPr>
              <w:t>VR心理软件参数：</w:t>
            </w:r>
            <w:r>
              <w:rPr>
                <w:rFonts w:hint="eastAsia" w:ascii="宋体" w:hAnsi="宋体" w:cs="宋体"/>
                <w:color w:val="auto"/>
                <w:sz w:val="24"/>
                <w:highlight w:val="none"/>
              </w:rPr>
              <w:br w:type="textWrapping"/>
            </w:r>
            <w:r>
              <w:rPr>
                <w:rFonts w:hint="eastAsia" w:ascii="宋体" w:hAnsi="宋体" w:cs="宋体"/>
                <w:color w:val="auto"/>
                <w:sz w:val="24"/>
                <w:highlight w:val="none"/>
              </w:rPr>
              <w:t>1.VR软件资源内容需通过U3D VR专业制作工具开发，并结合VR全景拍摄技术、VR素材合成处理技术融合打造。将传统文字、图片、视频等平面知识点场景化、互动化。用户可身临其境的在VR软件资源内容中学习、体验日常生活中无法直观理解、带有风险、高成本耗材的知识点。戴上VR设备后，足不出户的身临其境亲身进入虚拟空间场景中学习、感受体验VR相关主题内容，上至宇宙、下至微观世界任意选择想要学习的主题知识。还可在虚拟场景中实现走动、点击对话、抓取物品等互动功能，给体验者提供一个区别于传统的沉浸式VR学习体验工具；</w:t>
            </w:r>
            <w:r>
              <w:rPr>
                <w:rFonts w:hint="eastAsia" w:ascii="宋体" w:hAnsi="宋体" w:cs="宋体"/>
                <w:color w:val="auto"/>
                <w:sz w:val="24"/>
                <w:highlight w:val="none"/>
              </w:rPr>
              <w:br w:type="textWrapping"/>
            </w:r>
            <w:r>
              <w:rPr>
                <w:rFonts w:hint="eastAsia" w:ascii="宋体" w:hAnsi="宋体" w:cs="宋体"/>
                <w:color w:val="auto"/>
                <w:sz w:val="24"/>
                <w:highlight w:val="none"/>
              </w:rPr>
              <w:t>2.VR心理健康资源库需将VR技术与心理健康辅导、职业生涯规划相融合，利用VR达到缓解用户心理压力、减缓焦虑情绪、放松身心等效果；</w:t>
            </w:r>
            <w:r>
              <w:rPr>
                <w:rFonts w:hint="eastAsia" w:ascii="宋体" w:hAnsi="宋体" w:cs="宋体"/>
                <w:color w:val="auto"/>
                <w:sz w:val="24"/>
                <w:highlight w:val="none"/>
              </w:rPr>
              <w:br w:type="textWrapping"/>
            </w:r>
            <w:r>
              <w:rPr>
                <w:rFonts w:hint="eastAsia" w:ascii="宋体" w:hAnsi="宋体" w:cs="宋体"/>
                <w:color w:val="auto"/>
                <w:sz w:val="24"/>
                <w:highlight w:val="none"/>
              </w:rPr>
              <w:t>3.VR心理健康资源库至少提供包含150个场景的50节心理主题VR内容；</w:t>
            </w:r>
            <w:r>
              <w:rPr>
                <w:rFonts w:hint="eastAsia" w:ascii="宋体" w:hAnsi="宋体" w:cs="宋体"/>
                <w:color w:val="auto"/>
                <w:sz w:val="24"/>
                <w:highlight w:val="none"/>
              </w:rPr>
              <w:br w:type="textWrapping"/>
            </w:r>
            <w:r>
              <w:rPr>
                <w:rFonts w:hint="eastAsia" w:ascii="宋体" w:hAnsi="宋体" w:cs="宋体"/>
                <w:color w:val="auto"/>
                <w:sz w:val="24"/>
                <w:highlight w:val="none"/>
              </w:rPr>
              <w:t>4.VR心理健康资源库应至少包含以下内容：</w:t>
            </w:r>
            <w:r>
              <w:rPr>
                <w:rFonts w:hint="eastAsia" w:ascii="宋体" w:hAnsi="宋体" w:cs="宋体"/>
                <w:color w:val="auto"/>
                <w:sz w:val="24"/>
                <w:highlight w:val="none"/>
              </w:rPr>
              <w:br w:type="textWrapping"/>
            </w:r>
            <w:r>
              <w:rPr>
                <w:rFonts w:hint="eastAsia" w:ascii="宋体" w:hAnsi="宋体" w:cs="宋体"/>
                <w:color w:val="auto"/>
                <w:sz w:val="24"/>
                <w:highlight w:val="none"/>
              </w:rPr>
              <w:t>★4.1心理疏导应至少包含：虚拟场景中带有正念、解压、放松、疏导等四种虚拟主题内容供用户选择，</w:t>
            </w:r>
            <w:r>
              <w:rPr>
                <w:rFonts w:hint="eastAsia" w:ascii="宋体" w:hAnsi="宋体" w:cs="宋体"/>
                <w:b/>
                <w:bCs/>
                <w:color w:val="auto"/>
                <w:sz w:val="24"/>
                <w:highlight w:val="none"/>
              </w:rPr>
              <w:t>提供功能界面截图证明。</w:t>
            </w:r>
            <w:r>
              <w:rPr>
                <w:rFonts w:hint="eastAsia" w:ascii="宋体" w:hAnsi="宋体" w:cs="宋体"/>
                <w:b/>
                <w:bCs/>
                <w:color w:val="auto"/>
                <w:sz w:val="24"/>
                <w:highlight w:val="none"/>
              </w:rPr>
              <w:br w:type="textWrapping"/>
            </w:r>
            <w:r>
              <w:rPr>
                <w:rFonts w:hint="eastAsia" w:ascii="宋体" w:hAnsi="宋体" w:cs="宋体"/>
                <w:color w:val="auto"/>
                <w:sz w:val="24"/>
                <w:highlight w:val="none"/>
              </w:rPr>
              <w:t>4.2穿越地理应至少包含：场景中带有宇宙、花园、雪地、夕阳平原等动画场景供体验者选择；</w:t>
            </w:r>
            <w:r>
              <w:rPr>
                <w:rFonts w:hint="eastAsia" w:ascii="宋体" w:hAnsi="宋体" w:cs="宋体"/>
                <w:color w:val="auto"/>
                <w:sz w:val="24"/>
                <w:highlight w:val="none"/>
              </w:rPr>
              <w:br w:type="textWrapping"/>
            </w:r>
            <w:r>
              <w:rPr>
                <w:rFonts w:hint="eastAsia" w:ascii="宋体" w:hAnsi="宋体" w:cs="宋体"/>
                <w:color w:val="auto"/>
                <w:sz w:val="24"/>
                <w:highlight w:val="none"/>
              </w:rPr>
              <w:t>4.3工程师应至少包含：实验室场景内包含火枪皮老虎模型；</w:t>
            </w:r>
            <w:r>
              <w:rPr>
                <w:rFonts w:hint="eastAsia" w:ascii="宋体" w:hAnsi="宋体" w:cs="宋体"/>
                <w:color w:val="auto"/>
                <w:sz w:val="24"/>
                <w:highlight w:val="none"/>
              </w:rPr>
              <w:br w:type="textWrapping"/>
            </w:r>
            <w:r>
              <w:rPr>
                <w:rFonts w:hint="eastAsia" w:ascii="宋体" w:hAnsi="宋体" w:cs="宋体"/>
                <w:color w:val="auto"/>
                <w:sz w:val="24"/>
                <w:highlight w:val="none"/>
              </w:rPr>
              <w:t>4.4飞行员应至少包含：包含战斗机驾驶舱舱内操作台场景、战斗机身处高空飞行的室外场景；</w:t>
            </w:r>
            <w:r>
              <w:rPr>
                <w:rFonts w:hint="eastAsia" w:ascii="宋体" w:hAnsi="宋体" w:cs="宋体"/>
                <w:color w:val="auto"/>
                <w:sz w:val="24"/>
                <w:highlight w:val="none"/>
              </w:rPr>
              <w:br w:type="textWrapping"/>
            </w:r>
            <w:r>
              <w:rPr>
                <w:rFonts w:hint="eastAsia" w:ascii="宋体" w:hAnsi="宋体" w:cs="宋体"/>
                <w:color w:val="auto"/>
                <w:sz w:val="24"/>
                <w:highlight w:val="none"/>
              </w:rPr>
              <w:t>4.5心理健康测评：星空虚拟场景中体验者进行心理答题，答题完成后有分值反馈并给予心理指导建议；</w:t>
            </w:r>
            <w:r>
              <w:rPr>
                <w:rFonts w:hint="eastAsia" w:ascii="宋体" w:hAnsi="宋体" w:cs="宋体"/>
                <w:color w:val="auto"/>
                <w:sz w:val="24"/>
                <w:highlight w:val="none"/>
              </w:rPr>
              <w:br w:type="textWrapping"/>
            </w:r>
            <w:r>
              <w:rPr>
                <w:rFonts w:hint="eastAsia" w:ascii="宋体" w:hAnsi="宋体" w:cs="宋体"/>
                <w:color w:val="auto"/>
                <w:sz w:val="24"/>
                <w:highlight w:val="none"/>
              </w:rPr>
              <w:t>4.6深海鱼群：VR全景海底场景，场景中有大片鱼群环绕。</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38</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宣泄软包</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要求：皮革+环保高弹性高密度海绵，材料环保。颜色：与功能室搭配协调，具吸音、隔音功能、防声、防震效果。</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39</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综合素质训练室基础改造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改造要求：需营造出温馨舒适的感觉、应满足心理学相关要求；</w:t>
            </w:r>
            <w:r>
              <w:rPr>
                <w:rFonts w:hint="eastAsia" w:ascii="宋体" w:hAnsi="宋体" w:cs="宋体"/>
                <w:color w:val="auto"/>
                <w:sz w:val="24"/>
                <w:highlight w:val="none"/>
              </w:rPr>
              <w:br w:type="textWrapping"/>
            </w:r>
            <w:r>
              <w:rPr>
                <w:rFonts w:hint="eastAsia" w:ascii="宋体" w:hAnsi="宋体" w:cs="宋体"/>
                <w:color w:val="auto"/>
                <w:sz w:val="24"/>
                <w:highlight w:val="none"/>
              </w:rPr>
              <w:t>1、吊顶：需设计造型吊顶,灯光照明设备等；</w:t>
            </w:r>
            <w:r>
              <w:rPr>
                <w:rFonts w:hint="eastAsia" w:ascii="宋体" w:hAnsi="宋体" w:cs="宋体"/>
                <w:color w:val="auto"/>
                <w:sz w:val="24"/>
                <w:highlight w:val="none"/>
              </w:rPr>
              <w:br w:type="textWrapping"/>
            </w:r>
            <w:r>
              <w:rPr>
                <w:rFonts w:hint="eastAsia" w:ascii="宋体" w:hAnsi="宋体" w:cs="宋体"/>
                <w:color w:val="auto"/>
                <w:sz w:val="24"/>
                <w:highlight w:val="none"/>
              </w:rPr>
              <w:t>2、墙面：要求采用环保无污染乳胶漆；</w:t>
            </w:r>
            <w:r>
              <w:rPr>
                <w:rFonts w:hint="eastAsia" w:ascii="宋体" w:hAnsi="宋体" w:cs="宋体"/>
                <w:color w:val="auto"/>
                <w:sz w:val="24"/>
                <w:highlight w:val="none"/>
              </w:rPr>
              <w:br w:type="textWrapping"/>
            </w:r>
            <w:r>
              <w:rPr>
                <w:rFonts w:hint="eastAsia" w:ascii="宋体" w:hAnsi="宋体" w:cs="宋体"/>
                <w:color w:val="auto"/>
                <w:sz w:val="24"/>
                <w:highlight w:val="none"/>
              </w:rPr>
              <w:t>3、窗帘：要求采用棉麻布艺材质，颜色应与功能室环境相匹配；</w:t>
            </w:r>
            <w:r>
              <w:rPr>
                <w:rFonts w:hint="eastAsia" w:ascii="宋体" w:hAnsi="宋体" w:cs="宋体"/>
                <w:color w:val="auto"/>
                <w:sz w:val="24"/>
                <w:highlight w:val="none"/>
              </w:rPr>
              <w:br w:type="textWrapping"/>
            </w:r>
            <w:r>
              <w:rPr>
                <w:rFonts w:hint="eastAsia" w:ascii="宋体" w:hAnsi="宋体" w:cs="宋体"/>
                <w:color w:val="auto"/>
                <w:sz w:val="24"/>
                <w:highlight w:val="none"/>
              </w:rPr>
              <w:t>4、其它：应根据功能室功能需求，含门、窗纱更换，强弱电改造，隔断墙，木地板等。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40</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团体心理活动箱</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1.团体辅导器材：包括环境适应篇、沟通交往篇、竞争合作篇、创新实践篇、自我意识篇、学习管理篇、意志责任篇、心灵成长篇等共8大主题35种游戏，有效帮助开展各种形式的心理训练活动；</w:t>
            </w:r>
            <w:r>
              <w:rPr>
                <w:rFonts w:hint="eastAsia" w:ascii="宋体" w:hAnsi="宋体" w:cs="宋体"/>
                <w:color w:val="auto"/>
                <w:sz w:val="24"/>
                <w:highlight w:val="none"/>
              </w:rPr>
              <w:br w:type="textWrapping"/>
            </w:r>
            <w:r>
              <w:rPr>
                <w:rFonts w:hint="eastAsia" w:ascii="宋体" w:hAnsi="宋体" w:cs="宋体"/>
                <w:color w:val="auto"/>
                <w:sz w:val="24"/>
                <w:highlight w:val="none"/>
              </w:rPr>
              <w:t>2.团体活动训练系统中包括各种与活动内容相匹配的活动辅助器材，主要包括：</w:t>
            </w:r>
            <w:r>
              <w:rPr>
                <w:rFonts w:hint="eastAsia" w:ascii="宋体" w:hAnsi="宋体" w:cs="宋体"/>
                <w:color w:val="auto"/>
                <w:sz w:val="24"/>
                <w:highlight w:val="none"/>
              </w:rPr>
              <w:br w:type="textWrapping"/>
            </w:r>
            <w:r>
              <w:rPr>
                <w:rFonts w:hint="eastAsia" w:ascii="宋体" w:hAnsi="宋体" w:cs="宋体"/>
                <w:color w:val="auto"/>
                <w:sz w:val="24"/>
                <w:highlight w:val="none"/>
              </w:rPr>
              <w:t>1）活动指导卡片：介绍了工具包中的各个活动,包括每个活动的名称、目的、时间、道具、场地、程序以及注意事项的详细介绍。同时还附有更为详细和完整的教材，利于参考；</w:t>
            </w:r>
            <w:r>
              <w:rPr>
                <w:rFonts w:hint="eastAsia" w:ascii="宋体" w:hAnsi="宋体" w:cs="宋体"/>
                <w:color w:val="auto"/>
                <w:sz w:val="24"/>
                <w:highlight w:val="none"/>
              </w:rPr>
              <w:br w:type="textWrapping"/>
            </w:r>
            <w:r>
              <w:rPr>
                <w:rFonts w:hint="eastAsia" w:ascii="宋体" w:hAnsi="宋体" w:cs="宋体"/>
                <w:color w:val="auto"/>
                <w:sz w:val="24"/>
                <w:highlight w:val="none"/>
              </w:rPr>
              <w:t>2）教学录像：以光盘形式发放；</w:t>
            </w:r>
            <w:r>
              <w:rPr>
                <w:rFonts w:hint="eastAsia" w:ascii="宋体" w:hAnsi="宋体" w:cs="宋体"/>
                <w:color w:val="auto"/>
                <w:sz w:val="24"/>
                <w:highlight w:val="none"/>
              </w:rPr>
              <w:br w:type="textWrapping"/>
            </w:r>
            <w:r>
              <w:rPr>
                <w:rFonts w:hint="eastAsia" w:ascii="宋体" w:hAnsi="宋体" w:cs="宋体"/>
                <w:color w:val="auto"/>
                <w:sz w:val="24"/>
                <w:highlight w:val="none"/>
              </w:rPr>
              <w:t>3）活动器材：便于携带的精致工具箱四个；各种活动必备器材内置于活动包中；</w:t>
            </w:r>
            <w:r>
              <w:rPr>
                <w:rFonts w:hint="eastAsia" w:ascii="宋体" w:hAnsi="宋体" w:cs="宋体"/>
                <w:color w:val="auto"/>
                <w:sz w:val="24"/>
                <w:highlight w:val="none"/>
              </w:rPr>
              <w:br w:type="textWrapping"/>
            </w:r>
            <w:r>
              <w:rPr>
                <w:rFonts w:hint="eastAsia" w:ascii="宋体" w:hAnsi="宋体" w:cs="宋体"/>
                <w:color w:val="auto"/>
                <w:sz w:val="24"/>
                <w:highlight w:val="none"/>
              </w:rPr>
              <w:t>4) 活动游戏配置细节：每个游戏所需道具器材均独立包装，贴标明示，方便心理老师与学生更好更迅速进入活动状态；</w:t>
            </w:r>
            <w:r>
              <w:rPr>
                <w:rFonts w:hint="eastAsia" w:ascii="宋体" w:hAnsi="宋体" w:cs="宋体"/>
                <w:color w:val="auto"/>
                <w:sz w:val="24"/>
                <w:highlight w:val="none"/>
              </w:rPr>
              <w:br w:type="textWrapping"/>
            </w:r>
            <w:r>
              <w:rPr>
                <w:rFonts w:hint="eastAsia" w:ascii="宋体" w:hAnsi="宋体" w:cs="宋体"/>
                <w:color w:val="auto"/>
                <w:sz w:val="24"/>
                <w:highlight w:val="none"/>
              </w:rPr>
              <w:t>5）游戏卡：每个游戏都配有一个游戏说明卡，用于指导活动操作尺寸</w:t>
            </w:r>
            <w:r>
              <w:rPr>
                <w:rFonts w:hint="eastAsia"/>
                <w:color w:val="auto"/>
                <w:highlight w:val="none"/>
              </w:rPr>
              <w:t>≥</w:t>
            </w:r>
            <w:r>
              <w:rPr>
                <w:rFonts w:hint="eastAsia" w:ascii="宋体" w:hAnsi="宋体" w:cs="宋体"/>
                <w:color w:val="auto"/>
                <w:sz w:val="24"/>
                <w:highlight w:val="none"/>
              </w:rPr>
              <w:t>140*105；</w:t>
            </w:r>
            <w:r>
              <w:rPr>
                <w:rFonts w:hint="eastAsia" w:ascii="宋体" w:hAnsi="宋体" w:cs="宋体"/>
                <w:color w:val="auto"/>
                <w:sz w:val="24"/>
                <w:highlight w:val="none"/>
              </w:rPr>
              <w:br w:type="textWrapping"/>
            </w:r>
            <w:r>
              <w:rPr>
                <w:rFonts w:hint="eastAsia" w:ascii="宋体" w:hAnsi="宋体" w:cs="宋体"/>
                <w:color w:val="auto"/>
                <w:sz w:val="24"/>
                <w:highlight w:val="none"/>
              </w:rPr>
              <w:t>6）团体活动包A包可做活动游戏有：四两拨千金；千方百计；与你同老；走出围城；对不起，我错了；你给对了吗；夺宝奇兵；叫卖；Follw me；我第一；不抛弃，不放弃；漂流瓶；对号入座；礼物；男女搭配，干活不累；素描；</w:t>
            </w:r>
            <w:r>
              <w:rPr>
                <w:rFonts w:hint="eastAsia" w:ascii="宋体" w:hAnsi="宋体" w:cs="宋体"/>
                <w:color w:val="auto"/>
                <w:sz w:val="24"/>
                <w:highlight w:val="none"/>
              </w:rPr>
              <w:br w:type="textWrapping"/>
            </w:r>
            <w:r>
              <w:rPr>
                <w:rFonts w:hint="eastAsia" w:ascii="宋体" w:hAnsi="宋体" w:cs="宋体"/>
                <w:color w:val="auto"/>
                <w:sz w:val="24"/>
                <w:highlight w:val="none"/>
              </w:rPr>
              <w:t>7）团体活动包B包可做活动游戏有:生命守护；心有灵犀；代价；营销术；铁锁；挚爱；鲜花绿叶；展现自我；走过来；连连看；养育之恩；彩球接力；广而告之；别人眼中的我；时光倒流；放飞心灵；分秒必争；天籁之音；冥想；魅力T台；绝境求生；你的拼图你做主；</w:t>
            </w:r>
            <w:r>
              <w:rPr>
                <w:rFonts w:hint="eastAsia" w:ascii="宋体" w:hAnsi="宋体" w:cs="宋体"/>
                <w:color w:val="auto"/>
                <w:sz w:val="24"/>
                <w:highlight w:val="none"/>
              </w:rPr>
              <w:br w:type="textWrapping"/>
            </w:r>
            <w:r>
              <w:rPr>
                <w:rFonts w:hint="eastAsia" w:ascii="宋体" w:hAnsi="宋体" w:cs="宋体"/>
                <w:color w:val="auto"/>
                <w:sz w:val="24"/>
                <w:highlight w:val="none"/>
              </w:rPr>
              <w:t>8）团体活动包C包可做活动游戏有：肢体语言；头脑风暴；舞龙；清理“主次”；我相信你们；领导范儿；无极限；双赢；分享快乐；发射甜筒；生存法则；有效沟通；黄金分割；灯塔；茫茫人海；</w:t>
            </w:r>
            <w:r>
              <w:rPr>
                <w:rFonts w:hint="eastAsia" w:ascii="宋体" w:hAnsi="宋体" w:cs="宋体"/>
                <w:color w:val="auto"/>
                <w:sz w:val="24"/>
                <w:highlight w:val="none"/>
              </w:rPr>
              <w:br w:type="textWrapping"/>
            </w:r>
            <w:r>
              <w:rPr>
                <w:rFonts w:hint="eastAsia" w:ascii="宋体" w:hAnsi="宋体" w:cs="宋体"/>
                <w:color w:val="auto"/>
                <w:sz w:val="24"/>
                <w:highlight w:val="none"/>
              </w:rPr>
              <w:t>9）团体活动室外D包可做活动游戏有：找茬；松鼠“搬家”；诺亚方舟；蹚水；千里走单骑；甜甜“圈”；合力；绳之以法；与爱同行；凤凰传奇；蛇鼠一窝；小鸟“喂食”；齐眉竿；能量传输 。</w:t>
            </w:r>
            <w:r>
              <w:rPr>
                <w:rFonts w:hint="eastAsia" w:ascii="宋体" w:hAnsi="宋体" w:cs="宋体"/>
                <w:color w:val="auto"/>
                <w:sz w:val="24"/>
                <w:highlight w:val="none"/>
              </w:rPr>
              <w:br w:type="textWrapping"/>
            </w:r>
            <w:r>
              <w:rPr>
                <w:rFonts w:hint="eastAsia" w:ascii="宋体" w:hAnsi="宋体" w:cs="宋体"/>
                <w:color w:val="auto"/>
                <w:sz w:val="24"/>
                <w:highlight w:val="none"/>
              </w:rPr>
              <w:t>3.另配有：团体活动视频剪辑光盘1张、团体活动管理软件1张，游戏指导卡片1套。</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41</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团体活动桌</w:t>
            </w:r>
          </w:p>
        </w:tc>
        <w:tc>
          <w:tcPr>
            <w:tcW w:w="2392" w:type="pct"/>
            <w:shd w:val="clear" w:color="auto" w:fill="auto"/>
            <w:vAlign w:val="center"/>
          </w:tcPr>
          <w:p>
            <w:pPr>
              <w:widowControl/>
              <w:numPr>
                <w:ilvl w:val="0"/>
                <w:numId w:val="10"/>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产品材质：面板为生态多层板，厚度≥2.5cm，烤漆桌面，304不锈钢桌腿；</w:t>
            </w:r>
            <w:r>
              <w:rPr>
                <w:rFonts w:hint="eastAsia" w:ascii="宋体" w:hAnsi="宋体" w:cs="宋体"/>
                <w:color w:val="auto"/>
                <w:sz w:val="24"/>
                <w:highlight w:val="none"/>
              </w:rPr>
              <w:br w:type="textWrapping"/>
            </w:r>
            <w:r>
              <w:rPr>
                <w:rFonts w:hint="eastAsia" w:ascii="宋体" w:hAnsi="宋体" w:cs="宋体"/>
                <w:color w:val="auto"/>
                <w:sz w:val="24"/>
                <w:highlight w:val="none"/>
              </w:rPr>
              <w:t>2.产品描述：采用环形组合桌（含8张椅子），8个扇形组成，8种颜色。根据团体活动需要，组合成圆形、扇形、方形、S形、C形、X形等十几项排列方式；</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3.产品尺寸：扇形尺寸：60cm（内环），180cm（外环），高70cm。</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42</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素质拓展训练箱</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1.素质拓展游戏活动列表：一、有轨电车；二、相依为命；三、突破雷阵；四、穿越电网；五、盗梦空间；六、能量传输；七、无敌风火轮；八、同心鼓；九、兄弟连；十、齐眉棍；</w:t>
            </w:r>
            <w:r>
              <w:rPr>
                <w:rFonts w:hint="eastAsia" w:ascii="宋体" w:hAnsi="宋体" w:cs="宋体"/>
                <w:color w:val="auto"/>
                <w:sz w:val="24"/>
                <w:highlight w:val="none"/>
              </w:rPr>
              <w:br w:type="textWrapping"/>
            </w:r>
            <w:r>
              <w:rPr>
                <w:rFonts w:hint="eastAsia" w:ascii="宋体" w:hAnsi="宋体" w:cs="宋体"/>
                <w:color w:val="auto"/>
                <w:sz w:val="24"/>
                <w:highlight w:val="none"/>
              </w:rPr>
              <w:t>2.铝合金手提箱:配置万向轮，可随意移动和固定，方便在室内外，开展团体活动；</w:t>
            </w:r>
            <w:r>
              <w:rPr>
                <w:rFonts w:hint="eastAsia" w:ascii="宋体" w:hAnsi="宋体" w:cs="宋体"/>
                <w:color w:val="auto"/>
                <w:sz w:val="24"/>
                <w:highlight w:val="none"/>
              </w:rPr>
              <w:br w:type="textWrapping"/>
            </w:r>
            <w:r>
              <w:rPr>
                <w:rFonts w:hint="eastAsia" w:ascii="宋体" w:hAnsi="宋体" w:cs="宋体"/>
                <w:color w:val="auto"/>
                <w:sz w:val="24"/>
                <w:highlight w:val="none"/>
              </w:rPr>
              <w:t>3.团体活动器材:所配置道具大多可重复利用，避免浪费；</w:t>
            </w:r>
            <w:r>
              <w:rPr>
                <w:rFonts w:hint="eastAsia" w:ascii="宋体" w:hAnsi="宋体" w:cs="宋体"/>
                <w:color w:val="auto"/>
                <w:sz w:val="24"/>
                <w:highlight w:val="none"/>
              </w:rPr>
              <w:br w:type="textWrapping"/>
            </w:r>
            <w:r>
              <w:rPr>
                <w:rFonts w:hint="eastAsia" w:ascii="宋体" w:hAnsi="宋体" w:cs="宋体"/>
                <w:color w:val="auto"/>
                <w:sz w:val="24"/>
                <w:highlight w:val="none"/>
              </w:rPr>
              <w:t>4.活动方案手册：提供至少不少于10个活动的完整方案，包括活动目的、形式、时间、场地、准备、程序及注意事项等的说明卡片，卡片尺寸≥140mm*105mm；同时配备不少于10款游戏视频案例；</w:t>
            </w:r>
            <w:r>
              <w:rPr>
                <w:rFonts w:hint="eastAsia" w:ascii="宋体" w:hAnsi="宋体" w:cs="宋体"/>
                <w:color w:val="auto"/>
                <w:sz w:val="24"/>
                <w:highlight w:val="none"/>
              </w:rPr>
              <w:br w:type="textWrapping"/>
            </w:r>
            <w:r>
              <w:rPr>
                <w:rFonts w:hint="eastAsia" w:ascii="宋体" w:hAnsi="宋体" w:cs="宋体"/>
                <w:color w:val="auto"/>
                <w:sz w:val="24"/>
                <w:highlight w:val="none"/>
              </w:rPr>
              <w:t>5.有专业的拓展心理教练培训并可以随时提供电话咨询，便于老师开展团体游戏活动。</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43</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旋转催眠仪</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1.整体旋转催眠仪高约42cm、宽约36.5cm;旋转仪底座高约3cm，宽约9cm、旋转盘半径约17.5cm；</w:t>
            </w:r>
            <w:r>
              <w:rPr>
                <w:rFonts w:hint="eastAsia" w:ascii="宋体" w:hAnsi="宋体" w:cs="宋体"/>
                <w:color w:val="auto"/>
                <w:sz w:val="24"/>
                <w:highlight w:val="none"/>
              </w:rPr>
              <w:br w:type="textWrapping"/>
            </w:r>
            <w:r>
              <w:rPr>
                <w:rFonts w:hint="eastAsia" w:ascii="宋体" w:hAnsi="宋体" w:cs="宋体"/>
                <w:color w:val="auto"/>
                <w:sz w:val="24"/>
                <w:highlight w:val="none"/>
              </w:rPr>
              <w:t>2.材质：旋转盘选用APS材质不容易损坏，旋转盘刻有催眠花纹;产品本身采用约1.5mm厚的镀锌板材质制作而成外表颜色为天蓝色旋转催眠仪；</w:t>
            </w:r>
            <w:r>
              <w:rPr>
                <w:rFonts w:hint="eastAsia" w:ascii="宋体" w:hAnsi="宋体" w:cs="宋体"/>
                <w:color w:val="auto"/>
                <w:sz w:val="24"/>
                <w:highlight w:val="none"/>
              </w:rPr>
              <w:br w:type="textWrapping"/>
            </w:r>
            <w:r>
              <w:rPr>
                <w:rFonts w:hint="eastAsia" w:ascii="宋体" w:hAnsi="宋体" w:cs="宋体"/>
                <w:color w:val="auto"/>
                <w:sz w:val="24"/>
                <w:highlight w:val="none"/>
              </w:rPr>
              <w:t>3.控制按钮刻有调整旋转仪正反转;产品旋转部分设有保护边缘直流电机，输入电压220V，输出6V直流，电流3A，50~80r/min。</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44</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摇摆催眠仪</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笑脸直径不少于15cm，摆臂长不少于30cm；笑脸式墙挂，利用长时间注视单调的钟摇运动所产生的视觉疲劳，在催眠前对受训者进行针对性放松训练。不少于30cm纯铜摇摆臂，摆动频率30次每分钟15V左右安全电压</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45</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智能触控一体机</w:t>
            </w:r>
          </w:p>
        </w:tc>
        <w:tc>
          <w:tcPr>
            <w:tcW w:w="2392" w:type="pct"/>
            <w:shd w:val="clear" w:color="auto" w:fill="auto"/>
            <w:vAlign w:val="center"/>
          </w:tcPr>
          <w:p>
            <w:pPr>
              <w:widowControl/>
              <w:numPr>
                <w:ilvl w:val="0"/>
                <w:numId w:val="11"/>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硬件部分：</w:t>
            </w:r>
            <w:r>
              <w:rPr>
                <w:rFonts w:hint="eastAsia" w:ascii="宋体" w:hAnsi="宋体" w:cs="宋体"/>
                <w:color w:val="auto"/>
                <w:sz w:val="24"/>
                <w:highlight w:val="none"/>
              </w:rPr>
              <w:br w:type="textWrapping"/>
            </w:r>
            <w:r>
              <w:rPr>
                <w:rFonts w:hint="eastAsia" w:ascii="宋体" w:hAnsi="宋体" w:cs="宋体"/>
                <w:color w:val="auto"/>
                <w:sz w:val="24"/>
                <w:highlight w:val="none"/>
              </w:rPr>
              <w:t>1、显示尺寸≥86英寸,支持红外≥20点触摸感应方式，触摸方式：手指、笔，或其他任何非透明物体；</w:t>
            </w:r>
            <w:r>
              <w:rPr>
                <w:rFonts w:hint="eastAsia" w:ascii="宋体" w:hAnsi="宋体" w:cs="宋体"/>
                <w:color w:val="auto"/>
                <w:sz w:val="24"/>
                <w:highlight w:val="none"/>
              </w:rPr>
              <w:br w:type="textWrapping"/>
            </w:r>
            <w:r>
              <w:rPr>
                <w:rFonts w:hint="eastAsia" w:ascii="宋体" w:hAnsi="宋体" w:cs="宋体"/>
                <w:color w:val="auto"/>
                <w:sz w:val="24"/>
                <w:highlight w:val="none"/>
              </w:rPr>
              <w:t>2、采用LED背光源，屏前玻璃厚度≥3.8mm确保抗撞击性能；</w:t>
            </w:r>
            <w:r>
              <w:rPr>
                <w:rFonts w:hint="eastAsia" w:ascii="宋体" w:hAnsi="宋体" w:cs="宋体"/>
                <w:b/>
                <w:bCs/>
                <w:color w:val="auto"/>
                <w:sz w:val="24"/>
                <w:highlight w:val="none"/>
                <w:lang w:eastAsia="zh-CN"/>
              </w:rPr>
              <w:t>提供生产厂家出具的、相应的功能证明材料（可以是检测报告或官网截图或功能截图）</w:t>
            </w:r>
          </w:p>
          <w:p>
            <w:pPr>
              <w:widowControl/>
              <w:numPr>
                <w:ilvl w:val="0"/>
                <w:numId w:val="11"/>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为方便老师操作，整机需具有前置实体按键（为减少误操作拒绝采用触摸按键），数量不少于8个，功能包括主页、设置、电源、锁屏、触摸锁定、录屏、音量等。为便于操作，前置按键均须具有清晰简体中文标识，且所有功能均为一键直达，非通过组合键实现以上功能确保操作简单便捷。前置接口不低于：USB3.0*3个，TYPEC*1个，支持双系统共享前置USB接口；</w:t>
            </w:r>
            <w:r>
              <w:rPr>
                <w:rFonts w:hint="eastAsia" w:ascii="宋体" w:hAnsi="宋体" w:cs="宋体"/>
                <w:color w:val="auto"/>
                <w:sz w:val="24"/>
                <w:highlight w:val="none"/>
              </w:rPr>
              <w:br w:type="textWrapping"/>
            </w:r>
            <w:r>
              <w:rPr>
                <w:rFonts w:hint="eastAsia" w:ascii="宋体" w:hAnsi="宋体" w:cs="宋体"/>
                <w:color w:val="auto"/>
                <w:sz w:val="24"/>
                <w:highlight w:val="none"/>
              </w:rPr>
              <w:t>4、无需借助第三方软件，在任意信号源通道下均支持显示窗口下移功能，不低于两种方式，如上滑菜单和屏体双侧虚拟功能键等，双指敲击显示画面即可恢复正常显示；</w:t>
            </w:r>
          </w:p>
          <w:p>
            <w:pPr>
              <w:widowControl/>
              <w:shd w:val="clear"/>
              <w:spacing w:line="360" w:lineRule="auto"/>
              <w:jc w:val="left"/>
              <w:textAlignment w:val="center"/>
              <w:rPr>
                <w:rFonts w:ascii="宋体" w:hAnsi="宋体" w:cs="宋体"/>
                <w:b/>
                <w:bCs/>
                <w:color w:val="auto"/>
                <w:sz w:val="24"/>
                <w:highlight w:val="none"/>
              </w:rPr>
            </w:pPr>
            <w:r>
              <w:rPr>
                <w:rFonts w:hint="eastAsia" w:ascii="宋体" w:hAnsi="宋体" w:cs="宋体"/>
                <w:color w:val="auto"/>
                <w:sz w:val="24"/>
                <w:highlight w:val="none"/>
              </w:rPr>
              <w:t>5、安卓主页面提供不少于7个应用程序，安卓主页面具备信号源预览窗口，支持OPS, HDMI等信号源预览。支持前置物理按键和虚拟按键启动录屏功能，Windows下所有操作过程均可录制。</w:t>
            </w:r>
            <w:r>
              <w:rPr>
                <w:rFonts w:hint="eastAsia" w:ascii="宋体" w:hAnsi="宋体" w:cs="宋体"/>
                <w:b/>
                <w:bCs/>
                <w:color w:val="auto"/>
                <w:sz w:val="24"/>
                <w:highlight w:val="none"/>
              </w:rPr>
              <w:t>提供生产厂家出具的、相应的功能证明材料（</w:t>
            </w:r>
            <w:r>
              <w:rPr>
                <w:rFonts w:hint="eastAsia" w:ascii="宋体" w:hAnsi="宋体" w:cs="宋体"/>
                <w:b/>
                <w:bCs/>
                <w:color w:val="auto"/>
                <w:sz w:val="24"/>
                <w:highlight w:val="none"/>
                <w:lang w:eastAsia="zh-CN"/>
              </w:rPr>
              <w:t>可以是检测报告或官网截图或功能截图</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rPr>
              <w:br w:type="textWrapping"/>
            </w:r>
            <w:r>
              <w:rPr>
                <w:rFonts w:hint="eastAsia" w:ascii="宋体" w:hAnsi="宋体" w:cs="宋体"/>
                <w:color w:val="auto"/>
                <w:sz w:val="24"/>
                <w:highlight w:val="none"/>
              </w:rPr>
              <w:t>6、安卓主页面具有云盘功能，可直接进入白板的课件云盘中心，直接查看和调用白板软件中的课件。</w:t>
            </w:r>
            <w:r>
              <w:rPr>
                <w:rFonts w:hint="eastAsia" w:ascii="宋体" w:hAnsi="宋体" w:cs="宋体"/>
                <w:b/>
                <w:bCs/>
                <w:color w:val="auto"/>
                <w:sz w:val="24"/>
                <w:highlight w:val="none"/>
              </w:rPr>
              <w:t>提供生产厂家出具的、相应的功能证明材料（</w:t>
            </w:r>
            <w:r>
              <w:rPr>
                <w:rFonts w:hint="eastAsia" w:ascii="宋体" w:hAnsi="宋体" w:cs="宋体"/>
                <w:b/>
                <w:bCs/>
                <w:color w:val="auto"/>
                <w:sz w:val="24"/>
                <w:highlight w:val="none"/>
                <w:lang w:eastAsia="zh-CN"/>
              </w:rPr>
              <w:t>可以是检测报告或官网截图或功能截图</w:t>
            </w:r>
            <w:r>
              <w:rPr>
                <w:rFonts w:hint="eastAsia" w:ascii="宋体" w:hAnsi="宋体" w:cs="宋体"/>
                <w:b/>
                <w:bCs/>
                <w:color w:val="auto"/>
                <w:sz w:val="24"/>
                <w:highlight w:val="none"/>
              </w:rPr>
              <w:t>）；</w:t>
            </w:r>
            <w:r>
              <w:rPr>
                <w:rFonts w:hint="eastAsia" w:ascii="宋体" w:hAnsi="宋体" w:cs="宋体"/>
                <w:color w:val="auto"/>
                <w:sz w:val="24"/>
                <w:highlight w:val="none"/>
              </w:rPr>
              <w:br w:type="textWrapping"/>
            </w:r>
            <w:r>
              <w:rPr>
                <w:rFonts w:hint="eastAsia" w:ascii="宋体" w:hAnsi="宋体" w:cs="宋体"/>
                <w:color w:val="auto"/>
                <w:sz w:val="24"/>
                <w:highlight w:val="none"/>
              </w:rPr>
              <w:t>7、在任意通道下，支持通过手势上滑调出OSD功能菜单键，支持信号源切换、护眼模式、录屏、关机、系统还原等功能；</w:t>
            </w:r>
            <w:r>
              <w:rPr>
                <w:rFonts w:hint="eastAsia" w:ascii="宋体" w:hAnsi="宋体" w:cs="宋体"/>
                <w:color w:val="auto"/>
                <w:sz w:val="24"/>
                <w:highlight w:val="none"/>
              </w:rPr>
              <w:br w:type="textWrapping"/>
            </w:r>
            <w:r>
              <w:rPr>
                <w:rFonts w:hint="eastAsia" w:ascii="宋体" w:hAnsi="宋体" w:cs="宋体"/>
                <w:color w:val="auto"/>
                <w:sz w:val="24"/>
                <w:highlight w:val="none"/>
              </w:rPr>
              <w:t>8、采用国产化的主要元器件，支持安卓系统不低于9.0版本，内存不低于2G，具备兼容性，支持第三方应用安装。支持通过虚拟菜单中的系统还原虚拟按键实现Windows恢复出厂，恢复前需输入管理员密码以确保非无关人员误操作；</w:t>
            </w:r>
            <w:r>
              <w:rPr>
                <w:rFonts w:hint="eastAsia" w:ascii="宋体" w:hAnsi="宋体" w:cs="宋体"/>
                <w:color w:val="auto"/>
                <w:sz w:val="24"/>
                <w:highlight w:val="none"/>
              </w:rPr>
              <w:br w:type="textWrapping"/>
            </w:r>
            <w:r>
              <w:rPr>
                <w:rFonts w:hint="eastAsia" w:ascii="宋体" w:hAnsi="宋体" w:cs="宋体"/>
                <w:color w:val="auto"/>
                <w:sz w:val="24"/>
                <w:highlight w:val="none"/>
              </w:rPr>
              <w:t>9、★支持屏体双侧快捷功能键，在任意通道下支持左右侧边悬浮球工具栏功能，侧边工具栏不少于8个菜单工具，具有中文标识，包含的选项有主页、设置、音量、窗口下移、亮度、批注、多任务窗口切换、信号源切换等；操作便捷，功能丰富，满足教学应用需求。</w:t>
            </w:r>
            <w:r>
              <w:rPr>
                <w:rFonts w:hint="eastAsia" w:ascii="宋体" w:hAnsi="宋体" w:cs="宋体"/>
                <w:b/>
                <w:bCs/>
                <w:color w:val="auto"/>
                <w:sz w:val="24"/>
                <w:highlight w:val="none"/>
              </w:rPr>
              <w:t>提供生产厂家出具的、相应的功能证明材料（</w:t>
            </w:r>
            <w:r>
              <w:rPr>
                <w:rFonts w:hint="eastAsia" w:ascii="宋体" w:hAnsi="宋体" w:cs="宋体"/>
                <w:b/>
                <w:bCs/>
                <w:color w:val="auto"/>
                <w:sz w:val="24"/>
                <w:highlight w:val="none"/>
                <w:lang w:eastAsia="zh-CN"/>
              </w:rPr>
              <w:t>可以是检测报告或官网截图或功能截图</w:t>
            </w:r>
            <w:r>
              <w:rPr>
                <w:rFonts w:hint="eastAsia" w:ascii="宋体" w:hAnsi="宋体" w:cs="宋体"/>
                <w:b/>
                <w:bCs/>
                <w:color w:val="auto"/>
                <w:sz w:val="24"/>
                <w:highlight w:val="none"/>
              </w:rPr>
              <w:t>）；</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10、支持多任务功能切换功能，可对正在运行的应用快速切换或结束进程。Windows系统下左右侧边悬浮球工具栏功能，主页键可直接返回Windows桌面，服务键可打开新手指引和报修等；</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11、内置电脑采用模块化设计，80pin OPS标准，不低于I5十代 CPU，内存≥8G DDR4，固态硬盘≥256G。支持有线、无线连接。</w:t>
            </w:r>
            <w:r>
              <w:rPr>
                <w:rFonts w:hint="eastAsia" w:ascii="宋体" w:hAnsi="宋体" w:cs="宋体"/>
                <w:color w:val="auto"/>
                <w:sz w:val="24"/>
                <w:highlight w:val="none"/>
              </w:rPr>
              <w:br w:type="textWrapping"/>
            </w:r>
            <w:r>
              <w:rPr>
                <w:rFonts w:hint="eastAsia" w:ascii="宋体" w:hAnsi="宋体" w:cs="宋体"/>
                <w:color w:val="auto"/>
                <w:sz w:val="24"/>
                <w:highlight w:val="none"/>
              </w:rPr>
              <w:t>二、Windows教学白板功能</w:t>
            </w:r>
            <w:r>
              <w:rPr>
                <w:rFonts w:hint="eastAsia" w:ascii="宋体" w:hAnsi="宋体" w:cs="宋体"/>
                <w:color w:val="auto"/>
                <w:sz w:val="24"/>
                <w:highlight w:val="none"/>
              </w:rPr>
              <w:br w:type="textWrapping"/>
            </w:r>
            <w:r>
              <w:rPr>
                <w:rFonts w:hint="eastAsia" w:ascii="宋体" w:hAnsi="宋体" w:cs="宋体"/>
                <w:color w:val="auto"/>
                <w:sz w:val="24"/>
                <w:highlight w:val="none"/>
              </w:rPr>
              <w:t>1、软件应用模块的入口均在统一界面上，可整合互动应用软件，集中管理，方便老师在各软件之间的切换和使用，包括备课、授课、录屏、云课件、投屏、网盘、国家云平台、意见反馈等。支持精简模式和标准模式的切换；</w:t>
            </w:r>
            <w:r>
              <w:rPr>
                <w:rFonts w:hint="eastAsia" w:ascii="宋体" w:hAnsi="宋体" w:cs="宋体"/>
                <w:color w:val="auto"/>
                <w:sz w:val="24"/>
                <w:highlight w:val="none"/>
              </w:rPr>
              <w:br w:type="textWrapping"/>
            </w:r>
            <w:r>
              <w:rPr>
                <w:rFonts w:hint="eastAsia" w:ascii="宋体" w:hAnsi="宋体" w:cs="宋体"/>
                <w:color w:val="auto"/>
                <w:sz w:val="24"/>
                <w:highlight w:val="none"/>
              </w:rPr>
              <w:t>2、支持手机号码注册，无需做任何任务注册即可获取不低于50G个人云空间。支持多种登录方式：账号登录，短信登录，钉钉登录，微信登录、U盘登录（U盘可自行制作），支持离线使用部分功能模块；</w:t>
            </w:r>
            <w:r>
              <w:rPr>
                <w:rFonts w:hint="eastAsia" w:ascii="宋体" w:hAnsi="宋体" w:cs="宋体"/>
                <w:color w:val="auto"/>
                <w:sz w:val="24"/>
                <w:highlight w:val="none"/>
              </w:rPr>
              <w:br w:type="textWrapping"/>
            </w:r>
            <w:r>
              <w:rPr>
                <w:rFonts w:hint="eastAsia" w:ascii="宋体" w:hAnsi="宋体" w:cs="宋体"/>
                <w:color w:val="auto"/>
                <w:sz w:val="24"/>
                <w:highlight w:val="none"/>
              </w:rPr>
              <w:t>3、无需额外安装其他软件即可在白板软件首页一键打开录屏功能。支持选择和切换全屏录制，区域录制、应用窗口录制方式，支持选择使用录制倒计时功能，可随意设置录制时间；</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4、支持插入 MP4/AVI/WMV 等格式，在同一个页面中可以同时实现多个视频的插入，在插入视频后，能对视频播放的画面进行手势放大、缩小等操作。</w:t>
            </w:r>
            <w:r>
              <w:rPr>
                <w:rFonts w:hint="eastAsia" w:ascii="宋体" w:hAnsi="宋体" w:cs="宋体"/>
                <w:b/>
                <w:bCs/>
                <w:color w:val="auto"/>
                <w:sz w:val="24"/>
                <w:highlight w:val="none"/>
              </w:rPr>
              <w:t>提供生产厂家出具的、相应的功能证明材料（</w:t>
            </w:r>
            <w:r>
              <w:rPr>
                <w:rFonts w:hint="eastAsia" w:ascii="宋体" w:hAnsi="宋体" w:cs="宋体"/>
                <w:b/>
                <w:bCs/>
                <w:color w:val="auto"/>
                <w:sz w:val="24"/>
                <w:highlight w:val="none"/>
                <w:lang w:eastAsia="zh-CN"/>
              </w:rPr>
              <w:t>可以是检测报告或官网截图或功能截图</w:t>
            </w:r>
            <w:r>
              <w:rPr>
                <w:rFonts w:hint="eastAsia" w:ascii="宋体" w:hAnsi="宋体" w:cs="宋体"/>
                <w:b/>
                <w:bCs/>
                <w:color w:val="auto"/>
                <w:sz w:val="24"/>
                <w:highlight w:val="none"/>
              </w:rPr>
              <w:t>）；</w:t>
            </w:r>
            <w:r>
              <w:rPr>
                <w:rFonts w:hint="eastAsia" w:ascii="宋体" w:hAnsi="宋体" w:cs="宋体"/>
                <w:color w:val="auto"/>
                <w:sz w:val="24"/>
                <w:highlight w:val="none"/>
              </w:rPr>
              <w:br w:type="textWrapping"/>
            </w:r>
            <w:r>
              <w:rPr>
                <w:rFonts w:hint="eastAsia" w:ascii="宋体" w:hAnsi="宋体" w:cs="宋体"/>
                <w:color w:val="auto"/>
                <w:sz w:val="24"/>
                <w:highlight w:val="none"/>
              </w:rPr>
              <w:t>5、支持在软件内直接进入国家智慧教育公共服务平台，非跳转至浏览器形式。</w:t>
            </w:r>
            <w:r>
              <w:rPr>
                <w:rFonts w:hint="eastAsia" w:ascii="宋体" w:hAnsi="宋体" w:cs="宋体"/>
                <w:color w:val="auto"/>
                <w:sz w:val="24"/>
                <w:highlight w:val="none"/>
              </w:rPr>
              <w:br w:type="textWrapping"/>
            </w:r>
            <w:r>
              <w:rPr>
                <w:rFonts w:hint="eastAsia" w:ascii="宋体" w:hAnsi="宋体" w:cs="宋体"/>
                <w:color w:val="auto"/>
                <w:sz w:val="24"/>
                <w:highlight w:val="none"/>
              </w:rPr>
              <w:t>三、嵌入式系统云盘功能</w:t>
            </w:r>
            <w:r>
              <w:rPr>
                <w:rFonts w:hint="eastAsia" w:ascii="宋体" w:hAnsi="宋体" w:cs="宋体"/>
                <w:color w:val="auto"/>
                <w:sz w:val="24"/>
                <w:highlight w:val="none"/>
              </w:rPr>
              <w:br w:type="textWrapping"/>
            </w:r>
            <w:r>
              <w:rPr>
                <w:rFonts w:hint="eastAsia" w:ascii="宋体" w:hAnsi="宋体" w:cs="宋体"/>
                <w:color w:val="auto"/>
                <w:sz w:val="24"/>
                <w:highlight w:val="none"/>
              </w:rPr>
              <w:t>1、支持多种打开方式，支持网页WEB打开，同时支持通过安卓客户端应用程序运行。支持多种登录方式：账号登录，短信登录，钉钉登录，微信登录，不小于 50G 的个人云空间。</w:t>
            </w:r>
            <w:r>
              <w:rPr>
                <w:rFonts w:hint="eastAsia" w:ascii="宋体" w:hAnsi="宋体" w:cs="宋体"/>
                <w:b/>
                <w:bCs/>
                <w:color w:val="auto"/>
                <w:sz w:val="24"/>
                <w:highlight w:val="none"/>
              </w:rPr>
              <w:t>提供生产厂家出具的、相应的功能证明材料（</w:t>
            </w:r>
            <w:r>
              <w:rPr>
                <w:rFonts w:hint="eastAsia" w:ascii="宋体" w:hAnsi="宋体" w:cs="宋体"/>
                <w:b/>
                <w:bCs/>
                <w:color w:val="auto"/>
                <w:sz w:val="24"/>
                <w:highlight w:val="none"/>
                <w:lang w:eastAsia="zh-CN"/>
              </w:rPr>
              <w:t>可以是检测报告或官网截图或功能截图</w:t>
            </w:r>
            <w:r>
              <w:rPr>
                <w:rFonts w:hint="eastAsia" w:ascii="宋体" w:hAnsi="宋体" w:cs="宋体"/>
                <w:b/>
                <w:bCs/>
                <w:color w:val="auto"/>
                <w:sz w:val="24"/>
                <w:highlight w:val="none"/>
              </w:rPr>
              <w:t>）；</w:t>
            </w:r>
          </w:p>
          <w:p>
            <w:pPr>
              <w:widowControl/>
              <w:numPr>
                <w:ilvl w:val="255"/>
                <w:numId w:val="0"/>
              </w:numPr>
              <w:shd w:val="clear"/>
              <w:spacing w:line="360" w:lineRule="auto"/>
              <w:jc w:val="left"/>
              <w:textAlignment w:val="center"/>
              <w:rPr>
                <w:rFonts w:ascii="宋体" w:hAnsi="宋体" w:cs="宋体"/>
                <w:b/>
                <w:bCs/>
                <w:color w:val="auto"/>
                <w:sz w:val="24"/>
                <w:highlight w:val="none"/>
              </w:rPr>
            </w:pPr>
            <w:r>
              <w:rPr>
                <w:rFonts w:hint="eastAsia" w:ascii="宋体" w:hAnsi="宋体" w:cs="宋体"/>
                <w:color w:val="auto"/>
                <w:sz w:val="24"/>
                <w:highlight w:val="none"/>
              </w:rPr>
              <w:t>2、可以查看个人的资源列表，新建文件夹，上传文件，删除，下载，移动，复制，预览、重新命名，分享，搜索文件等操作，支持以链接方式分享，用户可直接点击链接提取资源。支持设置无提取码、系统随机生成提取码、自定义提取码；有效期可选：30天、15天、7天、1天等。</w:t>
            </w:r>
            <w:r>
              <w:rPr>
                <w:rFonts w:hint="eastAsia" w:ascii="宋体" w:hAnsi="宋体" w:cs="宋体"/>
                <w:b/>
                <w:bCs/>
                <w:color w:val="auto"/>
                <w:sz w:val="24"/>
                <w:highlight w:val="none"/>
              </w:rPr>
              <w:t>（提供生产厂家出具的、相应的功能证明材料（</w:t>
            </w:r>
            <w:r>
              <w:rPr>
                <w:rFonts w:hint="eastAsia" w:ascii="宋体" w:hAnsi="宋体" w:cs="宋体"/>
                <w:b/>
                <w:bCs/>
                <w:color w:val="auto"/>
                <w:sz w:val="24"/>
                <w:highlight w:val="none"/>
                <w:lang w:eastAsia="zh-CN"/>
              </w:rPr>
              <w:t>可以是检测报告或官网截图或功能截图</w:t>
            </w:r>
            <w:r>
              <w:rPr>
                <w:rFonts w:hint="eastAsia" w:ascii="宋体" w:hAnsi="宋体" w:cs="宋体"/>
                <w:b/>
                <w:bCs/>
                <w:color w:val="auto"/>
                <w:sz w:val="24"/>
                <w:highlight w:val="none"/>
              </w:rPr>
              <w:t>）；</w:t>
            </w:r>
          </w:p>
          <w:p>
            <w:pPr>
              <w:widowControl/>
              <w:numPr>
                <w:ilvl w:val="255"/>
                <w:numId w:val="0"/>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3、支持查看回收站内容，可查看文件删除时间、有效时间、清空回收站。</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46</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中心网站建设服务</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建设内容如下：</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（1）电脑版网站建设</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（2）手机版网站建设</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（3）原网站新闻图片迁移（不含数据录入及查询）</w:t>
            </w:r>
          </w:p>
          <w:p>
            <w:pPr>
              <w:shd w:val="clear"/>
              <w:rPr>
                <w:color w:val="auto"/>
                <w:highlight w:val="none"/>
              </w:rPr>
            </w:pP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制作要求：</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1、网站建设基于学校现有的博达网站群管理平台，二级网站建设完成之后必须和学校现有网站群无缝对接。</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2、网站的基本建设流程：</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（1）每个网站的设计风格和栏目名称需求用户单位讨论确定。</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（2）根据确认的需求制作网站、出不少于3张页面设计图。</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（3）提供旧网站数据（如历史新闻、公告、图片、文档等）迁移到新网站中的服务。</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（4）网站上线测试运行无问题后由用户单位验收。</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（5）单个网站的建设时间控制在15日历天以内。</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（6）保证网站的后期基本维护及人员培训。</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3、网站版面设计新颖、美观、大方、清新，体现学校、二级部门的特色风采及文化内涵。首页区域布局结构合理，栏目设置完整。页面层级内容丰富，有统一的色彩风格和主色调。</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技术要求：</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1.网站页面主要以HTML或JSP页面组成。网站页面样式为Div+CSS布局。能够使用JavaScript等语言满足一定的动态效果。</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2.使用主流设计制作工具（如Dreamweaver、photoshop、firefox等）设计制作网站。</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3.网站代码要易于阅读，有较为明显和易懂的注释，提供完整的技术文档。</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4.浏览器兼容性：使用各种技术使页面兼容浏览器的解析。使用浏览器访问并测试网页前台效果，不同浏览器网页显示效果一致。</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5.移动设备自适应：电脑版网站和移动版网站统一域名、栏目、数据同步共享。实现同一域名、不同设备（PC/手机/平板）来访问网站前台时，显示相对应的前台界面。</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运维服务要求：</w:t>
            </w:r>
            <w:r>
              <w:rPr>
                <w:rFonts w:hint="eastAsia" w:ascii="宋体" w:hAnsi="宋体" w:cs="宋体"/>
                <w:color w:val="auto"/>
                <w:sz w:val="24"/>
                <w:highlight w:val="none"/>
              </w:rPr>
              <w:tab/>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1、售后服务期限：6个月</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2、培训：针对负责维护网站内容管理的人员一对一远程技术培训，参训人员可以熟练操作网站内容管理的所有功能。</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3、售后服务：</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（1）提供3个月免费技术支持，服务内容应该包括：远程网站问题咨询，远程内容管理问题，在服务期限内所有服务内容没有次数限制。</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（2）提供7×8服务以保障，若出现故障要求在2小时内做出响应或解决。</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（3）服务方式：应提供电话服务专线、在线咨询、网络远程操作，QQ群、微信群专职客户代表服务。</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（4）每年不少于2次的远程巡检服务。</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4、日常改版更新内容包如下：</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 图片设计及处理，包含图片处理、设计、制作，每个网站每年不超过4个。</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 提供7×8小时产品技术支持（服务热线、网络咨询、远程协助）。</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 页面设计与制作，设计、制作页面，对页面进行局部的版式调整，改动的页面数量不超过页面的20%。</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4.组件调整，组件样式修改、组件位置调整。</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5.日常各类使用问题答疑，培训、在线演示。</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6.页面兼容性优化</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7.死链、暗链配合修复</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8.敏感信息配合清除</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9.紧急页面、栏目框架、模板调整</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10.权限定制服务</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11.站点运行过程中可能出现的其他问题解决服务。</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47</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团体活动室基础改造</w:t>
            </w:r>
          </w:p>
        </w:tc>
        <w:tc>
          <w:tcPr>
            <w:tcW w:w="2392" w:type="pct"/>
            <w:shd w:val="clear" w:color="auto" w:fill="auto"/>
            <w:vAlign w:val="center"/>
          </w:tcPr>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改造要求：需营造出温馨舒适的感觉、应满足心理学相关要求；材料要环保无毒。</w:t>
            </w:r>
            <w:r>
              <w:rPr>
                <w:rFonts w:hint="eastAsia" w:ascii="宋体" w:hAnsi="宋体" w:cs="宋体"/>
                <w:color w:val="auto"/>
                <w:sz w:val="24"/>
                <w:highlight w:val="none"/>
              </w:rPr>
              <w:br w:type="textWrapping"/>
            </w:r>
            <w:r>
              <w:rPr>
                <w:rFonts w:hint="eastAsia" w:ascii="宋体" w:hAnsi="宋体" w:cs="宋体"/>
                <w:color w:val="auto"/>
                <w:sz w:val="24"/>
                <w:highlight w:val="none"/>
              </w:rPr>
              <w:t>1、吊顶：需设计造型吊顶,灯光照明设备等；</w:t>
            </w:r>
            <w:r>
              <w:rPr>
                <w:rFonts w:hint="eastAsia" w:ascii="宋体" w:hAnsi="宋体" w:cs="宋体"/>
                <w:color w:val="auto"/>
                <w:sz w:val="24"/>
                <w:highlight w:val="none"/>
              </w:rPr>
              <w:br w:type="textWrapping"/>
            </w:r>
            <w:r>
              <w:rPr>
                <w:rFonts w:hint="eastAsia" w:ascii="宋体" w:hAnsi="宋体" w:cs="宋体"/>
                <w:color w:val="auto"/>
                <w:sz w:val="24"/>
                <w:highlight w:val="none"/>
              </w:rPr>
              <w:t>2、墙面：要求采用环保无污染乳胶漆；</w:t>
            </w:r>
            <w:r>
              <w:rPr>
                <w:rFonts w:hint="eastAsia" w:ascii="宋体" w:hAnsi="宋体" w:cs="宋体"/>
                <w:color w:val="auto"/>
                <w:sz w:val="24"/>
                <w:highlight w:val="none"/>
              </w:rPr>
              <w:br w:type="textWrapping"/>
            </w:r>
            <w:r>
              <w:rPr>
                <w:rFonts w:hint="eastAsia" w:ascii="宋体" w:hAnsi="宋体" w:cs="宋体"/>
                <w:color w:val="auto"/>
                <w:sz w:val="24"/>
                <w:highlight w:val="none"/>
              </w:rPr>
              <w:t>3、窗帘：要求采用棉麻布艺材质，颜色应与功能室环境相匹配；</w:t>
            </w:r>
            <w:r>
              <w:rPr>
                <w:rFonts w:hint="eastAsia" w:ascii="宋体" w:hAnsi="宋体" w:cs="宋体"/>
                <w:color w:val="auto"/>
                <w:sz w:val="24"/>
                <w:highlight w:val="none"/>
              </w:rPr>
              <w:br w:type="textWrapping"/>
            </w:r>
            <w:r>
              <w:rPr>
                <w:rFonts w:hint="eastAsia" w:ascii="宋体" w:hAnsi="宋体" w:cs="宋体"/>
                <w:color w:val="auto"/>
                <w:sz w:val="24"/>
                <w:highlight w:val="none"/>
              </w:rPr>
              <w:t>4、其它：应根据功能室功能需求，含门、窗纱更换，强弱电改造，隔断墙，木地板等。</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30</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48</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中心文化墙制作</w:t>
            </w:r>
          </w:p>
        </w:tc>
        <w:tc>
          <w:tcPr>
            <w:tcW w:w="2392" w:type="pct"/>
            <w:shd w:val="clear" w:color="auto" w:fill="auto"/>
            <w:vAlign w:val="center"/>
          </w:tcPr>
          <w:p>
            <w:pPr>
              <w:widowControl/>
              <w:numPr>
                <w:ilvl w:val="0"/>
                <w:numId w:val="12"/>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定制，材质：PVC+亚克力材质；</w:t>
            </w:r>
          </w:p>
          <w:p>
            <w:pPr>
              <w:widowControl/>
              <w:numPr>
                <w:ilvl w:val="0"/>
                <w:numId w:val="12"/>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尺寸：根据后期设计效果为主，符合业主方实际要求。</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49</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中心路标指示牌</w:t>
            </w:r>
          </w:p>
        </w:tc>
        <w:tc>
          <w:tcPr>
            <w:tcW w:w="2392" w:type="pct"/>
            <w:shd w:val="clear" w:color="auto" w:fill="auto"/>
            <w:vAlign w:val="center"/>
          </w:tcPr>
          <w:p>
            <w:pPr>
              <w:widowControl/>
              <w:numPr>
                <w:ilvl w:val="0"/>
                <w:numId w:val="13"/>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定制，功能：引导学生走进心理中心；</w:t>
            </w:r>
          </w:p>
          <w:p>
            <w:pPr>
              <w:widowControl/>
              <w:numPr>
                <w:ilvl w:val="0"/>
                <w:numId w:val="13"/>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材质：钢材质；</w:t>
            </w:r>
          </w:p>
          <w:p>
            <w:pPr>
              <w:widowControl/>
              <w:numPr>
                <w:ilvl w:val="0"/>
                <w:numId w:val="13"/>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尺寸：根据后期设计效果为主，符合业主方实际要求。</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50</w:t>
            </w:r>
          </w:p>
        </w:tc>
        <w:tc>
          <w:tcPr>
            <w:tcW w:w="1335" w:type="pct"/>
            <w:shd w:val="clear" w:color="auto" w:fill="auto"/>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宣传定制大字</w:t>
            </w:r>
          </w:p>
        </w:tc>
        <w:tc>
          <w:tcPr>
            <w:tcW w:w="2392" w:type="pct"/>
            <w:shd w:val="clear" w:color="auto" w:fill="auto"/>
            <w:vAlign w:val="center"/>
          </w:tcPr>
          <w:p>
            <w:pPr>
              <w:widowControl/>
              <w:numPr>
                <w:ilvl w:val="0"/>
                <w:numId w:val="14"/>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定制，功能：心理工作宣传；</w:t>
            </w:r>
          </w:p>
          <w:p>
            <w:pPr>
              <w:widowControl/>
              <w:numPr>
                <w:ilvl w:val="0"/>
                <w:numId w:val="14"/>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材质：PVC材质。</w:t>
            </w:r>
          </w:p>
          <w:p>
            <w:pPr>
              <w:widowControl/>
              <w:numPr>
                <w:ilvl w:val="0"/>
                <w:numId w:val="14"/>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尺寸：根据后期设计效果为主，符合业主方实际要求。</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51</w:t>
            </w:r>
          </w:p>
        </w:tc>
        <w:tc>
          <w:tcPr>
            <w:tcW w:w="1335"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走廊文化创设</w:t>
            </w:r>
          </w:p>
        </w:tc>
        <w:tc>
          <w:tcPr>
            <w:tcW w:w="2392" w:type="pct"/>
            <w:shd w:val="clear" w:color="auto" w:fill="auto"/>
            <w:vAlign w:val="center"/>
          </w:tcPr>
          <w:p>
            <w:pPr>
              <w:widowControl/>
              <w:numPr>
                <w:ilvl w:val="0"/>
                <w:numId w:val="15"/>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含：生涯规划牌、室内标语、门牌制作、绿植等；</w:t>
            </w:r>
          </w:p>
          <w:p>
            <w:pPr>
              <w:widowControl/>
              <w:numPr>
                <w:ilvl w:val="0"/>
                <w:numId w:val="15"/>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环境应温馨、整洁、舒适，以清新、淡雅、柔和的暖色调为主，合理运用色彩、灯光和装饰物，光线适中，自然光、灯光强度合理。</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1"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52</w:t>
            </w:r>
          </w:p>
        </w:tc>
        <w:tc>
          <w:tcPr>
            <w:tcW w:w="1335" w:type="pct"/>
            <w:shd w:val="clear" w:color="auto" w:fill="auto"/>
            <w:noWrap/>
            <w:vAlign w:val="center"/>
          </w:tcPr>
          <w:p>
            <w:pPr>
              <w:widowControl/>
              <w:shd w:val="clea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二级辅导站基础改造</w:t>
            </w:r>
          </w:p>
        </w:tc>
        <w:tc>
          <w:tcPr>
            <w:tcW w:w="2392" w:type="pct"/>
            <w:shd w:val="clear" w:color="auto" w:fill="auto"/>
            <w:vAlign w:val="center"/>
          </w:tcPr>
          <w:p>
            <w:pPr>
              <w:widowControl/>
              <w:numPr>
                <w:ilvl w:val="0"/>
                <w:numId w:val="16"/>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功能：打造二级辅导站，墙面：环保无污染乳胶漆；</w:t>
            </w:r>
          </w:p>
          <w:p>
            <w:pPr>
              <w:widowControl/>
              <w:numPr>
                <w:ilvl w:val="0"/>
                <w:numId w:val="16"/>
              </w:numPr>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要求：功能室氛围营造温馨舒适、安全环境，满足日常工作开展需要；</w:t>
            </w:r>
          </w:p>
          <w:p>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3.含：门牌、挂图、击打宣泄柱等产品。</w:t>
            </w:r>
          </w:p>
        </w:tc>
        <w:tc>
          <w:tcPr>
            <w:tcW w:w="421"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5</w:t>
            </w:r>
          </w:p>
        </w:tc>
        <w:tc>
          <w:tcPr>
            <w:tcW w:w="458" w:type="pct"/>
            <w:shd w:val="clear" w:color="auto" w:fill="auto"/>
            <w:vAlign w:val="center"/>
          </w:tcPr>
          <w:p>
            <w:pPr>
              <w:widowControl/>
              <w:shd w:val="clear"/>
              <w:jc w:val="center"/>
              <w:textAlignment w:val="center"/>
              <w:rPr>
                <w:rFonts w:ascii="宋体" w:hAnsi="宋体" w:cs="宋体"/>
                <w:color w:val="auto"/>
                <w:sz w:val="24"/>
                <w:highlight w:val="none"/>
              </w:rPr>
            </w:pPr>
            <w:r>
              <w:rPr>
                <w:rFonts w:hint="eastAsia" w:ascii="宋体" w:hAnsi="宋体" w:cs="宋体"/>
                <w:color w:val="auto"/>
                <w:sz w:val="24"/>
                <w:highlight w:val="none"/>
              </w:rPr>
              <w:t>项</w:t>
            </w:r>
          </w:p>
        </w:tc>
      </w:tr>
    </w:tbl>
    <w:p>
      <w:pPr>
        <w:shd w:val="clear"/>
        <w:spacing w:line="360" w:lineRule="auto"/>
        <w:rPr>
          <w:rFonts w:ascii="宋体" w:hAnsi="宋体" w:cs="宋体"/>
          <w:color w:val="auto"/>
          <w:sz w:val="24"/>
          <w:highlight w:val="none"/>
        </w:rPr>
      </w:pPr>
    </w:p>
    <w:bookmarkEnd w:id="546"/>
    <w:bookmarkEnd w:id="547"/>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说明：</w:t>
      </w:r>
    </w:p>
    <w:p>
      <w:pPr>
        <w:widowControl/>
        <w:shd w:val="clear"/>
        <w:spacing w:line="348"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1.本项目核心产品为：</w:t>
      </w:r>
      <w:r>
        <w:rPr>
          <w:rFonts w:hint="eastAsia" w:ascii="宋体" w:hAnsi="宋体" w:cs="宋体"/>
          <w:color w:val="auto"/>
          <w:kern w:val="0"/>
          <w:sz w:val="24"/>
          <w:highlight w:val="none"/>
          <w:u w:val="single"/>
        </w:rPr>
        <w:t>心理危机干预管理平台</w:t>
      </w:r>
      <w:r>
        <w:rPr>
          <w:rFonts w:hint="eastAsia" w:ascii="宋体" w:hAnsi="宋体" w:cs="宋体"/>
          <w:color w:val="auto"/>
          <w:kern w:val="0"/>
          <w:sz w:val="24"/>
          <w:highlight w:val="none"/>
        </w:rPr>
        <w:t>。核心产品为同一品牌且通过资格审查、符合性审查的不同供应商，按一家供应商计算。评标后得分最高的同品牌供应商获得成交人推荐资格；评审得分相同的，报价得分最高的获得成交人推荐资格，其他同品牌供应商不作为成交候选人。</w:t>
      </w:r>
    </w:p>
    <w:p>
      <w:pPr>
        <w:widowControl/>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2.磋商文件中描述的产品名称（如有）、基本性能指标仅供投标人选择货物时在质量水平上进行参考，不具有限制性，投标人可提供品质相同的或优于同类的产品。</w:t>
      </w:r>
    </w:p>
    <w:p>
      <w:pPr>
        <w:widowControl/>
        <w:shd w:val="clea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需求中除有特殊说明之外，本项目中所有指定的具体技术参数或参数范围，均应理解为是采购人可接受的最低要求。也即，当对应技术参数或参数范围是越小越好时，则指定的具体技术参数或参数范围应理解为是上限值或最大允许范围；当对应技术参数或参数范围是越大越好时，则指定的具体技术参数或参数范围应理解为是下限值或最小允许范围。供应商所投产品须符合国家和项目所在地的技术规范，在满足采购人所提要求的前提下提供与采购人要求的性能相当或更优的设备。</w:t>
      </w:r>
    </w:p>
    <w:p>
      <w:pPr>
        <w:shd w:val="clear"/>
        <w:rPr>
          <w:rFonts w:ascii="宋体" w:hAnsi="宋体" w:cs="宋体"/>
          <w:color w:val="auto"/>
          <w:highlight w:val="none"/>
        </w:rPr>
      </w:pPr>
      <w:bookmarkStart w:id="548" w:name="_Toc15048360"/>
      <w:bookmarkStart w:id="549" w:name="_Toc507399907"/>
      <w:bookmarkStart w:id="550" w:name="_Toc57217293"/>
      <w:bookmarkStart w:id="551" w:name="_Toc32647"/>
      <w:bookmarkStart w:id="552" w:name="_Toc532473756"/>
      <w:bookmarkStart w:id="553" w:name="_Toc7971"/>
      <w:bookmarkStart w:id="554" w:name="_Toc515647832"/>
      <w:bookmarkStart w:id="555" w:name="_Toc532044540"/>
    </w:p>
    <w:p>
      <w:pPr>
        <w:shd w:val="clear"/>
        <w:rPr>
          <w:rFonts w:ascii="宋体" w:hAnsi="宋体" w:cs="宋体"/>
          <w:color w:val="auto"/>
          <w:sz w:val="32"/>
          <w:szCs w:val="32"/>
          <w:highlight w:val="none"/>
        </w:rPr>
      </w:pPr>
      <w:bookmarkStart w:id="556" w:name="_Toc26950"/>
      <w:r>
        <w:rPr>
          <w:rFonts w:hint="eastAsia" w:ascii="宋体" w:hAnsi="宋体" w:cs="宋体"/>
          <w:color w:val="auto"/>
          <w:sz w:val="32"/>
          <w:szCs w:val="32"/>
          <w:highlight w:val="none"/>
        </w:rPr>
        <w:br w:type="page"/>
      </w:r>
    </w:p>
    <w:p>
      <w:pPr>
        <w:pStyle w:val="3"/>
        <w:shd w:val="clear"/>
        <w:tabs>
          <w:tab w:val="left" w:pos="0"/>
        </w:tabs>
        <w:autoSpaceDE w:val="0"/>
        <w:autoSpaceDN w:val="0"/>
        <w:adjustRightInd w:val="0"/>
        <w:spacing w:before="0" w:after="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 xml:space="preserve">第四章 </w:t>
      </w:r>
      <w:bookmarkEnd w:id="548"/>
      <w:bookmarkEnd w:id="549"/>
      <w:bookmarkEnd w:id="550"/>
      <w:bookmarkEnd w:id="551"/>
      <w:bookmarkEnd w:id="552"/>
      <w:bookmarkEnd w:id="553"/>
      <w:bookmarkEnd w:id="554"/>
      <w:bookmarkEnd w:id="555"/>
      <w:r>
        <w:rPr>
          <w:rFonts w:hint="eastAsia" w:ascii="宋体" w:hAnsi="宋体" w:cs="宋体"/>
          <w:color w:val="auto"/>
          <w:sz w:val="32"/>
          <w:szCs w:val="32"/>
          <w:highlight w:val="none"/>
        </w:rPr>
        <w:t>评审方法及标准</w:t>
      </w:r>
      <w:bookmarkEnd w:id="556"/>
    </w:p>
    <w:p>
      <w:pPr>
        <w:pStyle w:val="21"/>
        <w:shd w:val="clear"/>
        <w:spacing w:line="360" w:lineRule="auto"/>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磋商小组将按照本项目竞争性磋商文件及相关法律法规的规定进行磋商及评审工作，采购代理机构负责磋商的组织工作。</w:t>
      </w:r>
    </w:p>
    <w:p>
      <w:pPr>
        <w:pStyle w:val="21"/>
        <w:shd w:val="clear"/>
        <w:snapToGrid w:val="0"/>
        <w:spacing w:after="0" w:line="360" w:lineRule="auto"/>
        <w:jc w:val="left"/>
        <w:outlineLvl w:val="2"/>
        <w:rPr>
          <w:rFonts w:ascii="宋体" w:hAnsi="宋体" w:cs="宋体"/>
          <w:bCs/>
          <w:color w:val="auto"/>
          <w:sz w:val="24"/>
          <w:szCs w:val="24"/>
          <w:highlight w:val="none"/>
        </w:rPr>
      </w:pPr>
      <w:bookmarkStart w:id="557" w:name="_Toc131"/>
      <w:bookmarkStart w:id="558" w:name="_Toc18414"/>
      <w:bookmarkStart w:id="559" w:name="_Toc32541"/>
      <w:r>
        <w:rPr>
          <w:rFonts w:hint="eastAsia" w:ascii="宋体" w:hAnsi="宋体" w:cs="宋体"/>
          <w:bCs/>
          <w:color w:val="auto"/>
          <w:sz w:val="24"/>
          <w:szCs w:val="24"/>
          <w:highlight w:val="none"/>
        </w:rPr>
        <w:t>（一）磋商及评审依据</w:t>
      </w:r>
      <w:bookmarkEnd w:id="557"/>
      <w:bookmarkEnd w:id="558"/>
      <w:bookmarkEnd w:id="559"/>
    </w:p>
    <w:p>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1、法律法规的相关规定；</w:t>
      </w:r>
    </w:p>
    <w:p>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2、本级或上级政府采购主管部门的相关规定；</w:t>
      </w:r>
    </w:p>
    <w:p>
      <w:pPr>
        <w:pStyle w:val="21"/>
        <w:shd w:val="clear"/>
        <w:snapToGrid w:val="0"/>
        <w:spacing w:after="0"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3、本项目竞争性磋商文件。</w:t>
      </w:r>
    </w:p>
    <w:p>
      <w:pPr>
        <w:shd w:val="clear"/>
        <w:snapToGrid w:val="0"/>
        <w:spacing w:line="360" w:lineRule="auto"/>
        <w:outlineLvl w:val="2"/>
        <w:rPr>
          <w:rFonts w:ascii="宋体" w:hAnsi="宋体" w:cs="宋体"/>
          <w:bCs/>
          <w:color w:val="auto"/>
          <w:sz w:val="24"/>
          <w:highlight w:val="none"/>
        </w:rPr>
      </w:pPr>
      <w:bookmarkStart w:id="560" w:name="_Toc8573"/>
      <w:bookmarkStart w:id="561" w:name="_Toc28215"/>
      <w:bookmarkStart w:id="562" w:name="_Toc16740"/>
      <w:r>
        <w:rPr>
          <w:rFonts w:hint="eastAsia" w:ascii="宋体" w:hAnsi="宋体" w:cs="宋体"/>
          <w:bCs/>
          <w:color w:val="auto"/>
          <w:sz w:val="24"/>
          <w:highlight w:val="none"/>
        </w:rPr>
        <w:t>（二）磋商原则</w:t>
      </w:r>
      <w:bookmarkEnd w:id="560"/>
      <w:bookmarkEnd w:id="561"/>
      <w:bookmarkEnd w:id="562"/>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磋商小组成员应当按照客观、公正、审慎的原则，根据磋商文件规定的评审程序、评审方法和评审标准进行独立评审。</w:t>
      </w:r>
    </w:p>
    <w:p>
      <w:pPr>
        <w:shd w:val="clear"/>
        <w:snapToGrid w:val="0"/>
        <w:spacing w:line="360" w:lineRule="auto"/>
        <w:rPr>
          <w:rFonts w:ascii="宋体" w:hAnsi="宋体" w:cs="宋体"/>
          <w:bCs/>
          <w:color w:val="auto"/>
          <w:sz w:val="24"/>
          <w:highlight w:val="none"/>
        </w:rPr>
      </w:pPr>
      <w:bookmarkStart w:id="563" w:name="_Toc14594"/>
      <w:bookmarkStart w:id="564" w:name="_Toc2155"/>
      <w:bookmarkStart w:id="565" w:name="_Toc17689"/>
      <w:r>
        <w:rPr>
          <w:rFonts w:hint="eastAsia" w:ascii="宋体" w:hAnsi="宋体" w:cs="宋体"/>
          <w:bCs/>
          <w:color w:val="auto"/>
          <w:sz w:val="24"/>
          <w:highlight w:val="none"/>
        </w:rPr>
        <w:t>（三）组建磋商小组</w:t>
      </w:r>
      <w:bookmarkEnd w:id="563"/>
      <w:bookmarkEnd w:id="564"/>
      <w:bookmarkEnd w:id="565"/>
    </w:p>
    <w:p>
      <w:pPr>
        <w:shd w:val="clea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1、采购人与采购代理机构将按照相关法律法规及财政部门的有关规定依法组建竞争性磋商小组（以下简称磋商小组），负责本项目的磋商及评审工作。</w:t>
      </w:r>
    </w:p>
    <w:p>
      <w:pPr>
        <w:shd w:val="clea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磋商小组由采购人代表和评审专家组成，成员人数为三人或以上单数。其中，评审专家不得少于成员总数的三分之二。具体成员人数见供应商须知前附表。评审专家于磋商开始前在《河南省财政厅政府采购专家库》中随机抽取，并依法组建磋商小组。在成交人确定前，有关人员对磋商小组成员名单必须严格保密，与供应商有利害关系的人员不得进入磋商小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3、参加评审的人员应严格遵守国家有关保密的法</w:t>
      </w:r>
      <w:r>
        <w:rPr>
          <w:rFonts w:hint="eastAsia" w:ascii="宋体" w:hAnsi="宋体" w:cs="宋体"/>
          <w:color w:val="auto"/>
          <w:sz w:val="24"/>
          <w:highlight w:val="none"/>
        </w:rPr>
        <w:t>律、法规和规定，并接受有关部门的监督；</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4、根据相关法律法规的规定，参加评审的有关人员应对整个磋商、评审过程保密，不得泄露；</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5、磋商小组成员应按规定的程序进行磋商及评审；</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6、磋商小组将对确定为实质上响应磋商文件要求的供应商进行磋商并对其响应文件进行评审。</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7、供应商对评审专家施加影响的任何行为，都将被取消成交资格。</w:t>
      </w:r>
    </w:p>
    <w:p>
      <w:pPr>
        <w:pStyle w:val="14"/>
        <w:shd w:val="clea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（四）评审标准中应考虑下列因素</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国家相关部委针对节能产品、环境标志产品出台了相关调整优化政府采购执行机制，并于近期相继颁布《财政部发展改革委 生态环境部 市场监管总局 关于调整优化节能产品、环境标志产品政府采购执行机制的通知》（财库〔2019〕9号）、《市场监管总局关于发布参与实施政府采购节能产品、环境标志产品认证机构名录的公告》（市场监管总局2019年4月3日下发）（以下简称“机构名录”）、《关于印发节能产品政府采购品目清单的通知》（财库〔2019〕19号）（以下简称“节能清单”）、 《关于印发环境标志产品政府采购品目清单的通知》（财库〔2019〕18号）（以下简称“环保清单”）。</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根据要求，投标产品中如有属于“节能清单”成交记“</w:t>
      </w:r>
      <w:r>
        <w:rPr>
          <w:rFonts w:hint="eastAsia" w:ascii="宋体" w:hAnsi="宋体" w:cs="宋体"/>
          <w:color w:val="auto"/>
          <w:kern w:val="0"/>
          <w:sz w:val="24"/>
          <w:highlight w:val="none"/>
        </w:rPr>
        <w:t>★</w:t>
      </w:r>
      <w:r>
        <w:rPr>
          <w:rFonts w:hint="eastAsia" w:ascii="宋体" w:hAnsi="宋体" w:cs="宋体"/>
          <w:color w:val="auto"/>
          <w:sz w:val="24"/>
          <w:highlight w:val="none"/>
        </w:rPr>
        <w:t>”产品的，必须提供经过国家确定的认证机构出具的“节能产品认证证书及相关附件”，未提供的按无效投标处理。</w:t>
      </w:r>
    </w:p>
    <w:p>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对于投标产品属于“节能清单”中非标记“</w:t>
      </w:r>
      <w:r>
        <w:rPr>
          <w:rFonts w:hint="eastAsia" w:ascii="宋体" w:hAnsi="宋体" w:cs="宋体"/>
          <w:color w:val="auto"/>
          <w:kern w:val="0"/>
          <w:sz w:val="24"/>
          <w:highlight w:val="none"/>
        </w:rPr>
        <w:t>★</w:t>
      </w:r>
      <w:r>
        <w:rPr>
          <w:rFonts w:hint="eastAsia" w:ascii="宋体" w:hAnsi="宋体" w:cs="宋体"/>
          <w:color w:val="auto"/>
          <w:sz w:val="24"/>
          <w:highlight w:val="none"/>
        </w:rPr>
        <w:t>”产品的以及属于 “环保清单”产品并经国家确定的认证机构出具相应的产品认证证书的给于优先采购体现（详见采购需求及评审标准）。采购人采购产品属于节能产品或环境标志产品品目清单范围内，且供应商（投标人）所投产品具有有效期内的产品认证证书，在评标时予以优先采购，具体优惠措施为：如果采购项目包有多种设备，在技术部分打分项中给于优先采购体现（详见采购需求及评标标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.供应商（投标人）所投产品列入无线局域网产品清单，应提供相关证明，在评标时予以优先采购，具体优惠措施为：如果采购项目包有多种设备，在技术部分打分项中给于优先采购体现（详见评审标准）。</w:t>
      </w:r>
    </w:p>
    <w:p>
      <w:pPr>
        <w:shd w:val="clea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.其他政府采购政策要求：</w:t>
      </w:r>
      <w:r>
        <w:rPr>
          <w:rFonts w:hint="eastAsia" w:ascii="宋体" w:hAnsi="宋体" w:cs="宋体"/>
          <w:color w:val="auto"/>
          <w:sz w:val="24"/>
          <w:highlight w:val="none"/>
          <w:u w:val="single"/>
        </w:rPr>
        <w:t>无；</w:t>
      </w:r>
    </w:p>
    <w:p>
      <w:pPr>
        <w:shd w:val="clea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5.同品牌处理办法：</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如采用最低评标办法，则</w:t>
      </w:r>
      <w:r>
        <w:rPr>
          <w:rFonts w:hint="eastAsia" w:ascii="宋体" w:hAnsi="宋体" w:cs="宋体"/>
          <w:color w:val="auto"/>
          <w:sz w:val="24"/>
          <w:highlight w:val="none"/>
          <w:u w:val="single"/>
        </w:rPr>
        <w:t>：提供相同品牌产品的不同</w:t>
      </w:r>
      <w:r>
        <w:rPr>
          <w:rFonts w:hint="eastAsia" w:ascii="宋体" w:hAnsi="宋体" w:cs="宋体"/>
          <w:color w:val="auto"/>
          <w:sz w:val="24"/>
          <w:highlight w:val="none"/>
        </w:rPr>
        <w:t>供应商（投标人）</w:t>
      </w:r>
      <w:r>
        <w:rPr>
          <w:rFonts w:hint="eastAsia" w:ascii="宋体" w:hAnsi="宋体" w:cs="宋体"/>
          <w:color w:val="auto"/>
          <w:sz w:val="24"/>
          <w:highlight w:val="none"/>
          <w:u w:val="single"/>
        </w:rPr>
        <w:t>参加同一合同项下投标的，以其中通过资格审查、符合性审查且报价最低的参加评标；报价相同的，由采购人委托磋商小组按照举手表决方式确定一个参加评标的</w:t>
      </w:r>
      <w:r>
        <w:rPr>
          <w:rFonts w:hint="eastAsia" w:ascii="宋体" w:hAnsi="宋体" w:cs="宋体"/>
          <w:color w:val="auto"/>
          <w:sz w:val="24"/>
          <w:highlight w:val="none"/>
        </w:rPr>
        <w:t>供应商（投标人）</w:t>
      </w:r>
      <w:r>
        <w:rPr>
          <w:rFonts w:hint="eastAsia" w:ascii="宋体" w:hAnsi="宋体" w:cs="宋体"/>
          <w:color w:val="auto"/>
          <w:sz w:val="24"/>
          <w:highlight w:val="none"/>
          <w:u w:val="single"/>
        </w:rPr>
        <w:t>，其他投标无效。</w:t>
      </w:r>
      <w:r>
        <w:rPr>
          <w:rFonts w:hint="eastAsia" w:ascii="宋体" w:hAnsi="宋体" w:cs="宋体"/>
          <w:color w:val="auto"/>
          <w:sz w:val="24"/>
          <w:highlight w:val="none"/>
        </w:rPr>
        <w:t>；</w:t>
      </w:r>
    </w:p>
    <w:p>
      <w:pPr>
        <w:shd w:val="clear"/>
        <w:spacing w:line="360" w:lineRule="auto"/>
        <w:ind w:firstLine="480" w:firstLineChars="200"/>
        <w:jc w:val="left"/>
        <w:rPr>
          <w:rFonts w:ascii="宋体" w:hAnsi="宋体" w:cs="宋体"/>
          <w:b/>
          <w:color w:val="auto"/>
          <w:sz w:val="24"/>
          <w:highlight w:val="none"/>
          <w:u w:val="single"/>
        </w:rPr>
      </w:pPr>
      <w:r>
        <w:rPr>
          <w:rFonts w:hint="eastAsia" w:ascii="宋体" w:hAnsi="宋体" w:cs="宋体"/>
          <w:color w:val="auto"/>
          <w:sz w:val="24"/>
          <w:highlight w:val="none"/>
        </w:rPr>
        <w:t>如采用综合评标法，则</w:t>
      </w:r>
      <w:r>
        <w:rPr>
          <w:rFonts w:hint="eastAsia" w:ascii="宋体" w:hAnsi="宋体" w:cs="宋体"/>
          <w:color w:val="auto"/>
          <w:sz w:val="24"/>
          <w:highlight w:val="none"/>
          <w:u w:val="single"/>
        </w:rPr>
        <w:t>：（1）</w:t>
      </w:r>
      <w:r>
        <w:rPr>
          <w:rFonts w:hint="eastAsia" w:ascii="宋体" w:hAnsi="宋体" w:cs="宋体"/>
          <w:b/>
          <w:color w:val="auto"/>
          <w:sz w:val="24"/>
          <w:highlight w:val="none"/>
          <w:u w:val="single"/>
        </w:rPr>
        <w:t>如果为单一产品采购项目，提供相同品牌产品且通过资格审查、符合性审查的不同</w:t>
      </w:r>
      <w:r>
        <w:rPr>
          <w:rFonts w:hint="eastAsia" w:ascii="宋体" w:hAnsi="宋体" w:cs="宋体"/>
          <w:color w:val="auto"/>
          <w:sz w:val="24"/>
          <w:highlight w:val="none"/>
        </w:rPr>
        <w:t>供应商（投标人）</w:t>
      </w:r>
      <w:r>
        <w:rPr>
          <w:rFonts w:hint="eastAsia" w:ascii="宋体" w:hAnsi="宋体" w:cs="宋体"/>
          <w:b/>
          <w:color w:val="auto"/>
          <w:sz w:val="24"/>
          <w:highlight w:val="none"/>
          <w:u w:val="single"/>
        </w:rPr>
        <w:t>参加同一合同项下投标的，按一家</w:t>
      </w:r>
      <w:r>
        <w:rPr>
          <w:rFonts w:hint="eastAsia" w:ascii="宋体" w:hAnsi="宋体" w:cs="宋体"/>
          <w:color w:val="auto"/>
          <w:sz w:val="24"/>
          <w:highlight w:val="none"/>
        </w:rPr>
        <w:t>供应商（投标人）</w:t>
      </w:r>
      <w:r>
        <w:rPr>
          <w:rFonts w:hint="eastAsia" w:ascii="宋体" w:hAnsi="宋体" w:cs="宋体"/>
          <w:b/>
          <w:color w:val="auto"/>
          <w:sz w:val="24"/>
          <w:highlight w:val="none"/>
          <w:u w:val="single"/>
        </w:rPr>
        <w:t>计算，评审后得分最高的同品牌</w:t>
      </w:r>
      <w:r>
        <w:rPr>
          <w:rFonts w:hint="eastAsia" w:ascii="宋体" w:hAnsi="宋体" w:cs="宋体"/>
          <w:color w:val="auto"/>
          <w:sz w:val="24"/>
          <w:highlight w:val="none"/>
        </w:rPr>
        <w:t>供应商（投标人）</w:t>
      </w:r>
      <w:r>
        <w:rPr>
          <w:rFonts w:hint="eastAsia" w:ascii="宋体" w:hAnsi="宋体" w:cs="宋体"/>
          <w:b/>
          <w:color w:val="auto"/>
          <w:sz w:val="24"/>
          <w:highlight w:val="none"/>
          <w:u w:val="single"/>
        </w:rPr>
        <w:t xml:space="preserve">获得成交人推荐资格；评审得分相同的，报价得分最高的获得成交人推荐资格，其他同品牌 </w:t>
      </w:r>
      <w:r>
        <w:rPr>
          <w:rFonts w:hint="eastAsia" w:ascii="宋体" w:hAnsi="宋体" w:cs="宋体"/>
          <w:color w:val="auto"/>
          <w:sz w:val="24"/>
          <w:highlight w:val="none"/>
        </w:rPr>
        <w:t>供应商（投标人）</w:t>
      </w:r>
      <w:r>
        <w:rPr>
          <w:rFonts w:hint="eastAsia" w:ascii="宋体" w:hAnsi="宋体" w:cs="宋体"/>
          <w:b/>
          <w:color w:val="auto"/>
          <w:sz w:val="24"/>
          <w:highlight w:val="none"/>
          <w:u w:val="single"/>
        </w:rPr>
        <w:t>不作为成交候选人。</w:t>
      </w:r>
    </w:p>
    <w:p>
      <w:pPr>
        <w:shd w:val="clea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u w:val="single"/>
        </w:rPr>
        <w:t>（2）</w:t>
      </w:r>
      <w:r>
        <w:rPr>
          <w:rFonts w:hint="eastAsia" w:ascii="宋体" w:hAnsi="宋体" w:cs="宋体"/>
          <w:b/>
          <w:color w:val="auto"/>
          <w:sz w:val="24"/>
          <w:highlight w:val="none"/>
          <w:u w:val="single"/>
        </w:rPr>
        <w:t>非单一产品采购项目，将在磋商文件中载明核心产品。多家</w:t>
      </w:r>
      <w:r>
        <w:rPr>
          <w:rFonts w:hint="eastAsia" w:ascii="宋体" w:hAnsi="宋体" w:cs="宋体"/>
          <w:color w:val="auto"/>
          <w:sz w:val="24"/>
          <w:highlight w:val="none"/>
        </w:rPr>
        <w:t>供应商（投标人）</w:t>
      </w:r>
      <w:r>
        <w:rPr>
          <w:rFonts w:hint="eastAsia" w:ascii="宋体" w:hAnsi="宋体" w:cs="宋体"/>
          <w:b/>
          <w:color w:val="auto"/>
          <w:sz w:val="24"/>
          <w:highlight w:val="none"/>
          <w:u w:val="single"/>
        </w:rPr>
        <w:t>提供的核心产品品牌相同的，按（1）“单一产品采购项目”规定处理。</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6.成交候选人并列时的处理方式：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如采用最低评标办法，则：由采购人采取随机抽取的方式确定。</w:t>
      </w:r>
    </w:p>
    <w:p>
      <w:pPr>
        <w:shd w:val="clea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如采用综合评标法，则：</w:t>
      </w:r>
      <w:r>
        <w:rPr>
          <w:rFonts w:hint="eastAsia" w:ascii="宋体" w:hAnsi="宋体" w:cs="宋体"/>
          <w:bCs/>
          <w:color w:val="auto"/>
          <w:sz w:val="24"/>
          <w:highlight w:val="none"/>
        </w:rPr>
        <w:t>根据采购需要、商务、技术均能满足磋商文件要求，按磋商小组评出的综合得分，由高到低顺序排列，推荐3名成交候选人，如得分相同的，按扣除后的投标报价由低到高顺序排列；</w:t>
      </w:r>
    </w:p>
    <w:p>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按前款不能区分的，按投标报价由低至高顺序排序；</w:t>
      </w:r>
    </w:p>
    <w:p>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按前款不能区分的，优先采购节能产品、环保产品；</w:t>
      </w:r>
    </w:p>
    <w:p>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按前款不能区分的，按技术指标优劣排序；</w:t>
      </w:r>
    </w:p>
    <w:p>
      <w:pPr>
        <w:shd w:val="clea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其他情况，由磋商小组集体研究处理</w:t>
      </w:r>
      <w:r>
        <w:rPr>
          <w:rFonts w:hint="eastAsia" w:ascii="宋体" w:hAnsi="宋体" w:cs="宋体"/>
          <w:color w:val="auto"/>
          <w:sz w:val="24"/>
          <w:highlight w:val="none"/>
        </w:rPr>
        <w:t>。</w:t>
      </w:r>
    </w:p>
    <w:p>
      <w:pPr>
        <w:pStyle w:val="14"/>
        <w:shd w:val="clear"/>
        <w:ind w:firstLine="0" w:firstLineChars="0"/>
        <w:outlineLvl w:val="2"/>
        <w:rPr>
          <w:rFonts w:ascii="宋体" w:hAnsi="宋体" w:cs="宋体"/>
          <w:color w:val="auto"/>
          <w:sz w:val="24"/>
          <w:highlight w:val="none"/>
        </w:rPr>
      </w:pPr>
      <w:bookmarkStart w:id="566" w:name="_Toc14237"/>
      <w:bookmarkStart w:id="567" w:name="_Toc27343"/>
      <w:bookmarkStart w:id="568" w:name="_Toc15425"/>
      <w:r>
        <w:rPr>
          <w:rFonts w:hint="eastAsia" w:ascii="宋体" w:hAnsi="宋体" w:cs="宋体"/>
          <w:color w:val="auto"/>
          <w:sz w:val="24"/>
          <w:highlight w:val="none"/>
        </w:rPr>
        <w:t>（五）初步评审（资格性审查、符合性审查表）</w:t>
      </w:r>
      <w:bookmarkEnd w:id="566"/>
      <w:bookmarkEnd w:id="567"/>
      <w:bookmarkEnd w:id="568"/>
    </w:p>
    <w:tbl>
      <w:tblPr>
        <w:tblStyle w:val="49"/>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691"/>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4610" w:type="dxa"/>
            <w:gridSpan w:val="2"/>
            <w:tcBorders>
              <w:bottom w:val="single" w:color="auto" w:sz="4" w:space="0"/>
            </w:tcBorders>
            <w:tcMar>
              <w:left w:w="57" w:type="dxa"/>
              <w:right w:w="57" w:type="dxa"/>
            </w:tcMar>
            <w:vAlign w:val="center"/>
          </w:tcPr>
          <w:p>
            <w:pPr>
              <w:shd w:val="clear"/>
              <w:spacing w:line="312" w:lineRule="auto"/>
              <w:ind w:firstLine="723" w:firstLineChars="300"/>
              <w:jc w:val="center"/>
              <w:rPr>
                <w:rFonts w:ascii="宋体" w:hAnsi="宋体" w:cs="宋体"/>
                <w:b/>
                <w:color w:val="auto"/>
                <w:sz w:val="24"/>
                <w:highlight w:val="none"/>
              </w:rPr>
            </w:pPr>
            <w:r>
              <w:rPr>
                <w:rFonts w:hint="eastAsia" w:ascii="宋体" w:hAnsi="宋体" w:cs="宋体"/>
                <w:b/>
                <w:color w:val="auto"/>
                <w:sz w:val="24"/>
                <w:highlight w:val="none"/>
              </w:rPr>
              <w:t>评审因素</w:t>
            </w:r>
          </w:p>
        </w:tc>
        <w:tc>
          <w:tcPr>
            <w:tcW w:w="4410" w:type="dxa"/>
            <w:tcBorders>
              <w:bottom w:val="single" w:color="auto" w:sz="4" w:space="0"/>
            </w:tcBorders>
            <w:tcMar>
              <w:left w:w="57" w:type="dxa"/>
              <w:right w:w="57" w:type="dxa"/>
            </w:tcMar>
            <w:vAlign w:val="center"/>
          </w:tcPr>
          <w:p>
            <w:pPr>
              <w:shd w:val="clear"/>
              <w:spacing w:line="312" w:lineRule="auto"/>
              <w:ind w:firstLine="964" w:firstLineChars="400"/>
              <w:jc w:val="center"/>
              <w:rPr>
                <w:rFonts w:ascii="宋体" w:hAnsi="宋体" w:cs="宋体"/>
                <w:b/>
                <w:color w:val="auto"/>
                <w:sz w:val="24"/>
                <w:highlight w:val="none"/>
              </w:rPr>
            </w:pPr>
            <w:r>
              <w:rPr>
                <w:rFonts w:hint="eastAsia" w:ascii="宋体" w:hAnsi="宋体" w:cs="宋体"/>
                <w:b/>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919" w:type="dxa"/>
            <w:vMerge w:val="restart"/>
            <w:tcMar>
              <w:left w:w="57" w:type="dxa"/>
              <w:right w:w="57" w:type="dxa"/>
            </w:tcMar>
            <w:vAlign w:val="center"/>
          </w:tcPr>
          <w:p>
            <w:pPr>
              <w:shd w:val="clear"/>
              <w:spacing w:line="312" w:lineRule="auto"/>
              <w:jc w:val="center"/>
              <w:rPr>
                <w:rFonts w:ascii="宋体" w:hAnsi="宋体" w:cs="宋体"/>
                <w:color w:val="auto"/>
                <w:sz w:val="24"/>
                <w:highlight w:val="none"/>
              </w:rPr>
            </w:pPr>
            <w:r>
              <w:rPr>
                <w:rFonts w:hint="eastAsia" w:ascii="宋体" w:hAnsi="宋体" w:cs="宋体"/>
                <w:b/>
                <w:bCs/>
                <w:color w:val="auto"/>
                <w:sz w:val="24"/>
                <w:highlight w:val="none"/>
              </w:rPr>
              <w:t>资格性审查</w:t>
            </w:r>
          </w:p>
        </w:tc>
        <w:tc>
          <w:tcPr>
            <w:tcW w:w="3691" w:type="dxa"/>
            <w:tcMar>
              <w:left w:w="57" w:type="dxa"/>
              <w:right w:w="57" w:type="dxa"/>
            </w:tcMar>
            <w:vAlign w:val="center"/>
          </w:tcPr>
          <w:p>
            <w:pPr>
              <w:shd w:val="clear"/>
              <w:spacing w:line="312" w:lineRule="auto"/>
              <w:jc w:val="center"/>
              <w:rPr>
                <w:rFonts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4410" w:type="dxa"/>
            <w:vAlign w:val="center"/>
          </w:tcPr>
          <w:p>
            <w:pPr>
              <w:shd w:val="clear"/>
              <w:spacing w:line="312" w:lineRule="auto"/>
              <w:jc w:val="left"/>
              <w:rPr>
                <w:rFonts w:ascii="宋体" w:hAnsi="宋体" w:cs="宋体"/>
                <w:color w:val="auto"/>
                <w:sz w:val="24"/>
                <w:highlight w:val="none"/>
              </w:rPr>
            </w:pPr>
            <w:r>
              <w:rPr>
                <w:rFonts w:hint="eastAsia" w:ascii="宋体" w:hAnsi="宋体" w:cs="宋体"/>
                <w:color w:val="auto"/>
                <w:kern w:val="0"/>
                <w:sz w:val="24"/>
                <w:highlight w:val="none"/>
              </w:rPr>
              <w:t>具备有效的营业执照或其它相关证明材料。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919" w:type="dxa"/>
            <w:vMerge w:val="continue"/>
            <w:tcMar>
              <w:left w:w="57" w:type="dxa"/>
              <w:right w:w="57" w:type="dxa"/>
            </w:tcMar>
            <w:vAlign w:val="center"/>
          </w:tcPr>
          <w:p>
            <w:pPr>
              <w:shd w:val="clear"/>
              <w:spacing w:line="312" w:lineRule="auto"/>
              <w:jc w:val="center"/>
              <w:rPr>
                <w:rFonts w:ascii="宋体" w:hAnsi="宋体" w:cs="宋体"/>
                <w:color w:val="auto"/>
                <w:sz w:val="24"/>
                <w:highlight w:val="none"/>
              </w:rPr>
            </w:pPr>
          </w:p>
        </w:tc>
        <w:tc>
          <w:tcPr>
            <w:tcW w:w="3691" w:type="dxa"/>
            <w:tcMar>
              <w:left w:w="57" w:type="dxa"/>
              <w:right w:w="57" w:type="dxa"/>
            </w:tcMar>
            <w:vAlign w:val="center"/>
          </w:tcPr>
          <w:p>
            <w:pPr>
              <w:pStyle w:val="43"/>
              <w:shd w:val="clear"/>
              <w:spacing w:line="312" w:lineRule="auto"/>
              <w:ind w:firstLine="240" w:firstLineChars="100"/>
              <w:jc w:val="center"/>
              <w:rPr>
                <w:rFonts w:cs="宋体"/>
                <w:color w:val="auto"/>
                <w:kern w:val="2"/>
                <w:szCs w:val="24"/>
                <w:highlight w:val="none"/>
              </w:rPr>
            </w:pPr>
            <w:r>
              <w:rPr>
                <w:rFonts w:hint="eastAsia" w:cs="宋体"/>
                <w:color w:val="auto"/>
                <w:kern w:val="2"/>
                <w:szCs w:val="24"/>
                <w:highlight w:val="none"/>
              </w:rPr>
              <w:t>具有良好的商业信誉和健全的财务会计制度</w:t>
            </w:r>
          </w:p>
          <w:p>
            <w:pPr>
              <w:shd w:val="clear"/>
              <w:spacing w:line="312" w:lineRule="auto"/>
              <w:jc w:val="center"/>
              <w:rPr>
                <w:rFonts w:ascii="宋体" w:hAnsi="宋体" w:cs="宋体"/>
                <w:color w:val="auto"/>
                <w:sz w:val="24"/>
                <w:highlight w:val="none"/>
              </w:rPr>
            </w:pPr>
          </w:p>
        </w:tc>
        <w:tc>
          <w:tcPr>
            <w:tcW w:w="4410" w:type="dxa"/>
            <w:vAlign w:val="center"/>
          </w:tcPr>
          <w:p>
            <w:pPr>
              <w:shd w:val="clear"/>
              <w:spacing w:line="312" w:lineRule="auto"/>
              <w:jc w:val="left"/>
              <w:rPr>
                <w:rFonts w:ascii="宋体" w:hAnsi="宋体" w:cs="宋体"/>
                <w:color w:val="auto"/>
                <w:sz w:val="24"/>
                <w:highlight w:val="none"/>
              </w:rPr>
            </w:pPr>
            <w:r>
              <w:rPr>
                <w:rFonts w:hint="eastAsia" w:ascii="宋体" w:hAnsi="宋体" w:cs="宋体"/>
                <w:color w:val="auto"/>
                <w:sz w:val="24"/>
                <w:highlight w:val="none"/>
              </w:rPr>
              <w:t>符合竞争性磋商文件“第二章 供应商须知  供应商须知前附表”1.4.1要求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919" w:type="dxa"/>
            <w:vMerge w:val="continue"/>
            <w:tcMar>
              <w:left w:w="57" w:type="dxa"/>
              <w:right w:w="57" w:type="dxa"/>
            </w:tcMar>
            <w:vAlign w:val="center"/>
          </w:tcPr>
          <w:p>
            <w:pPr>
              <w:shd w:val="clear"/>
              <w:spacing w:line="312" w:lineRule="auto"/>
              <w:jc w:val="center"/>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color w:val="auto"/>
                <w:sz w:val="24"/>
                <w:highlight w:val="none"/>
              </w:rPr>
            </w:pPr>
            <w:r>
              <w:rPr>
                <w:rFonts w:hint="eastAsia" w:ascii="宋体" w:hAnsi="宋体" w:cs="宋体"/>
                <w:color w:val="auto"/>
                <w:sz w:val="24"/>
                <w:highlight w:val="none"/>
              </w:rPr>
              <w:t>社保证明材料</w:t>
            </w:r>
          </w:p>
        </w:tc>
        <w:tc>
          <w:tcPr>
            <w:tcW w:w="4410" w:type="dxa"/>
            <w:vAlign w:val="center"/>
          </w:tcPr>
          <w:p>
            <w:pPr>
              <w:shd w:val="clear"/>
              <w:spacing w:line="312" w:lineRule="auto"/>
              <w:jc w:val="left"/>
              <w:rPr>
                <w:rFonts w:ascii="宋体" w:hAnsi="宋体" w:cs="宋体"/>
                <w:color w:val="auto"/>
                <w:sz w:val="24"/>
                <w:highlight w:val="none"/>
              </w:rPr>
            </w:pPr>
            <w:r>
              <w:rPr>
                <w:rFonts w:hint="eastAsia" w:ascii="宋体" w:hAnsi="宋体" w:cs="宋体"/>
                <w:color w:val="auto"/>
                <w:sz w:val="24"/>
                <w:highlight w:val="none"/>
              </w:rPr>
              <w:t>符合竞争性磋商文件“第二章 供应商须知  供应商须知前附表”1.4.1要求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919" w:type="dxa"/>
            <w:vMerge w:val="continue"/>
            <w:tcMar>
              <w:left w:w="57" w:type="dxa"/>
              <w:right w:w="57" w:type="dxa"/>
            </w:tcMar>
            <w:vAlign w:val="center"/>
          </w:tcPr>
          <w:p>
            <w:pPr>
              <w:shd w:val="clear"/>
              <w:spacing w:line="312" w:lineRule="auto"/>
              <w:ind w:firstLine="720" w:firstLineChars="300"/>
              <w:jc w:val="center"/>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color w:val="auto"/>
                <w:sz w:val="24"/>
                <w:highlight w:val="none"/>
              </w:rPr>
            </w:pPr>
            <w:r>
              <w:rPr>
                <w:rFonts w:hint="eastAsia" w:ascii="宋体" w:hAnsi="宋体" w:cs="宋体"/>
                <w:color w:val="auto"/>
                <w:sz w:val="24"/>
                <w:highlight w:val="none"/>
              </w:rPr>
              <w:t>纳税证明材料</w:t>
            </w:r>
          </w:p>
        </w:tc>
        <w:tc>
          <w:tcPr>
            <w:tcW w:w="4410" w:type="dxa"/>
            <w:vAlign w:val="center"/>
          </w:tcPr>
          <w:p>
            <w:pPr>
              <w:shd w:val="clear"/>
              <w:spacing w:line="312" w:lineRule="auto"/>
              <w:jc w:val="left"/>
              <w:rPr>
                <w:rFonts w:ascii="宋体" w:hAnsi="宋体" w:cs="宋体"/>
                <w:color w:val="auto"/>
                <w:sz w:val="24"/>
                <w:highlight w:val="none"/>
              </w:rPr>
            </w:pPr>
            <w:r>
              <w:rPr>
                <w:rFonts w:hint="eastAsia" w:ascii="宋体" w:hAnsi="宋体" w:cs="宋体"/>
                <w:color w:val="auto"/>
                <w:sz w:val="24"/>
                <w:highlight w:val="none"/>
              </w:rPr>
              <w:t>符合竞争性磋商文件“第二章 供应商须知  供应商须知前附表”1.4.1要求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919" w:type="dxa"/>
            <w:vMerge w:val="continue"/>
            <w:tcMar>
              <w:left w:w="57" w:type="dxa"/>
              <w:right w:w="57" w:type="dxa"/>
            </w:tcMar>
            <w:vAlign w:val="center"/>
          </w:tcPr>
          <w:p>
            <w:pPr>
              <w:shd w:val="clear"/>
              <w:spacing w:line="312" w:lineRule="auto"/>
              <w:ind w:firstLine="720" w:firstLineChars="300"/>
              <w:jc w:val="center"/>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color w:val="auto"/>
                <w:sz w:val="24"/>
                <w:highlight w:val="none"/>
              </w:rPr>
            </w:pPr>
            <w:r>
              <w:rPr>
                <w:rFonts w:hint="eastAsia" w:ascii="宋体" w:hAnsi="宋体" w:cs="宋体"/>
                <w:color w:val="auto"/>
                <w:sz w:val="24"/>
                <w:highlight w:val="none"/>
              </w:rPr>
              <w:t>具有履行合同所必需的设备和专业技术能力</w:t>
            </w:r>
          </w:p>
        </w:tc>
        <w:tc>
          <w:tcPr>
            <w:tcW w:w="4410" w:type="dxa"/>
            <w:vAlign w:val="center"/>
          </w:tcPr>
          <w:p>
            <w:pPr>
              <w:shd w:val="clear"/>
              <w:spacing w:line="312" w:lineRule="auto"/>
              <w:jc w:val="left"/>
              <w:rPr>
                <w:rFonts w:ascii="宋体" w:hAnsi="宋体" w:cs="宋体"/>
                <w:color w:val="auto"/>
                <w:sz w:val="24"/>
                <w:highlight w:val="none"/>
              </w:rPr>
            </w:pPr>
            <w:r>
              <w:rPr>
                <w:rFonts w:hint="eastAsia" w:ascii="宋体" w:hAnsi="宋体" w:cs="宋体"/>
                <w:color w:val="auto"/>
                <w:sz w:val="24"/>
                <w:highlight w:val="none"/>
              </w:rPr>
              <w:t>符合竞争性磋商文件“第二章 供应商须知  供应商须知前附表”1.4.1要求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trPr>
        <w:tc>
          <w:tcPr>
            <w:tcW w:w="919" w:type="dxa"/>
            <w:vMerge w:val="continue"/>
            <w:tcMar>
              <w:left w:w="57" w:type="dxa"/>
              <w:right w:w="57" w:type="dxa"/>
            </w:tcMar>
            <w:vAlign w:val="center"/>
          </w:tcPr>
          <w:p>
            <w:pPr>
              <w:shd w:val="clear"/>
              <w:spacing w:line="312" w:lineRule="auto"/>
              <w:ind w:firstLine="720" w:firstLineChars="300"/>
              <w:jc w:val="center"/>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color w:val="auto"/>
                <w:sz w:val="24"/>
                <w:highlight w:val="none"/>
              </w:rPr>
            </w:pPr>
            <w:r>
              <w:rPr>
                <w:rFonts w:hint="eastAsia" w:ascii="宋体" w:hAnsi="宋体" w:cs="宋体"/>
                <w:color w:val="auto"/>
                <w:sz w:val="24"/>
                <w:highlight w:val="none"/>
              </w:rPr>
              <w:t>参加本次采购活动前三年内在经营活动中没有重大违法记录的书面声明</w:t>
            </w:r>
          </w:p>
        </w:tc>
        <w:tc>
          <w:tcPr>
            <w:tcW w:w="4410" w:type="dxa"/>
            <w:vAlign w:val="center"/>
          </w:tcPr>
          <w:p>
            <w:pPr>
              <w:shd w:val="clear"/>
              <w:spacing w:line="312" w:lineRule="auto"/>
              <w:jc w:val="left"/>
              <w:rPr>
                <w:rFonts w:ascii="宋体" w:hAnsi="宋体" w:cs="宋体"/>
                <w:color w:val="auto"/>
                <w:sz w:val="24"/>
                <w:highlight w:val="none"/>
              </w:rPr>
            </w:pPr>
            <w:r>
              <w:rPr>
                <w:rFonts w:hint="eastAsia" w:ascii="宋体" w:hAnsi="宋体" w:cs="宋体"/>
                <w:color w:val="auto"/>
                <w:sz w:val="24"/>
                <w:highlight w:val="none"/>
              </w:rPr>
              <w:t>符合竞争性磋商文件“第二章 供应商须知  供应商须知前附表”1.4.1要求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exact"/>
        </w:trPr>
        <w:tc>
          <w:tcPr>
            <w:tcW w:w="919" w:type="dxa"/>
            <w:vMerge w:val="continue"/>
            <w:tcMar>
              <w:left w:w="57" w:type="dxa"/>
              <w:right w:w="57" w:type="dxa"/>
            </w:tcMar>
            <w:vAlign w:val="center"/>
          </w:tcPr>
          <w:p>
            <w:pPr>
              <w:shd w:val="clear"/>
              <w:spacing w:line="312" w:lineRule="auto"/>
              <w:ind w:firstLine="720" w:firstLineChars="300"/>
              <w:jc w:val="center"/>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单位负责人为同一人或者存在直接控股、管理关系的不同供应商（投标人），不得参加同一合同项下的政府采购活动</w:t>
            </w:r>
          </w:p>
        </w:tc>
        <w:tc>
          <w:tcPr>
            <w:tcW w:w="4410" w:type="dxa"/>
            <w:vAlign w:val="center"/>
          </w:tcPr>
          <w:p>
            <w:pPr>
              <w:shd w:val="clear"/>
              <w:spacing w:line="312" w:lineRule="auto"/>
              <w:jc w:val="left"/>
              <w:rPr>
                <w:rFonts w:ascii="宋体" w:hAnsi="宋体" w:cs="宋体"/>
                <w:color w:val="auto"/>
                <w:sz w:val="24"/>
                <w:highlight w:val="none"/>
              </w:rPr>
            </w:pPr>
            <w:r>
              <w:rPr>
                <w:rFonts w:hint="eastAsia" w:ascii="宋体" w:hAnsi="宋体" w:cs="宋体"/>
                <w:color w:val="auto"/>
                <w:sz w:val="24"/>
                <w:highlight w:val="none"/>
              </w:rPr>
              <w:t>符合竞争性磋商文件“第二章 供应商须知  供应商须知前附表”1.4.1要求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exact"/>
        </w:trPr>
        <w:tc>
          <w:tcPr>
            <w:tcW w:w="919" w:type="dxa"/>
            <w:vMerge w:val="continue"/>
            <w:tcMar>
              <w:left w:w="57" w:type="dxa"/>
              <w:right w:w="57" w:type="dxa"/>
            </w:tcMar>
            <w:vAlign w:val="center"/>
          </w:tcPr>
          <w:p>
            <w:pPr>
              <w:shd w:val="clear"/>
              <w:spacing w:line="312" w:lineRule="auto"/>
              <w:ind w:firstLine="720" w:firstLineChars="300"/>
              <w:jc w:val="center"/>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本项目专门面向中小企业采购，供应商须为中小微企业、监狱企业或残疾人福利性单位</w:t>
            </w:r>
          </w:p>
        </w:tc>
        <w:tc>
          <w:tcPr>
            <w:tcW w:w="4410" w:type="dxa"/>
            <w:vAlign w:val="center"/>
          </w:tcPr>
          <w:p>
            <w:pPr>
              <w:shd w:val="clear"/>
              <w:spacing w:line="312" w:lineRule="auto"/>
              <w:jc w:val="left"/>
              <w:rPr>
                <w:rFonts w:hint="eastAsia" w:ascii="宋体" w:hAnsi="宋体" w:cs="宋体"/>
                <w:color w:val="auto"/>
                <w:sz w:val="24"/>
                <w:highlight w:val="none"/>
              </w:rPr>
            </w:pPr>
            <w:r>
              <w:rPr>
                <w:rFonts w:hint="eastAsia" w:ascii="宋体" w:hAnsi="宋体" w:cs="宋体"/>
                <w:color w:val="auto"/>
                <w:sz w:val="24"/>
                <w:highlight w:val="none"/>
              </w:rPr>
              <w:t>符合竞争性磋商文件“第二章 供应商须知  供应商须知前附表”1.4.1要求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919" w:type="dxa"/>
            <w:vMerge w:val="continue"/>
            <w:tcMar>
              <w:left w:w="57" w:type="dxa"/>
              <w:right w:w="57" w:type="dxa"/>
            </w:tcMar>
            <w:vAlign w:val="center"/>
          </w:tcPr>
          <w:p>
            <w:pPr>
              <w:shd w:val="clear"/>
              <w:spacing w:line="312" w:lineRule="auto"/>
              <w:ind w:firstLine="720" w:firstLineChars="300"/>
              <w:jc w:val="center"/>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color w:val="auto"/>
                <w:sz w:val="24"/>
                <w:highlight w:val="none"/>
              </w:rPr>
            </w:pPr>
            <w:r>
              <w:rPr>
                <w:rFonts w:hint="eastAsia" w:ascii="宋体" w:hAnsi="宋体" w:cs="宋体"/>
                <w:color w:val="auto"/>
                <w:sz w:val="24"/>
                <w:highlight w:val="none"/>
              </w:rPr>
              <w:t>信用查询</w:t>
            </w:r>
          </w:p>
        </w:tc>
        <w:tc>
          <w:tcPr>
            <w:tcW w:w="4410" w:type="dxa"/>
            <w:vAlign w:val="center"/>
          </w:tcPr>
          <w:p>
            <w:pPr>
              <w:shd w:val="clear"/>
              <w:spacing w:line="312" w:lineRule="auto"/>
              <w:jc w:val="left"/>
              <w:rPr>
                <w:rFonts w:ascii="宋体" w:hAnsi="宋体" w:cs="宋体"/>
                <w:color w:val="auto"/>
                <w:sz w:val="24"/>
                <w:highlight w:val="none"/>
              </w:rPr>
            </w:pPr>
            <w:r>
              <w:rPr>
                <w:rFonts w:hint="eastAsia" w:ascii="宋体" w:hAnsi="宋体" w:cs="宋体"/>
                <w:color w:val="auto"/>
                <w:sz w:val="24"/>
                <w:highlight w:val="none"/>
              </w:rPr>
              <w:t>递交响应文件截止时间后，由采购人或采购代理机构查询供应商的信用状况，并以此结果为准。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919" w:type="dxa"/>
            <w:vMerge w:val="restart"/>
            <w:tcMar>
              <w:left w:w="57" w:type="dxa"/>
              <w:right w:w="57" w:type="dxa"/>
            </w:tcMar>
            <w:vAlign w:val="center"/>
          </w:tcPr>
          <w:p>
            <w:pPr>
              <w:shd w:val="clear"/>
              <w:spacing w:line="312" w:lineRule="auto"/>
              <w:rPr>
                <w:rFonts w:ascii="宋体" w:hAnsi="宋体" w:cs="宋体"/>
                <w:color w:val="auto"/>
                <w:sz w:val="24"/>
                <w:highlight w:val="none"/>
              </w:rPr>
            </w:pPr>
            <w:r>
              <w:rPr>
                <w:rFonts w:hint="eastAsia" w:ascii="宋体" w:hAnsi="宋体" w:cs="宋体"/>
                <w:b/>
                <w:bCs/>
                <w:color w:val="auto"/>
                <w:sz w:val="24"/>
                <w:highlight w:val="none"/>
              </w:rPr>
              <w:t>符合性审查</w:t>
            </w:r>
          </w:p>
        </w:tc>
        <w:tc>
          <w:tcPr>
            <w:tcW w:w="3691" w:type="dxa"/>
            <w:tcMar>
              <w:left w:w="57" w:type="dxa"/>
              <w:right w:w="57" w:type="dxa"/>
            </w:tcMar>
            <w:vAlign w:val="center"/>
          </w:tcPr>
          <w:p>
            <w:pPr>
              <w:shd w:val="clear"/>
              <w:spacing w:line="312" w:lineRule="auto"/>
              <w:jc w:val="center"/>
              <w:rPr>
                <w:rFonts w:ascii="宋体" w:hAnsi="宋体" w:cs="宋体"/>
                <w:color w:val="auto"/>
                <w:sz w:val="24"/>
                <w:highlight w:val="none"/>
              </w:rPr>
            </w:pPr>
            <w:r>
              <w:rPr>
                <w:rFonts w:hint="eastAsia" w:ascii="宋体" w:hAnsi="宋体" w:cs="宋体"/>
                <w:bCs/>
                <w:color w:val="auto"/>
                <w:sz w:val="24"/>
                <w:highlight w:val="none"/>
              </w:rPr>
              <w:t>供应商名称</w:t>
            </w:r>
          </w:p>
        </w:tc>
        <w:tc>
          <w:tcPr>
            <w:tcW w:w="4410" w:type="dxa"/>
            <w:vAlign w:val="center"/>
          </w:tcPr>
          <w:p>
            <w:pPr>
              <w:shd w:val="clear"/>
              <w:spacing w:line="312" w:lineRule="auto"/>
              <w:jc w:val="left"/>
              <w:rPr>
                <w:rFonts w:ascii="宋体" w:hAnsi="宋体" w:cs="宋体"/>
                <w:color w:val="auto"/>
                <w:sz w:val="24"/>
                <w:highlight w:val="none"/>
              </w:rPr>
            </w:pPr>
            <w:r>
              <w:rPr>
                <w:rFonts w:hint="eastAsia" w:ascii="宋体" w:hAnsi="宋体" w:cs="宋体"/>
                <w:bCs/>
                <w:color w:val="auto"/>
                <w:sz w:val="24"/>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919" w:type="dxa"/>
            <w:vMerge w:val="continue"/>
            <w:tcMar>
              <w:left w:w="57" w:type="dxa"/>
              <w:right w:w="57" w:type="dxa"/>
            </w:tcMar>
            <w:vAlign w:val="center"/>
          </w:tcPr>
          <w:p>
            <w:pPr>
              <w:shd w:val="clear"/>
              <w:spacing w:line="312" w:lineRule="auto"/>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磋商响应文件签字、盖章</w:t>
            </w:r>
          </w:p>
        </w:tc>
        <w:tc>
          <w:tcPr>
            <w:tcW w:w="4410" w:type="dxa"/>
            <w:vAlign w:val="center"/>
          </w:tcPr>
          <w:p>
            <w:pPr>
              <w:shd w:val="clear"/>
              <w:spacing w:line="312" w:lineRule="auto"/>
              <w:jc w:val="left"/>
              <w:rPr>
                <w:rFonts w:ascii="宋体" w:hAnsi="宋体" w:cs="宋体"/>
                <w:bCs/>
                <w:color w:val="auto"/>
                <w:sz w:val="24"/>
                <w:highlight w:val="none"/>
              </w:rPr>
            </w:pPr>
            <w:r>
              <w:rPr>
                <w:rFonts w:hint="eastAsia" w:ascii="宋体" w:hAnsi="宋体" w:cs="宋体"/>
                <w:bCs/>
                <w:color w:val="auto"/>
                <w:sz w:val="24"/>
                <w:highlight w:val="none"/>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919" w:type="dxa"/>
            <w:vMerge w:val="continue"/>
            <w:tcMar>
              <w:left w:w="57" w:type="dxa"/>
              <w:right w:w="57" w:type="dxa"/>
            </w:tcMar>
            <w:vAlign w:val="center"/>
          </w:tcPr>
          <w:p>
            <w:pPr>
              <w:shd w:val="clear"/>
              <w:spacing w:line="312" w:lineRule="auto"/>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磋商报价</w:t>
            </w:r>
          </w:p>
        </w:tc>
        <w:tc>
          <w:tcPr>
            <w:tcW w:w="4410" w:type="dxa"/>
            <w:vAlign w:val="center"/>
          </w:tcPr>
          <w:p>
            <w:pPr>
              <w:shd w:val="clear"/>
              <w:spacing w:line="312" w:lineRule="auto"/>
              <w:jc w:val="left"/>
              <w:rPr>
                <w:rFonts w:ascii="宋体" w:hAnsi="宋体" w:cs="宋体"/>
                <w:bCs/>
                <w:color w:val="auto"/>
                <w:sz w:val="24"/>
                <w:highlight w:val="none"/>
              </w:rPr>
            </w:pPr>
            <w:r>
              <w:rPr>
                <w:rFonts w:hint="eastAsia" w:ascii="宋体" w:hAnsi="宋体" w:cs="宋体"/>
                <w:color w:val="auto"/>
                <w:sz w:val="24"/>
                <w:highlight w:val="none"/>
              </w:rPr>
              <w:t>供应商的磋商报价不得超过最高限价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919" w:type="dxa"/>
            <w:vMerge w:val="continue"/>
            <w:tcMar>
              <w:left w:w="57" w:type="dxa"/>
              <w:right w:w="57" w:type="dxa"/>
            </w:tcMar>
            <w:vAlign w:val="center"/>
          </w:tcPr>
          <w:p>
            <w:pPr>
              <w:shd w:val="clear"/>
              <w:spacing w:line="312" w:lineRule="auto"/>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响应文件有效期</w:t>
            </w:r>
          </w:p>
        </w:tc>
        <w:tc>
          <w:tcPr>
            <w:tcW w:w="4410" w:type="dxa"/>
            <w:vAlign w:val="center"/>
          </w:tcPr>
          <w:p>
            <w:pPr>
              <w:shd w:val="clear"/>
              <w:spacing w:line="312" w:lineRule="auto"/>
              <w:jc w:val="left"/>
              <w:rPr>
                <w:rFonts w:ascii="宋体" w:hAnsi="宋体" w:cs="宋体"/>
                <w:bCs/>
                <w:color w:val="auto"/>
                <w:sz w:val="24"/>
                <w:highlight w:val="none"/>
              </w:rPr>
            </w:pPr>
            <w:r>
              <w:rPr>
                <w:rFonts w:hint="eastAsia" w:ascii="宋体" w:hAnsi="宋体" w:cs="宋体"/>
                <w:bCs/>
                <w:color w:val="auto"/>
                <w:sz w:val="24"/>
                <w:highlight w:val="none"/>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919" w:type="dxa"/>
            <w:vMerge w:val="continue"/>
            <w:tcMar>
              <w:left w:w="57" w:type="dxa"/>
              <w:right w:w="57" w:type="dxa"/>
            </w:tcMar>
            <w:vAlign w:val="center"/>
          </w:tcPr>
          <w:p>
            <w:pPr>
              <w:shd w:val="clear"/>
              <w:spacing w:line="312" w:lineRule="auto"/>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不同供应商的磋商响应文件制作机器码</w:t>
            </w:r>
          </w:p>
        </w:tc>
        <w:tc>
          <w:tcPr>
            <w:tcW w:w="4410" w:type="dxa"/>
            <w:vAlign w:val="center"/>
          </w:tcPr>
          <w:p>
            <w:pPr>
              <w:shd w:val="clear"/>
              <w:spacing w:line="312" w:lineRule="auto"/>
              <w:jc w:val="left"/>
              <w:rPr>
                <w:rFonts w:ascii="宋体" w:hAnsi="宋体" w:cs="宋体"/>
                <w:bCs/>
                <w:color w:val="auto"/>
                <w:sz w:val="24"/>
                <w:highlight w:val="none"/>
              </w:rPr>
            </w:pPr>
            <w:r>
              <w:rPr>
                <w:rFonts w:hint="eastAsia" w:ascii="宋体" w:hAnsi="宋体" w:cs="宋体"/>
                <w:bCs/>
                <w:color w:val="auto"/>
                <w:sz w:val="24"/>
                <w:highlight w:val="none"/>
              </w:rPr>
              <w:t>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919" w:type="dxa"/>
            <w:vMerge w:val="continue"/>
            <w:tcMar>
              <w:left w:w="57" w:type="dxa"/>
              <w:right w:w="57" w:type="dxa"/>
            </w:tcMar>
            <w:vAlign w:val="center"/>
          </w:tcPr>
          <w:p>
            <w:pPr>
              <w:shd w:val="clear"/>
              <w:spacing w:line="312" w:lineRule="auto"/>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质量标准</w:t>
            </w:r>
          </w:p>
        </w:tc>
        <w:tc>
          <w:tcPr>
            <w:tcW w:w="4410" w:type="dxa"/>
            <w:vAlign w:val="center"/>
          </w:tcPr>
          <w:p>
            <w:pPr>
              <w:shd w:val="clear"/>
              <w:spacing w:line="312" w:lineRule="auto"/>
              <w:jc w:val="left"/>
              <w:rPr>
                <w:rFonts w:ascii="宋体" w:hAnsi="宋体" w:cs="宋体"/>
                <w:bCs/>
                <w:color w:val="auto"/>
                <w:sz w:val="24"/>
                <w:highlight w:val="none"/>
              </w:rPr>
            </w:pPr>
            <w:r>
              <w:rPr>
                <w:rFonts w:hint="eastAsia" w:ascii="宋体" w:hAnsi="宋体" w:cs="宋体"/>
                <w:color w:val="auto"/>
                <w:sz w:val="24"/>
                <w:highlight w:val="none"/>
              </w:rPr>
              <w:t>符合竞争性磋商文件“第二章 供应商须知  供应商须知前附表”1.3.2要求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919" w:type="dxa"/>
            <w:vMerge w:val="continue"/>
            <w:tcMar>
              <w:left w:w="57" w:type="dxa"/>
              <w:right w:w="57" w:type="dxa"/>
            </w:tcMar>
            <w:vAlign w:val="center"/>
          </w:tcPr>
          <w:p>
            <w:pPr>
              <w:shd w:val="clear"/>
              <w:spacing w:line="312" w:lineRule="auto"/>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交货期</w:t>
            </w:r>
          </w:p>
        </w:tc>
        <w:tc>
          <w:tcPr>
            <w:tcW w:w="4410" w:type="dxa"/>
            <w:vAlign w:val="center"/>
          </w:tcPr>
          <w:p>
            <w:pPr>
              <w:shd w:val="clear"/>
              <w:spacing w:line="312" w:lineRule="auto"/>
              <w:jc w:val="left"/>
              <w:rPr>
                <w:rFonts w:ascii="宋体" w:hAnsi="宋体" w:cs="宋体"/>
                <w:color w:val="auto"/>
                <w:sz w:val="24"/>
                <w:highlight w:val="none"/>
              </w:rPr>
            </w:pPr>
            <w:r>
              <w:rPr>
                <w:rFonts w:hint="eastAsia" w:ascii="宋体" w:hAnsi="宋体" w:cs="宋体"/>
                <w:color w:val="auto"/>
                <w:sz w:val="24"/>
                <w:highlight w:val="none"/>
              </w:rPr>
              <w:t>符合竞争性磋商文件“第二章 供应商须知  供应商须知前附表”1.3.3要求</w:t>
            </w:r>
          </w:p>
          <w:p>
            <w:pPr>
              <w:shd w:val="clear"/>
              <w:spacing w:line="312" w:lineRule="auto"/>
              <w:jc w:val="left"/>
              <w:rPr>
                <w:rFonts w:ascii="宋体" w:hAnsi="宋体" w:cs="宋体"/>
                <w:bCs/>
                <w:color w:val="auto"/>
                <w:sz w:val="24"/>
                <w:highlight w:val="none"/>
              </w:rPr>
            </w:pPr>
            <w:r>
              <w:rPr>
                <w:rFonts w:hint="eastAsia" w:ascii="宋体" w:hAnsi="宋体" w:cs="宋体"/>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919" w:type="dxa"/>
            <w:vMerge w:val="continue"/>
            <w:tcMar>
              <w:left w:w="57" w:type="dxa"/>
              <w:right w:w="57" w:type="dxa"/>
            </w:tcMar>
            <w:vAlign w:val="center"/>
          </w:tcPr>
          <w:p>
            <w:pPr>
              <w:shd w:val="clear"/>
              <w:spacing w:line="312" w:lineRule="auto"/>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质量保证期</w:t>
            </w:r>
          </w:p>
        </w:tc>
        <w:tc>
          <w:tcPr>
            <w:tcW w:w="4410" w:type="dxa"/>
            <w:vAlign w:val="center"/>
          </w:tcPr>
          <w:p>
            <w:pPr>
              <w:shd w:val="clear"/>
              <w:spacing w:line="312" w:lineRule="auto"/>
              <w:jc w:val="left"/>
              <w:rPr>
                <w:rFonts w:ascii="宋体" w:hAnsi="宋体" w:cs="宋体"/>
                <w:bCs/>
                <w:color w:val="auto"/>
                <w:sz w:val="24"/>
                <w:highlight w:val="none"/>
              </w:rPr>
            </w:pPr>
            <w:r>
              <w:rPr>
                <w:rFonts w:hint="eastAsia" w:ascii="宋体" w:hAnsi="宋体" w:cs="宋体"/>
                <w:color w:val="auto"/>
                <w:sz w:val="24"/>
                <w:highlight w:val="none"/>
              </w:rPr>
              <w:t>符合竞争性磋商文件“第二章 供应商须知  供应商须知前附表”1.3.4要求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919" w:type="dxa"/>
            <w:vMerge w:val="continue"/>
            <w:tcMar>
              <w:left w:w="57" w:type="dxa"/>
              <w:right w:w="57" w:type="dxa"/>
            </w:tcMar>
            <w:vAlign w:val="center"/>
          </w:tcPr>
          <w:p>
            <w:pPr>
              <w:shd w:val="clear"/>
              <w:spacing w:line="312" w:lineRule="auto"/>
              <w:rPr>
                <w:rFonts w:ascii="宋体" w:hAnsi="宋体" w:cs="宋体"/>
                <w:color w:val="auto"/>
                <w:sz w:val="24"/>
                <w:highlight w:val="none"/>
              </w:rPr>
            </w:pPr>
          </w:p>
        </w:tc>
        <w:tc>
          <w:tcPr>
            <w:tcW w:w="3691" w:type="dxa"/>
            <w:tcMar>
              <w:left w:w="57" w:type="dxa"/>
              <w:right w:w="57" w:type="dxa"/>
            </w:tcMar>
            <w:vAlign w:val="center"/>
          </w:tcPr>
          <w:p>
            <w:pPr>
              <w:shd w:val="clear"/>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其他实质性要求</w:t>
            </w:r>
          </w:p>
        </w:tc>
        <w:tc>
          <w:tcPr>
            <w:tcW w:w="4410" w:type="dxa"/>
            <w:vAlign w:val="center"/>
          </w:tcPr>
          <w:p>
            <w:pPr>
              <w:shd w:val="clear"/>
              <w:spacing w:line="312" w:lineRule="auto"/>
              <w:jc w:val="left"/>
              <w:rPr>
                <w:rFonts w:ascii="宋体" w:hAnsi="宋体" w:cs="宋体"/>
                <w:bCs/>
                <w:color w:val="auto"/>
                <w:sz w:val="24"/>
                <w:highlight w:val="none"/>
              </w:rPr>
            </w:pPr>
            <w:r>
              <w:rPr>
                <w:rFonts w:hint="eastAsia" w:ascii="宋体" w:hAnsi="宋体" w:cs="宋体"/>
                <w:bCs/>
                <w:color w:val="auto"/>
                <w:sz w:val="24"/>
                <w:highlight w:val="none"/>
              </w:rPr>
              <w:t>符合竞争性磋商文件的其他实质性要求。</w:t>
            </w:r>
          </w:p>
        </w:tc>
      </w:tr>
    </w:tbl>
    <w:p>
      <w:pPr>
        <w:shd w:val="clear"/>
        <w:rPr>
          <w:rFonts w:ascii="宋体" w:hAnsi="宋体" w:cs="宋体"/>
          <w:color w:val="auto"/>
          <w:highlight w:val="none"/>
        </w:rPr>
      </w:pPr>
      <w:bookmarkStart w:id="569" w:name="_Toc3786"/>
    </w:p>
    <w:p>
      <w:pPr>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注：（1）根据《民法总则》第七十四条规定，法人可以依法设立分支机构。法律、行政法规规定分支机构应当登记的，依照其规定。分支机构以自己的名义从事民事活动，产生的民事责任由法人承担；也可以先以该分支机构管理的财产承担，不足以承担的，由法人承担。</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根据《〈政府采购法实施条例〉释义》，石油石化、电力、通信、银行、金融、保险、法律事务、咨询服务等有行业特殊情况的采购项目，取得营业执照的分支机构可以分公司名义参与投标，使用总公司的相关证明材料和资格文件，须提供总公司的针对本项目的资格授权文件。</w:t>
      </w:r>
    </w:p>
    <w:p>
      <w:pPr>
        <w:shd w:val="clear"/>
        <w:rPr>
          <w:rFonts w:ascii="宋体" w:hAnsi="宋体" w:cs="宋体"/>
          <w:color w:val="auto"/>
          <w:highlight w:val="none"/>
        </w:rPr>
      </w:pPr>
    </w:p>
    <w:p>
      <w:pPr>
        <w:shd w:val="clear"/>
        <w:spacing w:line="312" w:lineRule="auto"/>
        <w:jc w:val="left"/>
        <w:rPr>
          <w:rFonts w:ascii="宋体" w:hAnsi="宋体" w:cs="宋体"/>
          <w:bCs/>
          <w:color w:val="auto"/>
          <w:sz w:val="24"/>
          <w:highlight w:val="none"/>
        </w:rPr>
      </w:pPr>
      <w:bookmarkStart w:id="570" w:name="_Toc30175"/>
      <w:bookmarkStart w:id="571" w:name="_Toc23690"/>
      <w:r>
        <w:rPr>
          <w:rFonts w:hint="eastAsia" w:ascii="宋体" w:hAnsi="宋体" w:cs="宋体"/>
          <w:bCs/>
          <w:color w:val="auto"/>
          <w:sz w:val="24"/>
          <w:highlight w:val="none"/>
        </w:rPr>
        <w:t>（六）评审标准</w:t>
      </w:r>
      <w:bookmarkEnd w:id="569"/>
      <w:bookmarkEnd w:id="570"/>
      <w:bookmarkEnd w:id="571"/>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磋商小组将根据综合评分标准，分别对通过资格性审查、符合性审查且提交最后报价的供应商进行综合评分。具体评分标准如下：</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br w:type="page"/>
      </w:r>
    </w:p>
    <w:p>
      <w:pPr>
        <w:shd w:val="clear"/>
        <w:rPr>
          <w:rFonts w:ascii="宋体" w:hAnsi="宋体" w:cs="宋体"/>
          <w:color w:val="auto"/>
          <w:highlight w:val="none"/>
        </w:rPr>
      </w:pPr>
    </w:p>
    <w:tbl>
      <w:tblPr>
        <w:tblStyle w:val="49"/>
        <w:tblW w:w="4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41"/>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pct"/>
            <w:vAlign w:val="center"/>
          </w:tcPr>
          <w:p>
            <w:pPr>
              <w:pStyle w:val="300"/>
              <w:shd w:val="clear"/>
              <w:ind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评审因素</w:t>
            </w:r>
          </w:p>
        </w:tc>
        <w:tc>
          <w:tcPr>
            <w:tcW w:w="707" w:type="pct"/>
            <w:vAlign w:val="center"/>
          </w:tcPr>
          <w:p>
            <w:pPr>
              <w:pStyle w:val="300"/>
              <w:shd w:val="clear"/>
              <w:ind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分值</w:t>
            </w:r>
          </w:p>
        </w:tc>
        <w:tc>
          <w:tcPr>
            <w:tcW w:w="3618" w:type="pct"/>
            <w:vAlign w:val="center"/>
          </w:tcPr>
          <w:p>
            <w:pPr>
              <w:pStyle w:val="300"/>
              <w:shd w:val="clear"/>
              <w:ind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3" w:type="pct"/>
            <w:vAlign w:val="center"/>
          </w:tcPr>
          <w:p>
            <w:pPr>
              <w:pStyle w:val="300"/>
              <w:shd w:val="clear"/>
              <w:ind w:firstLine="0" w:firstLineChars="0"/>
              <w:rPr>
                <w:rFonts w:ascii="宋体" w:hAnsi="宋体" w:cs="宋体"/>
                <w:color w:val="auto"/>
                <w:spacing w:val="11"/>
                <w:szCs w:val="24"/>
                <w:highlight w:val="none"/>
              </w:rPr>
            </w:pPr>
            <w:r>
              <w:rPr>
                <w:rFonts w:hint="eastAsia" w:ascii="宋体" w:hAnsi="宋体" w:cs="宋体"/>
                <w:color w:val="auto"/>
                <w:spacing w:val="11"/>
                <w:szCs w:val="24"/>
                <w:highlight w:val="none"/>
              </w:rPr>
              <w:t>投标报价部分（30分）</w:t>
            </w:r>
          </w:p>
        </w:tc>
        <w:tc>
          <w:tcPr>
            <w:tcW w:w="707" w:type="pct"/>
            <w:vAlign w:val="center"/>
          </w:tcPr>
          <w:p>
            <w:pPr>
              <w:pStyle w:val="300"/>
              <w:shd w:val="clear"/>
              <w:ind w:firstLine="0" w:firstLineChars="0"/>
              <w:jc w:val="center"/>
              <w:rPr>
                <w:rFonts w:ascii="宋体" w:hAnsi="宋体" w:cs="宋体"/>
                <w:color w:val="auto"/>
                <w:spacing w:val="11"/>
                <w:szCs w:val="24"/>
                <w:highlight w:val="none"/>
              </w:rPr>
            </w:pPr>
            <w:r>
              <w:rPr>
                <w:rFonts w:hint="eastAsia" w:ascii="宋体" w:hAnsi="宋体" w:cs="宋体"/>
                <w:color w:val="auto"/>
                <w:spacing w:val="11"/>
                <w:szCs w:val="24"/>
                <w:highlight w:val="none"/>
              </w:rPr>
              <w:t>投标报价（30分）</w:t>
            </w:r>
          </w:p>
        </w:tc>
        <w:tc>
          <w:tcPr>
            <w:tcW w:w="3618" w:type="pct"/>
            <w:vAlign w:val="center"/>
          </w:tcPr>
          <w:p>
            <w:pPr>
              <w:widowControl/>
              <w:shd w:val="clear"/>
              <w:spacing w:line="360" w:lineRule="auto"/>
              <w:jc w:val="left"/>
              <w:rPr>
                <w:rFonts w:ascii="宋体" w:hAnsi="宋体" w:cs="宋体"/>
                <w:color w:val="auto"/>
                <w:spacing w:val="11"/>
                <w:sz w:val="24"/>
                <w:highlight w:val="none"/>
              </w:rPr>
            </w:pPr>
            <w:r>
              <w:rPr>
                <w:rFonts w:hint="eastAsia" w:ascii="宋体" w:hAnsi="宋体" w:cs="宋体"/>
                <w:color w:val="auto"/>
                <w:spacing w:val="11"/>
                <w:sz w:val="24"/>
                <w:highlight w:val="none"/>
              </w:rPr>
              <w:t>综合评分法中的价格分统一采用低价优先法计算，即满足竞争性磋商文件要求且最终报价最低的供应商的价格为磋商基准价，其价格分为满分30分。其他供应商的价格分统一按照下列公式计算：</w:t>
            </w:r>
          </w:p>
          <w:p>
            <w:pPr>
              <w:pStyle w:val="300"/>
              <w:shd w:val="clear"/>
              <w:ind w:firstLine="524"/>
              <w:rPr>
                <w:rFonts w:ascii="宋体" w:hAnsi="宋体" w:cs="宋体"/>
                <w:color w:val="auto"/>
                <w:spacing w:val="11"/>
                <w:szCs w:val="24"/>
                <w:highlight w:val="none"/>
              </w:rPr>
            </w:pPr>
            <w:r>
              <w:rPr>
                <w:rFonts w:hint="eastAsia" w:ascii="宋体" w:hAnsi="宋体" w:cs="宋体"/>
                <w:color w:val="auto"/>
                <w:spacing w:val="11"/>
                <w:szCs w:val="24"/>
                <w:highlight w:val="none"/>
              </w:rPr>
              <w:t>投标报价得分=(评标基准价／最终报价)×30。</w:t>
            </w:r>
          </w:p>
          <w:p>
            <w:pPr>
              <w:pStyle w:val="300"/>
              <w:shd w:val="clear"/>
              <w:ind w:firstLine="0" w:firstLineChars="0"/>
              <w:rPr>
                <w:rFonts w:ascii="宋体" w:hAnsi="宋体" w:cs="宋体"/>
                <w:color w:val="auto"/>
                <w:spacing w:val="11"/>
                <w:szCs w:val="24"/>
                <w:highlight w:val="none"/>
              </w:rPr>
            </w:pPr>
            <w:r>
              <w:rPr>
                <w:rFonts w:hint="eastAsia" w:ascii="宋体" w:hAnsi="宋体" w:cs="宋体"/>
                <w:color w:val="auto"/>
                <w:spacing w:val="11"/>
                <w:szCs w:val="24"/>
                <w:highlight w:val="none"/>
              </w:rPr>
              <w:t>注：</w:t>
            </w:r>
          </w:p>
          <w:p>
            <w:pPr>
              <w:pStyle w:val="300"/>
              <w:shd w:val="clear"/>
              <w:ind w:firstLine="0" w:firstLineChars="0"/>
              <w:rPr>
                <w:rFonts w:ascii="宋体" w:hAnsi="宋体" w:cs="宋体"/>
                <w:color w:val="auto"/>
                <w:spacing w:val="11"/>
                <w:szCs w:val="24"/>
                <w:highlight w:val="none"/>
              </w:rPr>
            </w:pPr>
            <w:r>
              <w:rPr>
                <w:rFonts w:hint="eastAsia" w:ascii="宋体" w:hAnsi="宋体" w:cs="宋体"/>
                <w:color w:val="auto"/>
                <w:spacing w:val="11"/>
                <w:szCs w:val="24"/>
                <w:highlight w:val="none"/>
              </w:rPr>
              <w:t>（1）项目评审过程中，不得去掉最后报价中的最高报价和最低报价。</w:t>
            </w:r>
          </w:p>
          <w:p>
            <w:pPr>
              <w:pStyle w:val="300"/>
              <w:shd w:val="clear"/>
              <w:ind w:firstLine="0" w:firstLineChars="0"/>
              <w:rPr>
                <w:rFonts w:ascii="宋体" w:hAnsi="宋体" w:cs="宋体"/>
                <w:color w:val="auto"/>
                <w:spacing w:val="11"/>
                <w:szCs w:val="24"/>
                <w:highlight w:val="none"/>
              </w:rPr>
            </w:pPr>
            <w:r>
              <w:rPr>
                <w:rFonts w:hint="eastAsia" w:ascii="宋体" w:hAnsi="宋体" w:cs="宋体"/>
                <w:color w:val="auto"/>
                <w:spacing w:val="11"/>
                <w:szCs w:val="24"/>
                <w:highlight w:val="none"/>
              </w:rPr>
              <w:t>（2）计算按四舍五入法则。保留小数点后两位。</w:t>
            </w:r>
          </w:p>
          <w:p>
            <w:pPr>
              <w:pStyle w:val="300"/>
              <w:shd w:val="clear"/>
              <w:ind w:firstLine="0" w:firstLineChars="0"/>
              <w:rPr>
                <w:rFonts w:ascii="宋体" w:hAnsi="宋体" w:cs="宋体"/>
                <w:color w:val="auto"/>
                <w:spacing w:val="11"/>
                <w:szCs w:val="24"/>
                <w:highlight w:val="none"/>
              </w:rPr>
            </w:pPr>
            <w:r>
              <w:rPr>
                <w:rFonts w:hint="eastAsia" w:ascii="宋体" w:hAnsi="宋体" w:cs="宋体"/>
                <w:color w:val="auto"/>
                <w:spacing w:val="11"/>
                <w:szCs w:val="24"/>
                <w:highlight w:val="none"/>
              </w:rPr>
              <w:t>（3）</w:t>
            </w:r>
            <w:r>
              <w:rPr>
                <w:rFonts w:hint="eastAsia" w:ascii="宋体" w:hAnsi="宋体" w:eastAsia="宋体" w:cs="宋体"/>
                <w:b w:val="0"/>
                <w:bCs w:val="0"/>
                <w:snapToGrid w:val="0"/>
                <w:color w:val="auto"/>
                <w:sz w:val="24"/>
                <w:szCs w:val="24"/>
                <w:highlight w:val="none"/>
                <w:lang w:val="en-US" w:eastAsia="zh-CN"/>
              </w:rPr>
              <w:t>本项目</w:t>
            </w:r>
            <w:r>
              <w:rPr>
                <w:rFonts w:hint="eastAsia" w:ascii="宋体" w:hAnsi="宋体" w:eastAsia="宋体" w:cs="宋体"/>
                <w:color w:val="auto"/>
                <w:sz w:val="24"/>
                <w:szCs w:val="24"/>
                <w:highlight w:val="none"/>
              </w:rPr>
              <w:t>专门面向中小企业采购，供应商须为中小微企业、监狱企业或残疾人福利性单位</w:t>
            </w:r>
            <w:r>
              <w:rPr>
                <w:rFonts w:hint="eastAsia" w:ascii="宋体" w:hAnsi="宋体" w:eastAsia="宋体" w:cs="宋体"/>
                <w:color w:val="auto"/>
                <w:sz w:val="24"/>
                <w:szCs w:val="24"/>
                <w:highlight w:val="none"/>
                <w:lang w:eastAsia="zh-CN"/>
              </w:rPr>
              <w:t>，故不进行价格扣除。</w:t>
            </w:r>
          </w:p>
          <w:p>
            <w:pPr>
              <w:pStyle w:val="300"/>
              <w:shd w:val="clear"/>
              <w:ind w:firstLine="0" w:firstLineChars="0"/>
              <w:rPr>
                <w:rFonts w:ascii="宋体" w:hAnsi="宋体" w:cs="宋体"/>
                <w:color w:val="auto"/>
                <w:spacing w:val="11"/>
                <w:szCs w:val="24"/>
                <w:highlight w:val="none"/>
              </w:rPr>
            </w:pPr>
            <w:r>
              <w:rPr>
                <w:rFonts w:hint="eastAsia" w:ascii="宋体" w:hAnsi="宋体" w:cs="宋体"/>
                <w:color w:val="auto"/>
                <w:spacing w:val="11"/>
                <w:szCs w:val="24"/>
                <w:highlight w:val="none"/>
              </w:rPr>
              <w:t>（4)评审小组认为供应商的报价明显低于其他通过初步评审的供应商的报价，有可能影响产品质量或者不能诚信履约的，应当要求其在评审过程合理的时间内提供书面说明或相关证明材料；供应商不能证明其报价合理性的，评审小组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3" w:type="pct"/>
            <w:vMerge w:val="restart"/>
            <w:vAlign w:val="center"/>
          </w:tcPr>
          <w:p>
            <w:pPr>
              <w:pStyle w:val="300"/>
              <w:shd w:val="clear"/>
              <w:ind w:firstLine="0" w:firstLineChars="0"/>
              <w:rPr>
                <w:rFonts w:ascii="宋体" w:hAnsi="宋体" w:cs="宋体"/>
                <w:color w:val="auto"/>
                <w:spacing w:val="11"/>
                <w:szCs w:val="24"/>
                <w:highlight w:val="none"/>
              </w:rPr>
            </w:pPr>
            <w:r>
              <w:rPr>
                <w:rFonts w:hint="eastAsia" w:ascii="宋体" w:hAnsi="宋体" w:cs="宋体"/>
                <w:color w:val="auto"/>
                <w:spacing w:val="11"/>
                <w:szCs w:val="24"/>
                <w:highlight w:val="none"/>
              </w:rPr>
              <w:t>商务部分(28分)</w:t>
            </w:r>
          </w:p>
        </w:tc>
        <w:tc>
          <w:tcPr>
            <w:tcW w:w="707" w:type="pct"/>
            <w:vAlign w:val="center"/>
          </w:tcPr>
          <w:p>
            <w:pPr>
              <w:shd w:val="clear"/>
              <w:wordWrap w:val="0"/>
              <w:topLinePunct/>
              <w:spacing w:line="360" w:lineRule="auto"/>
              <w:jc w:val="center"/>
              <w:rPr>
                <w:rFonts w:ascii="宋体" w:hAnsi="宋体" w:cs="宋体"/>
                <w:color w:val="auto"/>
                <w:sz w:val="24"/>
                <w:highlight w:val="none"/>
              </w:rPr>
            </w:pPr>
            <w:r>
              <w:rPr>
                <w:rFonts w:hint="eastAsia" w:ascii="宋体" w:hAnsi="宋体" w:cs="宋体"/>
                <w:color w:val="auto"/>
                <w:sz w:val="24"/>
                <w:highlight w:val="none"/>
              </w:rPr>
              <w:t>企业</w:t>
            </w:r>
          </w:p>
          <w:p>
            <w:pPr>
              <w:shd w:val="clear"/>
              <w:wordWrap w:val="0"/>
              <w:topLinePunct/>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p>
            <w:pPr>
              <w:shd w:val="clear"/>
              <w:wordWrap w:val="0"/>
              <w:topLinePunct/>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（6分）</w:t>
            </w:r>
          </w:p>
        </w:tc>
        <w:tc>
          <w:tcPr>
            <w:tcW w:w="3618" w:type="pct"/>
            <w:vAlign w:val="center"/>
          </w:tcPr>
          <w:p>
            <w:pPr>
              <w:shd w:val="clear"/>
              <w:wordWrap w:val="0"/>
              <w:topLinePunct/>
              <w:spacing w:line="360" w:lineRule="auto"/>
              <w:rPr>
                <w:rFonts w:ascii="宋体" w:hAnsi="宋体" w:cs="宋体"/>
                <w:color w:val="auto"/>
                <w:spacing w:val="11"/>
                <w:sz w:val="24"/>
                <w:highlight w:val="none"/>
              </w:rPr>
            </w:pPr>
            <w:r>
              <w:rPr>
                <w:rFonts w:hint="eastAsia" w:ascii="宋体" w:hAnsi="宋体" w:cs="宋体"/>
                <w:color w:val="auto"/>
                <w:sz w:val="24"/>
                <w:highlight w:val="none"/>
              </w:rPr>
              <w:t>供应商应提供2020年1月1日（合同签订日期）起已经完工并经过用户验收合格的类似项目完整业绩扫描件，完整的业绩应包含成交通知书、合同、服务清单、中标公示网上截图，每提供一份完整的合同业绩得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3" w:type="pct"/>
            <w:vMerge w:val="continue"/>
            <w:vAlign w:val="center"/>
          </w:tcPr>
          <w:p>
            <w:pPr>
              <w:pStyle w:val="300"/>
              <w:shd w:val="clear"/>
              <w:ind w:firstLine="0" w:firstLineChars="0"/>
              <w:rPr>
                <w:rFonts w:ascii="宋体" w:hAnsi="宋体" w:cs="宋体"/>
                <w:color w:val="auto"/>
                <w:spacing w:val="11"/>
                <w:szCs w:val="24"/>
                <w:highlight w:val="none"/>
              </w:rPr>
            </w:pPr>
          </w:p>
        </w:tc>
        <w:tc>
          <w:tcPr>
            <w:tcW w:w="707" w:type="pct"/>
            <w:vAlign w:val="center"/>
          </w:tcPr>
          <w:p>
            <w:pPr>
              <w:shd w:val="clear"/>
              <w:wordWrap w:val="0"/>
              <w:topLinePunct/>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企业实力(5分)</w:t>
            </w:r>
          </w:p>
        </w:tc>
        <w:tc>
          <w:tcPr>
            <w:tcW w:w="3618" w:type="pct"/>
            <w:vAlign w:val="center"/>
          </w:tcPr>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1.具有质量管理体系认证证书、环境管理体系认证证书、职业健康安全管理体系认证证书的得3分，每少1个扣一分，没有的不得分。</w:t>
            </w:r>
          </w:p>
          <w:p>
            <w:pPr>
              <w:shd w:val="clear"/>
              <w:wordWrap w:val="0"/>
              <w:topLinePunct/>
              <w:spacing w:line="360" w:lineRule="auto"/>
              <w:rPr>
                <w:rFonts w:ascii="宋体" w:hAnsi="宋体" w:cs="宋体"/>
                <w:bCs/>
                <w:color w:val="auto"/>
                <w:sz w:val="24"/>
                <w:highlight w:val="none"/>
              </w:rPr>
            </w:pPr>
            <w:r>
              <w:rPr>
                <w:rFonts w:hint="eastAsia" w:ascii="宋体" w:hAnsi="宋体" w:cs="宋体"/>
                <w:color w:val="auto"/>
                <w:sz w:val="24"/>
                <w:highlight w:val="none"/>
              </w:rPr>
              <w:t>2.获得AAA级证书的得2分，AA级证书的得1分，A级证书的得0.5分，没有的不得分。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3" w:type="pct"/>
            <w:vMerge w:val="continue"/>
            <w:vAlign w:val="center"/>
          </w:tcPr>
          <w:p>
            <w:pPr>
              <w:pStyle w:val="300"/>
              <w:shd w:val="clear"/>
              <w:ind w:firstLine="0" w:firstLineChars="0"/>
              <w:rPr>
                <w:rFonts w:ascii="宋体" w:hAnsi="宋体" w:cs="宋体"/>
                <w:color w:val="auto"/>
                <w:spacing w:val="11"/>
                <w:szCs w:val="24"/>
                <w:highlight w:val="none"/>
              </w:rPr>
            </w:pPr>
          </w:p>
        </w:tc>
        <w:tc>
          <w:tcPr>
            <w:tcW w:w="707" w:type="pct"/>
            <w:vAlign w:val="center"/>
          </w:tcPr>
          <w:p>
            <w:pPr>
              <w:pStyle w:val="300"/>
              <w:shd w:val="clear"/>
              <w:ind w:firstLine="0" w:firstLineChars="0"/>
              <w:jc w:val="center"/>
              <w:rPr>
                <w:rFonts w:ascii="宋体" w:hAnsi="宋体" w:cs="宋体"/>
                <w:color w:val="auto"/>
                <w:spacing w:val="11"/>
                <w:szCs w:val="24"/>
                <w:highlight w:val="none"/>
              </w:rPr>
            </w:pPr>
            <w:r>
              <w:rPr>
                <w:rFonts w:hint="eastAsia" w:ascii="宋体" w:hAnsi="宋体" w:cs="宋体"/>
                <w:color w:val="auto"/>
                <w:spacing w:val="11"/>
                <w:szCs w:val="24"/>
                <w:highlight w:val="none"/>
              </w:rPr>
              <w:t>售后</w:t>
            </w:r>
          </w:p>
          <w:p>
            <w:pPr>
              <w:pStyle w:val="300"/>
              <w:shd w:val="clear"/>
              <w:ind w:firstLine="0" w:firstLineChars="0"/>
              <w:jc w:val="center"/>
              <w:rPr>
                <w:rFonts w:ascii="宋体" w:hAnsi="宋体" w:cs="宋体"/>
                <w:color w:val="auto"/>
                <w:spacing w:val="11"/>
                <w:szCs w:val="24"/>
                <w:highlight w:val="none"/>
              </w:rPr>
            </w:pPr>
            <w:r>
              <w:rPr>
                <w:rFonts w:hint="eastAsia" w:ascii="宋体" w:hAnsi="宋体" w:cs="宋体"/>
                <w:color w:val="auto"/>
                <w:spacing w:val="11"/>
                <w:szCs w:val="24"/>
                <w:highlight w:val="none"/>
              </w:rPr>
              <w:t>服务</w:t>
            </w:r>
          </w:p>
          <w:p>
            <w:pPr>
              <w:pStyle w:val="300"/>
              <w:shd w:val="clear"/>
              <w:ind w:firstLine="0" w:firstLineChars="0"/>
              <w:rPr>
                <w:rFonts w:ascii="宋体" w:hAnsi="宋体" w:cs="宋体"/>
                <w:color w:val="auto"/>
                <w:spacing w:val="11"/>
                <w:szCs w:val="24"/>
                <w:highlight w:val="none"/>
              </w:rPr>
            </w:pPr>
            <w:r>
              <w:rPr>
                <w:rFonts w:hint="eastAsia" w:ascii="宋体" w:hAnsi="宋体" w:cs="宋体"/>
                <w:color w:val="auto"/>
                <w:spacing w:val="11"/>
                <w:szCs w:val="24"/>
                <w:highlight w:val="none"/>
              </w:rPr>
              <w:t>（12分）</w:t>
            </w:r>
          </w:p>
        </w:tc>
        <w:tc>
          <w:tcPr>
            <w:tcW w:w="3618" w:type="pct"/>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1.售后服务承诺、培训计划及维修保养，6分。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（1）有详细的售后服务承诺、培训计划及维修保养方案、所投设备备品备件的准备和保障措施等，得6分；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（2）售后服务承诺、培训计划及维修保养方案、所投设备备品备件的准备和保障措施等不够详细合理，得3分；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（3）有缺项漏项或未提供不得分。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2.售后服务流程、故障响应与应急处理机制，6分。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（1）售后服务方案详尽可行，服务流程明朗清晰，故障响应与应急处理机制完善，得6分；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（2）售后服务方案可行一般，服务流程不够明朗清晰，故障响应与应急处理机制完善度一般，得3分；</w:t>
            </w:r>
          </w:p>
          <w:p>
            <w:pPr>
              <w:shd w:val="clear"/>
              <w:spacing w:line="360" w:lineRule="auto"/>
              <w:rPr>
                <w:rFonts w:ascii="宋体" w:hAnsi="宋体" w:cs="宋体"/>
                <w:color w:val="auto"/>
                <w:spacing w:val="11"/>
                <w:sz w:val="24"/>
                <w:highlight w:val="none"/>
              </w:rPr>
            </w:pPr>
            <w:r>
              <w:rPr>
                <w:rFonts w:hint="eastAsia" w:ascii="宋体" w:hAnsi="宋体" w:cs="宋体"/>
                <w:color w:val="auto"/>
                <w:sz w:val="24"/>
                <w:highlight w:val="none"/>
              </w:rPr>
              <w:t>（3）有缺项漏项或未提供不得分。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3" w:type="pct"/>
            <w:vMerge w:val="continue"/>
            <w:vAlign w:val="center"/>
          </w:tcPr>
          <w:p>
            <w:pPr>
              <w:pStyle w:val="300"/>
              <w:shd w:val="clear"/>
              <w:ind w:firstLine="0" w:firstLineChars="0"/>
              <w:rPr>
                <w:rFonts w:ascii="宋体" w:hAnsi="宋体" w:cs="宋体"/>
                <w:color w:val="auto"/>
                <w:spacing w:val="11"/>
                <w:szCs w:val="24"/>
                <w:highlight w:val="none"/>
              </w:rPr>
            </w:pPr>
          </w:p>
        </w:tc>
        <w:tc>
          <w:tcPr>
            <w:tcW w:w="1145" w:type="dxa"/>
            <w:vAlign w:val="center"/>
          </w:tcPr>
          <w:p>
            <w:pPr>
              <w:shd w:val="clea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实施方案</w:t>
            </w:r>
          </w:p>
          <w:p>
            <w:pPr>
              <w:shd w:val="clear"/>
              <w:spacing w:line="360" w:lineRule="auto"/>
              <w:jc w:val="center"/>
              <w:rPr>
                <w:color w:val="auto"/>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w:t>
            </w:r>
          </w:p>
          <w:p>
            <w:pPr>
              <w:shd w:val="clear"/>
              <w:tabs>
                <w:tab w:val="left" w:pos="720"/>
                <w:tab w:val="left" w:pos="1980"/>
                <w:tab w:val="left" w:pos="7560"/>
              </w:tabs>
              <w:spacing w:line="360" w:lineRule="auto"/>
              <w:jc w:val="center"/>
              <w:rPr>
                <w:rFonts w:ascii="宋体" w:hAnsi="宋体" w:cs="宋体"/>
                <w:color w:val="auto"/>
                <w:spacing w:val="11"/>
                <w:sz w:val="24"/>
                <w:highlight w:val="none"/>
              </w:rPr>
            </w:pPr>
          </w:p>
        </w:tc>
        <w:tc>
          <w:tcPr>
            <w:tcW w:w="5856" w:type="dxa"/>
            <w:vAlign w:val="center"/>
          </w:tcPr>
          <w:p>
            <w:pPr>
              <w:shd w:val="clear"/>
              <w:spacing w:line="360" w:lineRule="auto"/>
              <w:rPr>
                <w:rStyle w:val="177"/>
                <w:rFonts w:ascii="宋体" w:hAnsi="宋体" w:cs="宋体"/>
                <w:color w:val="auto"/>
                <w:sz w:val="24"/>
                <w:highlight w:val="none"/>
              </w:rPr>
            </w:pPr>
            <w:r>
              <w:rPr>
                <w:rStyle w:val="177"/>
                <w:rFonts w:hint="eastAsia" w:ascii="宋体" w:hAnsi="宋体" w:cs="宋体"/>
                <w:color w:val="auto"/>
                <w:sz w:val="24"/>
                <w:highlight w:val="none"/>
              </w:rPr>
              <w:t>公司针对本项目提供项目实施方案至少包括（但不限于）：（1）项目技术方案；（2）项目人员投入；（3）项目实施进度；（4）质量保证措施；（5）应急响应；按以下标准打分：</w:t>
            </w:r>
          </w:p>
          <w:p>
            <w:pPr>
              <w:shd w:val="clear"/>
              <w:spacing w:line="360" w:lineRule="auto"/>
              <w:rPr>
                <w:rStyle w:val="177"/>
                <w:rFonts w:ascii="宋体" w:hAnsi="宋体" w:cs="宋体"/>
                <w:color w:val="auto"/>
                <w:sz w:val="24"/>
                <w:highlight w:val="none"/>
              </w:rPr>
            </w:pPr>
            <w:r>
              <w:rPr>
                <w:rStyle w:val="177"/>
                <w:rFonts w:hint="eastAsia" w:ascii="宋体" w:hAnsi="宋体" w:cs="宋体"/>
                <w:color w:val="auto"/>
                <w:sz w:val="24"/>
                <w:highlight w:val="none"/>
              </w:rPr>
              <w:t>1.实施方案内容全面合理、计划详尽周到，操作性，得5分；</w:t>
            </w:r>
          </w:p>
          <w:p>
            <w:pPr>
              <w:shd w:val="clear"/>
              <w:spacing w:line="360" w:lineRule="auto"/>
              <w:rPr>
                <w:rStyle w:val="177"/>
                <w:rFonts w:ascii="宋体" w:hAnsi="宋体" w:cs="宋体"/>
                <w:color w:val="auto"/>
                <w:sz w:val="24"/>
                <w:highlight w:val="none"/>
              </w:rPr>
            </w:pPr>
            <w:r>
              <w:rPr>
                <w:rStyle w:val="177"/>
                <w:rFonts w:hint="eastAsia" w:ascii="宋体" w:hAnsi="宋体" w:cs="宋体"/>
                <w:color w:val="auto"/>
                <w:sz w:val="24"/>
                <w:highlight w:val="none"/>
              </w:rPr>
              <w:t>2.实施方案内容较全面合理、计划较详尽、操作性较强，得3分；</w:t>
            </w:r>
          </w:p>
          <w:p>
            <w:pPr>
              <w:shd w:val="clear"/>
              <w:spacing w:line="360" w:lineRule="auto"/>
              <w:rPr>
                <w:rStyle w:val="177"/>
                <w:rFonts w:ascii="宋体" w:hAnsi="宋体" w:cs="宋体"/>
                <w:color w:val="auto"/>
                <w:sz w:val="24"/>
                <w:highlight w:val="none"/>
              </w:rPr>
            </w:pPr>
            <w:r>
              <w:rPr>
                <w:rStyle w:val="177"/>
                <w:rFonts w:hint="eastAsia" w:ascii="宋体" w:hAnsi="宋体" w:cs="宋体"/>
                <w:color w:val="auto"/>
                <w:sz w:val="24"/>
                <w:highlight w:val="none"/>
              </w:rPr>
              <w:t>3.实施方案内容一般、计划一般，操作性一般，得1</w:t>
            </w:r>
            <w:r>
              <w:rPr>
                <w:rStyle w:val="177"/>
                <w:rFonts w:ascii="宋体" w:hAnsi="宋体" w:cs="宋体"/>
                <w:color w:val="auto"/>
                <w:sz w:val="24"/>
                <w:highlight w:val="none"/>
              </w:rPr>
              <w:t>分；</w:t>
            </w:r>
          </w:p>
          <w:p>
            <w:pPr>
              <w:shd w:val="clear"/>
              <w:spacing w:line="360" w:lineRule="auto"/>
              <w:rPr>
                <w:rFonts w:ascii="宋体" w:hAnsi="宋体" w:cs="宋体"/>
                <w:color w:val="auto"/>
                <w:sz w:val="24"/>
                <w:highlight w:val="none"/>
              </w:rPr>
            </w:pPr>
            <w:r>
              <w:rPr>
                <w:rStyle w:val="177"/>
                <w:rFonts w:hint="eastAsia" w:ascii="宋体" w:hAnsi="宋体" w:cs="宋体"/>
                <w:color w:val="auto"/>
                <w:sz w:val="24"/>
                <w:highlight w:val="none"/>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673" w:type="pct"/>
            <w:vAlign w:val="center"/>
          </w:tcPr>
          <w:p>
            <w:pPr>
              <w:shd w:val="clear"/>
              <w:spacing w:line="360" w:lineRule="auto"/>
              <w:rPr>
                <w:rFonts w:ascii="宋体" w:hAnsi="宋体" w:cs="宋体"/>
                <w:color w:val="auto"/>
                <w:spacing w:val="11"/>
                <w:sz w:val="24"/>
                <w:highlight w:val="none"/>
              </w:rPr>
            </w:pPr>
            <w:r>
              <w:rPr>
                <w:rFonts w:hint="eastAsia" w:ascii="宋体" w:hAnsi="宋体" w:cs="宋体"/>
                <w:color w:val="auto"/>
                <w:spacing w:val="11"/>
                <w:sz w:val="24"/>
                <w:highlight w:val="none"/>
              </w:rPr>
              <w:t>技术部分（42分）</w:t>
            </w:r>
          </w:p>
        </w:tc>
        <w:tc>
          <w:tcPr>
            <w:tcW w:w="707" w:type="pct"/>
            <w:vAlign w:val="center"/>
          </w:tcPr>
          <w:p>
            <w:pPr>
              <w:pStyle w:val="300"/>
              <w:shd w:val="clear"/>
              <w:ind w:firstLine="0" w:firstLineChars="0"/>
              <w:jc w:val="center"/>
              <w:rPr>
                <w:rFonts w:ascii="宋体" w:hAnsi="宋体" w:cs="宋体"/>
                <w:color w:val="auto"/>
                <w:spacing w:val="11"/>
                <w:szCs w:val="24"/>
                <w:highlight w:val="none"/>
              </w:rPr>
            </w:pPr>
            <w:r>
              <w:rPr>
                <w:rFonts w:hint="eastAsia" w:ascii="宋体" w:hAnsi="宋体" w:cs="宋体"/>
                <w:color w:val="auto"/>
                <w:spacing w:val="11"/>
                <w:szCs w:val="24"/>
                <w:highlight w:val="none"/>
              </w:rPr>
              <w:t>技术指标响</w:t>
            </w:r>
          </w:p>
          <w:p>
            <w:pPr>
              <w:pStyle w:val="300"/>
              <w:shd w:val="clear"/>
              <w:ind w:firstLine="0" w:firstLineChars="0"/>
              <w:jc w:val="center"/>
              <w:rPr>
                <w:rFonts w:ascii="宋体" w:hAnsi="宋体" w:cs="宋体"/>
                <w:color w:val="auto"/>
                <w:spacing w:val="11"/>
                <w:szCs w:val="24"/>
                <w:highlight w:val="none"/>
              </w:rPr>
            </w:pPr>
            <w:r>
              <w:rPr>
                <w:rFonts w:hint="eastAsia" w:ascii="宋体" w:hAnsi="宋体" w:cs="宋体"/>
                <w:color w:val="auto"/>
                <w:spacing w:val="11"/>
                <w:szCs w:val="24"/>
                <w:highlight w:val="none"/>
              </w:rPr>
              <w:t>（42分）</w:t>
            </w:r>
          </w:p>
        </w:tc>
        <w:tc>
          <w:tcPr>
            <w:tcW w:w="3618" w:type="pct"/>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技术参数及要求完全符合磋商文件要求的，得42分。</w:t>
            </w:r>
          </w:p>
          <w:p>
            <w:pPr>
              <w:pStyle w:val="300"/>
              <w:shd w:val="clear"/>
              <w:ind w:firstLine="0" w:firstLineChars="0"/>
              <w:rPr>
                <w:rFonts w:ascii="宋体" w:hAnsi="宋体" w:cs="宋体"/>
                <w:color w:val="auto"/>
                <w:spacing w:val="11"/>
                <w:szCs w:val="24"/>
                <w:highlight w:val="none"/>
              </w:rPr>
            </w:pPr>
            <w:r>
              <w:rPr>
                <w:rFonts w:hint="eastAsia" w:ascii="宋体" w:hAnsi="宋体" w:cs="宋体"/>
                <w:color w:val="auto"/>
                <w:szCs w:val="24"/>
                <w:highlight w:val="none"/>
              </w:rPr>
              <w:t>磋商小组根据投标文件和相关证明材料对磋商文件的响应情况，对照判断所投产品是否满足磋商文件的要求；非*号的技术参数及功能要求每有一项不满足的扣0.5分；带*号的技术参数及功能要求为关键技术指标，每有一项不满足的扣2分；扣完为止。</w:t>
            </w:r>
          </w:p>
        </w:tc>
      </w:tr>
    </w:tbl>
    <w:p>
      <w:pPr>
        <w:shd w:val="clear"/>
        <w:rPr>
          <w:rFonts w:ascii="宋体" w:hAnsi="宋体" w:cs="宋体"/>
          <w:color w:val="auto"/>
          <w:highlight w:val="none"/>
        </w:rPr>
      </w:pPr>
      <w:r>
        <w:rPr>
          <w:rFonts w:hint="eastAsia" w:ascii="宋体" w:hAnsi="宋体" w:cs="宋体"/>
          <w:color w:val="auto"/>
          <w:highlight w:val="none"/>
        </w:rPr>
        <w:br w:type="page"/>
      </w:r>
    </w:p>
    <w:p>
      <w:pPr>
        <w:pStyle w:val="3"/>
        <w:shd w:val="clear"/>
        <w:tabs>
          <w:tab w:val="left" w:pos="0"/>
        </w:tabs>
        <w:autoSpaceDE w:val="0"/>
        <w:autoSpaceDN w:val="0"/>
        <w:adjustRightInd w:val="0"/>
        <w:spacing w:before="0" w:after="0" w:line="360" w:lineRule="auto"/>
        <w:jc w:val="center"/>
        <w:rPr>
          <w:rFonts w:ascii="宋体" w:hAnsi="宋体" w:cs="宋体"/>
          <w:color w:val="auto"/>
          <w:sz w:val="32"/>
          <w:szCs w:val="32"/>
          <w:highlight w:val="none"/>
        </w:rPr>
      </w:pPr>
      <w:bookmarkStart w:id="572" w:name="_Toc10047"/>
      <w:bookmarkStart w:id="573" w:name="_Toc57217294"/>
      <w:r>
        <w:rPr>
          <w:rFonts w:hint="eastAsia" w:ascii="宋体" w:hAnsi="宋体" w:cs="宋体"/>
          <w:color w:val="auto"/>
          <w:sz w:val="32"/>
          <w:szCs w:val="32"/>
          <w:highlight w:val="none"/>
        </w:rPr>
        <w:t>第五章 政府采购合同条款及格式</w:t>
      </w:r>
      <w:bookmarkEnd w:id="572"/>
      <w:bookmarkEnd w:id="573"/>
      <w:bookmarkStart w:id="574" w:name="_Hlt487972895"/>
      <w:bookmarkEnd w:id="574"/>
    </w:p>
    <w:p>
      <w:pPr>
        <w:shd w:val="clear"/>
        <w:spacing w:before="68" w:line="360" w:lineRule="auto"/>
        <w:ind w:left="5105"/>
        <w:rPr>
          <w:rFonts w:hint="eastAsia" w:ascii="宋体" w:hAnsi="宋体" w:eastAsia="宋体" w:cs="宋体"/>
          <w:color w:val="auto"/>
          <w:sz w:val="24"/>
          <w:highlight w:val="none"/>
        </w:rPr>
      </w:pPr>
      <w:r>
        <w:rPr>
          <w:rFonts w:hint="eastAsia" w:ascii="宋体" w:hAnsi="宋体" w:eastAsia="宋体" w:cs="宋体"/>
          <w:color w:val="auto"/>
          <w:spacing w:val="-11"/>
          <w:position w:val="19"/>
          <w:sz w:val="24"/>
          <w:highlight w:val="none"/>
        </w:rPr>
        <w:t>合</w:t>
      </w:r>
      <w:r>
        <w:rPr>
          <w:rFonts w:hint="eastAsia" w:ascii="宋体" w:hAnsi="宋体" w:eastAsia="宋体" w:cs="宋体"/>
          <w:color w:val="auto"/>
          <w:spacing w:val="-10"/>
          <w:position w:val="19"/>
          <w:sz w:val="24"/>
          <w:highlight w:val="none"/>
        </w:rPr>
        <w:t>同编号： (采购编号)</w:t>
      </w:r>
    </w:p>
    <w:p>
      <w:pPr>
        <w:shd w:val="clear"/>
        <w:spacing w:line="360" w:lineRule="auto"/>
        <w:ind w:left="5104"/>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签署地点：</w:t>
      </w:r>
    </w:p>
    <w:p>
      <w:pPr>
        <w:shd w:val="clear"/>
        <w:spacing w:before="68" w:line="360" w:lineRule="auto"/>
        <w:ind w:left="5105"/>
        <w:rPr>
          <w:rFonts w:hint="eastAsia" w:ascii="宋体" w:hAnsi="宋体" w:eastAsia="宋体" w:cs="宋体"/>
          <w:color w:val="auto"/>
          <w:sz w:val="24"/>
          <w:highlight w:val="none"/>
        </w:rPr>
      </w:pPr>
      <w:r>
        <w:rPr>
          <w:rFonts w:hint="eastAsia" w:ascii="宋体" w:hAnsi="宋体" w:eastAsia="宋体" w:cs="宋体"/>
          <w:color w:val="auto"/>
          <w:spacing w:val="-11"/>
          <w:position w:val="19"/>
          <w:sz w:val="24"/>
          <w:highlight w:val="none"/>
        </w:rPr>
        <w:t>合</w:t>
      </w:r>
      <w:r>
        <w:rPr>
          <w:rFonts w:hint="eastAsia" w:ascii="宋体" w:hAnsi="宋体" w:eastAsia="宋体" w:cs="宋体"/>
          <w:color w:val="auto"/>
          <w:spacing w:val="-10"/>
          <w:position w:val="19"/>
          <w:sz w:val="24"/>
          <w:highlight w:val="none"/>
        </w:rPr>
        <w:t>同编号： (采购编号)</w:t>
      </w:r>
    </w:p>
    <w:p>
      <w:pPr>
        <w:shd w:val="clear"/>
        <w:spacing w:line="360" w:lineRule="auto"/>
        <w:ind w:left="5104"/>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签署地点：</w:t>
      </w:r>
    </w:p>
    <w:p>
      <w:pPr>
        <w:shd w:val="clear"/>
        <w:spacing w:before="217" w:line="360" w:lineRule="auto"/>
        <w:ind w:left="196"/>
        <w:rPr>
          <w:rFonts w:ascii="宋体" w:hAnsi="宋体" w:cs="宋体"/>
          <w:color w:val="auto"/>
          <w:sz w:val="24"/>
          <w:highlight w:val="none"/>
        </w:rPr>
      </w:pPr>
      <w:r>
        <w:rPr>
          <w:rFonts w:hint="eastAsia" w:ascii="宋体" w:hAnsi="宋体" w:cs="宋体"/>
          <w:color w:val="auto"/>
          <w:spacing w:val="10"/>
          <w:sz w:val="24"/>
          <w:highlight w:val="none"/>
        </w:rPr>
        <w:t>甲</w:t>
      </w:r>
      <w:r>
        <w:rPr>
          <w:rFonts w:hint="eastAsia" w:ascii="宋体" w:hAnsi="宋体" w:cs="宋体"/>
          <w:color w:val="auto"/>
          <w:spacing w:val="6"/>
          <w:sz w:val="24"/>
          <w:highlight w:val="none"/>
        </w:rPr>
        <w:t>方</w:t>
      </w:r>
      <w:r>
        <w:rPr>
          <w:rFonts w:hint="eastAsia" w:ascii="宋体" w:hAnsi="宋体" w:cs="宋体"/>
          <w:color w:val="auto"/>
          <w:spacing w:val="5"/>
          <w:sz w:val="24"/>
          <w:highlight w:val="none"/>
        </w:rPr>
        <w:t>(需方)：</w:t>
      </w:r>
      <w:r>
        <w:rPr>
          <w:rFonts w:hint="eastAsia" w:ascii="宋体" w:hAnsi="宋体" w:cs="宋体"/>
          <w:color w:val="auto"/>
          <w:sz w:val="24"/>
          <w:highlight w:val="none"/>
          <w:u w:val="single"/>
        </w:rPr>
        <w:t xml:space="preserve">                        </w:t>
      </w:r>
      <w:r>
        <w:rPr>
          <w:rFonts w:hint="eastAsia" w:ascii="宋体" w:hAnsi="宋体" w:cs="宋体"/>
          <w:color w:val="auto"/>
          <w:spacing w:val="5"/>
          <w:sz w:val="24"/>
          <w:highlight w:val="none"/>
        </w:rPr>
        <w:t xml:space="preserve"> </w:t>
      </w:r>
    </w:p>
    <w:p>
      <w:pPr>
        <w:shd w:val="clear"/>
        <w:spacing w:before="216" w:line="360" w:lineRule="auto"/>
        <w:ind w:left="190"/>
        <w:rPr>
          <w:rFonts w:ascii="宋体" w:hAnsi="宋体" w:cs="宋体"/>
          <w:color w:val="auto"/>
          <w:sz w:val="24"/>
          <w:highlight w:val="none"/>
        </w:rPr>
      </w:pPr>
      <w:r>
        <w:rPr>
          <w:rFonts w:hint="eastAsia" w:ascii="宋体" w:hAnsi="宋体" w:cs="宋体"/>
          <w:color w:val="auto"/>
          <w:spacing w:val="10"/>
          <w:sz w:val="24"/>
          <w:highlight w:val="none"/>
        </w:rPr>
        <w:t>乙</w:t>
      </w:r>
      <w:r>
        <w:rPr>
          <w:rFonts w:hint="eastAsia" w:ascii="宋体" w:hAnsi="宋体" w:cs="宋体"/>
          <w:color w:val="auto"/>
          <w:spacing w:val="9"/>
          <w:sz w:val="24"/>
          <w:highlight w:val="none"/>
        </w:rPr>
        <w:t>方(供方)：</w:t>
      </w:r>
      <w:r>
        <w:rPr>
          <w:rFonts w:hint="eastAsia" w:ascii="宋体" w:hAnsi="宋体" w:cs="宋体"/>
          <w:color w:val="auto"/>
          <w:sz w:val="24"/>
          <w:highlight w:val="none"/>
          <w:u w:val="single"/>
        </w:rPr>
        <w:t xml:space="preserve">                        </w:t>
      </w:r>
    </w:p>
    <w:p>
      <w:pPr>
        <w:shd w:val="clear"/>
        <w:spacing w:before="219" w:line="360" w:lineRule="auto"/>
        <w:ind w:left="171" w:right="174" w:firstLine="478"/>
        <w:rPr>
          <w:rFonts w:ascii="宋体" w:hAnsi="宋体" w:cs="宋体"/>
          <w:color w:val="auto"/>
          <w:sz w:val="24"/>
          <w:highlight w:val="none"/>
        </w:rPr>
      </w:pPr>
      <w:r>
        <w:rPr>
          <w:rFonts w:hint="eastAsia" w:ascii="宋体" w:hAnsi="宋体" w:cs="宋体"/>
          <w:color w:val="auto"/>
          <w:spacing w:val="4"/>
          <w:sz w:val="24"/>
          <w:highlight w:val="none"/>
        </w:rPr>
        <w:t>根据</w:t>
      </w:r>
      <w:r>
        <w:rPr>
          <w:rFonts w:hint="eastAsia" w:ascii="宋体" w:hAnsi="宋体" w:cs="宋体"/>
          <w:color w:val="auto"/>
          <w:spacing w:val="4"/>
          <w:sz w:val="24"/>
          <w:highlight w:val="none"/>
          <w:u w:val="single"/>
        </w:rPr>
        <w:t xml:space="preserve">     </w:t>
      </w:r>
      <w:r>
        <w:rPr>
          <w:rFonts w:hint="eastAsia" w:ascii="宋体" w:hAnsi="宋体" w:cs="宋体"/>
          <w:color w:val="auto"/>
          <w:spacing w:val="2"/>
          <w:sz w:val="24"/>
          <w:highlight w:val="none"/>
          <w:u w:val="single"/>
        </w:rPr>
        <w:t xml:space="preserve">  (项目名称)                   </w:t>
      </w:r>
      <w:r>
        <w:rPr>
          <w:rFonts w:hint="eastAsia" w:ascii="宋体" w:hAnsi="宋体" w:cs="宋体"/>
          <w:color w:val="auto"/>
          <w:spacing w:val="2"/>
          <w:sz w:val="24"/>
          <w:highlight w:val="none"/>
        </w:rPr>
        <w:t xml:space="preserve"> 的成交通知书和招标(采购)、投标(响应性)</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文件(或其他采购依据)，经甲、乙双方协商， 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日签订本合同。</w:t>
      </w:r>
    </w:p>
    <w:p>
      <w:pPr>
        <w:shd w:val="clear"/>
        <w:spacing w:line="360" w:lineRule="auto"/>
        <w:ind w:left="772"/>
        <w:outlineLvl w:val="6"/>
        <w:rPr>
          <w:rFonts w:ascii="宋体" w:hAnsi="宋体" w:cs="宋体"/>
          <w:b/>
          <w:bCs/>
          <w:color w:val="auto"/>
          <w:sz w:val="24"/>
          <w:highlight w:val="none"/>
        </w:rPr>
      </w:pPr>
      <w:r>
        <w:rPr>
          <w:rFonts w:hint="eastAsia" w:ascii="宋体" w:hAnsi="宋体" w:cs="宋体"/>
          <w:b/>
          <w:bCs/>
          <w:color w:val="auto"/>
          <w:spacing w:val="-1"/>
          <w:sz w:val="24"/>
          <w:highlight w:val="none"/>
        </w:rPr>
        <w:t>一、    产品(货物或设</w:t>
      </w:r>
      <w:r>
        <w:rPr>
          <w:rFonts w:hint="eastAsia" w:ascii="宋体" w:hAnsi="宋体" w:cs="宋体"/>
          <w:b/>
          <w:bCs/>
          <w:color w:val="auto"/>
          <w:sz w:val="24"/>
          <w:highlight w:val="none"/>
        </w:rPr>
        <w:t>备) 明细及报价表</w:t>
      </w:r>
    </w:p>
    <w:tbl>
      <w:tblPr>
        <w:tblStyle w:val="49"/>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0"/>
        <w:gridCol w:w="2209"/>
        <w:gridCol w:w="1157"/>
        <w:gridCol w:w="1018"/>
        <w:gridCol w:w="575"/>
        <w:gridCol w:w="577"/>
        <w:gridCol w:w="575"/>
        <w:gridCol w:w="827"/>
        <w:gridCol w:w="830"/>
        <w:gridCol w:w="5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337" w:type="pct"/>
            <w:textDirection w:val="tbRlV"/>
          </w:tcPr>
          <w:p>
            <w:pPr>
              <w:shd w:val="clear"/>
              <w:spacing w:before="136" w:line="360" w:lineRule="auto"/>
              <w:ind w:left="274"/>
              <w:rPr>
                <w:rFonts w:ascii="宋体" w:hAnsi="宋体" w:cs="宋体"/>
                <w:color w:val="auto"/>
                <w:sz w:val="24"/>
                <w:highlight w:val="none"/>
              </w:rPr>
            </w:pPr>
            <w:r>
              <w:rPr>
                <w:rFonts w:hint="eastAsia" w:ascii="宋体" w:hAnsi="宋体" w:cs="宋体"/>
                <w:color w:val="auto"/>
                <w:spacing w:val="-1"/>
                <w:sz w:val="24"/>
                <w:highlight w:val="none"/>
              </w:rPr>
              <w:t xml:space="preserve">序 </w:t>
            </w:r>
            <w:r>
              <w:rPr>
                <w:rFonts w:hint="eastAsia" w:ascii="宋体" w:hAnsi="宋体" w:cs="宋体"/>
                <w:color w:val="auto"/>
                <w:sz w:val="24"/>
                <w:highlight w:val="none"/>
              </w:rPr>
              <w:t>号</w:t>
            </w:r>
          </w:p>
        </w:tc>
        <w:tc>
          <w:tcPr>
            <w:tcW w:w="1235" w:type="pct"/>
          </w:tcPr>
          <w:p>
            <w:pPr>
              <w:shd w:val="clear"/>
              <w:spacing w:before="117" w:line="360" w:lineRule="auto"/>
              <w:ind w:left="807"/>
              <w:rPr>
                <w:rFonts w:ascii="宋体" w:hAnsi="宋体" w:cs="宋体"/>
                <w:color w:val="auto"/>
                <w:sz w:val="24"/>
                <w:highlight w:val="none"/>
              </w:rPr>
            </w:pPr>
            <w:r>
              <w:rPr>
                <w:rFonts w:hint="eastAsia" w:ascii="宋体" w:hAnsi="宋体" w:cs="宋体"/>
                <w:color w:val="auto"/>
                <w:spacing w:val="-1"/>
                <w:sz w:val="24"/>
                <w:highlight w:val="none"/>
              </w:rPr>
              <w:t>产品名</w:t>
            </w:r>
            <w:r>
              <w:rPr>
                <w:rFonts w:hint="eastAsia" w:ascii="宋体" w:hAnsi="宋体" w:cs="宋体"/>
                <w:color w:val="auto"/>
                <w:sz w:val="24"/>
                <w:highlight w:val="none"/>
              </w:rPr>
              <w:t>称</w:t>
            </w:r>
          </w:p>
          <w:p>
            <w:pPr>
              <w:shd w:val="clear"/>
              <w:spacing w:before="60" w:line="360" w:lineRule="auto"/>
              <w:ind w:left="1018" w:right="168" w:hanging="838"/>
              <w:rPr>
                <w:rFonts w:ascii="宋体" w:hAnsi="宋体" w:cs="宋体"/>
                <w:color w:val="auto"/>
                <w:sz w:val="24"/>
                <w:highlight w:val="none"/>
              </w:rPr>
            </w:pPr>
            <w:r>
              <w:rPr>
                <w:rFonts w:hint="eastAsia" w:ascii="宋体" w:hAnsi="宋体" w:cs="宋体"/>
                <w:color w:val="auto"/>
                <w:spacing w:val="10"/>
                <w:sz w:val="24"/>
                <w:highlight w:val="none"/>
              </w:rPr>
              <w:t>(进口设备须标明英文</w:t>
            </w:r>
            <w:r>
              <w:rPr>
                <w:rFonts w:hint="eastAsia" w:ascii="宋体" w:hAnsi="宋体" w:cs="宋体"/>
                <w:color w:val="auto"/>
                <w:spacing w:val="-9"/>
                <w:sz w:val="24"/>
                <w:highlight w:val="none"/>
              </w:rPr>
              <w:t>名</w:t>
            </w:r>
            <w:r>
              <w:rPr>
                <w:rFonts w:hint="eastAsia" w:ascii="宋体" w:hAnsi="宋体" w:cs="宋体"/>
                <w:color w:val="auto"/>
                <w:spacing w:val="-7"/>
                <w:sz w:val="24"/>
                <w:highlight w:val="none"/>
              </w:rPr>
              <w:t>)</w:t>
            </w:r>
          </w:p>
        </w:tc>
        <w:tc>
          <w:tcPr>
            <w:tcW w:w="648" w:type="pct"/>
          </w:tcPr>
          <w:p>
            <w:pPr>
              <w:shd w:val="clear"/>
              <w:spacing w:line="360" w:lineRule="auto"/>
              <w:rPr>
                <w:rFonts w:ascii="宋体" w:hAnsi="宋体" w:cs="宋体"/>
                <w:color w:val="auto"/>
                <w:sz w:val="24"/>
                <w:highlight w:val="none"/>
              </w:rPr>
            </w:pPr>
          </w:p>
          <w:p>
            <w:pPr>
              <w:shd w:val="clear"/>
              <w:spacing w:before="68" w:line="360" w:lineRule="auto"/>
              <w:ind w:left="154"/>
              <w:rPr>
                <w:rFonts w:ascii="宋体" w:hAnsi="宋体" w:cs="宋体"/>
                <w:color w:val="auto"/>
                <w:sz w:val="24"/>
                <w:highlight w:val="none"/>
              </w:rPr>
            </w:pPr>
            <w:r>
              <w:rPr>
                <w:rFonts w:hint="eastAsia" w:ascii="宋体" w:hAnsi="宋体" w:cs="宋体"/>
                <w:color w:val="auto"/>
                <w:spacing w:val="-5"/>
                <w:sz w:val="24"/>
                <w:highlight w:val="none"/>
              </w:rPr>
              <w:t>品</w:t>
            </w:r>
            <w:r>
              <w:rPr>
                <w:rFonts w:hint="eastAsia" w:ascii="宋体" w:hAnsi="宋体" w:cs="宋体"/>
                <w:color w:val="auto"/>
                <w:spacing w:val="-4"/>
                <w:sz w:val="24"/>
                <w:highlight w:val="none"/>
              </w:rPr>
              <w:t>牌/型号</w:t>
            </w:r>
          </w:p>
        </w:tc>
        <w:tc>
          <w:tcPr>
            <w:tcW w:w="570" w:type="pct"/>
          </w:tcPr>
          <w:p>
            <w:pPr>
              <w:shd w:val="clear"/>
              <w:spacing w:before="274" w:line="360" w:lineRule="auto"/>
              <w:ind w:left="223"/>
              <w:rPr>
                <w:rFonts w:ascii="宋体" w:hAnsi="宋体" w:cs="宋体"/>
                <w:color w:val="auto"/>
                <w:sz w:val="24"/>
                <w:highlight w:val="none"/>
              </w:rPr>
            </w:pPr>
            <w:r>
              <w:rPr>
                <w:rFonts w:hint="eastAsia" w:ascii="宋体" w:hAnsi="宋体" w:cs="宋体"/>
                <w:color w:val="auto"/>
                <w:spacing w:val="-2"/>
                <w:position w:val="7"/>
                <w:sz w:val="24"/>
                <w:highlight w:val="none"/>
              </w:rPr>
              <w:t>制</w:t>
            </w:r>
            <w:r>
              <w:rPr>
                <w:rFonts w:hint="eastAsia" w:ascii="宋体" w:hAnsi="宋体" w:cs="宋体"/>
                <w:color w:val="auto"/>
                <w:spacing w:val="-1"/>
                <w:position w:val="7"/>
                <w:sz w:val="24"/>
                <w:highlight w:val="none"/>
              </w:rPr>
              <w:t>造厂</w:t>
            </w:r>
          </w:p>
          <w:p>
            <w:pPr>
              <w:shd w:val="clear"/>
              <w:spacing w:line="360" w:lineRule="auto"/>
              <w:ind w:left="228"/>
              <w:rPr>
                <w:rFonts w:ascii="宋体" w:hAnsi="宋体" w:cs="宋体"/>
                <w:color w:val="auto"/>
                <w:sz w:val="24"/>
                <w:highlight w:val="none"/>
              </w:rPr>
            </w:pPr>
            <w:r>
              <w:rPr>
                <w:rFonts w:hint="eastAsia" w:ascii="宋体" w:hAnsi="宋体" w:cs="宋体"/>
                <w:color w:val="auto"/>
                <w:spacing w:val="27"/>
                <w:sz w:val="24"/>
                <w:highlight w:val="none"/>
              </w:rPr>
              <w:t>(</w:t>
            </w:r>
            <w:r>
              <w:rPr>
                <w:rFonts w:hint="eastAsia" w:ascii="宋体" w:hAnsi="宋体" w:cs="宋体"/>
                <w:color w:val="auto"/>
                <w:spacing w:val="26"/>
                <w:sz w:val="24"/>
                <w:highlight w:val="none"/>
              </w:rPr>
              <w:t>商)</w:t>
            </w:r>
          </w:p>
        </w:tc>
        <w:tc>
          <w:tcPr>
            <w:tcW w:w="323" w:type="pct"/>
            <w:textDirection w:val="tbRlV"/>
          </w:tcPr>
          <w:p>
            <w:pPr>
              <w:shd w:val="clear"/>
              <w:spacing w:before="194" w:line="360" w:lineRule="auto"/>
              <w:ind w:left="274"/>
              <w:rPr>
                <w:rFonts w:ascii="宋体" w:hAnsi="宋体" w:cs="宋体"/>
                <w:color w:val="auto"/>
                <w:sz w:val="24"/>
                <w:highlight w:val="none"/>
              </w:rPr>
            </w:pPr>
            <w:r>
              <w:rPr>
                <w:rFonts w:hint="eastAsia" w:ascii="宋体" w:hAnsi="宋体" w:cs="宋体"/>
                <w:color w:val="auto"/>
                <w:spacing w:val="-1"/>
                <w:sz w:val="24"/>
                <w:highlight w:val="none"/>
              </w:rPr>
              <w:t xml:space="preserve">产 </w:t>
            </w:r>
            <w:r>
              <w:rPr>
                <w:rFonts w:hint="eastAsia" w:ascii="宋体" w:hAnsi="宋体" w:cs="宋体"/>
                <w:color w:val="auto"/>
                <w:sz w:val="24"/>
                <w:highlight w:val="none"/>
              </w:rPr>
              <w:t>地</w:t>
            </w:r>
          </w:p>
        </w:tc>
        <w:tc>
          <w:tcPr>
            <w:tcW w:w="324" w:type="pct"/>
            <w:textDirection w:val="tbRlV"/>
          </w:tcPr>
          <w:p>
            <w:pPr>
              <w:shd w:val="clear"/>
              <w:spacing w:before="195" w:line="360" w:lineRule="auto"/>
              <w:ind w:left="274"/>
              <w:rPr>
                <w:rFonts w:ascii="宋体" w:hAnsi="宋体" w:cs="宋体"/>
                <w:color w:val="auto"/>
                <w:sz w:val="24"/>
                <w:highlight w:val="none"/>
              </w:rPr>
            </w:pPr>
            <w:r>
              <w:rPr>
                <w:rFonts w:hint="eastAsia" w:ascii="宋体" w:hAnsi="宋体" w:cs="宋体"/>
                <w:color w:val="auto"/>
                <w:spacing w:val="-1"/>
                <w:sz w:val="24"/>
                <w:highlight w:val="none"/>
              </w:rPr>
              <w:t xml:space="preserve">单 </w:t>
            </w:r>
            <w:r>
              <w:rPr>
                <w:rFonts w:hint="eastAsia" w:ascii="宋体" w:hAnsi="宋体" w:cs="宋体"/>
                <w:color w:val="auto"/>
                <w:sz w:val="24"/>
                <w:highlight w:val="none"/>
              </w:rPr>
              <w:t>位</w:t>
            </w:r>
          </w:p>
        </w:tc>
        <w:tc>
          <w:tcPr>
            <w:tcW w:w="323" w:type="pct"/>
            <w:textDirection w:val="tbRlV"/>
          </w:tcPr>
          <w:p>
            <w:pPr>
              <w:shd w:val="clear"/>
              <w:spacing w:before="193" w:line="360" w:lineRule="auto"/>
              <w:ind w:left="274"/>
              <w:rPr>
                <w:rFonts w:ascii="宋体" w:hAnsi="宋体" w:cs="宋体"/>
                <w:color w:val="auto"/>
                <w:sz w:val="24"/>
                <w:highlight w:val="none"/>
              </w:rPr>
            </w:pPr>
            <w:r>
              <w:rPr>
                <w:rFonts w:hint="eastAsia" w:ascii="宋体" w:hAnsi="宋体" w:cs="宋体"/>
                <w:color w:val="auto"/>
                <w:spacing w:val="-1"/>
                <w:sz w:val="24"/>
                <w:highlight w:val="none"/>
              </w:rPr>
              <w:t xml:space="preserve">数 </w:t>
            </w:r>
            <w:r>
              <w:rPr>
                <w:rFonts w:hint="eastAsia" w:ascii="宋体" w:hAnsi="宋体" w:cs="宋体"/>
                <w:color w:val="auto"/>
                <w:sz w:val="24"/>
                <w:highlight w:val="none"/>
              </w:rPr>
              <w:t>量</w:t>
            </w:r>
          </w:p>
        </w:tc>
        <w:tc>
          <w:tcPr>
            <w:tcW w:w="453" w:type="pct"/>
          </w:tcPr>
          <w:p>
            <w:pPr>
              <w:shd w:val="clear"/>
              <w:spacing w:before="273" w:line="360" w:lineRule="auto"/>
              <w:ind w:left="122" w:right="114" w:firstLine="100"/>
              <w:rPr>
                <w:rFonts w:ascii="宋体" w:hAnsi="宋体" w:cs="宋体"/>
                <w:color w:val="auto"/>
                <w:sz w:val="24"/>
                <w:highlight w:val="none"/>
              </w:rPr>
            </w:pPr>
            <w:r>
              <w:rPr>
                <w:rFonts w:hint="eastAsia" w:ascii="宋体" w:hAnsi="宋体" w:cs="宋体"/>
                <w:color w:val="auto"/>
                <w:spacing w:val="-5"/>
                <w:sz w:val="24"/>
                <w:highlight w:val="none"/>
              </w:rPr>
              <w:t>单</w:t>
            </w:r>
            <w:r>
              <w:rPr>
                <w:rFonts w:hint="eastAsia" w:ascii="宋体" w:hAnsi="宋体" w:cs="宋体"/>
                <w:color w:val="auto"/>
                <w:spacing w:val="-3"/>
                <w:sz w:val="24"/>
                <w:highlight w:val="none"/>
              </w:rPr>
              <w:t>价</w:t>
            </w:r>
            <w:r>
              <w:rPr>
                <w:rFonts w:hint="eastAsia" w:ascii="宋体" w:hAnsi="宋体" w:cs="宋体"/>
                <w:color w:val="auto"/>
                <w:sz w:val="24"/>
                <w:highlight w:val="none"/>
              </w:rPr>
              <w:t xml:space="preserve"> </w:t>
            </w:r>
            <w:r>
              <w:rPr>
                <w:rFonts w:hint="eastAsia" w:ascii="宋体" w:hAnsi="宋体" w:cs="宋体"/>
                <w:color w:val="auto"/>
                <w:spacing w:val="27"/>
                <w:sz w:val="24"/>
                <w:highlight w:val="none"/>
              </w:rPr>
              <w:t>(</w:t>
            </w:r>
            <w:r>
              <w:rPr>
                <w:rFonts w:hint="eastAsia" w:ascii="宋体" w:hAnsi="宋体" w:cs="宋体"/>
                <w:color w:val="auto"/>
                <w:spacing w:val="26"/>
                <w:sz w:val="24"/>
                <w:highlight w:val="none"/>
              </w:rPr>
              <w:t>元)</w:t>
            </w:r>
          </w:p>
        </w:tc>
        <w:tc>
          <w:tcPr>
            <w:tcW w:w="454" w:type="pct"/>
          </w:tcPr>
          <w:p>
            <w:pPr>
              <w:shd w:val="clear"/>
              <w:spacing w:before="273" w:line="360" w:lineRule="auto"/>
              <w:ind w:left="122" w:right="117" w:firstLine="98"/>
              <w:rPr>
                <w:rFonts w:ascii="宋体" w:hAnsi="宋体" w:cs="宋体"/>
                <w:color w:val="auto"/>
                <w:sz w:val="24"/>
                <w:highlight w:val="none"/>
              </w:rPr>
            </w:pPr>
            <w:r>
              <w:rPr>
                <w:rFonts w:hint="eastAsia" w:ascii="宋体" w:hAnsi="宋体" w:cs="宋体"/>
                <w:color w:val="auto"/>
                <w:spacing w:val="-4"/>
                <w:sz w:val="24"/>
                <w:highlight w:val="none"/>
              </w:rPr>
              <w:t>合</w:t>
            </w:r>
            <w:r>
              <w:rPr>
                <w:rFonts w:hint="eastAsia" w:ascii="宋体" w:hAnsi="宋体" w:cs="宋体"/>
                <w:color w:val="auto"/>
                <w:spacing w:val="-3"/>
                <w:sz w:val="24"/>
                <w:highlight w:val="none"/>
              </w:rPr>
              <w:t>计</w:t>
            </w:r>
            <w:r>
              <w:rPr>
                <w:rFonts w:hint="eastAsia" w:ascii="宋体" w:hAnsi="宋体" w:cs="宋体"/>
                <w:color w:val="auto"/>
                <w:sz w:val="24"/>
                <w:highlight w:val="none"/>
              </w:rPr>
              <w:t xml:space="preserve"> </w:t>
            </w:r>
            <w:r>
              <w:rPr>
                <w:rFonts w:hint="eastAsia" w:ascii="宋体" w:hAnsi="宋体" w:cs="宋体"/>
                <w:color w:val="auto"/>
                <w:spacing w:val="27"/>
                <w:sz w:val="24"/>
                <w:highlight w:val="none"/>
              </w:rPr>
              <w:t>(</w:t>
            </w:r>
            <w:r>
              <w:rPr>
                <w:rFonts w:hint="eastAsia" w:ascii="宋体" w:hAnsi="宋体" w:cs="宋体"/>
                <w:color w:val="auto"/>
                <w:spacing w:val="26"/>
                <w:sz w:val="24"/>
                <w:highlight w:val="none"/>
              </w:rPr>
              <w:t>元)</w:t>
            </w:r>
          </w:p>
        </w:tc>
        <w:tc>
          <w:tcPr>
            <w:tcW w:w="328" w:type="pct"/>
            <w:textDirection w:val="tbRlV"/>
          </w:tcPr>
          <w:p>
            <w:pPr>
              <w:shd w:val="clear"/>
              <w:spacing w:before="197" w:line="360" w:lineRule="auto"/>
              <w:ind w:left="118"/>
              <w:rPr>
                <w:rFonts w:ascii="宋体" w:hAnsi="宋体" w:cs="宋体"/>
                <w:color w:val="auto"/>
                <w:sz w:val="24"/>
                <w:highlight w:val="none"/>
              </w:rPr>
            </w:pPr>
            <w:r>
              <w:rPr>
                <w:rFonts w:hint="eastAsia" w:ascii="宋体" w:hAnsi="宋体" w:cs="宋体"/>
                <w:color w:val="auto"/>
                <w:spacing w:val="-1"/>
                <w:sz w:val="24"/>
                <w:highlight w:val="none"/>
              </w:rPr>
              <w:t>质 保 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337" w:type="pct"/>
          </w:tcPr>
          <w:p>
            <w:pPr>
              <w:shd w:val="clear"/>
              <w:spacing w:before="287" w:line="360" w:lineRule="auto"/>
              <w:ind w:left="213"/>
              <w:rPr>
                <w:rFonts w:ascii="宋体" w:hAnsi="宋体" w:cs="宋体"/>
                <w:color w:val="auto"/>
                <w:sz w:val="24"/>
                <w:highlight w:val="none"/>
              </w:rPr>
            </w:pPr>
            <w:r>
              <w:rPr>
                <w:rFonts w:hint="eastAsia" w:ascii="宋体" w:hAnsi="宋体" w:cs="宋体"/>
                <w:color w:val="auto"/>
                <w:sz w:val="24"/>
                <w:highlight w:val="none"/>
              </w:rPr>
              <w:t>1</w:t>
            </w:r>
          </w:p>
        </w:tc>
        <w:tc>
          <w:tcPr>
            <w:tcW w:w="1235" w:type="pct"/>
          </w:tcPr>
          <w:p>
            <w:pPr>
              <w:shd w:val="clear"/>
              <w:spacing w:line="360" w:lineRule="auto"/>
              <w:rPr>
                <w:rFonts w:ascii="宋体" w:hAnsi="宋体" w:cs="宋体"/>
                <w:color w:val="auto"/>
                <w:sz w:val="24"/>
                <w:highlight w:val="none"/>
              </w:rPr>
            </w:pPr>
          </w:p>
        </w:tc>
        <w:tc>
          <w:tcPr>
            <w:tcW w:w="648" w:type="pct"/>
          </w:tcPr>
          <w:p>
            <w:pPr>
              <w:shd w:val="clear"/>
              <w:spacing w:line="360" w:lineRule="auto"/>
              <w:rPr>
                <w:rFonts w:ascii="宋体" w:hAnsi="宋体" w:cs="宋体"/>
                <w:color w:val="auto"/>
                <w:sz w:val="24"/>
                <w:highlight w:val="none"/>
              </w:rPr>
            </w:pPr>
          </w:p>
        </w:tc>
        <w:tc>
          <w:tcPr>
            <w:tcW w:w="570" w:type="pct"/>
          </w:tcPr>
          <w:p>
            <w:pPr>
              <w:shd w:val="clear"/>
              <w:spacing w:line="360" w:lineRule="auto"/>
              <w:rPr>
                <w:rFonts w:ascii="宋体" w:hAnsi="宋体" w:cs="宋体"/>
                <w:color w:val="auto"/>
                <w:sz w:val="24"/>
                <w:highlight w:val="none"/>
              </w:rPr>
            </w:pPr>
          </w:p>
        </w:tc>
        <w:tc>
          <w:tcPr>
            <w:tcW w:w="323" w:type="pct"/>
          </w:tcPr>
          <w:p>
            <w:pPr>
              <w:shd w:val="clear"/>
              <w:spacing w:line="360" w:lineRule="auto"/>
              <w:rPr>
                <w:rFonts w:ascii="宋体" w:hAnsi="宋体" w:cs="宋体"/>
                <w:color w:val="auto"/>
                <w:sz w:val="24"/>
                <w:highlight w:val="none"/>
              </w:rPr>
            </w:pPr>
          </w:p>
        </w:tc>
        <w:tc>
          <w:tcPr>
            <w:tcW w:w="324" w:type="pct"/>
          </w:tcPr>
          <w:p>
            <w:pPr>
              <w:shd w:val="clear"/>
              <w:spacing w:line="360" w:lineRule="auto"/>
              <w:rPr>
                <w:rFonts w:ascii="宋体" w:hAnsi="宋体" w:cs="宋体"/>
                <w:color w:val="auto"/>
                <w:sz w:val="24"/>
                <w:highlight w:val="none"/>
              </w:rPr>
            </w:pPr>
          </w:p>
        </w:tc>
        <w:tc>
          <w:tcPr>
            <w:tcW w:w="323" w:type="pct"/>
          </w:tcPr>
          <w:p>
            <w:pPr>
              <w:shd w:val="clear"/>
              <w:spacing w:line="360" w:lineRule="auto"/>
              <w:rPr>
                <w:rFonts w:ascii="宋体" w:hAnsi="宋体" w:cs="宋体"/>
                <w:color w:val="auto"/>
                <w:sz w:val="24"/>
                <w:highlight w:val="none"/>
              </w:rPr>
            </w:pPr>
          </w:p>
        </w:tc>
        <w:tc>
          <w:tcPr>
            <w:tcW w:w="453" w:type="pct"/>
          </w:tcPr>
          <w:p>
            <w:pPr>
              <w:shd w:val="clear"/>
              <w:spacing w:line="360" w:lineRule="auto"/>
              <w:rPr>
                <w:rFonts w:ascii="宋体" w:hAnsi="宋体" w:cs="宋体"/>
                <w:color w:val="auto"/>
                <w:sz w:val="24"/>
                <w:highlight w:val="none"/>
              </w:rPr>
            </w:pPr>
          </w:p>
        </w:tc>
        <w:tc>
          <w:tcPr>
            <w:tcW w:w="454" w:type="pct"/>
          </w:tcPr>
          <w:p>
            <w:pPr>
              <w:shd w:val="clear"/>
              <w:spacing w:line="360" w:lineRule="auto"/>
              <w:rPr>
                <w:rFonts w:ascii="宋体" w:hAnsi="宋体" w:cs="宋体"/>
                <w:color w:val="auto"/>
                <w:sz w:val="24"/>
                <w:highlight w:val="none"/>
              </w:rPr>
            </w:pPr>
          </w:p>
        </w:tc>
        <w:tc>
          <w:tcPr>
            <w:tcW w:w="328" w:type="pct"/>
          </w:tcPr>
          <w:p>
            <w:pPr>
              <w:shd w:val="clear"/>
              <w:spacing w:line="360" w:lineRule="auto"/>
              <w:rPr>
                <w:rFonts w:ascii="宋体" w:hAnsi="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337" w:type="pct"/>
          </w:tcPr>
          <w:p>
            <w:pPr>
              <w:shd w:val="clear"/>
              <w:spacing w:before="290" w:line="360" w:lineRule="auto"/>
              <w:ind w:left="200"/>
              <w:rPr>
                <w:rFonts w:ascii="宋体" w:hAnsi="宋体" w:cs="宋体"/>
                <w:color w:val="auto"/>
                <w:sz w:val="24"/>
                <w:highlight w:val="none"/>
              </w:rPr>
            </w:pPr>
            <w:r>
              <w:rPr>
                <w:rFonts w:hint="eastAsia" w:ascii="宋体" w:hAnsi="宋体" w:cs="宋体"/>
                <w:color w:val="auto"/>
                <w:sz w:val="24"/>
                <w:highlight w:val="none"/>
              </w:rPr>
              <w:t>2</w:t>
            </w:r>
          </w:p>
        </w:tc>
        <w:tc>
          <w:tcPr>
            <w:tcW w:w="1235" w:type="pct"/>
          </w:tcPr>
          <w:p>
            <w:pPr>
              <w:shd w:val="clear"/>
              <w:spacing w:line="360" w:lineRule="auto"/>
              <w:rPr>
                <w:rFonts w:ascii="宋体" w:hAnsi="宋体" w:cs="宋体"/>
                <w:color w:val="auto"/>
                <w:sz w:val="24"/>
                <w:highlight w:val="none"/>
              </w:rPr>
            </w:pPr>
          </w:p>
        </w:tc>
        <w:tc>
          <w:tcPr>
            <w:tcW w:w="648" w:type="pct"/>
          </w:tcPr>
          <w:p>
            <w:pPr>
              <w:shd w:val="clear"/>
              <w:spacing w:line="360" w:lineRule="auto"/>
              <w:rPr>
                <w:rFonts w:ascii="宋体" w:hAnsi="宋体" w:cs="宋体"/>
                <w:color w:val="auto"/>
                <w:sz w:val="24"/>
                <w:highlight w:val="none"/>
              </w:rPr>
            </w:pPr>
          </w:p>
        </w:tc>
        <w:tc>
          <w:tcPr>
            <w:tcW w:w="570" w:type="pct"/>
          </w:tcPr>
          <w:p>
            <w:pPr>
              <w:shd w:val="clear"/>
              <w:spacing w:line="360" w:lineRule="auto"/>
              <w:rPr>
                <w:rFonts w:ascii="宋体" w:hAnsi="宋体" w:cs="宋体"/>
                <w:color w:val="auto"/>
                <w:sz w:val="24"/>
                <w:highlight w:val="none"/>
              </w:rPr>
            </w:pPr>
          </w:p>
        </w:tc>
        <w:tc>
          <w:tcPr>
            <w:tcW w:w="323" w:type="pct"/>
          </w:tcPr>
          <w:p>
            <w:pPr>
              <w:shd w:val="clear"/>
              <w:spacing w:line="360" w:lineRule="auto"/>
              <w:rPr>
                <w:rFonts w:ascii="宋体" w:hAnsi="宋体" w:cs="宋体"/>
                <w:color w:val="auto"/>
                <w:sz w:val="24"/>
                <w:highlight w:val="none"/>
              </w:rPr>
            </w:pPr>
          </w:p>
        </w:tc>
        <w:tc>
          <w:tcPr>
            <w:tcW w:w="324" w:type="pct"/>
          </w:tcPr>
          <w:p>
            <w:pPr>
              <w:shd w:val="clear"/>
              <w:spacing w:line="360" w:lineRule="auto"/>
              <w:rPr>
                <w:rFonts w:ascii="宋体" w:hAnsi="宋体" w:cs="宋体"/>
                <w:color w:val="auto"/>
                <w:sz w:val="24"/>
                <w:highlight w:val="none"/>
              </w:rPr>
            </w:pPr>
          </w:p>
        </w:tc>
        <w:tc>
          <w:tcPr>
            <w:tcW w:w="323" w:type="pct"/>
          </w:tcPr>
          <w:p>
            <w:pPr>
              <w:shd w:val="clear"/>
              <w:spacing w:line="360" w:lineRule="auto"/>
              <w:rPr>
                <w:rFonts w:ascii="宋体" w:hAnsi="宋体" w:cs="宋体"/>
                <w:color w:val="auto"/>
                <w:sz w:val="24"/>
                <w:highlight w:val="none"/>
              </w:rPr>
            </w:pPr>
          </w:p>
        </w:tc>
        <w:tc>
          <w:tcPr>
            <w:tcW w:w="453" w:type="pct"/>
          </w:tcPr>
          <w:p>
            <w:pPr>
              <w:shd w:val="clear"/>
              <w:spacing w:line="360" w:lineRule="auto"/>
              <w:rPr>
                <w:rFonts w:ascii="宋体" w:hAnsi="宋体" w:cs="宋体"/>
                <w:color w:val="auto"/>
                <w:sz w:val="24"/>
                <w:highlight w:val="none"/>
              </w:rPr>
            </w:pPr>
          </w:p>
        </w:tc>
        <w:tc>
          <w:tcPr>
            <w:tcW w:w="454" w:type="pct"/>
          </w:tcPr>
          <w:p>
            <w:pPr>
              <w:shd w:val="clear"/>
              <w:spacing w:line="360" w:lineRule="auto"/>
              <w:rPr>
                <w:rFonts w:ascii="宋体" w:hAnsi="宋体" w:cs="宋体"/>
                <w:color w:val="auto"/>
                <w:sz w:val="24"/>
                <w:highlight w:val="none"/>
              </w:rPr>
            </w:pPr>
          </w:p>
        </w:tc>
        <w:tc>
          <w:tcPr>
            <w:tcW w:w="328" w:type="pct"/>
          </w:tcPr>
          <w:p>
            <w:pPr>
              <w:shd w:val="clear"/>
              <w:spacing w:line="360" w:lineRule="auto"/>
              <w:rPr>
                <w:rFonts w:ascii="宋体" w:hAnsi="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37" w:type="pct"/>
          </w:tcPr>
          <w:p>
            <w:pPr>
              <w:shd w:val="clear"/>
              <w:spacing w:before="291" w:line="360" w:lineRule="auto"/>
              <w:ind w:left="202"/>
              <w:rPr>
                <w:rFonts w:ascii="宋体" w:hAnsi="宋体" w:cs="宋体"/>
                <w:color w:val="auto"/>
                <w:sz w:val="24"/>
                <w:highlight w:val="none"/>
              </w:rPr>
            </w:pPr>
            <w:r>
              <w:rPr>
                <w:rFonts w:hint="eastAsia" w:ascii="宋体" w:hAnsi="宋体" w:cs="宋体"/>
                <w:color w:val="auto"/>
                <w:sz w:val="24"/>
                <w:highlight w:val="none"/>
              </w:rPr>
              <w:t>3</w:t>
            </w:r>
          </w:p>
        </w:tc>
        <w:tc>
          <w:tcPr>
            <w:tcW w:w="1235" w:type="pct"/>
          </w:tcPr>
          <w:p>
            <w:pPr>
              <w:shd w:val="clear"/>
              <w:spacing w:line="360" w:lineRule="auto"/>
              <w:rPr>
                <w:rFonts w:ascii="宋体" w:hAnsi="宋体" w:cs="宋体"/>
                <w:color w:val="auto"/>
                <w:sz w:val="24"/>
                <w:highlight w:val="none"/>
              </w:rPr>
            </w:pPr>
          </w:p>
        </w:tc>
        <w:tc>
          <w:tcPr>
            <w:tcW w:w="648" w:type="pct"/>
          </w:tcPr>
          <w:p>
            <w:pPr>
              <w:shd w:val="clear"/>
              <w:spacing w:line="360" w:lineRule="auto"/>
              <w:rPr>
                <w:rFonts w:ascii="宋体" w:hAnsi="宋体" w:cs="宋体"/>
                <w:color w:val="auto"/>
                <w:sz w:val="24"/>
                <w:highlight w:val="none"/>
              </w:rPr>
            </w:pPr>
          </w:p>
        </w:tc>
        <w:tc>
          <w:tcPr>
            <w:tcW w:w="570" w:type="pct"/>
          </w:tcPr>
          <w:p>
            <w:pPr>
              <w:shd w:val="clear"/>
              <w:spacing w:line="360" w:lineRule="auto"/>
              <w:rPr>
                <w:rFonts w:ascii="宋体" w:hAnsi="宋体" w:cs="宋体"/>
                <w:color w:val="auto"/>
                <w:sz w:val="24"/>
                <w:highlight w:val="none"/>
              </w:rPr>
            </w:pPr>
          </w:p>
        </w:tc>
        <w:tc>
          <w:tcPr>
            <w:tcW w:w="323" w:type="pct"/>
          </w:tcPr>
          <w:p>
            <w:pPr>
              <w:shd w:val="clear"/>
              <w:spacing w:line="360" w:lineRule="auto"/>
              <w:rPr>
                <w:rFonts w:ascii="宋体" w:hAnsi="宋体" w:cs="宋体"/>
                <w:color w:val="auto"/>
                <w:sz w:val="24"/>
                <w:highlight w:val="none"/>
              </w:rPr>
            </w:pPr>
          </w:p>
        </w:tc>
        <w:tc>
          <w:tcPr>
            <w:tcW w:w="324" w:type="pct"/>
          </w:tcPr>
          <w:p>
            <w:pPr>
              <w:shd w:val="clear"/>
              <w:spacing w:line="360" w:lineRule="auto"/>
              <w:rPr>
                <w:rFonts w:ascii="宋体" w:hAnsi="宋体" w:cs="宋体"/>
                <w:color w:val="auto"/>
                <w:sz w:val="24"/>
                <w:highlight w:val="none"/>
              </w:rPr>
            </w:pPr>
          </w:p>
        </w:tc>
        <w:tc>
          <w:tcPr>
            <w:tcW w:w="323" w:type="pct"/>
          </w:tcPr>
          <w:p>
            <w:pPr>
              <w:shd w:val="clear"/>
              <w:spacing w:line="360" w:lineRule="auto"/>
              <w:rPr>
                <w:rFonts w:ascii="宋体" w:hAnsi="宋体" w:cs="宋体"/>
                <w:color w:val="auto"/>
                <w:sz w:val="24"/>
                <w:highlight w:val="none"/>
              </w:rPr>
            </w:pPr>
          </w:p>
        </w:tc>
        <w:tc>
          <w:tcPr>
            <w:tcW w:w="453" w:type="pct"/>
          </w:tcPr>
          <w:p>
            <w:pPr>
              <w:shd w:val="clear"/>
              <w:spacing w:line="360" w:lineRule="auto"/>
              <w:rPr>
                <w:rFonts w:ascii="宋体" w:hAnsi="宋体" w:cs="宋体"/>
                <w:color w:val="auto"/>
                <w:sz w:val="24"/>
                <w:highlight w:val="none"/>
              </w:rPr>
            </w:pPr>
          </w:p>
        </w:tc>
        <w:tc>
          <w:tcPr>
            <w:tcW w:w="454" w:type="pct"/>
          </w:tcPr>
          <w:p>
            <w:pPr>
              <w:shd w:val="clear"/>
              <w:spacing w:line="360" w:lineRule="auto"/>
              <w:rPr>
                <w:rFonts w:ascii="宋体" w:hAnsi="宋体" w:cs="宋体"/>
                <w:color w:val="auto"/>
                <w:sz w:val="24"/>
                <w:highlight w:val="none"/>
              </w:rPr>
            </w:pPr>
          </w:p>
        </w:tc>
        <w:tc>
          <w:tcPr>
            <w:tcW w:w="328" w:type="pct"/>
          </w:tcPr>
          <w:p>
            <w:pPr>
              <w:shd w:val="clear"/>
              <w:spacing w:line="360" w:lineRule="auto"/>
              <w:rPr>
                <w:rFonts w:ascii="宋体" w:hAnsi="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337" w:type="pct"/>
          </w:tcPr>
          <w:p>
            <w:pPr>
              <w:shd w:val="clear"/>
              <w:spacing w:before="255" w:line="360" w:lineRule="auto"/>
              <w:ind w:left="158"/>
              <w:rPr>
                <w:rFonts w:ascii="宋体" w:hAnsi="宋体" w:cs="宋体"/>
                <w:color w:val="auto"/>
                <w:sz w:val="24"/>
                <w:highlight w:val="none"/>
              </w:rPr>
            </w:pPr>
            <w:r>
              <w:rPr>
                <w:rFonts w:hint="eastAsia" w:ascii="宋体" w:hAnsi="宋体" w:cs="宋体"/>
                <w:color w:val="auto"/>
                <w:position w:val="2"/>
                <w:sz w:val="24"/>
                <w:highlight w:val="none"/>
              </w:rPr>
              <w:t>…</w:t>
            </w:r>
          </w:p>
        </w:tc>
        <w:tc>
          <w:tcPr>
            <w:tcW w:w="1235" w:type="pct"/>
          </w:tcPr>
          <w:p>
            <w:pPr>
              <w:shd w:val="clear"/>
              <w:spacing w:line="360" w:lineRule="auto"/>
              <w:rPr>
                <w:rFonts w:ascii="宋体" w:hAnsi="宋体" w:cs="宋体"/>
                <w:color w:val="auto"/>
                <w:sz w:val="24"/>
                <w:highlight w:val="none"/>
              </w:rPr>
            </w:pPr>
          </w:p>
        </w:tc>
        <w:tc>
          <w:tcPr>
            <w:tcW w:w="648" w:type="pct"/>
          </w:tcPr>
          <w:p>
            <w:pPr>
              <w:shd w:val="clear"/>
              <w:spacing w:line="360" w:lineRule="auto"/>
              <w:rPr>
                <w:rFonts w:ascii="宋体" w:hAnsi="宋体" w:cs="宋体"/>
                <w:color w:val="auto"/>
                <w:sz w:val="24"/>
                <w:highlight w:val="none"/>
              </w:rPr>
            </w:pPr>
          </w:p>
        </w:tc>
        <w:tc>
          <w:tcPr>
            <w:tcW w:w="570" w:type="pct"/>
          </w:tcPr>
          <w:p>
            <w:pPr>
              <w:shd w:val="clear"/>
              <w:spacing w:line="360" w:lineRule="auto"/>
              <w:rPr>
                <w:rFonts w:ascii="宋体" w:hAnsi="宋体" w:cs="宋体"/>
                <w:color w:val="auto"/>
                <w:sz w:val="24"/>
                <w:highlight w:val="none"/>
              </w:rPr>
            </w:pPr>
          </w:p>
        </w:tc>
        <w:tc>
          <w:tcPr>
            <w:tcW w:w="323" w:type="pct"/>
          </w:tcPr>
          <w:p>
            <w:pPr>
              <w:shd w:val="clear"/>
              <w:spacing w:line="360" w:lineRule="auto"/>
              <w:rPr>
                <w:rFonts w:ascii="宋体" w:hAnsi="宋体" w:cs="宋体"/>
                <w:color w:val="auto"/>
                <w:sz w:val="24"/>
                <w:highlight w:val="none"/>
              </w:rPr>
            </w:pPr>
          </w:p>
        </w:tc>
        <w:tc>
          <w:tcPr>
            <w:tcW w:w="324" w:type="pct"/>
          </w:tcPr>
          <w:p>
            <w:pPr>
              <w:shd w:val="clear"/>
              <w:spacing w:line="360" w:lineRule="auto"/>
              <w:rPr>
                <w:rFonts w:ascii="宋体" w:hAnsi="宋体" w:cs="宋体"/>
                <w:color w:val="auto"/>
                <w:sz w:val="24"/>
                <w:highlight w:val="none"/>
              </w:rPr>
            </w:pPr>
          </w:p>
        </w:tc>
        <w:tc>
          <w:tcPr>
            <w:tcW w:w="323" w:type="pct"/>
          </w:tcPr>
          <w:p>
            <w:pPr>
              <w:shd w:val="clear"/>
              <w:spacing w:line="360" w:lineRule="auto"/>
              <w:rPr>
                <w:rFonts w:ascii="宋体" w:hAnsi="宋体" w:cs="宋体"/>
                <w:color w:val="auto"/>
                <w:sz w:val="24"/>
                <w:highlight w:val="none"/>
              </w:rPr>
            </w:pPr>
          </w:p>
        </w:tc>
        <w:tc>
          <w:tcPr>
            <w:tcW w:w="453" w:type="pct"/>
          </w:tcPr>
          <w:p>
            <w:pPr>
              <w:shd w:val="clear"/>
              <w:spacing w:line="360" w:lineRule="auto"/>
              <w:rPr>
                <w:rFonts w:ascii="宋体" w:hAnsi="宋体" w:cs="宋体"/>
                <w:color w:val="auto"/>
                <w:sz w:val="24"/>
                <w:highlight w:val="none"/>
              </w:rPr>
            </w:pPr>
          </w:p>
        </w:tc>
        <w:tc>
          <w:tcPr>
            <w:tcW w:w="454" w:type="pct"/>
          </w:tcPr>
          <w:p>
            <w:pPr>
              <w:shd w:val="clear"/>
              <w:spacing w:line="360" w:lineRule="auto"/>
              <w:rPr>
                <w:rFonts w:ascii="宋体" w:hAnsi="宋体" w:cs="宋体"/>
                <w:color w:val="auto"/>
                <w:sz w:val="24"/>
                <w:highlight w:val="none"/>
              </w:rPr>
            </w:pPr>
          </w:p>
        </w:tc>
        <w:tc>
          <w:tcPr>
            <w:tcW w:w="328" w:type="pct"/>
          </w:tcPr>
          <w:p>
            <w:pPr>
              <w:shd w:val="clear"/>
              <w:spacing w:line="360" w:lineRule="auto"/>
              <w:rPr>
                <w:rFonts w:ascii="宋体" w:hAnsi="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337" w:type="pct"/>
            <w:textDirection w:val="tbRlV"/>
          </w:tcPr>
          <w:p>
            <w:pPr>
              <w:shd w:val="clear"/>
              <w:spacing w:before="136" w:line="360" w:lineRule="auto"/>
              <w:ind w:left="261"/>
              <w:rPr>
                <w:rFonts w:ascii="宋体" w:hAnsi="宋体" w:cs="宋体"/>
                <w:color w:val="auto"/>
                <w:sz w:val="24"/>
                <w:highlight w:val="none"/>
              </w:rPr>
            </w:pPr>
            <w:r>
              <w:rPr>
                <w:rFonts w:hint="eastAsia" w:ascii="宋体" w:hAnsi="宋体" w:cs="宋体"/>
                <w:color w:val="auto"/>
                <w:spacing w:val="-1"/>
                <w:sz w:val="24"/>
                <w:highlight w:val="none"/>
              </w:rPr>
              <w:t xml:space="preserve">合 </w:t>
            </w:r>
            <w:r>
              <w:rPr>
                <w:rFonts w:hint="eastAsia" w:ascii="宋体" w:hAnsi="宋体" w:cs="宋体"/>
                <w:color w:val="auto"/>
                <w:sz w:val="24"/>
                <w:highlight w:val="none"/>
              </w:rPr>
              <w:t>计</w:t>
            </w:r>
          </w:p>
        </w:tc>
        <w:tc>
          <w:tcPr>
            <w:tcW w:w="4662" w:type="pct"/>
            <w:gridSpan w:val="9"/>
          </w:tcPr>
          <w:p>
            <w:pPr>
              <w:shd w:val="clear"/>
              <w:spacing w:line="360" w:lineRule="auto"/>
              <w:rPr>
                <w:rFonts w:ascii="宋体" w:hAnsi="宋体" w:cs="宋体"/>
                <w:color w:val="auto"/>
                <w:sz w:val="24"/>
                <w:highlight w:val="none"/>
              </w:rPr>
            </w:pPr>
          </w:p>
          <w:p>
            <w:pPr>
              <w:shd w:val="clear"/>
              <w:spacing w:before="68" w:line="360" w:lineRule="auto"/>
              <w:ind w:left="113"/>
              <w:rPr>
                <w:rFonts w:ascii="宋体" w:hAnsi="宋体" w:cs="宋体"/>
                <w:color w:val="auto"/>
                <w:sz w:val="24"/>
                <w:highlight w:val="none"/>
              </w:rPr>
            </w:pPr>
            <w:r>
              <w:rPr>
                <w:rFonts w:hint="eastAsia" w:ascii="宋体" w:hAnsi="宋体" w:cs="宋体"/>
                <w:color w:val="auto"/>
                <w:spacing w:val="7"/>
                <w:sz w:val="24"/>
                <w:highlight w:val="none"/>
              </w:rPr>
              <w:t>人</w:t>
            </w:r>
            <w:r>
              <w:rPr>
                <w:rFonts w:hint="eastAsia" w:ascii="宋体" w:hAnsi="宋体" w:cs="宋体"/>
                <w:color w:val="auto"/>
                <w:spacing w:val="6"/>
                <w:sz w:val="24"/>
                <w:highlight w:val="none"/>
              </w:rPr>
              <w:t>民币 (大写)：</w:t>
            </w:r>
          </w:p>
        </w:tc>
      </w:tr>
    </w:tbl>
    <w:p>
      <w:pPr>
        <w:shd w:val="clear"/>
        <w:spacing w:before="128" w:line="360" w:lineRule="auto"/>
        <w:ind w:left="185"/>
        <w:rPr>
          <w:rFonts w:ascii="宋体" w:hAnsi="宋体" w:cs="宋体"/>
          <w:color w:val="auto"/>
          <w:sz w:val="24"/>
          <w:highlight w:val="none"/>
        </w:rPr>
      </w:pPr>
      <w:r>
        <w:rPr>
          <w:rFonts w:hint="eastAsia" w:ascii="宋体" w:hAnsi="宋体" w:cs="宋体"/>
          <w:color w:val="auto"/>
          <w:spacing w:val="-11"/>
          <w:sz w:val="24"/>
          <w:highlight w:val="none"/>
        </w:rPr>
        <w:t>附</w:t>
      </w:r>
      <w:r>
        <w:rPr>
          <w:rFonts w:hint="eastAsia" w:ascii="宋体" w:hAnsi="宋体" w:cs="宋体"/>
          <w:color w:val="auto"/>
          <w:spacing w:val="-6"/>
          <w:sz w:val="24"/>
          <w:highlight w:val="none"/>
        </w:rPr>
        <w:t>： 1. 技术规格书(技术参数及要求)</w:t>
      </w:r>
    </w:p>
    <w:p>
      <w:pPr>
        <w:shd w:val="clear"/>
        <w:spacing w:before="217" w:line="360" w:lineRule="auto"/>
        <w:ind w:left="592"/>
        <w:rPr>
          <w:rFonts w:ascii="宋体" w:hAnsi="宋体" w:cs="宋体"/>
          <w:color w:val="auto"/>
          <w:sz w:val="24"/>
          <w:highlight w:val="none"/>
        </w:rPr>
      </w:pPr>
      <w:r>
        <w:rPr>
          <w:rFonts w:hint="eastAsia" w:ascii="宋体" w:hAnsi="宋体" w:cs="宋体"/>
          <w:color w:val="auto"/>
          <w:spacing w:val="-1"/>
          <w:sz w:val="24"/>
          <w:highlight w:val="none"/>
        </w:rPr>
        <w:t>2. 售后服务承</w:t>
      </w:r>
      <w:r>
        <w:rPr>
          <w:rFonts w:hint="eastAsia" w:ascii="宋体" w:hAnsi="宋体" w:cs="宋体"/>
          <w:color w:val="auto"/>
          <w:sz w:val="24"/>
          <w:highlight w:val="none"/>
        </w:rPr>
        <w:t>诺</w:t>
      </w:r>
    </w:p>
    <w:p>
      <w:pPr>
        <w:shd w:val="clear"/>
        <w:spacing w:before="218" w:line="360" w:lineRule="auto"/>
        <w:ind w:left="592"/>
        <w:outlineLvl w:val="6"/>
        <w:rPr>
          <w:rFonts w:ascii="宋体" w:hAnsi="宋体" w:cs="宋体"/>
          <w:b/>
          <w:bCs/>
          <w:color w:val="auto"/>
          <w:sz w:val="24"/>
          <w:highlight w:val="none"/>
        </w:rPr>
      </w:pPr>
      <w:r>
        <w:rPr>
          <w:rFonts w:hint="eastAsia" w:ascii="宋体" w:hAnsi="宋体" w:cs="宋体"/>
          <w:b/>
          <w:bCs/>
          <w:color w:val="auto"/>
          <w:spacing w:val="-1"/>
          <w:sz w:val="24"/>
          <w:highlight w:val="none"/>
        </w:rPr>
        <w:t>二、合同</w:t>
      </w:r>
      <w:r>
        <w:rPr>
          <w:rFonts w:hint="eastAsia" w:ascii="宋体" w:hAnsi="宋体" w:cs="宋体"/>
          <w:b/>
          <w:bCs/>
          <w:color w:val="auto"/>
          <w:sz w:val="24"/>
          <w:highlight w:val="none"/>
        </w:rPr>
        <w:t>金额</w:t>
      </w:r>
    </w:p>
    <w:p>
      <w:pPr>
        <w:shd w:val="clear"/>
        <w:spacing w:before="216" w:line="360" w:lineRule="auto"/>
        <w:ind w:left="593"/>
        <w:rPr>
          <w:rFonts w:ascii="宋体" w:hAnsi="宋体" w:cs="宋体"/>
          <w:color w:val="auto"/>
          <w:sz w:val="24"/>
          <w:highlight w:val="none"/>
        </w:rPr>
      </w:pPr>
      <w:r>
        <w:rPr>
          <w:rFonts w:hint="eastAsia" w:ascii="宋体" w:hAnsi="宋体" w:cs="宋体"/>
          <w:color w:val="auto"/>
          <w:spacing w:val="-1"/>
          <w:sz w:val="24"/>
          <w:highlight w:val="none"/>
        </w:rPr>
        <w:t>人民币(大写)：</w:t>
      </w:r>
      <w:r>
        <w:rPr>
          <w:rFonts w:hint="eastAsia" w:ascii="宋体" w:hAnsi="宋体" w:cs="宋体"/>
          <w:color w:val="auto"/>
          <w:spacing w:val="-1"/>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hd w:val="clear"/>
        <w:spacing w:before="217" w:line="360" w:lineRule="auto"/>
        <w:ind w:left="169" w:right="158" w:firstLine="480"/>
        <w:rPr>
          <w:rFonts w:ascii="宋体" w:hAnsi="宋体" w:cs="宋体"/>
          <w:color w:val="auto"/>
          <w:sz w:val="24"/>
          <w:highlight w:val="none"/>
        </w:rPr>
      </w:pPr>
      <w:r>
        <w:rPr>
          <w:rFonts w:hint="eastAsia" w:ascii="宋体" w:hAnsi="宋体" w:cs="宋体"/>
          <w:color w:val="auto"/>
          <w:spacing w:val="1"/>
          <w:sz w:val="24"/>
          <w:highlight w:val="none"/>
        </w:rPr>
        <w:t>合同价款的组成：货物(设备) 价款及运输、装卸、安装及相关材料费、调试费</w:t>
      </w:r>
      <w:r>
        <w:rPr>
          <w:rFonts w:hint="eastAsia" w:ascii="宋体" w:hAnsi="宋体" w:cs="宋体"/>
          <w:color w:val="auto"/>
          <w:sz w:val="24"/>
          <w:highlight w:val="none"/>
        </w:rPr>
        <w:t xml:space="preserve">、软件费、保 </w:t>
      </w:r>
      <w:r>
        <w:rPr>
          <w:rFonts w:hint="eastAsia" w:ascii="宋体" w:hAnsi="宋体" w:cs="宋体"/>
          <w:color w:val="auto"/>
          <w:spacing w:val="-2"/>
          <w:sz w:val="24"/>
          <w:highlight w:val="none"/>
        </w:rPr>
        <w:t>修、人员培训、</w:t>
      </w:r>
      <w:r>
        <w:rPr>
          <w:rFonts w:hint="eastAsia" w:ascii="宋体" w:hAnsi="宋体" w:cs="宋体"/>
          <w:color w:val="auto"/>
          <w:spacing w:val="-1"/>
          <w:sz w:val="24"/>
          <w:highlight w:val="none"/>
        </w:rPr>
        <w:t>税金等费用。</w:t>
      </w:r>
    </w:p>
    <w:p>
      <w:pPr>
        <w:shd w:val="clear"/>
        <w:spacing w:before="68" w:line="360" w:lineRule="auto"/>
        <w:ind w:left="517"/>
        <w:outlineLvl w:val="6"/>
        <w:rPr>
          <w:rFonts w:ascii="宋体" w:hAnsi="宋体" w:cs="宋体"/>
          <w:b/>
          <w:bCs/>
          <w:color w:val="auto"/>
          <w:sz w:val="24"/>
          <w:highlight w:val="none"/>
        </w:rPr>
      </w:pPr>
      <w:r>
        <w:rPr>
          <w:rFonts w:hint="eastAsia" w:ascii="宋体" w:hAnsi="宋体" w:cs="宋体"/>
          <w:b/>
          <w:bCs/>
          <w:color w:val="auto"/>
          <w:spacing w:val="1"/>
          <w:sz w:val="24"/>
          <w:highlight w:val="none"/>
        </w:rPr>
        <w:t>三、</w:t>
      </w:r>
      <w:r>
        <w:rPr>
          <w:rFonts w:hint="eastAsia" w:ascii="宋体" w:hAnsi="宋体" w:cs="宋体"/>
          <w:b/>
          <w:bCs/>
          <w:color w:val="auto"/>
          <w:sz w:val="24"/>
          <w:highlight w:val="none"/>
        </w:rPr>
        <w:t>质量及技术规格要求</w:t>
      </w:r>
    </w:p>
    <w:p>
      <w:pPr>
        <w:shd w:val="clear"/>
        <w:spacing w:before="218" w:line="360" w:lineRule="auto"/>
        <w:ind w:left="39" w:right="68" w:firstLine="493"/>
        <w:rPr>
          <w:rFonts w:ascii="宋体" w:hAnsi="宋体" w:cs="宋体"/>
          <w:color w:val="auto"/>
          <w:sz w:val="24"/>
          <w:highlight w:val="none"/>
        </w:rPr>
      </w:pPr>
      <w:r>
        <w:rPr>
          <w:rFonts w:hint="eastAsia" w:ascii="宋体" w:hAnsi="宋体" w:cs="宋体"/>
          <w:color w:val="auto"/>
          <w:spacing w:val="14"/>
          <w:sz w:val="24"/>
          <w:highlight w:val="none"/>
        </w:rPr>
        <w:t>1.</w:t>
      </w:r>
      <w:r>
        <w:rPr>
          <w:rFonts w:hint="eastAsia" w:ascii="宋体" w:hAnsi="宋体" w:cs="宋体"/>
          <w:color w:val="auto"/>
          <w:spacing w:val="10"/>
          <w:sz w:val="24"/>
          <w:highlight w:val="none"/>
        </w:rPr>
        <w:t xml:space="preserve"> </w:t>
      </w:r>
      <w:r>
        <w:rPr>
          <w:rFonts w:hint="eastAsia" w:ascii="宋体" w:hAnsi="宋体" w:cs="宋体"/>
          <w:color w:val="auto"/>
          <w:spacing w:val="7"/>
          <w:sz w:val="24"/>
          <w:highlight w:val="none"/>
        </w:rPr>
        <w:t>乙方须按合同要求提供全新货物(设备)(包括零件、附件、备品备件等)，货物(设备)</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的质量标准、规格型号、</w:t>
      </w:r>
      <w:r>
        <w:rPr>
          <w:rFonts w:hint="eastAsia" w:ascii="宋体" w:hAnsi="宋体" w:cs="宋体"/>
          <w:color w:val="auto"/>
          <w:sz w:val="24"/>
          <w:highlight w:val="none"/>
        </w:rPr>
        <w:t xml:space="preserve">具体配置、数量等符合磋商文件要求，其产品为原厂生产，且应达到乙方 </w:t>
      </w:r>
      <w:r>
        <w:rPr>
          <w:rFonts w:hint="eastAsia" w:ascii="宋体" w:hAnsi="宋体" w:cs="宋体"/>
          <w:color w:val="auto"/>
          <w:spacing w:val="-2"/>
          <w:sz w:val="24"/>
          <w:highlight w:val="none"/>
        </w:rPr>
        <w:t>投标文件</w:t>
      </w:r>
      <w:r>
        <w:rPr>
          <w:rFonts w:hint="eastAsia" w:ascii="宋体" w:hAnsi="宋体" w:cs="宋体"/>
          <w:color w:val="auto"/>
          <w:spacing w:val="-1"/>
          <w:sz w:val="24"/>
          <w:highlight w:val="none"/>
        </w:rPr>
        <w:t>及澄清文件中明确的技术标准。</w:t>
      </w:r>
    </w:p>
    <w:p>
      <w:pPr>
        <w:shd w:val="clear"/>
        <w:spacing w:before="2" w:line="360" w:lineRule="auto"/>
        <w:ind w:left="37" w:right="66" w:firstLine="482"/>
        <w:rPr>
          <w:rFonts w:ascii="宋体" w:hAnsi="宋体" w:cs="宋体"/>
          <w:color w:val="auto"/>
          <w:sz w:val="24"/>
          <w:highlight w:val="none"/>
        </w:rPr>
      </w:pPr>
      <w:r>
        <w:rPr>
          <w:rFonts w:hint="eastAsia" w:ascii="宋体" w:hAnsi="宋体" w:cs="宋体"/>
          <w:color w:val="auto"/>
          <w:spacing w:val="-2"/>
          <w:sz w:val="24"/>
          <w:highlight w:val="none"/>
        </w:rPr>
        <w:t>2. 乙方应在本合同生效后 7 个工作日内向甲方提</w:t>
      </w:r>
      <w:r>
        <w:rPr>
          <w:rFonts w:hint="eastAsia" w:ascii="宋体" w:hAnsi="宋体" w:cs="宋体"/>
          <w:color w:val="auto"/>
          <w:spacing w:val="-1"/>
          <w:sz w:val="24"/>
          <w:highlight w:val="none"/>
        </w:rPr>
        <w:t>供安装计划及质量控制规范，并于约定时间</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前进驻安</w:t>
      </w:r>
      <w:r>
        <w:rPr>
          <w:rFonts w:hint="eastAsia" w:ascii="宋体" w:hAnsi="宋体" w:cs="宋体"/>
          <w:color w:val="auto"/>
          <w:spacing w:val="6"/>
          <w:sz w:val="24"/>
          <w:highlight w:val="none"/>
        </w:rPr>
        <w:t>装</w:t>
      </w:r>
      <w:r>
        <w:rPr>
          <w:rFonts w:hint="eastAsia" w:ascii="宋体" w:hAnsi="宋体" w:cs="宋体"/>
          <w:color w:val="auto"/>
          <w:spacing w:val="4"/>
          <w:sz w:val="24"/>
          <w:highlight w:val="none"/>
        </w:rPr>
        <w:t>现场，待所有货物(设备)安装调试完毕后甲方开始组织验收。如甲方无正当理由，不</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得拒绝接收；在安</w:t>
      </w:r>
      <w:r>
        <w:rPr>
          <w:rFonts w:hint="eastAsia" w:ascii="宋体" w:hAnsi="宋体" w:cs="宋体"/>
          <w:color w:val="auto"/>
          <w:sz w:val="24"/>
          <w:highlight w:val="none"/>
        </w:rPr>
        <w:t xml:space="preserve">装调试过程中，甲方有权采取适当的方式对乙方产品质量标准、规格型号、具体 </w:t>
      </w:r>
      <w:r>
        <w:rPr>
          <w:rFonts w:hint="eastAsia" w:ascii="宋体" w:hAnsi="宋体" w:cs="宋体"/>
          <w:color w:val="auto"/>
          <w:spacing w:val="-1"/>
          <w:sz w:val="24"/>
          <w:highlight w:val="none"/>
        </w:rPr>
        <w:t>配置、数量以及安装质量和进度等进行检查</w:t>
      </w:r>
      <w:r>
        <w:rPr>
          <w:rFonts w:hint="eastAsia" w:ascii="宋体" w:hAnsi="宋体" w:cs="宋体"/>
          <w:color w:val="auto"/>
          <w:sz w:val="24"/>
          <w:highlight w:val="none"/>
        </w:rPr>
        <w:t>。</w:t>
      </w:r>
    </w:p>
    <w:p>
      <w:pPr>
        <w:shd w:val="clear"/>
        <w:spacing w:line="360" w:lineRule="auto"/>
        <w:ind w:left="479"/>
        <w:outlineLvl w:val="6"/>
        <w:rPr>
          <w:rFonts w:ascii="宋体" w:hAnsi="宋体" w:cs="宋体"/>
          <w:b/>
          <w:bCs/>
          <w:color w:val="auto"/>
          <w:sz w:val="24"/>
          <w:highlight w:val="none"/>
        </w:rPr>
      </w:pPr>
      <w:r>
        <w:rPr>
          <w:rFonts w:hint="eastAsia" w:ascii="宋体" w:hAnsi="宋体" w:cs="宋体"/>
          <w:b/>
          <w:bCs/>
          <w:color w:val="auto"/>
          <w:spacing w:val="-2"/>
          <w:sz w:val="24"/>
          <w:highlight w:val="none"/>
        </w:rPr>
        <w:t>四、交货时间、</w:t>
      </w:r>
      <w:r>
        <w:rPr>
          <w:rFonts w:hint="eastAsia" w:ascii="宋体" w:hAnsi="宋体" w:cs="宋体"/>
          <w:b/>
          <w:bCs/>
          <w:color w:val="auto"/>
          <w:spacing w:val="-1"/>
          <w:sz w:val="24"/>
          <w:highlight w:val="none"/>
        </w:rPr>
        <w:t>地点与方式</w:t>
      </w:r>
    </w:p>
    <w:p>
      <w:pPr>
        <w:shd w:val="clear"/>
        <w:spacing w:before="219" w:line="360" w:lineRule="auto"/>
        <w:ind w:left="47" w:right="75" w:firstLine="501"/>
        <w:rPr>
          <w:rFonts w:ascii="宋体" w:hAnsi="宋体" w:cs="宋体"/>
          <w:color w:val="auto"/>
          <w:sz w:val="24"/>
          <w:highlight w:val="none"/>
        </w:rPr>
      </w:pPr>
      <w:r>
        <w:rPr>
          <w:rFonts w:hint="eastAsia" w:ascii="宋体" w:hAnsi="宋体" w:cs="宋体"/>
          <w:color w:val="auto"/>
          <w:spacing w:val="-1"/>
          <w:sz w:val="24"/>
          <w:highlight w:val="none"/>
        </w:rPr>
        <w:t>1.</w:t>
      </w:r>
      <w:r>
        <w:rPr>
          <w:rFonts w:hint="eastAsia" w:ascii="宋体" w:hAnsi="宋体" w:cs="宋体"/>
          <w:color w:val="auto"/>
          <w:sz w:val="24"/>
          <w:highlight w:val="none"/>
        </w:rPr>
        <w:t xml:space="preserve"> 乙方应于合 同生 效后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内将货物 (设备 ) 运 到 甲方指 定地 </w:t>
      </w:r>
      <w:r>
        <w:rPr>
          <w:rFonts w:hint="eastAsia" w:ascii="宋体" w:hAnsi="宋体" w:cs="宋体"/>
          <w:color w:val="auto"/>
          <w:spacing w:val="-1"/>
          <w:sz w:val="24"/>
          <w:highlight w:val="none"/>
        </w:rPr>
        <w:t>点</w:t>
      </w:r>
      <w:r>
        <w:rPr>
          <w:rFonts w:hint="eastAsia" w:ascii="宋体" w:hAnsi="宋体" w:cs="宋体"/>
          <w:color w:val="auto"/>
          <w:spacing w:val="-1"/>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，并按甲方要求安装、调试完毕，具备使用条件。</w:t>
      </w:r>
    </w:p>
    <w:p>
      <w:pPr>
        <w:shd w:val="clear"/>
        <w:spacing w:before="1" w:line="360" w:lineRule="auto"/>
        <w:ind w:left="38" w:right="71" w:firstLine="497"/>
        <w:rPr>
          <w:rFonts w:ascii="宋体" w:hAnsi="宋体" w:cs="宋体"/>
          <w:color w:val="auto"/>
          <w:sz w:val="24"/>
          <w:highlight w:val="none"/>
        </w:rPr>
      </w:pPr>
      <w:r>
        <w:rPr>
          <w:rFonts w:hint="eastAsia" w:ascii="宋体" w:hAnsi="宋体" w:cs="宋体"/>
          <w:color w:val="auto"/>
          <w:spacing w:val="4"/>
          <w:sz w:val="24"/>
          <w:highlight w:val="none"/>
        </w:rPr>
        <w:t xml:space="preserve">2. 乙方负责所供货物(设备) </w:t>
      </w:r>
      <w:r>
        <w:rPr>
          <w:rFonts w:hint="eastAsia" w:ascii="宋体" w:hAnsi="宋体" w:cs="宋体"/>
          <w:color w:val="auto"/>
          <w:spacing w:val="3"/>
          <w:sz w:val="24"/>
          <w:highlight w:val="none"/>
        </w:rPr>
        <w:t>包</w:t>
      </w:r>
      <w:r>
        <w:rPr>
          <w:rFonts w:hint="eastAsia" w:ascii="宋体" w:hAnsi="宋体" w:cs="宋体"/>
          <w:color w:val="auto"/>
          <w:spacing w:val="2"/>
          <w:sz w:val="24"/>
          <w:highlight w:val="none"/>
        </w:rPr>
        <w:t>装、运输、安装和调试，并承担所发生的费用；甲方为乙方</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现场安装提</w:t>
      </w:r>
      <w:r>
        <w:rPr>
          <w:rFonts w:hint="eastAsia" w:ascii="宋体" w:hAnsi="宋体" w:cs="宋体"/>
          <w:color w:val="auto"/>
          <w:sz w:val="24"/>
          <w:highlight w:val="none"/>
        </w:rPr>
        <w:t>供水、电等便利条件。</w:t>
      </w:r>
    </w:p>
    <w:p>
      <w:pPr>
        <w:shd w:val="clear"/>
        <w:spacing w:before="1" w:line="360" w:lineRule="auto"/>
        <w:ind w:left="538"/>
        <w:rPr>
          <w:rFonts w:ascii="宋体" w:hAnsi="宋体" w:cs="宋体"/>
          <w:color w:val="auto"/>
          <w:sz w:val="24"/>
          <w:highlight w:val="none"/>
        </w:rPr>
      </w:pPr>
      <w:r>
        <w:rPr>
          <w:rFonts w:hint="eastAsia" w:ascii="宋体" w:hAnsi="宋体" w:cs="宋体"/>
          <w:color w:val="auto"/>
          <w:spacing w:val="-1"/>
          <w:sz w:val="24"/>
          <w:highlight w:val="none"/>
        </w:rPr>
        <w:t>3. 安装过程中若</w:t>
      </w:r>
      <w:r>
        <w:rPr>
          <w:rFonts w:hint="eastAsia" w:ascii="宋体" w:hAnsi="宋体" w:cs="宋体"/>
          <w:color w:val="auto"/>
          <w:sz w:val="24"/>
          <w:highlight w:val="none"/>
        </w:rPr>
        <w:t>发生安全事故由乙方承担法律责任。</w:t>
      </w:r>
    </w:p>
    <w:p>
      <w:pPr>
        <w:shd w:val="clear"/>
        <w:spacing w:before="216" w:line="360" w:lineRule="auto"/>
        <w:ind w:left="57" w:right="71" w:firstLine="475"/>
        <w:rPr>
          <w:rFonts w:ascii="宋体" w:hAnsi="宋体" w:cs="宋体"/>
          <w:color w:val="auto"/>
          <w:sz w:val="24"/>
          <w:highlight w:val="none"/>
        </w:rPr>
      </w:pPr>
      <w:r>
        <w:rPr>
          <w:rFonts w:hint="eastAsia" w:ascii="宋体" w:hAnsi="宋体" w:cs="宋体"/>
          <w:color w:val="auto"/>
          <w:spacing w:val="-4"/>
          <w:sz w:val="24"/>
          <w:highlight w:val="none"/>
        </w:rPr>
        <w:t>4．</w:t>
      </w:r>
      <w:r>
        <w:rPr>
          <w:rFonts w:hint="eastAsia" w:ascii="宋体" w:hAnsi="宋体" w:cs="宋体"/>
          <w:color w:val="auto"/>
          <w:spacing w:val="-2"/>
          <w:sz w:val="24"/>
          <w:highlight w:val="none"/>
        </w:rPr>
        <w:t>乙方安装人员应服从甲方的管理， 遵守国家法律法规和学校相关制度，否则一切后果均由</w:t>
      </w:r>
      <w:r>
        <w:rPr>
          <w:rFonts w:hint="eastAsia" w:ascii="宋体" w:hAnsi="宋体" w:cs="宋体"/>
          <w:color w:val="auto"/>
          <w:sz w:val="24"/>
          <w:highlight w:val="none"/>
        </w:rPr>
        <w:t xml:space="preserve"> </w:t>
      </w:r>
      <w:r>
        <w:rPr>
          <w:rFonts w:hint="eastAsia" w:ascii="宋体" w:hAnsi="宋体" w:cs="宋体"/>
          <w:color w:val="auto"/>
          <w:spacing w:val="-9"/>
          <w:sz w:val="24"/>
          <w:highlight w:val="none"/>
        </w:rPr>
        <w:t>乙</w:t>
      </w:r>
      <w:r>
        <w:rPr>
          <w:rFonts w:hint="eastAsia" w:ascii="宋体" w:hAnsi="宋体" w:cs="宋体"/>
          <w:color w:val="auto"/>
          <w:spacing w:val="-8"/>
          <w:sz w:val="24"/>
          <w:highlight w:val="none"/>
        </w:rPr>
        <w:t>方承担。</w:t>
      </w:r>
    </w:p>
    <w:p>
      <w:pPr>
        <w:shd w:val="clear"/>
        <w:spacing w:before="1" w:line="360" w:lineRule="auto"/>
        <w:ind w:left="54" w:right="86" w:firstLine="483"/>
        <w:rPr>
          <w:rFonts w:ascii="宋体" w:hAnsi="宋体" w:cs="宋体"/>
          <w:color w:val="auto"/>
          <w:sz w:val="24"/>
          <w:highlight w:val="none"/>
        </w:rPr>
      </w:pPr>
      <w:r>
        <w:rPr>
          <w:rFonts w:hint="eastAsia" w:ascii="宋体" w:hAnsi="宋体" w:cs="宋体"/>
          <w:color w:val="auto"/>
          <w:spacing w:val="24"/>
          <w:sz w:val="24"/>
          <w:highlight w:val="none"/>
        </w:rPr>
        <w:t>5</w:t>
      </w:r>
      <w:r>
        <w:rPr>
          <w:rFonts w:hint="eastAsia" w:ascii="宋体" w:hAnsi="宋体" w:cs="宋体"/>
          <w:color w:val="auto"/>
          <w:spacing w:val="19"/>
          <w:sz w:val="24"/>
          <w:highlight w:val="none"/>
        </w:rPr>
        <w:t>.</w:t>
      </w:r>
      <w:r>
        <w:rPr>
          <w:rFonts w:hint="eastAsia" w:ascii="宋体" w:hAnsi="宋体" w:cs="宋体"/>
          <w:color w:val="auto"/>
          <w:spacing w:val="12"/>
          <w:sz w:val="24"/>
          <w:highlight w:val="none"/>
        </w:rPr>
        <w:t xml:space="preserve"> 货物(设备)交付使用前，乙方负责对提供货物(设备)进行看管，并承担货物(设备)</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的</w:t>
      </w:r>
      <w:r>
        <w:rPr>
          <w:rFonts w:hint="eastAsia" w:ascii="宋体" w:hAnsi="宋体" w:cs="宋体"/>
          <w:color w:val="auto"/>
          <w:spacing w:val="-2"/>
          <w:sz w:val="24"/>
          <w:highlight w:val="none"/>
        </w:rPr>
        <w:t>丢失、损毁等风险。</w:t>
      </w:r>
    </w:p>
    <w:p>
      <w:pPr>
        <w:shd w:val="clear"/>
        <w:spacing w:before="1" w:line="360" w:lineRule="auto"/>
        <w:ind w:firstLine="566" w:firstLineChars="238"/>
        <w:jc w:val="left"/>
        <w:rPr>
          <w:rFonts w:ascii="宋体" w:hAnsi="宋体" w:cs="宋体"/>
          <w:color w:val="auto"/>
          <w:sz w:val="24"/>
          <w:highlight w:val="none"/>
        </w:rPr>
      </w:pPr>
      <w:r>
        <w:rPr>
          <w:rFonts w:hint="eastAsia" w:ascii="宋体" w:hAnsi="宋体" w:cs="宋体"/>
          <w:color w:val="auto"/>
          <w:spacing w:val="-1"/>
          <w:sz w:val="24"/>
          <w:highlight w:val="none"/>
        </w:rPr>
        <w:t xml:space="preserve">6. 乙方交由承运人运输的在途货物(设备)， </w:t>
      </w:r>
      <w:r>
        <w:rPr>
          <w:rFonts w:hint="eastAsia" w:ascii="宋体" w:hAnsi="宋体" w:cs="宋体"/>
          <w:color w:val="auto"/>
          <w:sz w:val="24"/>
          <w:highlight w:val="none"/>
        </w:rPr>
        <w:t>由乙方承担毁损、灭失的风险。</w:t>
      </w:r>
    </w:p>
    <w:p>
      <w:pPr>
        <w:shd w:val="clear"/>
        <w:spacing w:before="217" w:line="360" w:lineRule="auto"/>
        <w:ind w:left="568"/>
        <w:outlineLvl w:val="6"/>
        <w:rPr>
          <w:rFonts w:ascii="宋体" w:hAnsi="宋体" w:cs="宋体"/>
          <w:b/>
          <w:bCs/>
          <w:color w:val="auto"/>
          <w:sz w:val="24"/>
          <w:highlight w:val="none"/>
        </w:rPr>
      </w:pPr>
      <w:r>
        <w:rPr>
          <w:rFonts w:hint="eastAsia" w:ascii="宋体" w:hAnsi="宋体" w:cs="宋体"/>
          <w:b/>
          <w:bCs/>
          <w:color w:val="auto"/>
          <w:spacing w:val="-1"/>
          <w:sz w:val="24"/>
          <w:highlight w:val="none"/>
        </w:rPr>
        <w:t>五、</w:t>
      </w:r>
      <w:r>
        <w:rPr>
          <w:rFonts w:hint="eastAsia" w:ascii="宋体" w:hAnsi="宋体" w:cs="宋体"/>
          <w:b/>
          <w:bCs/>
          <w:color w:val="auto"/>
          <w:sz w:val="24"/>
          <w:highlight w:val="none"/>
        </w:rPr>
        <w:t>验收、调试及人员培训</w:t>
      </w:r>
    </w:p>
    <w:p>
      <w:pPr>
        <w:shd w:val="clear"/>
        <w:spacing w:before="215" w:line="360" w:lineRule="auto"/>
        <w:ind w:left="37" w:firstLine="510"/>
        <w:rPr>
          <w:rFonts w:ascii="宋体" w:hAnsi="宋体" w:cs="宋体"/>
          <w:color w:val="auto"/>
          <w:sz w:val="24"/>
          <w:highlight w:val="none"/>
        </w:rPr>
      </w:pPr>
      <w:r>
        <w:rPr>
          <w:rFonts w:hint="eastAsia" w:ascii="宋体" w:hAnsi="宋体" w:cs="宋体"/>
          <w:color w:val="auto"/>
          <w:spacing w:val="10"/>
          <w:sz w:val="24"/>
          <w:highlight w:val="none"/>
        </w:rPr>
        <w:t>1</w:t>
      </w:r>
      <w:r>
        <w:rPr>
          <w:rFonts w:hint="eastAsia" w:ascii="宋体" w:hAnsi="宋体" w:cs="宋体"/>
          <w:color w:val="auto"/>
          <w:spacing w:val="6"/>
          <w:sz w:val="24"/>
          <w:highlight w:val="none"/>
        </w:rPr>
        <w:t>.</w:t>
      </w:r>
      <w:r>
        <w:rPr>
          <w:rFonts w:hint="eastAsia" w:ascii="宋体" w:hAnsi="宋体" w:cs="宋体"/>
          <w:color w:val="auto"/>
          <w:spacing w:val="5"/>
          <w:sz w:val="24"/>
          <w:highlight w:val="none"/>
        </w:rPr>
        <w:t xml:space="preserve"> 验收：到货后，乙方应向甲方移交所供货物(设备)完整的使用说明书、合格证及相关资</w:t>
      </w:r>
      <w:r>
        <w:rPr>
          <w:rFonts w:hint="eastAsia" w:ascii="宋体" w:hAnsi="宋体" w:cs="宋体"/>
          <w:color w:val="auto"/>
          <w:spacing w:val="-2"/>
          <w:sz w:val="24"/>
          <w:highlight w:val="none"/>
        </w:rPr>
        <w:t>料</w:t>
      </w:r>
      <w:r>
        <w:rPr>
          <w:rFonts w:hint="eastAsia" w:ascii="宋体" w:hAnsi="宋体" w:cs="宋体"/>
          <w:color w:val="auto"/>
          <w:spacing w:val="-1"/>
          <w:sz w:val="24"/>
          <w:highlight w:val="none"/>
        </w:rPr>
        <w:t>。乙方将工作完成后，由甲方组织进行验收， 自正式验收合格并交付给甲方之日起计算质保期。</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如果乙方提供的货物与合</w:t>
      </w:r>
      <w:r>
        <w:rPr>
          <w:rFonts w:hint="eastAsia" w:ascii="宋体" w:hAnsi="宋体" w:cs="宋体"/>
          <w:color w:val="auto"/>
          <w:spacing w:val="-3"/>
          <w:sz w:val="24"/>
          <w:highlight w:val="none"/>
        </w:rPr>
        <w:t>同</w:t>
      </w:r>
      <w:r>
        <w:rPr>
          <w:rFonts w:hint="eastAsia" w:ascii="宋体" w:hAnsi="宋体" w:cs="宋体"/>
          <w:color w:val="auto"/>
          <w:spacing w:val="-2"/>
          <w:sz w:val="24"/>
          <w:highlight w:val="none"/>
        </w:rPr>
        <w:t>不符，甲方有权拒绝接收， 由此产生的一切费用由乙方承担。验收程序</w:t>
      </w:r>
      <w:r>
        <w:rPr>
          <w:rFonts w:hint="eastAsia" w:ascii="宋体" w:hAnsi="宋体" w:cs="宋体"/>
          <w:color w:val="auto"/>
          <w:sz w:val="24"/>
          <w:highlight w:val="none"/>
        </w:rPr>
        <w:t xml:space="preserve"> </w:t>
      </w:r>
      <w:r>
        <w:rPr>
          <w:rFonts w:hint="eastAsia" w:ascii="宋体" w:hAnsi="宋体" w:cs="宋体"/>
          <w:color w:val="auto"/>
          <w:spacing w:val="-12"/>
          <w:sz w:val="24"/>
          <w:highlight w:val="none"/>
        </w:rPr>
        <w:t>如下：</w:t>
      </w:r>
    </w:p>
    <w:p>
      <w:pPr>
        <w:shd w:val="clear"/>
        <w:spacing w:before="2" w:line="360" w:lineRule="auto"/>
        <w:ind w:left="37" w:right="16" w:firstLine="500"/>
        <w:rPr>
          <w:rFonts w:ascii="宋体" w:hAnsi="宋体" w:cs="宋体"/>
          <w:color w:val="auto"/>
          <w:sz w:val="24"/>
          <w:highlight w:val="none"/>
        </w:rPr>
      </w:pPr>
      <w:r>
        <w:rPr>
          <w:rFonts w:hint="eastAsia" w:ascii="宋体" w:hAnsi="宋体" w:cs="宋体"/>
          <w:color w:val="auto"/>
          <w:spacing w:val="4"/>
          <w:sz w:val="24"/>
          <w:highlight w:val="none"/>
        </w:rPr>
        <w:t>(1)</w:t>
      </w:r>
      <w:r>
        <w:rPr>
          <w:rFonts w:hint="eastAsia" w:ascii="宋体" w:hAnsi="宋体" w:cs="宋体"/>
          <w:color w:val="auto"/>
          <w:spacing w:val="3"/>
          <w:sz w:val="24"/>
          <w:highlight w:val="none"/>
        </w:rPr>
        <w:t>到</w:t>
      </w:r>
      <w:r>
        <w:rPr>
          <w:rFonts w:hint="eastAsia" w:ascii="宋体" w:hAnsi="宋体" w:cs="宋体"/>
          <w:color w:val="auto"/>
          <w:spacing w:val="2"/>
          <w:sz w:val="24"/>
          <w:highlight w:val="none"/>
        </w:rPr>
        <w:t>货验收。到货后， 检查仪器设备内外包装是否完好，有无破损、碰伤、浸湿、受潮、</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变</w:t>
      </w:r>
      <w:r>
        <w:rPr>
          <w:rFonts w:hint="eastAsia" w:ascii="宋体" w:hAnsi="宋体" w:cs="宋体"/>
          <w:color w:val="auto"/>
          <w:spacing w:val="1"/>
          <w:sz w:val="24"/>
          <w:highlight w:val="none"/>
        </w:rPr>
        <w:t>形等情况。确认所验收货物件数与运输单据填写的件数一致。如发现上述问题，应做详细记录，</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并拍照留据</w:t>
      </w:r>
      <w:r>
        <w:rPr>
          <w:rFonts w:hint="eastAsia" w:ascii="宋体" w:hAnsi="宋体" w:cs="宋体"/>
          <w:color w:val="auto"/>
          <w:sz w:val="24"/>
          <w:highlight w:val="none"/>
        </w:rPr>
        <w:t>。</w:t>
      </w:r>
    </w:p>
    <w:p>
      <w:pPr>
        <w:shd w:val="clear"/>
        <w:spacing w:before="1" w:line="360" w:lineRule="auto"/>
        <w:ind w:firstLine="420" w:firstLineChars="150"/>
        <w:rPr>
          <w:rFonts w:ascii="宋体" w:hAnsi="宋体" w:cs="宋体"/>
          <w:color w:val="auto"/>
          <w:sz w:val="24"/>
          <w:highlight w:val="none"/>
        </w:rPr>
      </w:pPr>
      <w:r>
        <w:rPr>
          <w:rFonts w:hint="eastAsia" w:ascii="宋体" w:hAnsi="宋体" w:cs="宋体"/>
          <w:color w:val="auto"/>
          <w:spacing w:val="20"/>
          <w:sz w:val="24"/>
          <w:highlight w:val="none"/>
        </w:rPr>
        <w:t>(2</w:t>
      </w:r>
      <w:r>
        <w:rPr>
          <w:rFonts w:hint="eastAsia" w:ascii="宋体" w:hAnsi="宋体" w:cs="宋体"/>
          <w:color w:val="auto"/>
          <w:spacing w:val="19"/>
          <w:sz w:val="24"/>
          <w:highlight w:val="none"/>
        </w:rPr>
        <w:t>)</w:t>
      </w:r>
      <w:r>
        <w:rPr>
          <w:rFonts w:hint="eastAsia" w:ascii="宋体" w:hAnsi="宋体" w:cs="宋体"/>
          <w:color w:val="auto"/>
          <w:spacing w:val="10"/>
          <w:sz w:val="24"/>
          <w:highlight w:val="none"/>
        </w:rPr>
        <w:t>开箱(实物及数量参数)验收。到货后开箱检查仪器设备及附件外表有无残损、锈蚀、</w:t>
      </w:r>
      <w:r>
        <w:rPr>
          <w:rFonts w:hint="eastAsia" w:ascii="宋体" w:hAnsi="宋体" w:cs="宋体"/>
          <w:color w:val="auto"/>
          <w:spacing w:val="-1"/>
          <w:sz w:val="24"/>
          <w:highlight w:val="none"/>
        </w:rPr>
        <w:t>碰伤等，检查随机资料是否齐全，如仪器说明书、操作规程</w:t>
      </w:r>
      <w:r>
        <w:rPr>
          <w:rFonts w:hint="eastAsia" w:ascii="宋体" w:hAnsi="宋体" w:cs="宋体"/>
          <w:color w:val="auto"/>
          <w:sz w:val="24"/>
          <w:highlight w:val="none"/>
        </w:rPr>
        <w:t xml:space="preserve">、检修手册、产品检验合格证书等。以 </w:t>
      </w:r>
      <w:r>
        <w:rPr>
          <w:rFonts w:hint="eastAsia" w:ascii="宋体" w:hAnsi="宋体" w:cs="宋体"/>
          <w:color w:val="auto"/>
          <w:spacing w:val="-1"/>
          <w:sz w:val="24"/>
          <w:highlight w:val="none"/>
        </w:rPr>
        <w:t>装箱单为依据，</w:t>
      </w:r>
      <w:r>
        <w:rPr>
          <w:rFonts w:hint="eastAsia" w:ascii="宋体" w:hAnsi="宋体" w:cs="宋体"/>
          <w:color w:val="auto"/>
          <w:sz w:val="24"/>
          <w:highlight w:val="none"/>
        </w:rPr>
        <w:t xml:space="preserve">逐件核对检查主机、附件的规格、型号、配置及数量。以供货合同为依据与装箱单 </w:t>
      </w:r>
      <w:r>
        <w:rPr>
          <w:rFonts w:hint="eastAsia" w:ascii="宋体" w:hAnsi="宋体" w:cs="宋体"/>
          <w:color w:val="auto"/>
          <w:spacing w:val="8"/>
          <w:sz w:val="24"/>
          <w:highlight w:val="none"/>
        </w:rPr>
        <w:t>进</w:t>
      </w:r>
      <w:r>
        <w:rPr>
          <w:rFonts w:hint="eastAsia" w:ascii="宋体" w:hAnsi="宋体" w:cs="宋体"/>
          <w:color w:val="auto"/>
          <w:spacing w:val="4"/>
          <w:sz w:val="24"/>
          <w:highlight w:val="none"/>
        </w:rPr>
        <w:t>行核对， 做好货物(设备)验收清单记录。</w:t>
      </w:r>
    </w:p>
    <w:p>
      <w:pPr>
        <w:shd w:val="clear"/>
        <w:spacing w:before="3" w:line="360" w:lineRule="auto"/>
        <w:ind w:left="37" w:right="24" w:firstLine="500"/>
        <w:rPr>
          <w:rFonts w:ascii="宋体" w:hAnsi="宋体" w:cs="宋体"/>
          <w:color w:val="auto"/>
          <w:sz w:val="24"/>
          <w:highlight w:val="none"/>
        </w:rPr>
      </w:pPr>
      <w:r>
        <w:rPr>
          <w:rFonts w:hint="eastAsia" w:ascii="宋体" w:hAnsi="宋体" w:cs="宋体"/>
          <w:color w:val="auto"/>
          <w:spacing w:val="-1"/>
          <w:sz w:val="24"/>
          <w:highlight w:val="none"/>
        </w:rPr>
        <w:t>(3) 质量验收。按照合同</w:t>
      </w:r>
      <w:r>
        <w:rPr>
          <w:rFonts w:hint="eastAsia" w:ascii="宋体" w:hAnsi="宋体" w:cs="宋体"/>
          <w:color w:val="auto"/>
          <w:sz w:val="24"/>
          <w:highlight w:val="none"/>
        </w:rPr>
        <w:t xml:space="preserve">条款、货物(设备) 使用说明书及操作手册的规定和程序进行安装、 </w:t>
      </w:r>
      <w:r>
        <w:rPr>
          <w:rFonts w:hint="eastAsia" w:ascii="宋体" w:hAnsi="宋体" w:cs="宋体"/>
          <w:color w:val="auto"/>
          <w:spacing w:val="-1"/>
          <w:sz w:val="24"/>
          <w:highlight w:val="none"/>
        </w:rPr>
        <w:t>调试后进行质量验</w:t>
      </w:r>
      <w:r>
        <w:rPr>
          <w:rFonts w:hint="eastAsia" w:ascii="宋体" w:hAnsi="宋体" w:cs="宋体"/>
          <w:color w:val="auto"/>
          <w:sz w:val="24"/>
          <w:highlight w:val="none"/>
        </w:rPr>
        <w:t xml:space="preserve">收，乙方技术人员参加，必要时可委托有资质的第三方(或政府主管部门)进行验 </w:t>
      </w:r>
      <w:r>
        <w:rPr>
          <w:rFonts w:hint="eastAsia" w:ascii="宋体" w:hAnsi="宋体" w:cs="宋体"/>
          <w:color w:val="auto"/>
          <w:spacing w:val="4"/>
          <w:sz w:val="24"/>
          <w:highlight w:val="none"/>
        </w:rPr>
        <w:t>收， 所</w:t>
      </w:r>
      <w:r>
        <w:rPr>
          <w:rFonts w:hint="eastAsia" w:ascii="宋体" w:hAnsi="宋体" w:cs="宋体"/>
          <w:color w:val="auto"/>
          <w:spacing w:val="3"/>
          <w:sz w:val="24"/>
          <w:highlight w:val="none"/>
        </w:rPr>
        <w:t>需</w:t>
      </w:r>
      <w:r>
        <w:rPr>
          <w:rFonts w:hint="eastAsia" w:ascii="宋体" w:hAnsi="宋体" w:cs="宋体"/>
          <w:color w:val="auto"/>
          <w:spacing w:val="2"/>
          <w:sz w:val="24"/>
          <w:highlight w:val="none"/>
        </w:rPr>
        <w:t>费用由乙方承担。验收时对照货物(设备)使用说明书，进行各种技术参数测试，检查仪</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器的技术指标和性能是否达</w:t>
      </w:r>
      <w:r>
        <w:rPr>
          <w:rFonts w:hint="eastAsia" w:ascii="宋体" w:hAnsi="宋体" w:cs="宋体"/>
          <w:color w:val="auto"/>
          <w:spacing w:val="-2"/>
          <w:sz w:val="24"/>
          <w:highlight w:val="none"/>
        </w:rPr>
        <w:t>到要求，做好质量验收记录， 验收结束出具验收报告。若仪器出现质量</w:t>
      </w:r>
      <w:r>
        <w:rPr>
          <w:rFonts w:hint="eastAsia" w:ascii="宋体" w:hAnsi="宋体" w:cs="宋体"/>
          <w:color w:val="auto"/>
          <w:sz w:val="24"/>
          <w:highlight w:val="none"/>
        </w:rPr>
        <w:t xml:space="preserve"> </w:t>
      </w:r>
      <w:r>
        <w:rPr>
          <w:rFonts w:hint="eastAsia" w:ascii="宋体" w:hAnsi="宋体" w:cs="宋体"/>
          <w:color w:val="auto"/>
          <w:spacing w:val="-6"/>
          <w:sz w:val="24"/>
          <w:highlight w:val="none"/>
        </w:rPr>
        <w:t>问题， 应将详细情况书面通知供应商。</w:t>
      </w:r>
    </w:p>
    <w:p>
      <w:pPr>
        <w:shd w:val="clear"/>
        <w:spacing w:line="360" w:lineRule="auto"/>
        <w:ind w:left="459"/>
        <w:rPr>
          <w:rFonts w:ascii="宋体" w:hAnsi="宋体" w:cs="宋体"/>
          <w:color w:val="auto"/>
          <w:sz w:val="24"/>
          <w:highlight w:val="none"/>
        </w:rPr>
      </w:pPr>
      <w:r>
        <w:rPr>
          <w:rFonts w:hint="eastAsia" w:ascii="宋体" w:hAnsi="宋体" w:cs="宋体"/>
          <w:color w:val="auto"/>
          <w:spacing w:val="4"/>
          <w:sz w:val="24"/>
          <w:highlight w:val="none"/>
        </w:rPr>
        <w:t>2. 调试： 乙方负责对</w:t>
      </w:r>
      <w:r>
        <w:rPr>
          <w:rFonts w:hint="eastAsia" w:ascii="宋体" w:hAnsi="宋体" w:cs="宋体"/>
          <w:color w:val="auto"/>
          <w:spacing w:val="3"/>
          <w:sz w:val="24"/>
          <w:highlight w:val="none"/>
        </w:rPr>
        <w:t>货</w:t>
      </w:r>
      <w:r>
        <w:rPr>
          <w:rFonts w:hint="eastAsia" w:ascii="宋体" w:hAnsi="宋体" w:cs="宋体"/>
          <w:color w:val="auto"/>
          <w:spacing w:val="2"/>
          <w:sz w:val="24"/>
          <w:highlight w:val="none"/>
        </w:rPr>
        <w:t>物(设备)免费进行安装调试，并使其投入正常运行。</w:t>
      </w:r>
    </w:p>
    <w:p>
      <w:pPr>
        <w:shd w:val="clear"/>
        <w:spacing w:before="118" w:line="360" w:lineRule="auto"/>
        <w:ind w:left="37" w:right="30" w:firstLine="483"/>
        <w:rPr>
          <w:rFonts w:ascii="宋体" w:hAnsi="宋体" w:cs="宋体"/>
          <w:color w:val="auto"/>
          <w:sz w:val="24"/>
          <w:highlight w:val="none"/>
        </w:rPr>
      </w:pPr>
      <w:r>
        <w:rPr>
          <w:rFonts w:hint="eastAsia" w:ascii="宋体" w:hAnsi="宋体" w:cs="宋体"/>
          <w:color w:val="auto"/>
          <w:spacing w:val="1"/>
          <w:sz w:val="24"/>
          <w:highlight w:val="none"/>
        </w:rPr>
        <w:t>3. 人员培训：乙方免费对甲方人员进行必要的业务及服务培训</w:t>
      </w:r>
      <w:r>
        <w:rPr>
          <w:rFonts w:hint="eastAsia" w:ascii="宋体" w:hAnsi="宋体" w:cs="宋体"/>
          <w:color w:val="auto"/>
          <w:sz w:val="24"/>
          <w:highlight w:val="none"/>
        </w:rPr>
        <w:t>，使其达到正确掌握设备使用</w:t>
      </w:r>
      <w:r>
        <w:rPr>
          <w:rFonts w:hint="eastAsia" w:ascii="宋体" w:hAnsi="宋体" w:cs="宋体"/>
          <w:color w:val="auto"/>
          <w:spacing w:val="-9"/>
          <w:sz w:val="24"/>
          <w:highlight w:val="none"/>
        </w:rPr>
        <w:t>要</w:t>
      </w:r>
      <w:r>
        <w:rPr>
          <w:rFonts w:hint="eastAsia" w:ascii="宋体" w:hAnsi="宋体" w:cs="宋体"/>
          <w:color w:val="auto"/>
          <w:spacing w:val="-8"/>
          <w:sz w:val="24"/>
          <w:highlight w:val="none"/>
        </w:rPr>
        <w:t>求。</w:t>
      </w:r>
    </w:p>
    <w:p>
      <w:pPr>
        <w:shd w:val="clear"/>
        <w:spacing w:before="1" w:line="360" w:lineRule="auto"/>
        <w:ind w:left="624"/>
        <w:outlineLvl w:val="6"/>
        <w:rPr>
          <w:rFonts w:ascii="宋体" w:hAnsi="宋体" w:cs="宋体"/>
          <w:b/>
          <w:bCs/>
          <w:color w:val="auto"/>
          <w:sz w:val="24"/>
          <w:highlight w:val="none"/>
        </w:rPr>
      </w:pPr>
      <w:r>
        <w:rPr>
          <w:rFonts w:hint="eastAsia" w:ascii="宋体" w:hAnsi="宋体" w:cs="宋体"/>
          <w:b/>
          <w:bCs/>
          <w:color w:val="auto"/>
          <w:sz w:val="24"/>
          <w:highlight w:val="none"/>
        </w:rPr>
        <w:t>六、付款方式</w:t>
      </w:r>
    </w:p>
    <w:p>
      <w:pPr>
        <w:keepNext w:val="0"/>
        <w:keepLines w:val="0"/>
        <w:pageBreakBefore w:val="0"/>
        <w:widowControl w:val="0"/>
        <w:shd w:val="clear"/>
        <w:kinsoku/>
        <w:wordWrap/>
        <w:overflowPunct/>
        <w:topLinePunct w:val="0"/>
        <w:autoSpaceDE/>
        <w:autoSpaceDN/>
        <w:bidi w:val="0"/>
        <w:adjustRightInd/>
        <w:snapToGrid/>
        <w:spacing w:before="1" w:line="360" w:lineRule="auto"/>
        <w:ind w:firstLine="425" w:firstLineChars="176"/>
        <w:textAlignment w:val="auto"/>
        <w:outlineLvl w:val="6"/>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合同签订前需提交合同总金额3%的银行履约保函，合同履行完毕,验收合格6个月后退还履约保证金。验收合格后，30天内付至合同价的100%</w:t>
      </w:r>
    </w:p>
    <w:p>
      <w:pPr>
        <w:shd w:val="clear"/>
        <w:spacing w:before="1" w:line="360" w:lineRule="auto"/>
        <w:ind w:left="350"/>
        <w:outlineLvl w:val="6"/>
        <w:rPr>
          <w:rFonts w:ascii="宋体" w:hAnsi="宋体" w:cs="宋体"/>
          <w:b/>
          <w:bCs/>
          <w:color w:val="auto"/>
          <w:sz w:val="24"/>
          <w:highlight w:val="none"/>
        </w:rPr>
      </w:pPr>
      <w:r>
        <w:rPr>
          <w:rFonts w:hint="eastAsia" w:ascii="宋体" w:hAnsi="宋体" w:cs="宋体"/>
          <w:b/>
          <w:bCs/>
          <w:color w:val="auto"/>
          <w:spacing w:val="1"/>
          <w:sz w:val="24"/>
          <w:highlight w:val="none"/>
        </w:rPr>
        <w:t>七、合同的</w:t>
      </w:r>
      <w:r>
        <w:rPr>
          <w:rFonts w:hint="eastAsia" w:ascii="宋体" w:hAnsi="宋体" w:cs="宋体"/>
          <w:b/>
          <w:bCs/>
          <w:color w:val="auto"/>
          <w:sz w:val="24"/>
          <w:highlight w:val="none"/>
        </w:rPr>
        <w:t>履行、变更和解除</w:t>
      </w:r>
    </w:p>
    <w:p>
      <w:pPr>
        <w:shd w:val="clear"/>
        <w:spacing w:before="217" w:line="360" w:lineRule="auto"/>
        <w:ind w:left="472"/>
        <w:rPr>
          <w:rFonts w:ascii="宋体" w:hAnsi="宋体" w:cs="宋体"/>
          <w:color w:val="auto"/>
          <w:sz w:val="24"/>
          <w:highlight w:val="none"/>
        </w:rPr>
      </w:pPr>
      <w:r>
        <w:rPr>
          <w:rFonts w:hint="eastAsia" w:ascii="宋体" w:hAnsi="宋体" w:cs="宋体"/>
          <w:color w:val="auto"/>
          <w:spacing w:val="-1"/>
          <w:sz w:val="24"/>
          <w:highlight w:val="none"/>
        </w:rPr>
        <w:t>1. 合同签订后即具法律效力，甲乙双方均须认真履行，不得随意解除合同。</w:t>
      </w:r>
    </w:p>
    <w:p>
      <w:pPr>
        <w:shd w:val="clear"/>
        <w:spacing w:before="217" w:line="360" w:lineRule="auto"/>
        <w:ind w:left="459"/>
        <w:rPr>
          <w:rFonts w:ascii="宋体" w:hAnsi="宋体" w:cs="宋体"/>
          <w:color w:val="auto"/>
          <w:sz w:val="24"/>
          <w:highlight w:val="none"/>
        </w:rPr>
      </w:pPr>
      <w:r>
        <w:rPr>
          <w:rFonts w:hint="eastAsia" w:ascii="宋体" w:hAnsi="宋体" w:cs="宋体"/>
          <w:color w:val="auto"/>
          <w:spacing w:val="-1"/>
          <w:sz w:val="24"/>
          <w:highlight w:val="none"/>
        </w:rPr>
        <w:t>2. 甲乙</w:t>
      </w:r>
      <w:r>
        <w:rPr>
          <w:rFonts w:hint="eastAsia" w:ascii="宋体" w:hAnsi="宋体" w:cs="宋体"/>
          <w:color w:val="auto"/>
          <w:sz w:val="24"/>
          <w:highlight w:val="none"/>
        </w:rPr>
        <w:t>双方不得擅自变更合同。如因项目需要变更，须经双方书面认可后方可变更。</w:t>
      </w:r>
    </w:p>
    <w:p>
      <w:pPr>
        <w:shd w:val="clear"/>
        <w:spacing w:before="217" w:line="360" w:lineRule="auto"/>
        <w:ind w:left="461"/>
        <w:rPr>
          <w:rFonts w:ascii="宋体" w:hAnsi="宋体" w:cs="宋体"/>
          <w:color w:val="auto"/>
          <w:sz w:val="24"/>
          <w:highlight w:val="none"/>
        </w:rPr>
      </w:pPr>
      <w:r>
        <w:rPr>
          <w:rFonts w:hint="eastAsia" w:ascii="宋体" w:hAnsi="宋体" w:cs="宋体"/>
          <w:color w:val="auto"/>
          <w:spacing w:val="-7"/>
          <w:sz w:val="24"/>
          <w:highlight w:val="none"/>
        </w:rPr>
        <w:t>3. 发生以下情况， 经甲方通知乙方未及时整改的， 甲方有权解除合同</w:t>
      </w:r>
      <w:r>
        <w:rPr>
          <w:rFonts w:hint="eastAsia" w:ascii="宋体" w:hAnsi="宋体" w:cs="宋体"/>
          <w:color w:val="auto"/>
          <w:spacing w:val="-4"/>
          <w:sz w:val="24"/>
          <w:highlight w:val="none"/>
        </w:rPr>
        <w:t>：</w:t>
      </w:r>
    </w:p>
    <w:p>
      <w:pPr>
        <w:shd w:val="clear"/>
        <w:spacing w:before="217" w:line="360" w:lineRule="auto"/>
        <w:ind w:left="463"/>
        <w:rPr>
          <w:rFonts w:ascii="宋体" w:hAnsi="宋体" w:cs="宋体"/>
          <w:color w:val="auto"/>
          <w:sz w:val="24"/>
          <w:highlight w:val="none"/>
        </w:rPr>
      </w:pPr>
      <w:r>
        <w:rPr>
          <w:rFonts w:hint="eastAsia" w:ascii="宋体" w:hAnsi="宋体" w:cs="宋体"/>
          <w:color w:val="auto"/>
          <w:spacing w:val="6"/>
          <w:sz w:val="24"/>
          <w:highlight w:val="none"/>
        </w:rPr>
        <w:t xml:space="preserve">(1) </w:t>
      </w:r>
      <w:r>
        <w:rPr>
          <w:rFonts w:hint="eastAsia" w:ascii="宋体" w:hAnsi="宋体" w:cs="宋体"/>
          <w:color w:val="auto"/>
          <w:spacing w:val="3"/>
          <w:sz w:val="24"/>
          <w:highlight w:val="none"/>
        </w:rPr>
        <w:t>乙方拒绝接受甲方的管理；</w:t>
      </w:r>
    </w:p>
    <w:p>
      <w:pPr>
        <w:shd w:val="clear"/>
        <w:spacing w:before="217" w:line="360" w:lineRule="auto"/>
        <w:ind w:left="465"/>
        <w:rPr>
          <w:rFonts w:ascii="宋体" w:hAnsi="宋体" w:cs="宋体"/>
          <w:color w:val="auto"/>
          <w:sz w:val="24"/>
          <w:highlight w:val="none"/>
        </w:rPr>
      </w:pPr>
      <w:r>
        <w:rPr>
          <w:rFonts w:hint="eastAsia" w:ascii="宋体" w:hAnsi="宋体" w:cs="宋体"/>
          <w:color w:val="auto"/>
          <w:spacing w:val="-2"/>
          <w:sz w:val="24"/>
          <w:highlight w:val="none"/>
        </w:rPr>
        <w:t>(</w:t>
      </w:r>
      <w:r>
        <w:rPr>
          <w:rFonts w:hint="eastAsia" w:ascii="宋体" w:hAnsi="宋体" w:cs="宋体"/>
          <w:color w:val="auto"/>
          <w:spacing w:val="-1"/>
          <w:sz w:val="24"/>
          <w:highlight w:val="none"/>
        </w:rPr>
        <w:t>2) 合同执行期间，乙方因自身问题不能正常供货， 致使供货期严重延误；</w:t>
      </w:r>
    </w:p>
    <w:p>
      <w:pPr>
        <w:shd w:val="clear"/>
        <w:spacing w:before="217" w:line="360" w:lineRule="auto"/>
        <w:ind w:left="463"/>
        <w:rPr>
          <w:rFonts w:ascii="宋体" w:hAnsi="宋体" w:cs="宋体"/>
          <w:color w:val="auto"/>
          <w:sz w:val="24"/>
          <w:highlight w:val="none"/>
        </w:rPr>
      </w:pPr>
      <w:r>
        <w:rPr>
          <w:rFonts w:hint="eastAsia" w:ascii="宋体" w:hAnsi="宋体" w:cs="宋体"/>
          <w:color w:val="auto"/>
          <w:spacing w:val="28"/>
          <w:sz w:val="24"/>
          <w:highlight w:val="none"/>
        </w:rPr>
        <w:t>(</w:t>
      </w:r>
      <w:r>
        <w:rPr>
          <w:rFonts w:hint="eastAsia" w:ascii="宋体" w:hAnsi="宋体" w:cs="宋体"/>
          <w:color w:val="auto"/>
          <w:spacing w:val="16"/>
          <w:sz w:val="24"/>
          <w:highlight w:val="none"/>
        </w:rPr>
        <w:t>3</w:t>
      </w:r>
      <w:r>
        <w:rPr>
          <w:rFonts w:hint="eastAsia" w:ascii="宋体" w:hAnsi="宋体" w:cs="宋体"/>
          <w:color w:val="auto"/>
          <w:spacing w:val="14"/>
          <w:sz w:val="24"/>
          <w:highlight w:val="none"/>
        </w:rPr>
        <w:t>) 所供货物(设备) 不符合招标(采购)、投标(响应性)文件(或其他采购依据)；</w:t>
      </w:r>
    </w:p>
    <w:p>
      <w:pPr>
        <w:shd w:val="clear"/>
        <w:spacing w:before="218" w:line="360" w:lineRule="auto"/>
        <w:ind w:left="463"/>
        <w:rPr>
          <w:rFonts w:ascii="宋体" w:hAnsi="宋体" w:cs="宋体"/>
          <w:color w:val="auto"/>
          <w:sz w:val="24"/>
          <w:highlight w:val="none"/>
        </w:rPr>
      </w:pPr>
      <w:r>
        <w:rPr>
          <w:rFonts w:hint="eastAsia" w:ascii="宋体" w:hAnsi="宋体" w:cs="宋体"/>
          <w:color w:val="auto"/>
          <w:spacing w:val="13"/>
          <w:sz w:val="24"/>
          <w:highlight w:val="none"/>
        </w:rPr>
        <w:t>(</w:t>
      </w:r>
      <w:r>
        <w:rPr>
          <w:rFonts w:hint="eastAsia" w:ascii="宋体" w:hAnsi="宋体" w:cs="宋体"/>
          <w:color w:val="auto"/>
          <w:spacing w:val="8"/>
          <w:sz w:val="24"/>
          <w:highlight w:val="none"/>
        </w:rPr>
        <w:t>4) 所供货物(设备) 不符合验收标准；</w:t>
      </w:r>
    </w:p>
    <w:p>
      <w:pPr>
        <w:shd w:val="clear"/>
        <w:spacing w:before="218" w:line="360" w:lineRule="auto"/>
        <w:ind w:left="463"/>
        <w:rPr>
          <w:rFonts w:ascii="宋体" w:hAnsi="宋体" w:cs="宋体"/>
          <w:color w:val="auto"/>
          <w:sz w:val="24"/>
          <w:highlight w:val="none"/>
        </w:rPr>
      </w:pPr>
      <w:r>
        <w:rPr>
          <w:rFonts w:hint="eastAsia" w:ascii="宋体" w:hAnsi="宋体" w:cs="宋体"/>
          <w:color w:val="auto"/>
          <w:spacing w:val="12"/>
          <w:sz w:val="24"/>
          <w:highlight w:val="none"/>
        </w:rPr>
        <w:t>(</w:t>
      </w:r>
      <w:r>
        <w:rPr>
          <w:rFonts w:hint="eastAsia" w:ascii="宋体" w:hAnsi="宋体" w:cs="宋体"/>
          <w:color w:val="auto"/>
          <w:spacing w:val="8"/>
          <w:sz w:val="24"/>
          <w:highlight w:val="none"/>
        </w:rPr>
        <w:t>5</w:t>
      </w:r>
      <w:r>
        <w:rPr>
          <w:rFonts w:hint="eastAsia" w:ascii="宋体" w:hAnsi="宋体" w:cs="宋体"/>
          <w:color w:val="auto"/>
          <w:spacing w:val="6"/>
          <w:sz w:val="24"/>
          <w:highlight w:val="none"/>
        </w:rPr>
        <w:t>) 法律规定的其他情形。</w:t>
      </w:r>
    </w:p>
    <w:p>
      <w:pPr>
        <w:shd w:val="clear"/>
        <w:spacing w:before="217" w:line="360" w:lineRule="auto"/>
        <w:ind w:left="462"/>
        <w:outlineLvl w:val="6"/>
        <w:rPr>
          <w:rFonts w:ascii="宋体" w:hAnsi="宋体" w:cs="宋体"/>
          <w:b/>
          <w:bCs/>
          <w:color w:val="auto"/>
          <w:sz w:val="24"/>
          <w:highlight w:val="none"/>
        </w:rPr>
      </w:pPr>
      <w:r>
        <w:rPr>
          <w:rFonts w:hint="eastAsia" w:ascii="宋体" w:hAnsi="宋体" w:cs="宋体"/>
          <w:b/>
          <w:bCs/>
          <w:color w:val="auto"/>
          <w:spacing w:val="-1"/>
          <w:sz w:val="24"/>
          <w:highlight w:val="none"/>
        </w:rPr>
        <w:t>八、违约</w:t>
      </w:r>
      <w:r>
        <w:rPr>
          <w:rFonts w:hint="eastAsia" w:ascii="宋体" w:hAnsi="宋体" w:cs="宋体"/>
          <w:b/>
          <w:bCs/>
          <w:color w:val="auto"/>
          <w:sz w:val="24"/>
          <w:highlight w:val="none"/>
        </w:rPr>
        <w:t>责任</w:t>
      </w:r>
    </w:p>
    <w:p>
      <w:pPr>
        <w:shd w:val="clear"/>
        <w:spacing w:before="216" w:line="360" w:lineRule="auto"/>
        <w:ind w:left="64" w:right="36" w:firstLine="408"/>
        <w:rPr>
          <w:rFonts w:ascii="宋体" w:hAnsi="宋体" w:cs="宋体"/>
          <w:color w:val="auto"/>
          <w:sz w:val="24"/>
          <w:highlight w:val="none"/>
        </w:rPr>
      </w:pPr>
      <w:r>
        <w:rPr>
          <w:rFonts w:hint="eastAsia" w:ascii="宋体" w:hAnsi="宋体" w:cs="宋体"/>
          <w:color w:val="auto"/>
          <w:spacing w:val="-1"/>
          <w:sz w:val="24"/>
          <w:highlight w:val="none"/>
        </w:rPr>
        <w:t>1. 除如因战争，严重水灾、台风、地震等自然灾害， 政府政策的重大变</w:t>
      </w:r>
      <w:r>
        <w:rPr>
          <w:rFonts w:hint="eastAsia" w:ascii="宋体" w:hAnsi="宋体" w:cs="宋体"/>
          <w:color w:val="auto"/>
          <w:sz w:val="24"/>
          <w:highlight w:val="none"/>
        </w:rPr>
        <w:t xml:space="preserve">动等政府行为和其它 </w:t>
      </w:r>
      <w:r>
        <w:rPr>
          <w:rFonts w:hint="eastAsia" w:ascii="宋体" w:hAnsi="宋体" w:cs="宋体"/>
          <w:color w:val="auto"/>
          <w:spacing w:val="-2"/>
          <w:sz w:val="24"/>
          <w:highlight w:val="none"/>
        </w:rPr>
        <w:t>甲乙双方认可的不可抗力事件</w:t>
      </w:r>
      <w:r>
        <w:rPr>
          <w:rFonts w:hint="eastAsia" w:ascii="宋体" w:hAnsi="宋体" w:cs="宋体"/>
          <w:color w:val="auto"/>
          <w:spacing w:val="-1"/>
          <w:sz w:val="24"/>
          <w:highlight w:val="none"/>
        </w:rPr>
        <w:t>外，甲乙双方不得随意解除合同，否则按违约处理。</w:t>
      </w:r>
    </w:p>
    <w:p>
      <w:pPr>
        <w:shd w:val="clear"/>
        <w:spacing w:before="68" w:line="360" w:lineRule="auto"/>
        <w:ind w:left="37" w:right="57" w:firstLine="421"/>
        <w:rPr>
          <w:rFonts w:ascii="宋体" w:hAnsi="宋体" w:cs="宋体"/>
          <w:color w:val="auto"/>
          <w:sz w:val="24"/>
          <w:highlight w:val="none"/>
        </w:rPr>
      </w:pPr>
      <w:r>
        <w:rPr>
          <w:rFonts w:hint="eastAsia" w:ascii="宋体" w:hAnsi="宋体" w:cs="宋体"/>
          <w:color w:val="auto"/>
          <w:spacing w:val="8"/>
          <w:sz w:val="24"/>
          <w:highlight w:val="none"/>
        </w:rPr>
        <w:t>2. 若</w:t>
      </w:r>
      <w:r>
        <w:rPr>
          <w:rFonts w:hint="eastAsia" w:ascii="宋体" w:hAnsi="宋体" w:cs="宋体"/>
          <w:color w:val="auto"/>
          <w:spacing w:val="5"/>
          <w:sz w:val="24"/>
          <w:highlight w:val="none"/>
        </w:rPr>
        <w:t>乙</w:t>
      </w:r>
      <w:r>
        <w:rPr>
          <w:rFonts w:hint="eastAsia" w:ascii="宋体" w:hAnsi="宋体" w:cs="宋体"/>
          <w:color w:val="auto"/>
          <w:spacing w:val="4"/>
          <w:sz w:val="24"/>
          <w:highlight w:val="none"/>
        </w:rPr>
        <w:t>方所供货物(设备) 的品牌、型号、规格、技术标准、质量标准和运行等，不符合招</w:t>
      </w:r>
      <w:r>
        <w:rPr>
          <w:rFonts w:hint="eastAsia" w:ascii="宋体" w:hAnsi="宋体" w:cs="宋体"/>
          <w:color w:val="auto"/>
          <w:sz w:val="24"/>
          <w:highlight w:val="none"/>
        </w:rPr>
        <w:t xml:space="preserve"> </w:t>
      </w:r>
      <w:r>
        <w:rPr>
          <w:rFonts w:hint="eastAsia" w:ascii="宋体" w:hAnsi="宋体" w:cs="宋体"/>
          <w:color w:val="auto"/>
          <w:spacing w:val="12"/>
          <w:sz w:val="24"/>
          <w:highlight w:val="none"/>
        </w:rPr>
        <w:t>标(采购</w:t>
      </w:r>
      <w:r>
        <w:rPr>
          <w:rFonts w:hint="eastAsia" w:ascii="宋体" w:hAnsi="宋体" w:cs="宋体"/>
          <w:color w:val="auto"/>
          <w:spacing w:val="6"/>
          <w:sz w:val="24"/>
          <w:highlight w:val="none"/>
        </w:rPr>
        <w:t>)、投标(响应性) 文件(或采购依据) 规定和合同规定的， 乙方应负责更换并承担因此</w:t>
      </w:r>
      <w:r>
        <w:rPr>
          <w:rFonts w:hint="eastAsia" w:ascii="宋体" w:hAnsi="宋体" w:cs="宋体"/>
          <w:color w:val="auto"/>
          <w:sz w:val="24"/>
          <w:highlight w:val="none"/>
        </w:rPr>
        <w:t xml:space="preserve"> </w:t>
      </w:r>
      <w:r>
        <w:rPr>
          <w:rFonts w:hint="eastAsia" w:ascii="宋体" w:hAnsi="宋体" w:cs="宋体"/>
          <w:color w:val="auto"/>
          <w:spacing w:val="-5"/>
          <w:sz w:val="24"/>
          <w:highlight w:val="none"/>
        </w:rPr>
        <w:t>而发生的一切费用， 如无法更换或更换后仍不符合约定的，甲方有权拒收并有权解除合同， 同</w:t>
      </w:r>
      <w:r>
        <w:rPr>
          <w:rFonts w:hint="eastAsia" w:ascii="宋体" w:hAnsi="宋体" w:cs="宋体"/>
          <w:color w:val="auto"/>
          <w:spacing w:val="-2"/>
          <w:sz w:val="24"/>
          <w:highlight w:val="none"/>
        </w:rPr>
        <w:t>时</w:t>
      </w:r>
      <w:r>
        <w:rPr>
          <w:rFonts w:hint="eastAsia" w:ascii="宋体" w:hAnsi="宋体" w:cs="宋体"/>
          <w:color w:val="auto"/>
          <w:sz w:val="24"/>
          <w:highlight w:val="none"/>
        </w:rPr>
        <w:t xml:space="preserve">乙 </w:t>
      </w:r>
      <w:r>
        <w:rPr>
          <w:rFonts w:hint="eastAsia" w:ascii="宋体" w:hAnsi="宋体" w:cs="宋体"/>
          <w:color w:val="auto"/>
          <w:spacing w:val="-1"/>
          <w:sz w:val="24"/>
          <w:highlight w:val="none"/>
        </w:rPr>
        <w:t>方应支付合同价</w:t>
      </w:r>
      <w:r>
        <w:rPr>
          <w:rFonts w:hint="eastAsia" w:ascii="宋体" w:hAnsi="宋体" w:cs="宋体"/>
          <w:color w:val="auto"/>
          <w:sz w:val="24"/>
          <w:highlight w:val="none"/>
        </w:rPr>
        <w:t xml:space="preserve">款的 30%的违约金。因乙方更换而造成逾期交货的，则按逾期交货处理，乙方应负 </w:t>
      </w:r>
      <w:r>
        <w:rPr>
          <w:rFonts w:hint="eastAsia" w:ascii="宋体" w:hAnsi="宋体" w:cs="宋体"/>
          <w:color w:val="auto"/>
          <w:spacing w:val="-1"/>
          <w:sz w:val="24"/>
          <w:highlight w:val="none"/>
        </w:rPr>
        <w:t>责更换并</w:t>
      </w:r>
      <w:r>
        <w:rPr>
          <w:rFonts w:hint="eastAsia" w:ascii="宋体" w:hAnsi="宋体" w:cs="宋体"/>
          <w:color w:val="auto"/>
          <w:sz w:val="24"/>
          <w:highlight w:val="none"/>
        </w:rPr>
        <w:t>承担因此而发生的一切费用。</w:t>
      </w:r>
    </w:p>
    <w:p>
      <w:pPr>
        <w:shd w:val="clear"/>
        <w:spacing w:line="360" w:lineRule="auto"/>
        <w:ind w:firstLine="418" w:firstLineChars="176"/>
        <w:rPr>
          <w:rFonts w:ascii="宋体" w:hAnsi="宋体" w:cs="宋体"/>
          <w:color w:val="auto"/>
          <w:sz w:val="24"/>
          <w:highlight w:val="none"/>
        </w:rPr>
      </w:pPr>
      <w:r>
        <w:rPr>
          <w:rFonts w:hint="eastAsia" w:ascii="宋体" w:hAnsi="宋体" w:cs="宋体"/>
          <w:color w:val="auto"/>
          <w:spacing w:val="-1"/>
          <w:sz w:val="24"/>
          <w:highlight w:val="none"/>
        </w:rPr>
        <w:t>3.乙方不能按时供</w:t>
      </w:r>
      <w:r>
        <w:rPr>
          <w:rFonts w:hint="eastAsia" w:ascii="宋体" w:hAnsi="宋体" w:cs="宋体"/>
          <w:color w:val="auto"/>
          <w:sz w:val="24"/>
          <w:highlight w:val="none"/>
        </w:rPr>
        <w:t>货，除不可抗力事件外，每拖延一日应按合同总额的千分之五向甲方支付违</w:t>
      </w:r>
      <w:r>
        <w:rPr>
          <w:rFonts w:hint="eastAsia" w:ascii="宋体" w:hAnsi="宋体" w:cs="宋体"/>
          <w:color w:val="auto"/>
          <w:spacing w:val="-10"/>
          <w:sz w:val="24"/>
          <w:highlight w:val="none"/>
        </w:rPr>
        <w:t>约</w:t>
      </w:r>
      <w:r>
        <w:rPr>
          <w:rFonts w:hint="eastAsia" w:ascii="宋体" w:hAnsi="宋体" w:cs="宋体"/>
          <w:color w:val="auto"/>
          <w:spacing w:val="-9"/>
          <w:sz w:val="24"/>
          <w:highlight w:val="none"/>
        </w:rPr>
        <w:t>金。</w:t>
      </w:r>
    </w:p>
    <w:p>
      <w:pPr>
        <w:shd w:val="clear"/>
        <w:spacing w:before="112" w:line="360" w:lineRule="auto"/>
        <w:ind w:left="37" w:right="62" w:firstLine="419"/>
        <w:rPr>
          <w:rFonts w:ascii="宋体" w:hAnsi="宋体" w:cs="宋体"/>
          <w:color w:val="auto"/>
          <w:sz w:val="24"/>
          <w:highlight w:val="none"/>
        </w:rPr>
      </w:pPr>
      <w:r>
        <w:rPr>
          <w:rFonts w:hint="eastAsia" w:ascii="宋体" w:hAnsi="宋体" w:cs="宋体"/>
          <w:color w:val="auto"/>
          <w:spacing w:val="-4"/>
          <w:sz w:val="24"/>
          <w:highlight w:val="none"/>
        </w:rPr>
        <w:t>4. 乙方逾期</w:t>
      </w:r>
      <w:r>
        <w:rPr>
          <w:rFonts w:hint="eastAsia" w:ascii="宋体" w:hAnsi="宋体" w:cs="宋体"/>
          <w:color w:val="auto"/>
          <w:spacing w:val="-4"/>
          <w:sz w:val="24"/>
          <w:highlight w:val="none"/>
          <w:u w:val="single"/>
        </w:rPr>
        <w:t>三周</w:t>
      </w:r>
      <w:r>
        <w:rPr>
          <w:rFonts w:hint="eastAsia" w:ascii="宋体" w:hAnsi="宋体" w:cs="宋体"/>
          <w:color w:val="auto"/>
          <w:spacing w:val="-4"/>
          <w:sz w:val="24"/>
          <w:highlight w:val="none"/>
        </w:rPr>
        <w:t>不能供</w:t>
      </w:r>
      <w:r>
        <w:rPr>
          <w:rFonts w:hint="eastAsia" w:ascii="宋体" w:hAnsi="宋体" w:cs="宋体"/>
          <w:color w:val="auto"/>
          <w:spacing w:val="-3"/>
          <w:sz w:val="24"/>
          <w:highlight w:val="none"/>
        </w:rPr>
        <w:t>货</w:t>
      </w:r>
      <w:r>
        <w:rPr>
          <w:rFonts w:hint="eastAsia" w:ascii="宋体" w:hAnsi="宋体" w:cs="宋体"/>
          <w:color w:val="auto"/>
          <w:spacing w:val="-2"/>
          <w:sz w:val="24"/>
          <w:highlight w:val="none"/>
        </w:rPr>
        <w:t>，甲方有权解除合同，并要求乙方支付合同金额 30%的违约金，同时</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追究乙方责任。</w:t>
      </w:r>
    </w:p>
    <w:p>
      <w:pPr>
        <w:shd w:val="clear"/>
        <w:spacing w:before="3" w:line="360" w:lineRule="auto"/>
        <w:ind w:left="42" w:right="57" w:firstLine="419"/>
        <w:rPr>
          <w:rFonts w:ascii="宋体" w:hAnsi="宋体" w:cs="宋体"/>
          <w:color w:val="auto"/>
          <w:sz w:val="24"/>
          <w:highlight w:val="none"/>
        </w:rPr>
      </w:pPr>
      <w:r>
        <w:rPr>
          <w:rFonts w:hint="eastAsia" w:ascii="宋体" w:hAnsi="宋体" w:cs="宋体"/>
          <w:color w:val="auto"/>
          <w:spacing w:val="4"/>
          <w:sz w:val="24"/>
          <w:highlight w:val="none"/>
        </w:rPr>
        <w:t xml:space="preserve">5. </w:t>
      </w:r>
      <w:r>
        <w:rPr>
          <w:rFonts w:hint="eastAsia" w:ascii="宋体" w:hAnsi="宋体" w:cs="宋体"/>
          <w:color w:val="auto"/>
          <w:spacing w:val="2"/>
          <w:sz w:val="24"/>
          <w:highlight w:val="none"/>
        </w:rPr>
        <w:t>乙方将货物送达指定地点后和安装过程中，甲方发现乙方所供货物(设备)、配件、施工工</w:t>
      </w:r>
      <w:r>
        <w:rPr>
          <w:rFonts w:hint="eastAsia" w:ascii="宋体" w:hAnsi="宋体" w:cs="宋体"/>
          <w:color w:val="auto"/>
          <w:spacing w:val="-8"/>
          <w:sz w:val="24"/>
          <w:highlight w:val="none"/>
        </w:rPr>
        <w:t>艺等不符合合同</w:t>
      </w:r>
      <w:r>
        <w:rPr>
          <w:rFonts w:hint="eastAsia" w:ascii="宋体" w:hAnsi="宋体" w:cs="宋体"/>
          <w:color w:val="auto"/>
          <w:spacing w:val="-5"/>
          <w:sz w:val="24"/>
          <w:highlight w:val="none"/>
        </w:rPr>
        <w:t>约</w:t>
      </w:r>
      <w:r>
        <w:rPr>
          <w:rFonts w:hint="eastAsia" w:ascii="宋体" w:hAnsi="宋体" w:cs="宋体"/>
          <w:color w:val="auto"/>
          <w:spacing w:val="-4"/>
          <w:sz w:val="24"/>
          <w:highlight w:val="none"/>
        </w:rPr>
        <w:t>定，甲方有权对乙方进行每次不低于 10000 元的违约金处罚， 并有权单方解除合</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同，由此产生的一切</w:t>
      </w:r>
      <w:r>
        <w:rPr>
          <w:rFonts w:hint="eastAsia" w:ascii="宋体" w:hAnsi="宋体" w:cs="宋体"/>
          <w:color w:val="auto"/>
          <w:sz w:val="24"/>
          <w:highlight w:val="none"/>
        </w:rPr>
        <w:t>费用由乙方承担。</w:t>
      </w:r>
    </w:p>
    <w:p>
      <w:pPr>
        <w:shd w:val="clear"/>
        <w:spacing w:before="1" w:line="360" w:lineRule="auto"/>
        <w:ind w:left="38" w:firstLine="420"/>
        <w:rPr>
          <w:rFonts w:ascii="宋体" w:hAnsi="宋体" w:cs="宋体"/>
          <w:color w:val="auto"/>
          <w:sz w:val="24"/>
          <w:highlight w:val="none"/>
        </w:rPr>
      </w:pPr>
      <w:r>
        <w:rPr>
          <w:rFonts w:hint="eastAsia" w:ascii="宋体" w:hAnsi="宋体" w:cs="宋体"/>
          <w:color w:val="auto"/>
          <w:spacing w:val="-2"/>
          <w:sz w:val="24"/>
          <w:highlight w:val="none"/>
        </w:rPr>
        <w:t>6. 当违约金超过履约保</w:t>
      </w:r>
      <w:r>
        <w:rPr>
          <w:rFonts w:hint="eastAsia" w:ascii="宋体" w:hAnsi="宋体" w:cs="宋体"/>
          <w:color w:val="auto"/>
          <w:spacing w:val="-1"/>
          <w:sz w:val="24"/>
          <w:highlight w:val="none"/>
        </w:rPr>
        <w:t>证金时，超过部分甲方有权从合同总价款中扣除或要求乙方另行支付，</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用于补偿违约金不足</w:t>
      </w:r>
      <w:r>
        <w:rPr>
          <w:rFonts w:hint="eastAsia" w:ascii="宋体" w:hAnsi="宋体" w:cs="宋体"/>
          <w:color w:val="auto"/>
          <w:spacing w:val="-1"/>
          <w:sz w:val="24"/>
          <w:highlight w:val="none"/>
        </w:rPr>
        <w:t>的部分。</w:t>
      </w:r>
    </w:p>
    <w:p>
      <w:pPr>
        <w:shd w:val="clear"/>
        <w:spacing w:before="1" w:line="360" w:lineRule="auto"/>
        <w:ind w:firstLine="418" w:firstLineChars="176"/>
        <w:rPr>
          <w:rFonts w:ascii="宋体" w:hAnsi="宋体" w:cs="宋体"/>
          <w:color w:val="auto"/>
          <w:sz w:val="24"/>
          <w:highlight w:val="none"/>
        </w:rPr>
      </w:pPr>
      <w:r>
        <w:rPr>
          <w:rFonts w:hint="eastAsia" w:ascii="宋体" w:hAnsi="宋体" w:cs="宋体"/>
          <w:color w:val="auto"/>
          <w:spacing w:val="-1"/>
          <w:sz w:val="24"/>
          <w:highlight w:val="none"/>
        </w:rPr>
        <w:t>7. 项目验收合格后，因甲方原因未按期支付货款</w:t>
      </w:r>
      <w:r>
        <w:rPr>
          <w:rFonts w:hint="eastAsia" w:ascii="宋体" w:hAnsi="宋体" w:cs="宋体"/>
          <w:color w:val="auto"/>
          <w:sz w:val="24"/>
          <w:highlight w:val="none"/>
        </w:rPr>
        <w:t>的，应按银行同期贷款利息补偿乙方损失。</w:t>
      </w:r>
    </w:p>
    <w:p>
      <w:pPr>
        <w:shd w:val="clear"/>
        <w:spacing w:before="257" w:line="360" w:lineRule="auto"/>
        <w:ind w:left="17" w:firstLine="438" w:firstLineChars="177"/>
        <w:rPr>
          <w:rFonts w:ascii="宋体" w:hAnsi="宋体" w:cs="宋体"/>
          <w:color w:val="auto"/>
          <w:sz w:val="24"/>
          <w:highlight w:val="none"/>
        </w:rPr>
      </w:pPr>
      <w:r>
        <w:rPr>
          <w:rFonts w:hint="eastAsia" w:ascii="宋体" w:hAnsi="宋体" w:cs="宋体"/>
          <w:color w:val="auto"/>
          <w:spacing w:val="4"/>
          <w:sz w:val="24"/>
          <w:highlight w:val="none"/>
        </w:rPr>
        <w:t>8</w:t>
      </w:r>
      <w:r>
        <w:rPr>
          <w:rFonts w:hint="eastAsia" w:ascii="宋体" w:hAnsi="宋体" w:cs="宋体"/>
          <w:color w:val="auto"/>
          <w:spacing w:val="2"/>
          <w:sz w:val="24"/>
          <w:highlight w:val="none"/>
        </w:rPr>
        <w:t>. 本货物(设备) 的免费质保期为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年， 如乙方违反《售后服务承诺》约定未及时履行保</w:t>
      </w:r>
      <w:r>
        <w:rPr>
          <w:rFonts w:hint="eastAsia" w:ascii="宋体" w:hAnsi="宋体" w:cs="宋体"/>
          <w:color w:val="auto"/>
          <w:spacing w:val="-8"/>
          <w:sz w:val="24"/>
          <w:highlight w:val="none"/>
        </w:rPr>
        <w:t>修义务的， 每</w:t>
      </w:r>
      <w:r>
        <w:rPr>
          <w:rFonts w:hint="eastAsia" w:ascii="宋体" w:hAnsi="宋体" w:cs="宋体"/>
          <w:color w:val="auto"/>
          <w:spacing w:val="-5"/>
          <w:sz w:val="24"/>
          <w:highlight w:val="none"/>
        </w:rPr>
        <w:t>发</w:t>
      </w:r>
      <w:r>
        <w:rPr>
          <w:rFonts w:hint="eastAsia" w:ascii="宋体" w:hAnsi="宋体" w:cs="宋体"/>
          <w:color w:val="auto"/>
          <w:spacing w:val="-4"/>
          <w:sz w:val="24"/>
          <w:highlight w:val="none"/>
        </w:rPr>
        <w:t>生一次，乙方应向甲方支付违约金 10000 元。甲方因乙方违约而委托第三方进行维</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修所产生的相应维修费用，甲方有权要求乙方另行支</w:t>
      </w:r>
      <w:r>
        <w:rPr>
          <w:rFonts w:hint="eastAsia" w:ascii="宋体" w:hAnsi="宋体" w:cs="宋体"/>
          <w:color w:val="auto"/>
          <w:sz w:val="24"/>
          <w:highlight w:val="none"/>
        </w:rPr>
        <w:t>付。</w:t>
      </w:r>
    </w:p>
    <w:p>
      <w:pPr>
        <w:shd w:val="clear"/>
        <w:spacing w:before="1" w:line="360" w:lineRule="auto"/>
        <w:ind w:left="37" w:right="70" w:firstLine="420"/>
        <w:rPr>
          <w:rFonts w:ascii="宋体" w:hAnsi="宋体" w:cs="宋体"/>
          <w:color w:val="auto"/>
          <w:sz w:val="24"/>
          <w:highlight w:val="none"/>
        </w:rPr>
      </w:pPr>
      <w:r>
        <w:rPr>
          <w:rFonts w:hint="eastAsia" w:ascii="宋体" w:hAnsi="宋体" w:cs="宋体"/>
          <w:color w:val="auto"/>
          <w:spacing w:val="4"/>
          <w:sz w:val="24"/>
          <w:highlight w:val="none"/>
        </w:rPr>
        <w:t>9</w:t>
      </w:r>
      <w:r>
        <w:rPr>
          <w:rFonts w:hint="eastAsia" w:ascii="宋体" w:hAnsi="宋体" w:cs="宋体"/>
          <w:color w:val="auto"/>
          <w:spacing w:val="2"/>
          <w:sz w:val="24"/>
          <w:highlight w:val="none"/>
        </w:rPr>
        <w:t>. 在合同履约期内，若乙方出现违约行为，将不予退还履约保证金。履约保证金被扣除后余</w:t>
      </w:r>
      <w:r>
        <w:rPr>
          <w:rFonts w:hint="eastAsia" w:ascii="宋体" w:hAnsi="宋体" w:cs="宋体"/>
          <w:color w:val="auto"/>
          <w:sz w:val="24"/>
          <w:highlight w:val="none"/>
        </w:rPr>
        <w:t xml:space="preserve"> </w:t>
      </w:r>
      <w:r>
        <w:rPr>
          <w:rFonts w:hint="eastAsia" w:ascii="宋体" w:hAnsi="宋体" w:cs="宋体"/>
          <w:color w:val="auto"/>
          <w:spacing w:val="-12"/>
          <w:sz w:val="24"/>
          <w:highlight w:val="none"/>
        </w:rPr>
        <w:t>额不足的， 乙方须在 3 天内补足</w:t>
      </w:r>
      <w:r>
        <w:rPr>
          <w:rFonts w:hint="eastAsia" w:ascii="宋体" w:hAnsi="宋体" w:cs="宋体"/>
          <w:color w:val="auto"/>
          <w:spacing w:val="-10"/>
          <w:sz w:val="24"/>
          <w:highlight w:val="none"/>
        </w:rPr>
        <w:t>。</w:t>
      </w:r>
    </w:p>
    <w:p>
      <w:pPr>
        <w:shd w:val="clear"/>
        <w:spacing w:line="360" w:lineRule="auto"/>
        <w:ind w:left="464"/>
        <w:outlineLvl w:val="6"/>
        <w:rPr>
          <w:rFonts w:ascii="宋体" w:hAnsi="宋体" w:cs="宋体"/>
          <w:color w:val="auto"/>
          <w:sz w:val="24"/>
          <w:highlight w:val="none"/>
        </w:rPr>
      </w:pPr>
      <w:r>
        <w:rPr>
          <w:rFonts w:hint="eastAsia" w:ascii="宋体" w:hAnsi="宋体" w:cs="宋体"/>
          <w:color w:val="auto"/>
          <w:spacing w:val="-1"/>
          <w:sz w:val="24"/>
          <w:highlight w:val="none"/>
        </w:rPr>
        <w:t>九、争议解决</w:t>
      </w:r>
    </w:p>
    <w:p>
      <w:pPr>
        <w:shd w:val="clear"/>
        <w:spacing w:before="217" w:line="360" w:lineRule="auto"/>
        <w:ind w:left="457"/>
        <w:rPr>
          <w:rFonts w:ascii="宋体" w:hAnsi="宋体" w:cs="宋体"/>
          <w:color w:val="auto"/>
          <w:sz w:val="24"/>
          <w:highlight w:val="none"/>
        </w:rPr>
      </w:pPr>
      <w:r>
        <w:rPr>
          <w:rFonts w:hint="eastAsia" w:ascii="宋体" w:hAnsi="宋体" w:cs="宋体"/>
          <w:color w:val="auto"/>
          <w:spacing w:val="-1"/>
          <w:sz w:val="24"/>
          <w:highlight w:val="none"/>
        </w:rPr>
        <w:t>本合同的签订和履行，适用中华人民共和国法</w:t>
      </w:r>
      <w:r>
        <w:rPr>
          <w:rFonts w:hint="eastAsia" w:ascii="宋体" w:hAnsi="宋体" w:cs="宋体"/>
          <w:color w:val="auto"/>
          <w:sz w:val="24"/>
          <w:highlight w:val="none"/>
        </w:rPr>
        <w:t>律。</w:t>
      </w:r>
    </w:p>
    <w:p>
      <w:pPr>
        <w:shd w:val="clear"/>
        <w:spacing w:before="217" w:line="360" w:lineRule="auto"/>
        <w:ind w:left="39" w:right="58" w:firstLine="444"/>
        <w:rPr>
          <w:rFonts w:ascii="宋体" w:hAnsi="宋体" w:cs="宋体"/>
          <w:color w:val="auto"/>
          <w:sz w:val="24"/>
          <w:highlight w:val="none"/>
        </w:rPr>
      </w:pPr>
      <w:r>
        <w:rPr>
          <w:rFonts w:hint="eastAsia" w:ascii="宋体" w:hAnsi="宋体" w:cs="宋体"/>
          <w:color w:val="auto"/>
          <w:spacing w:val="-6"/>
          <w:sz w:val="24"/>
          <w:highlight w:val="none"/>
        </w:rPr>
        <w:t>甲乙双方</w:t>
      </w:r>
      <w:r>
        <w:rPr>
          <w:rFonts w:hint="eastAsia" w:ascii="宋体" w:hAnsi="宋体" w:cs="宋体"/>
          <w:color w:val="auto"/>
          <w:spacing w:val="-4"/>
          <w:sz w:val="24"/>
          <w:highlight w:val="none"/>
        </w:rPr>
        <w:t>因</w:t>
      </w:r>
      <w:r>
        <w:rPr>
          <w:rFonts w:hint="eastAsia" w:ascii="宋体" w:hAnsi="宋体" w:cs="宋体"/>
          <w:color w:val="auto"/>
          <w:spacing w:val="-3"/>
          <w:sz w:val="24"/>
          <w:highlight w:val="none"/>
        </w:rPr>
        <w:t>质量问题发生争议， 由合同签署地点或上一级质量技术鉴定单位进行质量鉴定。经</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鉴定质量合格，鉴定费由甲方承担</w:t>
      </w:r>
      <w:r>
        <w:rPr>
          <w:rFonts w:hint="eastAsia" w:ascii="宋体" w:hAnsi="宋体" w:cs="宋体"/>
          <w:color w:val="auto"/>
          <w:spacing w:val="-2"/>
          <w:sz w:val="24"/>
          <w:highlight w:val="none"/>
        </w:rPr>
        <w:t>；鉴定质量不合格， 鉴定费用由乙方承担，并承担违约责任，同</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时甲方有权解除合同。甲乙方任何一方也可直接</w:t>
      </w:r>
      <w:r>
        <w:rPr>
          <w:rFonts w:hint="eastAsia" w:ascii="宋体" w:hAnsi="宋体" w:cs="宋体"/>
          <w:color w:val="auto"/>
          <w:sz w:val="24"/>
          <w:highlight w:val="none"/>
        </w:rPr>
        <w:t>起诉。</w:t>
      </w:r>
    </w:p>
    <w:p>
      <w:pPr>
        <w:shd w:val="clear"/>
        <w:spacing w:line="360" w:lineRule="auto"/>
        <w:ind w:left="13" w:firstLine="459" w:firstLineChars="198"/>
        <w:rPr>
          <w:rFonts w:ascii="宋体" w:hAnsi="宋体" w:cs="宋体"/>
          <w:color w:val="auto"/>
          <w:sz w:val="24"/>
          <w:highlight w:val="none"/>
        </w:rPr>
      </w:pPr>
      <w:r>
        <w:rPr>
          <w:rFonts w:hint="eastAsia" w:ascii="宋体" w:hAnsi="宋体" w:cs="宋体"/>
          <w:color w:val="auto"/>
          <w:spacing w:val="-4"/>
          <w:sz w:val="24"/>
          <w:highlight w:val="none"/>
        </w:rPr>
        <w:t>因</w:t>
      </w:r>
      <w:r>
        <w:rPr>
          <w:rFonts w:hint="eastAsia" w:ascii="宋体" w:hAnsi="宋体" w:cs="宋体"/>
          <w:color w:val="auto"/>
          <w:spacing w:val="-3"/>
          <w:sz w:val="24"/>
          <w:highlight w:val="none"/>
        </w:rPr>
        <w:t>履行合同发生的争议， 由甲乙双方直接协商解决，如协商不成可向合同签署地点的人民法院</w:t>
      </w:r>
      <w:r>
        <w:rPr>
          <w:rFonts w:hint="eastAsia" w:ascii="宋体" w:hAnsi="宋体" w:cs="宋体"/>
          <w:color w:val="auto"/>
          <w:spacing w:val="-10"/>
          <w:sz w:val="24"/>
          <w:highlight w:val="none"/>
        </w:rPr>
        <w:t>诉</w:t>
      </w:r>
      <w:r>
        <w:rPr>
          <w:rFonts w:hint="eastAsia" w:ascii="宋体" w:hAnsi="宋体" w:cs="宋体"/>
          <w:color w:val="auto"/>
          <w:spacing w:val="-7"/>
          <w:sz w:val="24"/>
          <w:highlight w:val="none"/>
        </w:rPr>
        <w:t>讼。</w:t>
      </w:r>
    </w:p>
    <w:p>
      <w:pPr>
        <w:shd w:val="clear"/>
        <w:spacing w:before="117" w:line="360" w:lineRule="auto"/>
        <w:ind w:left="37" w:right="57" w:firstLine="447"/>
        <w:rPr>
          <w:rFonts w:ascii="宋体" w:hAnsi="宋体" w:cs="宋体"/>
          <w:color w:val="auto"/>
          <w:sz w:val="24"/>
          <w:highlight w:val="none"/>
        </w:rPr>
      </w:pPr>
      <w:r>
        <w:rPr>
          <w:rFonts w:hint="eastAsia" w:ascii="宋体" w:hAnsi="宋体" w:cs="宋体"/>
          <w:color w:val="auto"/>
          <w:spacing w:val="-1"/>
          <w:sz w:val="24"/>
          <w:highlight w:val="none"/>
        </w:rPr>
        <w:t>甲乙双方以签订合同时各自法人登记注册地为有效的送达地址，在合同履行</w:t>
      </w:r>
      <w:r>
        <w:rPr>
          <w:rFonts w:hint="eastAsia" w:ascii="宋体" w:hAnsi="宋体" w:cs="宋体"/>
          <w:color w:val="auto"/>
          <w:sz w:val="24"/>
          <w:highlight w:val="none"/>
        </w:rPr>
        <w:t xml:space="preserve">过程中，送达到该 </w:t>
      </w:r>
      <w:r>
        <w:rPr>
          <w:rFonts w:hint="eastAsia" w:ascii="宋体" w:hAnsi="宋体" w:cs="宋体"/>
          <w:color w:val="auto"/>
          <w:spacing w:val="-4"/>
          <w:sz w:val="24"/>
          <w:highlight w:val="none"/>
        </w:rPr>
        <w:t>地址视为有效送达； 如</w:t>
      </w:r>
      <w:r>
        <w:rPr>
          <w:rFonts w:hint="eastAsia" w:ascii="宋体" w:hAnsi="宋体" w:cs="宋体"/>
          <w:color w:val="auto"/>
          <w:spacing w:val="-3"/>
          <w:sz w:val="24"/>
          <w:highlight w:val="none"/>
        </w:rPr>
        <w:t>发</w:t>
      </w:r>
      <w:r>
        <w:rPr>
          <w:rFonts w:hint="eastAsia" w:ascii="宋体" w:hAnsi="宋体" w:cs="宋体"/>
          <w:color w:val="auto"/>
          <w:spacing w:val="-2"/>
          <w:sz w:val="24"/>
          <w:highlight w:val="none"/>
        </w:rPr>
        <w:t>生诉讼，该地址作为全部诉讼程序和执行程序的送达地址，具有发生在人</w:t>
      </w:r>
      <w:r>
        <w:rPr>
          <w:rFonts w:hint="eastAsia" w:ascii="宋体" w:hAnsi="宋体" w:cs="宋体"/>
          <w:color w:val="auto"/>
          <w:spacing w:val="-1"/>
          <w:sz w:val="24"/>
          <w:highlight w:val="none"/>
        </w:rPr>
        <w:t>民法院签署送达地址确认书的法律效力。如变更送</w:t>
      </w:r>
      <w:r>
        <w:rPr>
          <w:rFonts w:hint="eastAsia" w:ascii="宋体" w:hAnsi="宋体" w:cs="宋体"/>
          <w:color w:val="auto"/>
          <w:sz w:val="24"/>
          <w:highlight w:val="none"/>
        </w:rPr>
        <w:t>达地址，需书面告知对方。</w:t>
      </w:r>
    </w:p>
    <w:p>
      <w:pPr>
        <w:shd w:val="clear"/>
        <w:spacing w:before="257" w:line="360" w:lineRule="auto"/>
        <w:ind w:left="460"/>
        <w:rPr>
          <w:rFonts w:ascii="宋体" w:hAnsi="宋体" w:cs="宋体"/>
          <w:b/>
          <w:bCs/>
          <w:color w:val="auto"/>
          <w:sz w:val="24"/>
          <w:highlight w:val="none"/>
        </w:rPr>
      </w:pPr>
      <w:r>
        <w:rPr>
          <w:rFonts w:hint="eastAsia" w:ascii="宋体" w:hAnsi="宋体" w:cs="宋体"/>
          <w:b/>
          <w:bCs/>
          <w:color w:val="auto"/>
          <w:spacing w:val="1"/>
          <w:sz w:val="24"/>
          <w:highlight w:val="none"/>
        </w:rPr>
        <w:t>十</w:t>
      </w:r>
      <w:r>
        <w:rPr>
          <w:rFonts w:hint="eastAsia" w:ascii="宋体" w:hAnsi="宋体" w:cs="宋体"/>
          <w:b/>
          <w:bCs/>
          <w:color w:val="auto"/>
          <w:sz w:val="24"/>
          <w:highlight w:val="none"/>
        </w:rPr>
        <w:t>、合同生效及其他</w:t>
      </w:r>
    </w:p>
    <w:p>
      <w:pPr>
        <w:shd w:val="clear"/>
        <w:spacing w:before="217" w:line="360" w:lineRule="auto"/>
        <w:ind w:left="40" w:right="72" w:firstLine="432"/>
        <w:rPr>
          <w:rFonts w:ascii="宋体" w:hAnsi="宋体" w:cs="宋体"/>
          <w:color w:val="auto"/>
          <w:sz w:val="24"/>
          <w:highlight w:val="none"/>
        </w:rPr>
      </w:pPr>
      <w:r>
        <w:rPr>
          <w:rFonts w:hint="eastAsia" w:ascii="宋体" w:hAnsi="宋体" w:cs="宋体"/>
          <w:color w:val="auto"/>
          <w:spacing w:val="-1"/>
          <w:sz w:val="24"/>
          <w:highlight w:val="none"/>
        </w:rPr>
        <w:t>1. 本合同一式陆份，甲方肆份、乙方贰份，经甲乙双方代表签字、加盖公</w:t>
      </w:r>
      <w:r>
        <w:rPr>
          <w:rFonts w:hint="eastAsia" w:ascii="宋体" w:hAnsi="宋体" w:cs="宋体"/>
          <w:color w:val="auto"/>
          <w:sz w:val="24"/>
          <w:highlight w:val="none"/>
        </w:rPr>
        <w:t xml:space="preserve">章后生效， 合同履 </w:t>
      </w:r>
      <w:r>
        <w:rPr>
          <w:rFonts w:hint="eastAsia" w:ascii="宋体" w:hAnsi="宋体" w:cs="宋体"/>
          <w:color w:val="auto"/>
          <w:spacing w:val="9"/>
          <w:sz w:val="24"/>
          <w:highlight w:val="none"/>
        </w:rPr>
        <w:t>行完成后自行终止。 招标(采购)和投标(响应性)文件为本合同组成部分</w:t>
      </w:r>
      <w:r>
        <w:rPr>
          <w:rFonts w:hint="eastAsia" w:ascii="宋体" w:hAnsi="宋体" w:cs="宋体"/>
          <w:color w:val="auto"/>
          <w:spacing w:val="4"/>
          <w:sz w:val="24"/>
          <w:highlight w:val="none"/>
        </w:rPr>
        <w:t>。</w:t>
      </w:r>
    </w:p>
    <w:p>
      <w:pPr>
        <w:shd w:val="clear"/>
        <w:spacing w:before="1" w:line="360" w:lineRule="auto"/>
        <w:ind w:left="36" w:right="62" w:firstLine="423"/>
        <w:rPr>
          <w:rFonts w:ascii="宋体" w:hAnsi="宋体" w:cs="宋体"/>
          <w:color w:val="auto"/>
          <w:sz w:val="24"/>
          <w:highlight w:val="none"/>
        </w:rPr>
      </w:pPr>
      <w:r>
        <w:rPr>
          <w:rFonts w:hint="eastAsia" w:ascii="宋体" w:hAnsi="宋体" w:cs="宋体"/>
          <w:color w:val="auto"/>
          <w:spacing w:val="8"/>
          <w:sz w:val="24"/>
          <w:highlight w:val="none"/>
        </w:rPr>
        <w:t>2. 组</w:t>
      </w:r>
      <w:r>
        <w:rPr>
          <w:rFonts w:hint="eastAsia" w:ascii="宋体" w:hAnsi="宋体" w:cs="宋体"/>
          <w:color w:val="auto"/>
          <w:spacing w:val="5"/>
          <w:sz w:val="24"/>
          <w:highlight w:val="none"/>
        </w:rPr>
        <w:t>成</w:t>
      </w:r>
      <w:r>
        <w:rPr>
          <w:rFonts w:hint="eastAsia" w:ascii="宋体" w:hAnsi="宋体" w:cs="宋体"/>
          <w:color w:val="auto"/>
          <w:spacing w:val="4"/>
          <w:sz w:val="24"/>
          <w:highlight w:val="none"/>
        </w:rPr>
        <w:t>本合同的文件及解释顺序为：本合同及补充条款、成交通知书、投标(响应性) 文件</w:t>
      </w:r>
      <w:r>
        <w:rPr>
          <w:rFonts w:hint="eastAsia" w:ascii="宋体" w:hAnsi="宋体" w:cs="宋体"/>
          <w:color w:val="auto"/>
          <w:sz w:val="24"/>
          <w:highlight w:val="none"/>
        </w:rPr>
        <w:t xml:space="preserve"> </w:t>
      </w:r>
      <w:r>
        <w:rPr>
          <w:rFonts w:hint="eastAsia" w:ascii="宋体" w:hAnsi="宋体" w:cs="宋体"/>
          <w:color w:val="auto"/>
          <w:spacing w:val="7"/>
          <w:sz w:val="24"/>
          <w:highlight w:val="none"/>
        </w:rPr>
        <w:t>及其附件；招标(采购) 文件及补充通知。如果乙方的投标(响应性)文件及其附件高于国家行业</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标准</w:t>
      </w:r>
      <w:r>
        <w:rPr>
          <w:rFonts w:hint="eastAsia" w:ascii="宋体" w:hAnsi="宋体" w:cs="宋体"/>
          <w:color w:val="auto"/>
          <w:spacing w:val="-1"/>
          <w:sz w:val="24"/>
          <w:highlight w:val="none"/>
        </w:rPr>
        <w:t>的，以投标文件及其附件为准。</w:t>
      </w:r>
    </w:p>
    <w:p>
      <w:pPr>
        <w:shd w:val="clear"/>
        <w:spacing w:before="2" w:line="360" w:lineRule="auto"/>
        <w:ind w:left="37" w:right="62" w:firstLine="424"/>
        <w:rPr>
          <w:rFonts w:ascii="宋体" w:hAnsi="宋体" w:cs="宋体"/>
          <w:color w:val="auto"/>
          <w:sz w:val="24"/>
          <w:highlight w:val="none"/>
        </w:rPr>
      </w:pPr>
      <w:r>
        <w:rPr>
          <w:rFonts w:hint="eastAsia" w:ascii="宋体" w:hAnsi="宋体" w:cs="宋体"/>
          <w:color w:val="auto"/>
          <w:spacing w:val="2"/>
          <w:sz w:val="24"/>
          <w:highlight w:val="none"/>
        </w:rPr>
        <w:t>3. 本合同生效之后，任何一方违反本合同规定，除了承担违约金外，还要承担守约方向违</w:t>
      </w:r>
      <w:r>
        <w:rPr>
          <w:rFonts w:hint="eastAsia" w:ascii="宋体" w:hAnsi="宋体" w:cs="宋体"/>
          <w:color w:val="auto"/>
          <w:sz w:val="24"/>
          <w:highlight w:val="none"/>
        </w:rPr>
        <w:t xml:space="preserve">约 </w:t>
      </w:r>
      <w:r>
        <w:rPr>
          <w:rFonts w:hint="eastAsia" w:ascii="宋体" w:hAnsi="宋体" w:cs="宋体"/>
          <w:color w:val="auto"/>
          <w:spacing w:val="-1"/>
          <w:sz w:val="24"/>
          <w:highlight w:val="none"/>
        </w:rPr>
        <w:t>方追究违约责任所</w:t>
      </w:r>
      <w:r>
        <w:rPr>
          <w:rFonts w:hint="eastAsia" w:ascii="宋体" w:hAnsi="宋体" w:cs="宋体"/>
          <w:color w:val="auto"/>
          <w:sz w:val="24"/>
          <w:highlight w:val="none"/>
        </w:rPr>
        <w:t xml:space="preserve">支付的一切费用，包括但不限于律师费、诉讼费、保全费、公告费、鉴定费、交 </w:t>
      </w:r>
      <w:r>
        <w:rPr>
          <w:rFonts w:hint="eastAsia" w:ascii="宋体" w:hAnsi="宋体" w:cs="宋体"/>
          <w:color w:val="auto"/>
          <w:spacing w:val="-1"/>
          <w:sz w:val="24"/>
          <w:highlight w:val="none"/>
        </w:rPr>
        <w:t>通食宿费等</w:t>
      </w:r>
      <w:r>
        <w:rPr>
          <w:rFonts w:hint="eastAsia" w:ascii="宋体" w:hAnsi="宋体" w:cs="宋体"/>
          <w:color w:val="auto"/>
          <w:sz w:val="24"/>
          <w:highlight w:val="none"/>
        </w:rPr>
        <w:t>。</w:t>
      </w:r>
    </w:p>
    <w:p>
      <w:pPr>
        <w:shd w:val="clear"/>
        <w:spacing w:line="360" w:lineRule="auto"/>
        <w:ind w:left="456"/>
        <w:rPr>
          <w:rFonts w:ascii="宋体" w:hAnsi="宋体" w:cs="宋体"/>
          <w:color w:val="auto"/>
          <w:sz w:val="24"/>
          <w:highlight w:val="none"/>
        </w:rPr>
      </w:pPr>
      <w:r>
        <w:rPr>
          <w:rFonts w:hint="eastAsia" w:ascii="宋体" w:hAnsi="宋体" w:cs="宋体"/>
          <w:color w:val="auto"/>
          <w:spacing w:val="-1"/>
          <w:sz w:val="24"/>
          <w:highlight w:val="none"/>
        </w:rPr>
        <w:t xml:space="preserve">4. </w:t>
      </w:r>
      <w:r>
        <w:rPr>
          <w:rFonts w:hint="eastAsia" w:ascii="宋体" w:hAnsi="宋体" w:cs="宋体"/>
          <w:color w:val="auto"/>
          <w:sz w:val="24"/>
          <w:highlight w:val="none"/>
        </w:rPr>
        <w:t>本合同未尽事宜，供需双方可签订补充协议，与本合同具有同等法律效力。</w:t>
      </w:r>
    </w:p>
    <w:p>
      <w:pPr>
        <w:shd w:val="clear"/>
        <w:spacing w:before="217" w:line="360" w:lineRule="auto"/>
        <w:ind w:left="47" w:firstLine="413"/>
        <w:rPr>
          <w:rFonts w:ascii="宋体" w:hAnsi="宋体" w:cs="宋体"/>
          <w:color w:val="auto"/>
          <w:sz w:val="24"/>
          <w:highlight w:val="none"/>
        </w:rPr>
      </w:pPr>
      <w:r>
        <w:rPr>
          <w:rFonts w:hint="eastAsia" w:ascii="宋体" w:hAnsi="宋体" w:cs="宋体"/>
          <w:color w:val="auto"/>
          <w:spacing w:val="-6"/>
          <w:sz w:val="24"/>
          <w:highlight w:val="none"/>
        </w:rPr>
        <w:t>5. 技术规格书(技术参数及要求)、售后服务承诺均为本合同附件，与本合同具有同等效力。</w:t>
      </w:r>
      <w:r>
        <w:rPr>
          <w:rFonts w:hint="eastAsia" w:ascii="宋体" w:hAnsi="宋体" w:cs="宋体"/>
          <w:color w:val="auto"/>
          <w:spacing w:val="-6"/>
          <w:sz w:val="24"/>
          <w:highlight w:val="none"/>
          <w:u w:val="single"/>
        </w:rPr>
        <w:t xml:space="preserve"> (</w:t>
      </w:r>
      <w:r>
        <w:rPr>
          <w:rFonts w:hint="eastAsia" w:ascii="宋体" w:hAnsi="宋体" w:cs="宋体"/>
          <w:i/>
          <w:iCs/>
          <w:color w:val="auto"/>
          <w:spacing w:val="-5"/>
          <w:sz w:val="24"/>
          <w:highlight w:val="none"/>
          <w:u w:val="single"/>
        </w:rPr>
        <w:t>合</w:t>
      </w:r>
      <w:r>
        <w:rPr>
          <w:rFonts w:hint="eastAsia" w:ascii="宋体" w:hAnsi="宋体" w:cs="宋体"/>
          <w:i/>
          <w:iCs/>
          <w:color w:val="auto"/>
          <w:spacing w:val="-14"/>
          <w:sz w:val="24"/>
          <w:highlight w:val="none"/>
          <w:u w:val="single"/>
        </w:rPr>
        <w:t>同附件须各方加盖公章，</w:t>
      </w:r>
      <w:r>
        <w:rPr>
          <w:rFonts w:hint="eastAsia" w:ascii="宋体" w:hAnsi="宋体" w:cs="宋体"/>
          <w:color w:val="auto"/>
          <w:spacing w:val="-14"/>
          <w:sz w:val="24"/>
          <w:highlight w:val="none"/>
          <w:u w:val="single"/>
        </w:rPr>
        <w:t xml:space="preserve"> </w:t>
      </w:r>
      <w:r>
        <w:rPr>
          <w:rFonts w:hint="eastAsia" w:ascii="宋体" w:hAnsi="宋体" w:cs="宋体"/>
          <w:i/>
          <w:iCs/>
          <w:color w:val="auto"/>
          <w:spacing w:val="-14"/>
          <w:sz w:val="24"/>
          <w:highlight w:val="none"/>
          <w:u w:val="single"/>
        </w:rPr>
        <w:t>合同正式文本中请删去本括号内的内容</w:t>
      </w:r>
      <w:r>
        <w:rPr>
          <w:rFonts w:hint="eastAsia" w:ascii="宋体" w:hAnsi="宋体" w:cs="宋体"/>
          <w:color w:val="auto"/>
          <w:spacing w:val="-11"/>
          <w:sz w:val="24"/>
          <w:highlight w:val="none"/>
          <w:u w:val="single"/>
        </w:rPr>
        <w:t>)</w:t>
      </w:r>
      <w:r>
        <w:rPr>
          <w:rFonts w:hint="eastAsia" w:ascii="宋体" w:hAnsi="宋体" w:cs="宋体"/>
          <w:color w:val="auto"/>
          <w:sz w:val="24"/>
          <w:highlight w:val="none"/>
          <w:u w:val="single"/>
        </w:rPr>
        <w:t xml:space="preserve"> </w:t>
      </w:r>
    </w:p>
    <w:p>
      <w:pPr>
        <w:shd w:val="clear"/>
        <w:spacing w:before="1" w:line="360" w:lineRule="auto"/>
        <w:ind w:left="463"/>
        <w:rPr>
          <w:rFonts w:ascii="宋体" w:hAnsi="宋体" w:cs="宋体"/>
          <w:color w:val="auto"/>
          <w:sz w:val="24"/>
          <w:highlight w:val="none"/>
        </w:rPr>
      </w:pPr>
      <w:r>
        <w:rPr>
          <w:rFonts w:hint="eastAsia" w:ascii="宋体" w:hAnsi="宋体" w:cs="宋体"/>
          <w:color w:val="auto"/>
          <w:spacing w:val="19"/>
          <w:sz w:val="24"/>
          <w:highlight w:val="none"/>
        </w:rPr>
        <w:t>(</w:t>
      </w:r>
      <w:r>
        <w:rPr>
          <w:rFonts w:hint="eastAsia" w:ascii="宋体" w:hAnsi="宋体" w:cs="宋体"/>
          <w:color w:val="auto"/>
          <w:spacing w:val="15"/>
          <w:sz w:val="24"/>
          <w:highlight w:val="none"/>
        </w:rPr>
        <w:t>下无正文)</w:t>
      </w:r>
    </w:p>
    <w:tbl>
      <w:tblPr>
        <w:tblStyle w:val="49"/>
        <w:tblW w:w="4999" w:type="pct"/>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autofit"/>
        <w:tblCellMar>
          <w:top w:w="0" w:type="dxa"/>
          <w:left w:w="0" w:type="dxa"/>
          <w:bottom w:w="0" w:type="dxa"/>
          <w:right w:w="0" w:type="dxa"/>
        </w:tblCellMar>
      </w:tblPr>
      <w:tblGrid>
        <w:gridCol w:w="5973"/>
        <w:gridCol w:w="2983"/>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39" w:hRule="atLeast"/>
        </w:trPr>
        <w:tc>
          <w:tcPr>
            <w:tcW w:w="3334" w:type="pct"/>
          </w:tcPr>
          <w:p>
            <w:pPr>
              <w:shd w:val="clear"/>
              <w:spacing w:line="360" w:lineRule="auto"/>
              <w:ind w:left="28"/>
              <w:rPr>
                <w:rFonts w:ascii="宋体" w:hAnsi="宋体" w:cs="宋体"/>
                <w:color w:val="auto"/>
                <w:sz w:val="24"/>
                <w:highlight w:val="none"/>
              </w:rPr>
            </w:pPr>
            <w:r>
              <w:rPr>
                <w:rFonts w:hint="eastAsia" w:ascii="宋体" w:hAnsi="宋体" w:cs="宋体"/>
                <w:color w:val="auto"/>
                <w:spacing w:val="-20"/>
                <w:sz w:val="24"/>
                <w:highlight w:val="none"/>
              </w:rPr>
              <w:t>甲</w:t>
            </w:r>
            <w:r>
              <w:rPr>
                <w:rFonts w:hint="eastAsia" w:ascii="宋体" w:hAnsi="宋体" w:cs="宋体"/>
                <w:color w:val="auto"/>
                <w:spacing w:val="-13"/>
                <w:sz w:val="24"/>
                <w:highlight w:val="none"/>
              </w:rPr>
              <w:t xml:space="preserve">方：  </w:t>
            </w:r>
          </w:p>
        </w:tc>
        <w:tc>
          <w:tcPr>
            <w:tcW w:w="1665" w:type="pct"/>
          </w:tcPr>
          <w:p>
            <w:pPr>
              <w:shd w:val="clear"/>
              <w:spacing w:line="360" w:lineRule="auto"/>
              <w:ind w:left="338"/>
              <w:rPr>
                <w:rFonts w:ascii="宋体" w:hAnsi="宋体" w:cs="宋体"/>
                <w:color w:val="auto"/>
                <w:sz w:val="24"/>
                <w:highlight w:val="none"/>
              </w:rPr>
            </w:pPr>
            <w:r>
              <w:rPr>
                <w:rFonts w:hint="eastAsia" w:ascii="宋体" w:hAnsi="宋体" w:cs="宋体"/>
                <w:color w:val="auto"/>
                <w:spacing w:val="-19"/>
                <w:sz w:val="24"/>
                <w:highlight w:val="none"/>
              </w:rPr>
              <w:t>乙</w:t>
            </w:r>
            <w:r>
              <w:rPr>
                <w:rFonts w:hint="eastAsia" w:ascii="宋体" w:hAnsi="宋体" w:cs="宋体"/>
                <w:color w:val="auto"/>
                <w:spacing w:val="-17"/>
                <w:sz w:val="24"/>
                <w:highlight w:val="none"/>
              </w:rPr>
              <w:t>方：</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6" w:hRule="atLeast"/>
        </w:trPr>
        <w:tc>
          <w:tcPr>
            <w:tcW w:w="3334" w:type="pct"/>
          </w:tcPr>
          <w:p>
            <w:pPr>
              <w:shd w:val="clear"/>
              <w:spacing w:before="128" w:line="360" w:lineRule="auto"/>
              <w:rPr>
                <w:rFonts w:ascii="宋体" w:hAnsi="宋体" w:cs="宋体"/>
                <w:color w:val="auto"/>
                <w:sz w:val="24"/>
                <w:highlight w:val="none"/>
              </w:rPr>
            </w:pPr>
            <w:r>
              <w:rPr>
                <w:rFonts w:hint="eastAsia" w:ascii="宋体" w:hAnsi="宋体" w:cs="宋体"/>
                <w:color w:val="auto"/>
                <w:spacing w:val="-1"/>
                <w:sz w:val="24"/>
                <w:highlight w:val="none"/>
              </w:rPr>
              <w:t>委托代理</w:t>
            </w:r>
            <w:r>
              <w:rPr>
                <w:rFonts w:hint="eastAsia" w:ascii="宋体" w:hAnsi="宋体" w:cs="宋体"/>
                <w:color w:val="auto"/>
                <w:sz w:val="24"/>
                <w:highlight w:val="none"/>
              </w:rPr>
              <w:t>人签字：</w:t>
            </w:r>
          </w:p>
        </w:tc>
        <w:tc>
          <w:tcPr>
            <w:tcW w:w="1665" w:type="pct"/>
          </w:tcPr>
          <w:p>
            <w:pPr>
              <w:shd w:val="clear"/>
              <w:spacing w:before="129" w:line="360" w:lineRule="auto"/>
              <w:ind w:left="316"/>
              <w:rPr>
                <w:rFonts w:ascii="宋体" w:hAnsi="宋体" w:cs="宋体"/>
                <w:color w:val="auto"/>
                <w:sz w:val="24"/>
                <w:highlight w:val="none"/>
              </w:rPr>
            </w:pPr>
            <w:r>
              <w:rPr>
                <w:rFonts w:hint="eastAsia" w:ascii="宋体" w:hAnsi="宋体" w:cs="宋体"/>
                <w:color w:val="auto"/>
                <w:spacing w:val="-1"/>
                <w:sz w:val="24"/>
                <w:highlight w:val="none"/>
              </w:rPr>
              <w:t>委托代理人</w:t>
            </w:r>
            <w:r>
              <w:rPr>
                <w:rFonts w:hint="eastAsia" w:ascii="宋体" w:hAnsi="宋体" w:cs="宋体"/>
                <w:color w:val="auto"/>
                <w:sz w:val="24"/>
                <w:highlight w:val="none"/>
              </w:rPr>
              <w:t>签字：</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6" w:hRule="atLeast"/>
        </w:trPr>
        <w:tc>
          <w:tcPr>
            <w:tcW w:w="3334" w:type="pct"/>
          </w:tcPr>
          <w:p>
            <w:pPr>
              <w:shd w:val="clear"/>
              <w:spacing w:before="206" w:line="360" w:lineRule="auto"/>
              <w:rPr>
                <w:rFonts w:ascii="宋体" w:hAnsi="宋体" w:cs="宋体"/>
                <w:color w:val="auto"/>
                <w:sz w:val="24"/>
                <w:highlight w:val="none"/>
              </w:rPr>
            </w:pPr>
            <w:r>
              <w:rPr>
                <w:rFonts w:hint="eastAsia" w:ascii="宋体" w:hAnsi="宋体" w:cs="宋体"/>
                <w:color w:val="auto"/>
                <w:spacing w:val="-20"/>
                <w:sz w:val="24"/>
                <w:highlight w:val="none"/>
              </w:rPr>
              <w:t>地</w:t>
            </w:r>
            <w:r>
              <w:rPr>
                <w:rFonts w:hint="eastAsia" w:ascii="宋体" w:hAnsi="宋体" w:cs="宋体"/>
                <w:color w:val="auto"/>
                <w:spacing w:val="-12"/>
                <w:sz w:val="24"/>
                <w:highlight w:val="none"/>
              </w:rPr>
              <w:t>址</w:t>
            </w:r>
            <w:r>
              <w:rPr>
                <w:rFonts w:hint="eastAsia" w:ascii="宋体" w:hAnsi="宋体" w:cs="宋体"/>
                <w:color w:val="auto"/>
                <w:spacing w:val="-10"/>
                <w:sz w:val="24"/>
                <w:highlight w:val="none"/>
              </w:rPr>
              <w:t xml:space="preserve">： </w:t>
            </w:r>
          </w:p>
        </w:tc>
        <w:tc>
          <w:tcPr>
            <w:tcW w:w="1665" w:type="pct"/>
          </w:tcPr>
          <w:p>
            <w:pPr>
              <w:shd w:val="clear"/>
              <w:spacing w:before="207" w:line="360" w:lineRule="auto"/>
              <w:ind w:left="319"/>
              <w:rPr>
                <w:rFonts w:ascii="宋体" w:hAnsi="宋体" w:cs="宋体"/>
                <w:color w:val="auto"/>
                <w:sz w:val="24"/>
                <w:highlight w:val="none"/>
              </w:rPr>
            </w:pPr>
            <w:r>
              <w:rPr>
                <w:rFonts w:hint="eastAsia" w:ascii="宋体" w:hAnsi="宋体" w:cs="宋体"/>
                <w:color w:val="auto"/>
                <w:spacing w:val="-12"/>
                <w:sz w:val="24"/>
                <w:highlight w:val="none"/>
              </w:rPr>
              <w:t>地</w:t>
            </w:r>
            <w:r>
              <w:rPr>
                <w:rFonts w:hint="eastAsia" w:ascii="宋体" w:hAnsi="宋体" w:cs="宋体"/>
                <w:color w:val="auto"/>
                <w:spacing w:val="-10"/>
                <w:sz w:val="24"/>
                <w:highlight w:val="none"/>
              </w:rPr>
              <w:t>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3334" w:type="pct"/>
          </w:tcPr>
          <w:p>
            <w:pPr>
              <w:shd w:val="clear"/>
              <w:spacing w:before="129" w:line="360" w:lineRule="auto"/>
              <w:ind w:left="25"/>
              <w:rPr>
                <w:rFonts w:ascii="宋体" w:hAnsi="宋体" w:cs="宋体"/>
                <w:color w:val="auto"/>
                <w:sz w:val="24"/>
                <w:highlight w:val="none"/>
              </w:rPr>
            </w:pPr>
            <w:r>
              <w:rPr>
                <w:rFonts w:hint="eastAsia" w:ascii="宋体" w:hAnsi="宋体" w:cs="宋体"/>
                <w:color w:val="auto"/>
                <w:spacing w:val="-19"/>
                <w:sz w:val="24"/>
                <w:highlight w:val="none"/>
              </w:rPr>
              <w:t>电</w:t>
            </w:r>
            <w:r>
              <w:rPr>
                <w:rFonts w:hint="eastAsia" w:ascii="宋体" w:hAnsi="宋体" w:cs="宋体"/>
                <w:color w:val="auto"/>
                <w:spacing w:val="-17"/>
                <w:sz w:val="24"/>
                <w:highlight w:val="none"/>
              </w:rPr>
              <w:t>话：</w:t>
            </w:r>
          </w:p>
        </w:tc>
        <w:tc>
          <w:tcPr>
            <w:tcW w:w="1665" w:type="pct"/>
          </w:tcPr>
          <w:p>
            <w:pPr>
              <w:shd w:val="clear"/>
              <w:spacing w:before="129" w:line="360" w:lineRule="auto"/>
              <w:ind w:left="342"/>
              <w:rPr>
                <w:rFonts w:ascii="宋体" w:hAnsi="宋体" w:cs="宋体"/>
                <w:color w:val="auto"/>
                <w:sz w:val="24"/>
                <w:highlight w:val="none"/>
              </w:rPr>
            </w:pPr>
            <w:r>
              <w:rPr>
                <w:rFonts w:hint="eastAsia" w:ascii="宋体" w:hAnsi="宋体" w:cs="宋体"/>
                <w:color w:val="auto"/>
                <w:spacing w:val="-21"/>
                <w:sz w:val="24"/>
                <w:highlight w:val="none"/>
              </w:rPr>
              <w:t>电</w:t>
            </w:r>
            <w:r>
              <w:rPr>
                <w:rFonts w:hint="eastAsia" w:ascii="宋体" w:hAnsi="宋体" w:cs="宋体"/>
                <w:color w:val="auto"/>
                <w:spacing w:val="-18"/>
                <w:sz w:val="24"/>
                <w:highlight w:val="none"/>
              </w:rPr>
              <w:t>话：</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3334" w:type="pct"/>
          </w:tcPr>
          <w:p>
            <w:pPr>
              <w:shd w:val="clear"/>
              <w:spacing w:before="129" w:line="360" w:lineRule="auto"/>
              <w:ind w:left="1"/>
              <w:rPr>
                <w:rFonts w:ascii="宋体" w:hAnsi="宋体" w:cs="宋体"/>
                <w:color w:val="auto"/>
                <w:sz w:val="24"/>
                <w:highlight w:val="none"/>
              </w:rPr>
            </w:pPr>
            <w:r>
              <w:rPr>
                <w:rFonts w:hint="eastAsia" w:ascii="宋体" w:hAnsi="宋体" w:cs="宋体"/>
                <w:color w:val="auto"/>
                <w:spacing w:val="-12"/>
                <w:sz w:val="24"/>
                <w:highlight w:val="none"/>
              </w:rPr>
              <w:t>开</w:t>
            </w:r>
            <w:r>
              <w:rPr>
                <w:rFonts w:hint="eastAsia" w:ascii="宋体" w:hAnsi="宋体" w:cs="宋体"/>
                <w:color w:val="auto"/>
                <w:spacing w:val="-7"/>
                <w:sz w:val="24"/>
                <w:highlight w:val="none"/>
              </w:rPr>
              <w:t>户</w:t>
            </w:r>
            <w:r>
              <w:rPr>
                <w:rFonts w:hint="eastAsia" w:ascii="宋体" w:hAnsi="宋体" w:cs="宋体"/>
                <w:color w:val="auto"/>
                <w:spacing w:val="-6"/>
                <w:sz w:val="24"/>
                <w:highlight w:val="none"/>
              </w:rPr>
              <w:t xml:space="preserve">银行： </w:t>
            </w:r>
          </w:p>
        </w:tc>
        <w:tc>
          <w:tcPr>
            <w:tcW w:w="1665" w:type="pct"/>
          </w:tcPr>
          <w:p>
            <w:pPr>
              <w:shd w:val="clear"/>
              <w:spacing w:before="129" w:line="360" w:lineRule="auto"/>
              <w:ind w:left="320"/>
              <w:rPr>
                <w:rFonts w:ascii="宋体" w:hAnsi="宋体" w:cs="宋体"/>
                <w:color w:val="auto"/>
                <w:sz w:val="24"/>
                <w:highlight w:val="none"/>
              </w:rPr>
            </w:pPr>
            <w:r>
              <w:rPr>
                <w:rFonts w:hint="eastAsia" w:ascii="宋体" w:hAnsi="宋体" w:cs="宋体"/>
                <w:color w:val="auto"/>
                <w:spacing w:val="-9"/>
                <w:sz w:val="24"/>
                <w:highlight w:val="none"/>
              </w:rPr>
              <w:t>开</w:t>
            </w:r>
            <w:r>
              <w:rPr>
                <w:rFonts w:hint="eastAsia" w:ascii="宋体" w:hAnsi="宋体" w:cs="宋体"/>
                <w:color w:val="auto"/>
                <w:spacing w:val="-6"/>
                <w:sz w:val="24"/>
                <w:highlight w:val="none"/>
              </w:rPr>
              <w:t>户银行：</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40" w:hRule="atLeast"/>
        </w:trPr>
        <w:tc>
          <w:tcPr>
            <w:tcW w:w="3334" w:type="pct"/>
          </w:tcPr>
          <w:p>
            <w:pPr>
              <w:shd w:val="clear"/>
              <w:spacing w:before="129" w:line="360" w:lineRule="auto"/>
              <w:ind w:left="4"/>
              <w:rPr>
                <w:rFonts w:ascii="宋体" w:hAnsi="宋体" w:cs="宋体"/>
                <w:color w:val="auto"/>
                <w:sz w:val="24"/>
                <w:highlight w:val="none"/>
              </w:rPr>
            </w:pPr>
            <w:r>
              <w:rPr>
                <w:rFonts w:hint="eastAsia" w:ascii="宋体" w:hAnsi="宋体" w:cs="宋体"/>
                <w:color w:val="auto"/>
                <w:spacing w:val="-6"/>
                <w:sz w:val="24"/>
                <w:highlight w:val="none"/>
              </w:rPr>
              <w:t>账</w:t>
            </w:r>
            <w:r>
              <w:rPr>
                <w:rFonts w:hint="eastAsia" w:ascii="宋体" w:hAnsi="宋体" w:cs="宋体"/>
                <w:color w:val="auto"/>
                <w:spacing w:val="-4"/>
                <w:sz w:val="24"/>
                <w:highlight w:val="none"/>
              </w:rPr>
              <w:t xml:space="preserve">号： </w:t>
            </w:r>
          </w:p>
        </w:tc>
        <w:tc>
          <w:tcPr>
            <w:tcW w:w="1665" w:type="pct"/>
          </w:tcPr>
          <w:p>
            <w:pPr>
              <w:shd w:val="clear"/>
              <w:spacing w:before="129" w:line="360" w:lineRule="auto"/>
              <w:ind w:left="320"/>
              <w:rPr>
                <w:rFonts w:ascii="宋体" w:hAnsi="宋体" w:cs="宋体"/>
                <w:color w:val="auto"/>
                <w:sz w:val="24"/>
                <w:highlight w:val="none"/>
              </w:rPr>
            </w:pPr>
            <w:r>
              <w:rPr>
                <w:rFonts w:hint="eastAsia" w:ascii="宋体" w:hAnsi="宋体" w:cs="宋体"/>
                <w:color w:val="auto"/>
                <w:spacing w:val="-13"/>
                <w:sz w:val="24"/>
                <w:highlight w:val="none"/>
              </w:rPr>
              <w:t>账</w:t>
            </w:r>
            <w:r>
              <w:rPr>
                <w:rFonts w:hint="eastAsia" w:ascii="宋体" w:hAnsi="宋体" w:cs="宋体"/>
                <w:color w:val="auto"/>
                <w:spacing w:val="-11"/>
                <w:sz w:val="24"/>
                <w:highlight w:val="none"/>
              </w:rPr>
              <w:t>号：</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40" w:hRule="atLeast"/>
        </w:trPr>
        <w:tc>
          <w:tcPr>
            <w:tcW w:w="3334" w:type="pct"/>
          </w:tcPr>
          <w:p>
            <w:pPr>
              <w:shd w:val="clear"/>
              <w:spacing w:before="129" w:line="360" w:lineRule="auto"/>
              <w:ind w:left="4"/>
              <w:rPr>
                <w:rFonts w:ascii="宋体" w:hAnsi="宋体" w:cs="宋体"/>
                <w:color w:val="auto"/>
                <w:spacing w:val="-6"/>
                <w:sz w:val="24"/>
                <w:highlight w:val="none"/>
              </w:rPr>
            </w:pPr>
            <w:r>
              <w:rPr>
                <w:rFonts w:hint="eastAsia" w:ascii="宋体" w:hAnsi="宋体" w:cs="宋体"/>
                <w:color w:val="auto"/>
                <w:spacing w:val="-6"/>
                <w:sz w:val="24"/>
                <w:highlight w:val="none"/>
              </w:rPr>
              <w:t>日期：</w:t>
            </w:r>
          </w:p>
        </w:tc>
        <w:tc>
          <w:tcPr>
            <w:tcW w:w="1665" w:type="pct"/>
          </w:tcPr>
          <w:p>
            <w:pPr>
              <w:shd w:val="clear"/>
              <w:spacing w:before="129" w:line="360" w:lineRule="auto"/>
              <w:ind w:left="320"/>
              <w:rPr>
                <w:rFonts w:ascii="宋体" w:hAnsi="宋体" w:cs="宋体"/>
                <w:color w:val="auto"/>
                <w:spacing w:val="-13"/>
                <w:sz w:val="24"/>
                <w:highlight w:val="none"/>
              </w:rPr>
            </w:pPr>
            <w:r>
              <w:rPr>
                <w:rFonts w:hint="eastAsia" w:ascii="宋体" w:hAnsi="宋体" w:cs="宋体"/>
                <w:color w:val="auto"/>
                <w:spacing w:val="-6"/>
                <w:sz w:val="24"/>
                <w:highlight w:val="none"/>
              </w:rPr>
              <w:t>日期：</w:t>
            </w:r>
          </w:p>
        </w:tc>
      </w:tr>
    </w:tbl>
    <w:p>
      <w:pPr>
        <w:pStyle w:val="14"/>
        <w:shd w:val="clear"/>
        <w:ind w:firstLine="480"/>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rPr>
          <w:rFonts w:ascii="宋体" w:hAnsi="宋体" w:cs="宋体"/>
          <w:color w:val="auto"/>
          <w:highlight w:val="none"/>
        </w:rPr>
      </w:pPr>
      <w:bookmarkStart w:id="575" w:name="_Toc532473493"/>
      <w:bookmarkStart w:id="576" w:name="_Toc15048333"/>
      <w:bookmarkStart w:id="577" w:name="_Toc515647802"/>
      <w:bookmarkStart w:id="578" w:name="_Toc702"/>
      <w:bookmarkStart w:id="579" w:name="_Toc216582812"/>
      <w:bookmarkStart w:id="580" w:name="_Toc57217295"/>
      <w:bookmarkStart w:id="581" w:name="_Toc728"/>
    </w:p>
    <w:p>
      <w:pPr>
        <w:shd w:val="clear"/>
        <w:rPr>
          <w:rFonts w:ascii="宋体" w:hAnsi="宋体" w:cs="宋体"/>
          <w:color w:val="auto"/>
          <w:sz w:val="32"/>
          <w:szCs w:val="32"/>
          <w:highlight w:val="none"/>
        </w:rPr>
      </w:pPr>
      <w:bookmarkStart w:id="582" w:name="_Toc4255"/>
      <w:r>
        <w:rPr>
          <w:rFonts w:hint="eastAsia" w:ascii="宋体" w:hAnsi="宋体" w:cs="宋体"/>
          <w:color w:val="auto"/>
          <w:sz w:val="32"/>
          <w:szCs w:val="32"/>
          <w:highlight w:val="none"/>
        </w:rPr>
        <w:br w:type="page"/>
      </w:r>
    </w:p>
    <w:p>
      <w:pPr>
        <w:pStyle w:val="3"/>
        <w:shd w:val="clear"/>
        <w:tabs>
          <w:tab w:val="left" w:pos="0"/>
        </w:tabs>
        <w:autoSpaceDE w:val="0"/>
        <w:autoSpaceDN w:val="0"/>
        <w:adjustRightInd w:val="0"/>
        <w:spacing w:before="0" w:after="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第六章  响应文件格式</w:t>
      </w:r>
      <w:bookmarkEnd w:id="575"/>
      <w:bookmarkEnd w:id="576"/>
      <w:bookmarkEnd w:id="577"/>
      <w:bookmarkEnd w:id="578"/>
      <w:bookmarkEnd w:id="579"/>
      <w:bookmarkEnd w:id="580"/>
      <w:bookmarkEnd w:id="581"/>
      <w:bookmarkEnd w:id="582"/>
    </w:p>
    <w:p>
      <w:pPr>
        <w:shd w:val="clear"/>
        <w:spacing w:line="360" w:lineRule="auto"/>
        <w:rPr>
          <w:rFonts w:ascii="宋体" w:hAnsi="宋体" w:cs="宋体"/>
          <w:b/>
          <w:color w:val="auto"/>
          <w:sz w:val="24"/>
          <w:highlight w:val="none"/>
        </w:rPr>
      </w:pPr>
    </w:p>
    <w:p>
      <w:pPr>
        <w:shd w:val="clear"/>
        <w:tabs>
          <w:tab w:val="left" w:pos="360"/>
        </w:tabs>
        <w:spacing w:line="360" w:lineRule="auto"/>
        <w:jc w:val="center"/>
        <w:rPr>
          <w:rFonts w:ascii="宋体" w:hAnsi="宋体" w:cs="宋体"/>
          <w:b/>
          <w:color w:val="auto"/>
          <w:sz w:val="24"/>
          <w:highlight w:val="none"/>
        </w:rPr>
      </w:pPr>
    </w:p>
    <w:p>
      <w:pPr>
        <w:shd w:val="clear"/>
        <w:tabs>
          <w:tab w:val="left" w:pos="55"/>
        </w:tabs>
        <w:jc w:val="center"/>
        <w:rPr>
          <w:rFonts w:ascii="宋体" w:hAnsi="宋体" w:cs="宋体"/>
          <w:b/>
          <w:color w:val="auto"/>
          <w:w w:val="150"/>
          <w:sz w:val="24"/>
          <w:highlight w:val="none"/>
        </w:rPr>
      </w:pPr>
      <w:r>
        <w:rPr>
          <w:rFonts w:hint="eastAsia" w:ascii="宋体" w:hAnsi="宋体" w:cs="宋体"/>
          <w:b/>
          <w:color w:val="auto"/>
          <w:sz w:val="32"/>
          <w:szCs w:val="32"/>
          <w:highlight w:val="none"/>
          <w:u w:val="single"/>
        </w:rPr>
        <w:t xml:space="preserve">                     （项目名称）</w:t>
      </w:r>
    </w:p>
    <w:p>
      <w:pPr>
        <w:pStyle w:val="48"/>
        <w:shd w:val="clear"/>
        <w:ind w:firstLine="480"/>
        <w:rPr>
          <w:rFonts w:ascii="宋体" w:hAnsi="宋体" w:cs="宋体"/>
          <w:color w:val="auto"/>
          <w:sz w:val="24"/>
          <w:szCs w:val="24"/>
          <w:highlight w:val="none"/>
        </w:rPr>
      </w:pPr>
    </w:p>
    <w:p>
      <w:pPr>
        <w:pStyle w:val="48"/>
        <w:shd w:val="clear"/>
        <w:ind w:firstLine="480"/>
        <w:rPr>
          <w:rFonts w:ascii="宋体" w:hAnsi="宋体" w:cs="宋体"/>
          <w:color w:val="auto"/>
          <w:sz w:val="24"/>
          <w:szCs w:val="24"/>
          <w:highlight w:val="none"/>
        </w:rPr>
      </w:pPr>
    </w:p>
    <w:p>
      <w:pPr>
        <w:pStyle w:val="48"/>
        <w:shd w:val="clear"/>
        <w:ind w:firstLine="480"/>
        <w:rPr>
          <w:rFonts w:ascii="宋体" w:hAnsi="宋体" w:cs="宋体"/>
          <w:color w:val="auto"/>
          <w:sz w:val="24"/>
          <w:szCs w:val="24"/>
          <w:highlight w:val="none"/>
        </w:rPr>
      </w:pPr>
    </w:p>
    <w:p>
      <w:pPr>
        <w:shd w:val="clear"/>
        <w:rPr>
          <w:rFonts w:ascii="宋体" w:hAnsi="宋体" w:cs="宋体"/>
          <w:color w:val="auto"/>
          <w:sz w:val="24"/>
          <w:highlight w:val="none"/>
        </w:rPr>
      </w:pPr>
    </w:p>
    <w:p>
      <w:pPr>
        <w:pStyle w:val="4"/>
        <w:shd w:val="clear"/>
        <w:rPr>
          <w:rFonts w:ascii="宋体" w:hAnsi="宋体" w:eastAsia="宋体" w:cs="宋体"/>
          <w:color w:val="auto"/>
          <w:highlight w:val="none"/>
        </w:rPr>
      </w:pPr>
    </w:p>
    <w:p>
      <w:pPr>
        <w:pStyle w:val="48"/>
        <w:shd w:val="clear"/>
        <w:ind w:firstLine="480"/>
        <w:rPr>
          <w:rFonts w:ascii="宋体" w:hAnsi="宋体" w:cs="宋体"/>
          <w:color w:val="auto"/>
          <w:sz w:val="24"/>
          <w:szCs w:val="24"/>
          <w:highlight w:val="none"/>
        </w:rPr>
      </w:pPr>
    </w:p>
    <w:p>
      <w:pPr>
        <w:shd w:val="clear"/>
        <w:tabs>
          <w:tab w:val="left" w:pos="360"/>
        </w:tabs>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磋商响应文件</w:t>
      </w:r>
    </w:p>
    <w:p>
      <w:pPr>
        <w:shd w:val="clear"/>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项目编号：</w:t>
      </w:r>
    </w:p>
    <w:p>
      <w:pPr>
        <w:pStyle w:val="48"/>
        <w:shd w:val="clear"/>
        <w:ind w:firstLine="482"/>
        <w:rPr>
          <w:rFonts w:ascii="宋体" w:hAnsi="宋体" w:cs="宋体"/>
          <w:b/>
          <w:color w:val="auto"/>
          <w:sz w:val="24"/>
          <w:szCs w:val="24"/>
          <w:highlight w:val="none"/>
        </w:rPr>
      </w:pPr>
    </w:p>
    <w:p>
      <w:pPr>
        <w:pStyle w:val="21"/>
        <w:shd w:val="clear"/>
        <w:rPr>
          <w:rFonts w:ascii="宋体" w:hAnsi="宋体" w:cs="宋体"/>
          <w:color w:val="auto"/>
          <w:sz w:val="24"/>
          <w:szCs w:val="24"/>
          <w:highlight w:val="none"/>
        </w:rPr>
      </w:pPr>
    </w:p>
    <w:p>
      <w:pPr>
        <w:pStyle w:val="48"/>
        <w:shd w:val="clear"/>
        <w:ind w:firstLine="482"/>
        <w:rPr>
          <w:rFonts w:ascii="宋体" w:hAnsi="宋体" w:cs="宋体"/>
          <w:b/>
          <w:color w:val="auto"/>
          <w:sz w:val="24"/>
          <w:szCs w:val="24"/>
          <w:highlight w:val="none"/>
        </w:rPr>
      </w:pPr>
    </w:p>
    <w:p>
      <w:pPr>
        <w:shd w:val="clear"/>
        <w:rPr>
          <w:rFonts w:ascii="宋体" w:hAnsi="宋体" w:cs="宋体"/>
          <w:color w:val="auto"/>
          <w:highlight w:val="none"/>
        </w:rPr>
      </w:pPr>
    </w:p>
    <w:p>
      <w:pPr>
        <w:shd w:val="clear"/>
        <w:rPr>
          <w:rFonts w:ascii="宋体" w:hAnsi="宋体" w:cs="宋体"/>
          <w:color w:val="auto"/>
          <w:sz w:val="24"/>
          <w:highlight w:val="none"/>
        </w:rPr>
      </w:pPr>
    </w:p>
    <w:p>
      <w:pPr>
        <w:pStyle w:val="48"/>
        <w:shd w:val="clear"/>
        <w:ind w:firstLine="480"/>
        <w:rPr>
          <w:rFonts w:ascii="宋体" w:hAnsi="宋体" w:cs="宋体"/>
          <w:color w:val="auto"/>
          <w:sz w:val="24"/>
          <w:szCs w:val="24"/>
          <w:highlight w:val="none"/>
        </w:rPr>
      </w:pPr>
    </w:p>
    <w:p>
      <w:pPr>
        <w:shd w:val="clear"/>
        <w:rPr>
          <w:rFonts w:ascii="宋体" w:hAnsi="宋体" w:cs="宋体"/>
          <w:color w:val="auto"/>
          <w:sz w:val="24"/>
          <w:highlight w:val="none"/>
        </w:rPr>
      </w:pPr>
    </w:p>
    <w:p>
      <w:pPr>
        <w:pStyle w:val="48"/>
        <w:shd w:val="clear"/>
        <w:ind w:firstLine="480"/>
        <w:rPr>
          <w:rFonts w:ascii="宋体" w:hAnsi="宋体" w:cs="宋体"/>
          <w:color w:val="auto"/>
          <w:sz w:val="24"/>
          <w:szCs w:val="24"/>
          <w:highlight w:val="none"/>
        </w:rPr>
      </w:pPr>
    </w:p>
    <w:p>
      <w:pPr>
        <w:shd w:val="clear"/>
        <w:rPr>
          <w:rFonts w:ascii="宋体" w:hAnsi="宋体" w:cs="宋体"/>
          <w:color w:val="auto"/>
          <w:highlight w:val="none"/>
        </w:rPr>
      </w:pPr>
    </w:p>
    <w:p>
      <w:pPr>
        <w:pStyle w:val="48"/>
        <w:shd w:val="clear"/>
        <w:ind w:firstLine="482"/>
        <w:rPr>
          <w:rFonts w:ascii="宋体" w:hAnsi="宋体" w:cs="宋体"/>
          <w:b/>
          <w:color w:val="auto"/>
          <w:sz w:val="24"/>
          <w:szCs w:val="24"/>
          <w:highlight w:val="none"/>
        </w:rPr>
      </w:pPr>
    </w:p>
    <w:p>
      <w:pPr>
        <w:shd w:val="clear"/>
        <w:spacing w:line="48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供应商：</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（加盖企业电子签章或盖章）</w:t>
      </w:r>
    </w:p>
    <w:p>
      <w:pPr>
        <w:shd w:val="clear"/>
        <w:spacing w:line="48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法定代表人（或非法人组织负责人）：</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（加盖个人电子签章或签字或盖章）</w:t>
      </w:r>
    </w:p>
    <w:p>
      <w:pPr>
        <w:shd w:val="clear"/>
        <w:spacing w:line="48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日  期：     年    月    日</w:t>
      </w:r>
    </w:p>
    <w:p>
      <w:pPr>
        <w:shd w:val="clear"/>
        <w:spacing w:line="480" w:lineRule="auto"/>
        <w:ind w:left="735" w:leftChars="350" w:firstLine="120" w:firstLineChars="50"/>
        <w:rPr>
          <w:rFonts w:ascii="宋体" w:hAnsi="宋体" w:cs="宋体"/>
          <w:color w:val="auto"/>
          <w:sz w:val="24"/>
          <w:highlight w:val="none"/>
        </w:rPr>
      </w:pPr>
    </w:p>
    <w:p>
      <w:pPr>
        <w:shd w:val="clear"/>
        <w:tabs>
          <w:tab w:val="left" w:pos="4135"/>
        </w:tabs>
        <w:spacing w:line="360" w:lineRule="auto"/>
        <w:ind w:left="735" w:leftChars="350" w:firstLine="120" w:firstLineChars="50"/>
        <w:rPr>
          <w:rFonts w:ascii="宋体" w:hAnsi="宋体" w:cs="宋体"/>
          <w:color w:val="auto"/>
          <w:sz w:val="24"/>
          <w:highlight w:val="none"/>
        </w:rPr>
      </w:pPr>
      <w:r>
        <w:rPr>
          <w:rFonts w:hint="eastAsia" w:ascii="宋体" w:hAnsi="宋体" w:cs="宋体"/>
          <w:color w:val="auto"/>
          <w:sz w:val="24"/>
          <w:highlight w:val="none"/>
        </w:rPr>
        <w:tab/>
      </w:r>
    </w:p>
    <w:p>
      <w:pPr>
        <w:shd w:val="clear"/>
        <w:rPr>
          <w:rFonts w:ascii="宋体" w:hAnsi="宋体" w:cs="宋体"/>
          <w:color w:val="auto"/>
          <w:highlight w:val="none"/>
        </w:rPr>
      </w:pPr>
      <w:r>
        <w:rPr>
          <w:rFonts w:hint="eastAsia" w:ascii="宋体" w:hAnsi="宋体" w:cs="宋体"/>
          <w:color w:val="auto"/>
          <w:highlight w:val="none"/>
        </w:rPr>
        <w:tab/>
      </w:r>
    </w:p>
    <w:p>
      <w:pPr>
        <w:shd w:val="clear"/>
        <w:rPr>
          <w:rFonts w:ascii="宋体" w:hAnsi="宋体" w:cs="宋体"/>
          <w:color w:val="auto"/>
          <w:highlight w:val="none"/>
        </w:rPr>
      </w:pPr>
      <w:bookmarkStart w:id="583" w:name="_Toc48142257"/>
      <w:bookmarkStart w:id="584" w:name="_Toc50557448"/>
      <w:bookmarkStart w:id="585" w:name="_Toc90712553"/>
      <w:bookmarkStart w:id="586" w:name="_Toc482378985"/>
      <w:bookmarkStart w:id="587" w:name="_Toc50558562"/>
      <w:bookmarkStart w:id="588" w:name="_Toc44924412"/>
      <w:bookmarkStart w:id="589" w:name="_Toc16089922"/>
      <w:bookmarkStart w:id="590" w:name="_Hlk450146465"/>
      <w:bookmarkStart w:id="591" w:name="_Toc482379078"/>
      <w:bookmarkStart w:id="592" w:name="_Toc15912361"/>
      <w:bookmarkStart w:id="593" w:name="_Toc16089980"/>
      <w:bookmarkStart w:id="594" w:name="_Toc90713372"/>
      <w:bookmarkStart w:id="595" w:name="_Toc87621073"/>
    </w:p>
    <w:p>
      <w:pPr>
        <w:shd w:val="clear"/>
        <w:rPr>
          <w:rFonts w:ascii="宋体" w:hAnsi="宋体" w:cs="宋体"/>
          <w:color w:val="auto"/>
          <w:highlight w:val="none"/>
        </w:rPr>
      </w:pPr>
    </w:p>
    <w:p>
      <w:pPr>
        <w:shd w:val="clear"/>
        <w:spacing w:line="360" w:lineRule="auto"/>
        <w:jc w:val="center"/>
        <w:outlineLvl w:val="2"/>
        <w:rPr>
          <w:rFonts w:ascii="宋体" w:hAnsi="宋体" w:cs="宋体"/>
          <w:b/>
          <w:color w:val="auto"/>
          <w:sz w:val="28"/>
          <w:szCs w:val="28"/>
          <w:highlight w:val="none"/>
        </w:rPr>
      </w:pPr>
      <w:bookmarkStart w:id="596" w:name="_Toc14486"/>
      <w:bookmarkStart w:id="597" w:name="_Toc23483"/>
      <w:r>
        <w:rPr>
          <w:rFonts w:hint="eastAsia" w:ascii="宋体" w:hAnsi="宋体" w:cs="宋体"/>
          <w:b/>
          <w:color w:val="auto"/>
          <w:sz w:val="28"/>
          <w:szCs w:val="28"/>
          <w:highlight w:val="none"/>
        </w:rPr>
        <w:t>一、磋商响应函格式</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pStyle w:val="21"/>
        <w:shd w:val="clear"/>
        <w:rPr>
          <w:rFonts w:ascii="宋体" w:hAnsi="宋体" w:cs="宋体"/>
          <w:color w:val="auto"/>
          <w:sz w:val="24"/>
          <w:szCs w:val="24"/>
          <w:highlight w:val="none"/>
        </w:rPr>
      </w:pPr>
    </w:p>
    <w:p>
      <w:pPr>
        <w:pStyle w:val="21"/>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我方已仔细阅读并研究了项目编号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（项目名称）磋商文件的全部内容（包含本项目的所有补遗、澄清和变更资料），我们完全熟悉其中的要求、条款和条件。愿意以磋商报价（大写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元）的磋商价格，交货期：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，质量保证期_______，质量标准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；按磋商文件要求对完成本项目的相应工作。同时做出以下声明：</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1.我方磋商有效期为</w:t>
      </w:r>
      <w:r>
        <w:rPr>
          <w:rFonts w:hint="eastAsia" w:ascii="宋体" w:hAnsi="宋体" w:cs="宋体"/>
          <w:color w:val="auto"/>
          <w:sz w:val="24"/>
          <w:highlight w:val="none"/>
          <w:u w:val="single"/>
        </w:rPr>
        <w:t>自响应文件递交截止之日起60天</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2.我方承诺与采购人聘请的为此项目提供咨询服务的公司及任何附属机构均无关联，我方不是采购人的附属机构。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3.我方将按磋商文件的规定履行合同责任和义务。</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4.我方同意提供贵方可能要求的与其磋商有关的一切数据或资料。</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5.我方完全理解贵方不一定接受最低价的响应或收到的任何响应。</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6.我方承诺不泄露磋商活动中获取的项目信息、商业秘密。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7.我方严格按磋商文件的要求，向采购代理机构支付本次招标代理服务费。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8.我方在此声明，所递交的响应文件及有关资料内容完整、真实和准确。</w:t>
      </w:r>
    </w:p>
    <w:p>
      <w:pPr>
        <w:shd w:val="clear"/>
        <w:tabs>
          <w:tab w:val="left" w:pos="0"/>
          <w:tab w:val="left" w:pos="8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9.在质量、性能和服务相等情况下，我方完全理解并认可贵单位不一定将合同授予最低报价的供应商。</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bCs/>
          <w:color w:val="auto"/>
          <w:sz w:val="24"/>
          <w:highlight w:val="none"/>
        </w:rPr>
      </w:pPr>
      <w:bookmarkStart w:id="598" w:name="_Toc5727"/>
      <w:bookmarkStart w:id="599" w:name="_Toc10621"/>
      <w:r>
        <w:rPr>
          <w:rFonts w:hint="eastAsia" w:ascii="宋体" w:hAnsi="宋体" w:cs="宋体"/>
          <w:bCs/>
          <w:color w:val="auto"/>
          <w:sz w:val="24"/>
          <w:highlight w:val="none"/>
        </w:rPr>
        <w:t>日  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bookmarkEnd w:id="598"/>
      <w:bookmarkEnd w:id="599"/>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通讯地址：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电话：</w:t>
      </w:r>
    </w:p>
    <w:p>
      <w:pPr>
        <w:pStyle w:val="21"/>
        <w:shd w:val="clear"/>
        <w:rPr>
          <w:rFonts w:ascii="宋体" w:hAnsi="宋体" w:cs="宋体"/>
          <w:color w:val="auto"/>
          <w:sz w:val="24"/>
          <w:szCs w:val="24"/>
          <w:highlight w:val="none"/>
        </w:rPr>
      </w:pPr>
    </w:p>
    <w:p>
      <w:pPr>
        <w:shd w:val="clear"/>
        <w:rPr>
          <w:rFonts w:ascii="宋体" w:hAnsi="宋体" w:cs="宋体"/>
          <w:color w:val="auto"/>
          <w:sz w:val="24"/>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bookmarkStart w:id="600" w:name="_Toc482378986"/>
      <w:bookmarkStart w:id="601" w:name="_Toc482379079"/>
      <w:bookmarkStart w:id="602" w:name="_Toc50557449"/>
      <w:bookmarkStart w:id="603" w:name="_Toc16089981"/>
      <w:bookmarkStart w:id="604" w:name="_Toc50558563"/>
      <w:bookmarkStart w:id="605" w:name="_Toc48142258"/>
      <w:bookmarkStart w:id="606" w:name="_Toc44924413"/>
      <w:bookmarkStart w:id="607" w:name="_Toc15912362"/>
      <w:bookmarkStart w:id="608" w:name="_Toc16089923"/>
    </w:p>
    <w:p>
      <w:pPr>
        <w:shd w:val="clear"/>
        <w:rPr>
          <w:rFonts w:ascii="宋体" w:hAnsi="宋体" w:cs="宋体"/>
          <w:color w:val="auto"/>
          <w:highlight w:val="none"/>
        </w:rPr>
      </w:pPr>
    </w:p>
    <w:p>
      <w:pPr>
        <w:shd w:val="clear"/>
        <w:spacing w:line="360" w:lineRule="auto"/>
        <w:jc w:val="center"/>
        <w:outlineLvl w:val="2"/>
        <w:rPr>
          <w:rFonts w:ascii="宋体" w:hAnsi="宋体" w:cs="宋体"/>
          <w:b/>
          <w:color w:val="auto"/>
          <w:sz w:val="28"/>
          <w:szCs w:val="28"/>
          <w:highlight w:val="none"/>
        </w:rPr>
      </w:pPr>
      <w:bookmarkStart w:id="609" w:name="_Toc9361"/>
      <w:bookmarkStart w:id="610" w:name="_Toc16702"/>
      <w:r>
        <w:rPr>
          <w:rFonts w:hint="eastAsia" w:ascii="宋体" w:hAnsi="宋体" w:cs="宋体"/>
          <w:b/>
          <w:color w:val="auto"/>
          <w:sz w:val="28"/>
          <w:szCs w:val="28"/>
          <w:highlight w:val="none"/>
        </w:rPr>
        <w:t>二、法定代表人</w:t>
      </w:r>
      <w:bookmarkEnd w:id="600"/>
      <w:bookmarkEnd w:id="601"/>
      <w:r>
        <w:rPr>
          <w:rFonts w:hint="eastAsia" w:ascii="宋体" w:hAnsi="宋体" w:cs="宋体"/>
          <w:b/>
          <w:color w:val="auto"/>
          <w:sz w:val="28"/>
          <w:szCs w:val="28"/>
          <w:highlight w:val="none"/>
        </w:rPr>
        <w:t>身份证明</w:t>
      </w:r>
      <w:bookmarkEnd w:id="602"/>
      <w:bookmarkEnd w:id="603"/>
      <w:bookmarkEnd w:id="604"/>
      <w:bookmarkEnd w:id="605"/>
      <w:bookmarkEnd w:id="606"/>
      <w:bookmarkEnd w:id="607"/>
      <w:bookmarkEnd w:id="608"/>
      <w:bookmarkEnd w:id="609"/>
      <w:bookmarkEnd w:id="610"/>
    </w:p>
    <w:p>
      <w:pPr>
        <w:shd w:val="clear"/>
        <w:spacing w:line="360" w:lineRule="auto"/>
        <w:jc w:val="center"/>
        <w:rPr>
          <w:rFonts w:ascii="宋体" w:hAnsi="宋体" w:cs="宋体"/>
          <w:color w:val="auto"/>
          <w:sz w:val="24"/>
          <w:highlight w:val="none"/>
        </w:rPr>
      </w:pPr>
    </w:p>
    <w:p>
      <w:pPr>
        <w:shd w:val="clear"/>
        <w:spacing w:line="360" w:lineRule="auto"/>
        <w:jc w:val="left"/>
        <w:rPr>
          <w:rFonts w:ascii="宋体" w:hAnsi="宋体" w:cs="宋体"/>
          <w:color w:val="auto"/>
          <w:sz w:val="24"/>
          <w:highlight w:val="none"/>
        </w:rPr>
      </w:pPr>
      <w:bookmarkStart w:id="611" w:name="_Toc26046"/>
      <w:bookmarkStart w:id="612" w:name="_Toc1309"/>
      <w:r>
        <w:rPr>
          <w:rFonts w:hint="eastAsia" w:ascii="宋体" w:hAnsi="宋体" w:cs="宋体"/>
          <w:color w:val="auto"/>
          <w:sz w:val="24"/>
          <w:highlight w:val="none"/>
        </w:rPr>
        <w:t>供应商名称：</w:t>
      </w:r>
      <w:bookmarkEnd w:id="611"/>
      <w:bookmarkEnd w:id="612"/>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spacing w:line="360" w:lineRule="auto"/>
        <w:jc w:val="left"/>
        <w:rPr>
          <w:rFonts w:ascii="宋体" w:hAnsi="宋体" w:cs="宋体"/>
          <w:color w:val="auto"/>
          <w:sz w:val="24"/>
          <w:highlight w:val="none"/>
        </w:rPr>
      </w:pPr>
      <w:bookmarkStart w:id="613" w:name="_Toc20800"/>
      <w:bookmarkStart w:id="614" w:name="_Toc21953"/>
      <w:r>
        <w:rPr>
          <w:rFonts w:hint="eastAsia" w:ascii="宋体" w:hAnsi="宋体" w:cs="宋体"/>
          <w:color w:val="auto"/>
          <w:sz w:val="24"/>
          <w:highlight w:val="none"/>
        </w:rPr>
        <w:t>单位性质：</w:t>
      </w:r>
      <w:bookmarkEnd w:id="613"/>
      <w:bookmarkEnd w:id="614"/>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spacing w:line="360" w:lineRule="auto"/>
        <w:jc w:val="left"/>
        <w:rPr>
          <w:rFonts w:ascii="宋体" w:hAnsi="宋体" w:cs="宋体"/>
          <w:color w:val="auto"/>
          <w:sz w:val="24"/>
          <w:highlight w:val="none"/>
        </w:rPr>
      </w:pPr>
      <w:bookmarkStart w:id="615" w:name="_Toc14879"/>
      <w:bookmarkStart w:id="616" w:name="_Toc18087"/>
      <w:r>
        <w:rPr>
          <w:rFonts w:hint="eastAsia" w:ascii="宋体" w:hAnsi="宋体" w:cs="宋体"/>
          <w:color w:val="auto"/>
          <w:sz w:val="24"/>
          <w:highlight w:val="none"/>
        </w:rPr>
        <w:t>地    址：</w:t>
      </w:r>
      <w:bookmarkEnd w:id="615"/>
      <w:bookmarkEnd w:id="616"/>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color w:val="auto"/>
          <w:sz w:val="24"/>
          <w:highlight w:val="none"/>
        </w:rPr>
      </w:pPr>
      <w:bookmarkStart w:id="617" w:name="_Toc25620"/>
      <w:bookmarkStart w:id="618" w:name="_Toc16223"/>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年  月   日</w:t>
      </w:r>
      <w:bookmarkEnd w:id="617"/>
      <w:bookmarkEnd w:id="618"/>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spacing w:line="360" w:lineRule="auto"/>
        <w:jc w:val="left"/>
        <w:rPr>
          <w:rFonts w:ascii="宋体" w:hAnsi="宋体" w:cs="宋体"/>
          <w:color w:val="auto"/>
          <w:sz w:val="24"/>
          <w:highlight w:val="none"/>
        </w:rPr>
      </w:pPr>
      <w:bookmarkStart w:id="619" w:name="_Toc25247"/>
      <w:bookmarkStart w:id="620" w:name="_Toc14581"/>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年  月   日</w:t>
      </w:r>
      <w:bookmarkEnd w:id="619"/>
      <w:bookmarkEnd w:id="62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spacing w:line="360" w:lineRule="auto"/>
        <w:jc w:val="left"/>
        <w:rPr>
          <w:rFonts w:ascii="宋体" w:hAnsi="宋体" w:cs="宋体"/>
          <w:color w:val="auto"/>
          <w:sz w:val="24"/>
          <w:highlight w:val="none"/>
        </w:rPr>
      </w:pPr>
      <w:bookmarkStart w:id="621" w:name="_Toc11519"/>
      <w:bookmarkStart w:id="622" w:name="_Toc5468"/>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bookmarkEnd w:id="621"/>
      <w:bookmarkEnd w:id="622"/>
    </w:p>
    <w:p>
      <w:pPr>
        <w:shd w:val="clear"/>
        <w:spacing w:line="360" w:lineRule="auto"/>
        <w:jc w:val="left"/>
        <w:rPr>
          <w:rFonts w:ascii="宋体" w:hAnsi="宋体" w:cs="宋体"/>
          <w:color w:val="auto"/>
          <w:sz w:val="24"/>
          <w:highlight w:val="none"/>
        </w:rPr>
      </w:pPr>
      <w:bookmarkStart w:id="623" w:name="_Toc13595"/>
      <w:bookmarkStart w:id="624" w:name="_Toc23693"/>
      <w:r>
        <w:rPr>
          <w:rFonts w:hint="eastAsia" w:ascii="宋体" w:hAnsi="宋体" w:cs="宋体"/>
          <w:color w:val="auto"/>
          <w:sz w:val="24"/>
          <w:highlight w:val="none"/>
        </w:rPr>
        <w:t>特此证明。</w:t>
      </w:r>
      <w:bookmarkEnd w:id="623"/>
      <w:bookmarkEnd w:id="624"/>
    </w:p>
    <w:p>
      <w:pPr>
        <w:shd w:val="clear"/>
        <w:rPr>
          <w:rFonts w:ascii="宋体" w:hAnsi="宋体" w:cs="宋体"/>
          <w:color w:val="auto"/>
          <w:highlight w:val="none"/>
        </w:rPr>
      </w:pPr>
    </w:p>
    <w:p>
      <w:pPr>
        <w:shd w:val="clear"/>
        <w:spacing w:line="360" w:lineRule="auto"/>
        <w:rPr>
          <w:rFonts w:ascii="宋体" w:hAnsi="宋体" w:cs="宋体"/>
          <w:color w:val="auto"/>
          <w:sz w:val="24"/>
          <w:highlight w:val="none"/>
          <w:u w:val="single"/>
        </w:rPr>
      </w:pPr>
      <w:bookmarkStart w:id="625" w:name="_Toc17843"/>
      <w:bookmarkStart w:id="626" w:name="_Toc16325"/>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日  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bookmarkEnd w:id="625"/>
      <w:bookmarkEnd w:id="626"/>
    </w:p>
    <w:p>
      <w:pPr>
        <w:shd w:val="clear"/>
        <w:rPr>
          <w:rFonts w:ascii="宋体" w:hAnsi="宋体" w:cs="宋体"/>
          <w:color w:val="auto"/>
          <w:highlight w:val="none"/>
        </w:rPr>
      </w:pPr>
    </w:p>
    <w:p>
      <w:pPr>
        <w:shd w:val="clear"/>
        <w:spacing w:line="360" w:lineRule="auto"/>
        <w:jc w:val="left"/>
        <w:rPr>
          <w:rFonts w:ascii="宋体" w:hAnsi="宋体" w:cs="宋体"/>
          <w:b/>
          <w:color w:val="auto"/>
          <w:sz w:val="24"/>
          <w:highlight w:val="none"/>
        </w:rPr>
      </w:pPr>
      <w:r>
        <w:rPr>
          <w:rFonts w:hint="eastAsia" w:ascii="宋体" w:hAnsi="宋体" w:cs="宋体"/>
          <w:b/>
          <w:color w:val="auto"/>
          <w:sz w:val="24"/>
          <w:highlight w:val="none"/>
        </w:rPr>
        <w:t>注:后附法定代表人身份证正反面复印件或扫描件</w:t>
      </w:r>
    </w:p>
    <w:p>
      <w:pPr>
        <w:shd w:val="clear"/>
        <w:rPr>
          <w:rFonts w:ascii="宋体" w:hAnsi="宋体" w:cs="宋体"/>
          <w:color w:val="auto"/>
          <w:highlight w:val="none"/>
        </w:rPr>
      </w:pPr>
    </w:p>
    <w:p>
      <w:pPr>
        <w:shd w:val="clear"/>
        <w:rPr>
          <w:rFonts w:ascii="宋体" w:hAnsi="宋体" w:cs="宋体"/>
          <w:color w:val="auto"/>
          <w:highlight w:val="none"/>
        </w:rPr>
      </w:pPr>
      <w:bookmarkStart w:id="627" w:name="_资格证明文件"/>
      <w:bookmarkEnd w:id="627"/>
    </w:p>
    <w:p>
      <w:pPr>
        <w:pStyle w:val="21"/>
        <w:shd w:val="clear"/>
        <w:spacing w:line="360" w:lineRule="auto"/>
        <w:rPr>
          <w:rFonts w:ascii="宋体" w:hAnsi="宋体" w:cs="宋体"/>
          <w:b/>
          <w:color w:val="auto"/>
          <w:sz w:val="24"/>
          <w:szCs w:val="24"/>
          <w:highlight w:val="none"/>
        </w:rPr>
      </w:pPr>
    </w:p>
    <w:p>
      <w:pPr>
        <w:shd w:val="clear"/>
        <w:rPr>
          <w:rFonts w:ascii="宋体" w:hAnsi="宋体" w:cs="宋体"/>
          <w:color w:val="auto"/>
          <w:highlight w:val="none"/>
        </w:rPr>
      </w:pPr>
      <w:r>
        <w:rPr>
          <w:rFonts w:hint="eastAsia" w:ascii="宋体" w:hAnsi="宋体" w:cs="宋体"/>
          <w:color w:val="auto"/>
          <w:highlight w:val="none"/>
        </w:rPr>
        <w:br w:type="page"/>
      </w:r>
      <w:bookmarkStart w:id="628" w:name="_Toc56699210"/>
    </w:p>
    <w:p>
      <w:pPr>
        <w:pStyle w:val="5"/>
        <w:shd w:val="clear"/>
        <w:spacing w:line="240" w:lineRule="auto"/>
        <w:jc w:val="center"/>
        <w:rPr>
          <w:rFonts w:ascii="宋体" w:hAnsi="宋体" w:eastAsia="宋体" w:cs="宋体"/>
          <w:color w:val="auto"/>
          <w:sz w:val="28"/>
          <w:szCs w:val="28"/>
          <w:highlight w:val="none"/>
        </w:rPr>
      </w:pPr>
      <w:bookmarkStart w:id="629" w:name="_Toc2872"/>
      <w:bookmarkStart w:id="630" w:name="_Toc14424"/>
      <w:r>
        <w:rPr>
          <w:rFonts w:hint="eastAsia" w:ascii="宋体" w:hAnsi="宋体" w:eastAsia="宋体" w:cs="宋体"/>
          <w:color w:val="auto"/>
          <w:sz w:val="28"/>
          <w:szCs w:val="28"/>
          <w:highlight w:val="none"/>
        </w:rPr>
        <w:t>三、法人授权委托书</w:t>
      </w:r>
      <w:bookmarkEnd w:id="628"/>
      <w:bookmarkEnd w:id="629"/>
      <w:bookmarkEnd w:id="630"/>
    </w:p>
    <w:p>
      <w:pPr>
        <w:shd w:val="clear"/>
        <w:spacing w:line="420" w:lineRule="auto"/>
        <w:rPr>
          <w:rFonts w:ascii="宋体" w:hAnsi="宋体" w:cs="宋体"/>
          <w:color w:val="auto"/>
          <w:sz w:val="24"/>
          <w:highlight w:val="none"/>
        </w:rPr>
      </w:pPr>
    </w:p>
    <w:p>
      <w:pPr>
        <w:shd w:val="clear"/>
        <w:spacing w:line="420" w:lineRule="auto"/>
        <w:ind w:firstLine="480"/>
        <w:jc w:val="left"/>
        <w:rPr>
          <w:rFonts w:ascii="宋体" w:hAnsi="宋体" w:cs="宋体"/>
          <w:color w:val="auto"/>
          <w:sz w:val="24"/>
          <w:highlight w:val="none"/>
        </w:rPr>
      </w:pPr>
      <w:r>
        <w:rPr>
          <w:rFonts w:hint="eastAsia" w:ascii="宋体" w:hAnsi="宋体" w:cs="宋体"/>
          <w:color w:val="auto"/>
          <w:sz w:val="24"/>
          <w:highlight w:val="none"/>
        </w:rPr>
        <w:t>本人 _______（姓名）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（身份证号）系____________（供应商名称）的法定代表人，现委托______（姓名）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（项目名称及包号）响应文件、签订合同和处理有关事宜，其法律后果由我方承担。</w:t>
      </w:r>
    </w:p>
    <w:p>
      <w:pPr>
        <w:shd w:val="clear"/>
        <w:spacing w:line="420" w:lineRule="auto"/>
        <w:ind w:firstLine="480"/>
        <w:jc w:val="left"/>
        <w:rPr>
          <w:rFonts w:ascii="宋体" w:hAnsi="宋体" w:cs="宋体"/>
          <w:color w:val="auto"/>
          <w:sz w:val="24"/>
          <w:highlight w:val="none"/>
        </w:rPr>
      </w:pPr>
      <w:r>
        <w:rPr>
          <w:rFonts w:hint="eastAsia" w:ascii="宋体" w:hAnsi="宋体" w:cs="宋体"/>
          <w:color w:val="auto"/>
          <w:sz w:val="24"/>
          <w:highlight w:val="none"/>
        </w:rPr>
        <w:t>委托期限：___________。</w:t>
      </w:r>
    </w:p>
    <w:p>
      <w:pPr>
        <w:shd w:val="clear"/>
        <w:spacing w:line="420" w:lineRule="auto"/>
        <w:ind w:firstLine="480"/>
        <w:jc w:val="left"/>
        <w:rPr>
          <w:rFonts w:ascii="宋体" w:hAnsi="宋体" w:cs="宋体"/>
          <w:color w:val="auto"/>
          <w:sz w:val="24"/>
          <w:highlight w:val="none"/>
        </w:rPr>
      </w:pPr>
      <w:r>
        <w:rPr>
          <w:rFonts w:hint="eastAsia" w:ascii="宋体" w:hAnsi="宋体" w:cs="宋体"/>
          <w:color w:val="auto"/>
          <w:sz w:val="24"/>
          <w:highlight w:val="none"/>
        </w:rPr>
        <w:t>代理人无转委托权。</w:t>
      </w:r>
    </w:p>
    <w:p>
      <w:pPr>
        <w:shd w:val="clear"/>
        <w:spacing w:line="360" w:lineRule="auto"/>
        <w:jc w:val="left"/>
        <w:rPr>
          <w:rFonts w:ascii="宋体" w:hAnsi="宋体" w:cs="宋体"/>
          <w:b/>
          <w:color w:val="auto"/>
          <w:sz w:val="24"/>
          <w:highlight w:val="none"/>
        </w:rPr>
      </w:pPr>
      <w:r>
        <w:rPr>
          <w:rFonts w:hint="eastAsia" w:ascii="宋体" w:hAnsi="宋体" w:cs="宋体"/>
          <w:b/>
          <w:color w:val="auto"/>
          <w:sz w:val="24"/>
          <w:highlight w:val="none"/>
        </w:rPr>
        <w:t>注:后附被授权人身份证正反面复印件或扫描件</w:t>
      </w:r>
    </w:p>
    <w:p>
      <w:pPr>
        <w:shd w:val="clear"/>
        <w:spacing w:line="420" w:lineRule="auto"/>
        <w:ind w:firstLine="480"/>
        <w:jc w:val="left"/>
        <w:rPr>
          <w:rFonts w:ascii="宋体" w:hAnsi="宋体" w:cs="宋体"/>
          <w:color w:val="auto"/>
          <w:sz w:val="24"/>
          <w:highlight w:val="none"/>
        </w:rPr>
      </w:pPr>
    </w:p>
    <w:p>
      <w:pPr>
        <w:shd w:val="clear"/>
        <w:spacing w:line="420" w:lineRule="auto"/>
        <w:ind w:firstLine="480"/>
        <w:jc w:val="left"/>
        <w:rPr>
          <w:rFonts w:ascii="宋体" w:hAnsi="宋体" w:cs="宋体"/>
          <w:color w:val="auto"/>
          <w:sz w:val="24"/>
          <w:highlight w:val="none"/>
        </w:rPr>
      </w:pPr>
    </w:p>
    <w:p>
      <w:pPr>
        <w:shd w:val="clear"/>
        <w:rPr>
          <w:rFonts w:ascii="宋体" w:hAnsi="宋体" w:cs="宋体"/>
          <w:color w:val="auto"/>
          <w:highlight w:val="none"/>
        </w:rPr>
      </w:pPr>
    </w:p>
    <w:p>
      <w:pPr>
        <w:shd w:val="clear"/>
        <w:rPr>
          <w:rFonts w:ascii="宋体" w:hAnsi="宋体" w:cs="宋体"/>
          <w:color w:val="auto"/>
          <w:sz w:val="24"/>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480" w:lineRule="auto"/>
        <w:jc w:val="left"/>
        <w:rPr>
          <w:rFonts w:ascii="宋体" w:hAnsi="宋体" w:cs="宋体"/>
          <w:color w:val="auto"/>
          <w:sz w:val="24"/>
          <w:highlight w:val="none"/>
        </w:rPr>
      </w:pPr>
      <w:r>
        <w:rPr>
          <w:rFonts w:hint="eastAsia" w:ascii="宋体" w:hAnsi="宋体" w:cs="宋体"/>
          <w:color w:val="auto"/>
          <w:kern w:val="1"/>
          <w:sz w:val="24"/>
          <w:highlight w:val="none"/>
        </w:rPr>
        <w:t>日期： ____年____月_____日</w:t>
      </w: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r>
        <w:rPr>
          <w:rFonts w:hint="eastAsia" w:ascii="宋体" w:hAnsi="宋体" w:cs="宋体"/>
          <w:color w:val="auto"/>
          <w:highlight w:val="none"/>
        </w:rPr>
        <w:br w:type="page"/>
      </w:r>
    </w:p>
    <w:p>
      <w:pPr>
        <w:shd w:val="clear"/>
        <w:spacing w:line="360" w:lineRule="auto"/>
        <w:jc w:val="center"/>
        <w:outlineLvl w:val="2"/>
        <w:rPr>
          <w:rFonts w:ascii="宋体" w:hAnsi="宋体" w:cs="宋体"/>
          <w:b/>
          <w:color w:val="auto"/>
          <w:sz w:val="28"/>
          <w:szCs w:val="28"/>
          <w:highlight w:val="none"/>
        </w:rPr>
      </w:pPr>
      <w:bookmarkStart w:id="631" w:name="_Toc30256"/>
      <w:bookmarkStart w:id="632" w:name="_Toc2340"/>
      <w:r>
        <w:rPr>
          <w:rFonts w:hint="eastAsia" w:ascii="宋体" w:hAnsi="宋体" w:cs="宋体"/>
          <w:b/>
          <w:color w:val="auto"/>
          <w:sz w:val="28"/>
          <w:szCs w:val="28"/>
          <w:highlight w:val="none"/>
        </w:rPr>
        <w:t>四、资格证明文件</w:t>
      </w:r>
      <w:bookmarkEnd w:id="631"/>
      <w:bookmarkEnd w:id="632"/>
    </w:p>
    <w:p>
      <w:pPr>
        <w:shd w:val="clear"/>
        <w:spacing w:line="360" w:lineRule="auto"/>
        <w:jc w:val="center"/>
        <w:outlineLvl w:val="3"/>
        <w:rPr>
          <w:rFonts w:ascii="宋体" w:hAnsi="宋体" w:cs="宋体"/>
          <w:color w:val="auto"/>
          <w:sz w:val="24"/>
          <w:highlight w:val="none"/>
        </w:rPr>
      </w:pPr>
      <w:bookmarkStart w:id="633" w:name="_Toc5057"/>
      <w:bookmarkStart w:id="634" w:name="_Toc17162"/>
      <w:bookmarkStart w:id="635" w:name="_Toc17753"/>
      <w:bookmarkStart w:id="636" w:name="_Toc20773"/>
      <w:r>
        <w:rPr>
          <w:rFonts w:hint="eastAsia" w:ascii="宋体" w:hAnsi="宋体" w:cs="宋体"/>
          <w:b/>
          <w:color w:val="auto"/>
          <w:sz w:val="24"/>
          <w:highlight w:val="none"/>
        </w:rPr>
        <w:t>4.1供应商基本情况表</w:t>
      </w:r>
      <w:bookmarkEnd w:id="633"/>
      <w:bookmarkEnd w:id="634"/>
      <w:bookmarkEnd w:id="635"/>
      <w:bookmarkEnd w:id="636"/>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025"/>
        <w:gridCol w:w="59"/>
        <w:gridCol w:w="1201"/>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637" w:name="_Toc32755"/>
            <w:bookmarkStart w:id="638" w:name="_Toc26554"/>
            <w:bookmarkStart w:id="639" w:name="_Toc26462"/>
            <w:bookmarkStart w:id="640" w:name="_Toc31224"/>
            <w:bookmarkStart w:id="641" w:name="_Toc32355"/>
            <w:r>
              <w:rPr>
                <w:rFonts w:hint="eastAsia" w:ascii="宋体" w:hAnsi="宋体" w:cs="宋体"/>
                <w:bCs/>
                <w:color w:val="auto"/>
                <w:sz w:val="24"/>
                <w:highlight w:val="none"/>
              </w:rPr>
              <w:t>供应商名称</w:t>
            </w:r>
            <w:bookmarkEnd w:id="637"/>
            <w:bookmarkEnd w:id="638"/>
            <w:bookmarkEnd w:id="639"/>
            <w:bookmarkEnd w:id="640"/>
            <w:bookmarkEnd w:id="641"/>
          </w:p>
        </w:tc>
        <w:tc>
          <w:tcPr>
            <w:tcW w:w="7325" w:type="dxa"/>
            <w:gridSpan w:val="11"/>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642" w:name="_Toc7641"/>
            <w:bookmarkStart w:id="643" w:name="_Toc828"/>
            <w:bookmarkStart w:id="644" w:name="_Toc21028"/>
            <w:bookmarkStart w:id="645" w:name="_Toc23787"/>
            <w:bookmarkStart w:id="646" w:name="_Toc31875"/>
            <w:r>
              <w:rPr>
                <w:rFonts w:hint="eastAsia" w:ascii="宋体" w:hAnsi="宋体" w:cs="宋体"/>
                <w:bCs/>
                <w:color w:val="auto"/>
                <w:sz w:val="24"/>
                <w:highlight w:val="none"/>
              </w:rPr>
              <w:t>注册地址</w:t>
            </w:r>
            <w:bookmarkEnd w:id="642"/>
            <w:bookmarkEnd w:id="643"/>
            <w:bookmarkEnd w:id="644"/>
            <w:bookmarkEnd w:id="645"/>
            <w:bookmarkEnd w:id="646"/>
          </w:p>
        </w:tc>
        <w:tc>
          <w:tcPr>
            <w:tcW w:w="4445" w:type="dxa"/>
            <w:gridSpan w:val="6"/>
            <w:vAlign w:val="center"/>
          </w:tcPr>
          <w:p>
            <w:pPr>
              <w:shd w:val="clear"/>
              <w:spacing w:line="360" w:lineRule="auto"/>
              <w:jc w:val="left"/>
              <w:outlineLvl w:val="1"/>
              <w:rPr>
                <w:rFonts w:ascii="宋体" w:hAnsi="宋体" w:cs="宋体"/>
                <w:bCs/>
                <w:color w:val="auto"/>
                <w:sz w:val="24"/>
                <w:highlight w:val="none"/>
              </w:rPr>
            </w:pPr>
          </w:p>
        </w:tc>
        <w:tc>
          <w:tcPr>
            <w:tcW w:w="1260" w:type="dxa"/>
            <w:gridSpan w:val="3"/>
            <w:vAlign w:val="center"/>
          </w:tcPr>
          <w:p>
            <w:pPr>
              <w:shd w:val="clear"/>
              <w:spacing w:line="360" w:lineRule="auto"/>
              <w:jc w:val="left"/>
              <w:outlineLvl w:val="1"/>
              <w:rPr>
                <w:rFonts w:ascii="宋体" w:hAnsi="宋体" w:cs="宋体"/>
                <w:bCs/>
                <w:color w:val="auto"/>
                <w:sz w:val="24"/>
                <w:highlight w:val="none"/>
              </w:rPr>
            </w:pPr>
            <w:bookmarkStart w:id="647" w:name="_Toc3687"/>
            <w:bookmarkStart w:id="648" w:name="_Toc18676"/>
            <w:bookmarkStart w:id="649" w:name="_Toc14201"/>
            <w:bookmarkStart w:id="650" w:name="_Toc7468"/>
            <w:bookmarkStart w:id="651" w:name="_Toc14391"/>
            <w:r>
              <w:rPr>
                <w:rFonts w:hint="eastAsia" w:ascii="宋体" w:hAnsi="宋体" w:cs="宋体"/>
                <w:bCs/>
                <w:color w:val="auto"/>
                <w:sz w:val="24"/>
                <w:highlight w:val="none"/>
              </w:rPr>
              <w:t>邮政编码</w:t>
            </w:r>
            <w:bookmarkEnd w:id="647"/>
            <w:bookmarkEnd w:id="648"/>
            <w:bookmarkEnd w:id="649"/>
            <w:bookmarkEnd w:id="650"/>
            <w:bookmarkEnd w:id="651"/>
          </w:p>
        </w:tc>
        <w:tc>
          <w:tcPr>
            <w:tcW w:w="1620" w:type="dxa"/>
            <w:gridSpan w:val="2"/>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652" w:name="_Toc2840"/>
            <w:bookmarkStart w:id="653" w:name="_Toc23535"/>
            <w:bookmarkStart w:id="654" w:name="_Toc28971"/>
            <w:bookmarkStart w:id="655" w:name="_Toc6319"/>
            <w:bookmarkStart w:id="656" w:name="_Toc11090"/>
            <w:r>
              <w:rPr>
                <w:rFonts w:hint="eastAsia" w:ascii="宋体" w:hAnsi="宋体" w:cs="宋体"/>
                <w:bCs/>
                <w:color w:val="auto"/>
                <w:sz w:val="24"/>
                <w:highlight w:val="none"/>
              </w:rPr>
              <w:t>联系方式</w:t>
            </w:r>
            <w:bookmarkEnd w:id="652"/>
            <w:bookmarkEnd w:id="653"/>
            <w:bookmarkEnd w:id="654"/>
            <w:bookmarkEnd w:id="655"/>
            <w:bookmarkEnd w:id="656"/>
          </w:p>
        </w:tc>
        <w:tc>
          <w:tcPr>
            <w:tcW w:w="1084" w:type="dxa"/>
            <w:gridSpan w:val="2"/>
            <w:vAlign w:val="center"/>
          </w:tcPr>
          <w:p>
            <w:pPr>
              <w:shd w:val="clear"/>
              <w:spacing w:line="360" w:lineRule="auto"/>
              <w:jc w:val="left"/>
              <w:outlineLvl w:val="1"/>
              <w:rPr>
                <w:rFonts w:ascii="宋体" w:hAnsi="宋体" w:cs="宋体"/>
                <w:bCs/>
                <w:color w:val="auto"/>
                <w:sz w:val="24"/>
                <w:highlight w:val="none"/>
              </w:rPr>
            </w:pPr>
            <w:bookmarkStart w:id="657" w:name="_Toc1178"/>
            <w:bookmarkStart w:id="658" w:name="_Toc5151"/>
            <w:bookmarkStart w:id="659" w:name="_Toc18391"/>
            <w:bookmarkStart w:id="660" w:name="_Toc13675"/>
            <w:bookmarkStart w:id="661" w:name="_Toc17453"/>
            <w:r>
              <w:rPr>
                <w:rFonts w:hint="eastAsia" w:ascii="宋体" w:hAnsi="宋体" w:cs="宋体"/>
                <w:bCs/>
                <w:color w:val="auto"/>
                <w:sz w:val="24"/>
                <w:highlight w:val="none"/>
              </w:rPr>
              <w:t>联系人</w:t>
            </w:r>
            <w:bookmarkEnd w:id="657"/>
            <w:bookmarkEnd w:id="658"/>
            <w:bookmarkEnd w:id="659"/>
            <w:bookmarkEnd w:id="660"/>
            <w:bookmarkEnd w:id="661"/>
          </w:p>
        </w:tc>
        <w:tc>
          <w:tcPr>
            <w:tcW w:w="3361" w:type="dxa"/>
            <w:gridSpan w:val="4"/>
            <w:vAlign w:val="center"/>
          </w:tcPr>
          <w:p>
            <w:pPr>
              <w:shd w:val="clear"/>
              <w:spacing w:line="360" w:lineRule="auto"/>
              <w:jc w:val="left"/>
              <w:outlineLvl w:val="1"/>
              <w:rPr>
                <w:rFonts w:ascii="宋体" w:hAnsi="宋体" w:cs="宋体"/>
                <w:bCs/>
                <w:color w:val="auto"/>
                <w:sz w:val="24"/>
                <w:highlight w:val="none"/>
              </w:rPr>
            </w:pPr>
          </w:p>
        </w:tc>
        <w:tc>
          <w:tcPr>
            <w:tcW w:w="1260" w:type="dxa"/>
            <w:gridSpan w:val="3"/>
            <w:vAlign w:val="center"/>
          </w:tcPr>
          <w:p>
            <w:pPr>
              <w:shd w:val="clear"/>
              <w:spacing w:line="360" w:lineRule="auto"/>
              <w:jc w:val="left"/>
              <w:outlineLvl w:val="1"/>
              <w:rPr>
                <w:rFonts w:ascii="宋体" w:hAnsi="宋体" w:cs="宋体"/>
                <w:bCs/>
                <w:color w:val="auto"/>
                <w:sz w:val="24"/>
                <w:highlight w:val="none"/>
              </w:rPr>
            </w:pPr>
            <w:bookmarkStart w:id="662" w:name="_Toc1641"/>
            <w:bookmarkStart w:id="663" w:name="_Toc2216"/>
            <w:bookmarkStart w:id="664" w:name="_Toc24628"/>
            <w:bookmarkStart w:id="665" w:name="_Toc18853"/>
            <w:bookmarkStart w:id="666" w:name="_Toc20462"/>
            <w:r>
              <w:rPr>
                <w:rFonts w:hint="eastAsia" w:ascii="宋体" w:hAnsi="宋体" w:cs="宋体"/>
                <w:bCs/>
                <w:color w:val="auto"/>
                <w:sz w:val="24"/>
                <w:highlight w:val="none"/>
              </w:rPr>
              <w:t>联系电话</w:t>
            </w:r>
            <w:bookmarkEnd w:id="662"/>
            <w:bookmarkEnd w:id="663"/>
            <w:bookmarkEnd w:id="664"/>
            <w:bookmarkEnd w:id="665"/>
            <w:bookmarkEnd w:id="666"/>
          </w:p>
        </w:tc>
        <w:tc>
          <w:tcPr>
            <w:tcW w:w="1620" w:type="dxa"/>
            <w:gridSpan w:val="2"/>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667" w:name="_Toc11412"/>
            <w:bookmarkStart w:id="668" w:name="_Toc28023"/>
            <w:bookmarkStart w:id="669" w:name="_Toc2097"/>
            <w:bookmarkStart w:id="670" w:name="_Toc446"/>
            <w:bookmarkStart w:id="671" w:name="_Toc4241"/>
            <w:r>
              <w:rPr>
                <w:rFonts w:hint="eastAsia" w:ascii="宋体" w:hAnsi="宋体" w:cs="宋体"/>
                <w:bCs/>
                <w:color w:val="auto"/>
                <w:sz w:val="24"/>
                <w:highlight w:val="none"/>
              </w:rPr>
              <w:t>组织结构</w:t>
            </w:r>
            <w:bookmarkEnd w:id="667"/>
            <w:bookmarkEnd w:id="668"/>
            <w:bookmarkEnd w:id="669"/>
            <w:bookmarkEnd w:id="670"/>
            <w:bookmarkEnd w:id="671"/>
          </w:p>
        </w:tc>
        <w:tc>
          <w:tcPr>
            <w:tcW w:w="7325" w:type="dxa"/>
            <w:gridSpan w:val="11"/>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672" w:name="_Toc2430"/>
            <w:bookmarkStart w:id="673" w:name="_Toc12455"/>
            <w:bookmarkStart w:id="674" w:name="_Toc24561"/>
            <w:bookmarkStart w:id="675" w:name="_Toc3182"/>
            <w:bookmarkStart w:id="676" w:name="_Toc20295"/>
            <w:r>
              <w:rPr>
                <w:rFonts w:hint="eastAsia" w:ascii="宋体" w:hAnsi="宋体" w:cs="宋体"/>
                <w:bCs/>
                <w:color w:val="auto"/>
                <w:sz w:val="24"/>
                <w:highlight w:val="none"/>
              </w:rPr>
              <w:t>法定代表人</w:t>
            </w:r>
            <w:bookmarkEnd w:id="672"/>
            <w:bookmarkEnd w:id="673"/>
            <w:bookmarkEnd w:id="674"/>
            <w:bookmarkEnd w:id="675"/>
            <w:bookmarkEnd w:id="676"/>
          </w:p>
        </w:tc>
        <w:tc>
          <w:tcPr>
            <w:tcW w:w="1025" w:type="dxa"/>
            <w:vAlign w:val="center"/>
          </w:tcPr>
          <w:p>
            <w:pPr>
              <w:shd w:val="clear"/>
              <w:spacing w:line="360" w:lineRule="auto"/>
              <w:jc w:val="left"/>
              <w:outlineLvl w:val="1"/>
              <w:rPr>
                <w:rFonts w:ascii="宋体" w:hAnsi="宋体" w:cs="宋体"/>
                <w:bCs/>
                <w:color w:val="auto"/>
                <w:sz w:val="24"/>
                <w:highlight w:val="none"/>
              </w:rPr>
            </w:pPr>
            <w:bookmarkStart w:id="677" w:name="_Toc15827"/>
            <w:bookmarkStart w:id="678" w:name="_Toc27675"/>
            <w:bookmarkStart w:id="679" w:name="_Toc6045"/>
            <w:bookmarkStart w:id="680" w:name="_Toc20886"/>
            <w:bookmarkStart w:id="681" w:name="_Toc20175"/>
            <w:r>
              <w:rPr>
                <w:rFonts w:hint="eastAsia" w:ascii="宋体" w:hAnsi="宋体" w:cs="宋体"/>
                <w:bCs/>
                <w:color w:val="auto"/>
                <w:sz w:val="24"/>
                <w:highlight w:val="none"/>
              </w:rPr>
              <w:t>姓名</w:t>
            </w:r>
            <w:bookmarkEnd w:id="677"/>
            <w:bookmarkEnd w:id="678"/>
            <w:bookmarkEnd w:id="679"/>
            <w:bookmarkEnd w:id="680"/>
            <w:bookmarkEnd w:id="681"/>
          </w:p>
        </w:tc>
        <w:tc>
          <w:tcPr>
            <w:tcW w:w="1260" w:type="dxa"/>
            <w:gridSpan w:val="2"/>
            <w:vAlign w:val="center"/>
          </w:tcPr>
          <w:p>
            <w:pPr>
              <w:shd w:val="clear"/>
              <w:spacing w:line="360" w:lineRule="auto"/>
              <w:jc w:val="left"/>
              <w:outlineLvl w:val="1"/>
              <w:rPr>
                <w:rFonts w:ascii="宋体" w:hAnsi="宋体" w:cs="宋体"/>
                <w:bCs/>
                <w:color w:val="auto"/>
                <w:sz w:val="24"/>
                <w:highlight w:val="none"/>
              </w:rPr>
            </w:pPr>
          </w:p>
        </w:tc>
        <w:tc>
          <w:tcPr>
            <w:tcW w:w="1260" w:type="dxa"/>
            <w:vAlign w:val="center"/>
          </w:tcPr>
          <w:p>
            <w:pPr>
              <w:shd w:val="clear"/>
              <w:spacing w:line="360" w:lineRule="auto"/>
              <w:jc w:val="left"/>
              <w:outlineLvl w:val="1"/>
              <w:rPr>
                <w:rFonts w:ascii="宋体" w:hAnsi="宋体" w:cs="宋体"/>
                <w:bCs/>
                <w:color w:val="auto"/>
                <w:sz w:val="24"/>
                <w:highlight w:val="none"/>
              </w:rPr>
            </w:pPr>
            <w:bookmarkStart w:id="682" w:name="_Toc284"/>
            <w:bookmarkStart w:id="683" w:name="_Toc20228"/>
            <w:bookmarkStart w:id="684" w:name="_Toc22984"/>
            <w:bookmarkStart w:id="685" w:name="_Toc3689"/>
            <w:bookmarkStart w:id="686" w:name="_Toc7870"/>
            <w:r>
              <w:rPr>
                <w:rFonts w:hint="eastAsia" w:ascii="宋体" w:hAnsi="宋体" w:cs="宋体"/>
                <w:bCs/>
                <w:color w:val="auto"/>
                <w:sz w:val="24"/>
                <w:highlight w:val="none"/>
              </w:rPr>
              <w:t>技术职称</w:t>
            </w:r>
            <w:bookmarkEnd w:id="682"/>
            <w:bookmarkEnd w:id="683"/>
            <w:bookmarkEnd w:id="684"/>
            <w:bookmarkEnd w:id="685"/>
            <w:bookmarkEnd w:id="686"/>
          </w:p>
        </w:tc>
        <w:tc>
          <w:tcPr>
            <w:tcW w:w="1260" w:type="dxa"/>
            <w:gridSpan w:val="3"/>
            <w:vAlign w:val="center"/>
          </w:tcPr>
          <w:p>
            <w:pPr>
              <w:shd w:val="clear"/>
              <w:spacing w:line="360" w:lineRule="auto"/>
              <w:jc w:val="left"/>
              <w:outlineLvl w:val="1"/>
              <w:rPr>
                <w:rFonts w:ascii="宋体" w:hAnsi="宋体" w:cs="宋体"/>
                <w:bCs/>
                <w:color w:val="auto"/>
                <w:sz w:val="24"/>
                <w:highlight w:val="none"/>
              </w:rPr>
            </w:pPr>
          </w:p>
        </w:tc>
        <w:tc>
          <w:tcPr>
            <w:tcW w:w="1260" w:type="dxa"/>
            <w:gridSpan w:val="3"/>
            <w:vAlign w:val="center"/>
          </w:tcPr>
          <w:p>
            <w:pPr>
              <w:shd w:val="clear"/>
              <w:spacing w:line="360" w:lineRule="auto"/>
              <w:jc w:val="left"/>
              <w:outlineLvl w:val="1"/>
              <w:rPr>
                <w:rFonts w:ascii="宋体" w:hAnsi="宋体" w:cs="宋体"/>
                <w:bCs/>
                <w:color w:val="auto"/>
                <w:sz w:val="24"/>
                <w:highlight w:val="none"/>
              </w:rPr>
            </w:pPr>
            <w:bookmarkStart w:id="687" w:name="_Toc5922"/>
            <w:bookmarkStart w:id="688" w:name="_Toc15659"/>
            <w:bookmarkStart w:id="689" w:name="_Toc31965"/>
            <w:bookmarkStart w:id="690" w:name="_Toc27999"/>
            <w:bookmarkStart w:id="691" w:name="_Toc28908"/>
            <w:r>
              <w:rPr>
                <w:rFonts w:hint="eastAsia" w:ascii="宋体" w:hAnsi="宋体" w:cs="宋体"/>
                <w:bCs/>
                <w:color w:val="auto"/>
                <w:sz w:val="24"/>
                <w:highlight w:val="none"/>
              </w:rPr>
              <w:t>联系电话</w:t>
            </w:r>
            <w:bookmarkEnd w:id="687"/>
            <w:bookmarkEnd w:id="688"/>
            <w:bookmarkEnd w:id="689"/>
            <w:bookmarkEnd w:id="690"/>
            <w:bookmarkEnd w:id="691"/>
          </w:p>
        </w:tc>
        <w:tc>
          <w:tcPr>
            <w:tcW w:w="1260" w:type="dxa"/>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692" w:name="_Toc18636"/>
            <w:bookmarkStart w:id="693" w:name="_Toc11807"/>
            <w:bookmarkStart w:id="694" w:name="_Toc14114"/>
            <w:bookmarkStart w:id="695" w:name="_Toc32587"/>
            <w:bookmarkStart w:id="696" w:name="_Toc25674"/>
            <w:r>
              <w:rPr>
                <w:rFonts w:hint="eastAsia" w:ascii="宋体" w:hAnsi="宋体" w:cs="宋体"/>
                <w:bCs/>
                <w:color w:val="auto"/>
                <w:sz w:val="24"/>
                <w:highlight w:val="none"/>
              </w:rPr>
              <w:t>技术负责人</w:t>
            </w:r>
            <w:bookmarkEnd w:id="692"/>
            <w:bookmarkEnd w:id="693"/>
            <w:bookmarkEnd w:id="694"/>
            <w:bookmarkEnd w:id="695"/>
            <w:bookmarkEnd w:id="696"/>
          </w:p>
        </w:tc>
        <w:tc>
          <w:tcPr>
            <w:tcW w:w="1025" w:type="dxa"/>
            <w:vAlign w:val="center"/>
          </w:tcPr>
          <w:p>
            <w:pPr>
              <w:shd w:val="clear"/>
              <w:spacing w:line="360" w:lineRule="auto"/>
              <w:jc w:val="left"/>
              <w:outlineLvl w:val="1"/>
              <w:rPr>
                <w:rFonts w:ascii="宋体" w:hAnsi="宋体" w:cs="宋体"/>
                <w:bCs/>
                <w:color w:val="auto"/>
                <w:sz w:val="24"/>
                <w:highlight w:val="none"/>
              </w:rPr>
            </w:pPr>
            <w:bookmarkStart w:id="697" w:name="_Toc843"/>
            <w:bookmarkStart w:id="698" w:name="_Toc22736"/>
            <w:bookmarkStart w:id="699" w:name="_Toc19819"/>
            <w:bookmarkStart w:id="700" w:name="_Toc20028"/>
            <w:bookmarkStart w:id="701" w:name="_Toc14628"/>
            <w:r>
              <w:rPr>
                <w:rFonts w:hint="eastAsia" w:ascii="宋体" w:hAnsi="宋体" w:cs="宋体"/>
                <w:bCs/>
                <w:color w:val="auto"/>
                <w:sz w:val="24"/>
                <w:highlight w:val="none"/>
              </w:rPr>
              <w:t>姓名</w:t>
            </w:r>
            <w:bookmarkEnd w:id="697"/>
            <w:bookmarkEnd w:id="698"/>
            <w:bookmarkEnd w:id="699"/>
            <w:bookmarkEnd w:id="700"/>
            <w:bookmarkEnd w:id="701"/>
          </w:p>
        </w:tc>
        <w:tc>
          <w:tcPr>
            <w:tcW w:w="1260" w:type="dxa"/>
            <w:gridSpan w:val="2"/>
            <w:vAlign w:val="center"/>
          </w:tcPr>
          <w:p>
            <w:pPr>
              <w:shd w:val="clear"/>
              <w:spacing w:line="360" w:lineRule="auto"/>
              <w:jc w:val="left"/>
              <w:outlineLvl w:val="1"/>
              <w:rPr>
                <w:rFonts w:ascii="宋体" w:hAnsi="宋体" w:cs="宋体"/>
                <w:bCs/>
                <w:color w:val="auto"/>
                <w:sz w:val="24"/>
                <w:highlight w:val="none"/>
              </w:rPr>
            </w:pPr>
          </w:p>
        </w:tc>
        <w:tc>
          <w:tcPr>
            <w:tcW w:w="1260" w:type="dxa"/>
            <w:vAlign w:val="center"/>
          </w:tcPr>
          <w:p>
            <w:pPr>
              <w:shd w:val="clear"/>
              <w:spacing w:line="360" w:lineRule="auto"/>
              <w:jc w:val="left"/>
              <w:outlineLvl w:val="1"/>
              <w:rPr>
                <w:rFonts w:ascii="宋体" w:hAnsi="宋体" w:cs="宋体"/>
                <w:bCs/>
                <w:color w:val="auto"/>
                <w:sz w:val="24"/>
                <w:highlight w:val="none"/>
              </w:rPr>
            </w:pPr>
            <w:bookmarkStart w:id="702" w:name="_Toc12424"/>
            <w:bookmarkStart w:id="703" w:name="_Toc24293"/>
            <w:bookmarkStart w:id="704" w:name="_Toc27749"/>
            <w:bookmarkStart w:id="705" w:name="_Toc28765"/>
            <w:bookmarkStart w:id="706" w:name="_Toc15800"/>
            <w:r>
              <w:rPr>
                <w:rFonts w:hint="eastAsia" w:ascii="宋体" w:hAnsi="宋体" w:cs="宋体"/>
                <w:bCs/>
                <w:color w:val="auto"/>
                <w:sz w:val="24"/>
                <w:highlight w:val="none"/>
              </w:rPr>
              <w:t>技术职称</w:t>
            </w:r>
            <w:bookmarkEnd w:id="702"/>
            <w:bookmarkEnd w:id="703"/>
            <w:bookmarkEnd w:id="704"/>
            <w:bookmarkEnd w:id="705"/>
            <w:bookmarkEnd w:id="706"/>
          </w:p>
        </w:tc>
        <w:tc>
          <w:tcPr>
            <w:tcW w:w="1260" w:type="dxa"/>
            <w:gridSpan w:val="3"/>
            <w:vAlign w:val="center"/>
          </w:tcPr>
          <w:p>
            <w:pPr>
              <w:shd w:val="clear"/>
              <w:spacing w:line="360" w:lineRule="auto"/>
              <w:jc w:val="left"/>
              <w:outlineLvl w:val="1"/>
              <w:rPr>
                <w:rFonts w:ascii="宋体" w:hAnsi="宋体" w:cs="宋体"/>
                <w:bCs/>
                <w:color w:val="auto"/>
                <w:sz w:val="24"/>
                <w:highlight w:val="none"/>
              </w:rPr>
            </w:pPr>
          </w:p>
        </w:tc>
        <w:tc>
          <w:tcPr>
            <w:tcW w:w="1260" w:type="dxa"/>
            <w:gridSpan w:val="3"/>
            <w:vAlign w:val="center"/>
          </w:tcPr>
          <w:p>
            <w:pPr>
              <w:shd w:val="clear"/>
              <w:spacing w:line="360" w:lineRule="auto"/>
              <w:jc w:val="left"/>
              <w:outlineLvl w:val="1"/>
              <w:rPr>
                <w:rFonts w:ascii="宋体" w:hAnsi="宋体" w:cs="宋体"/>
                <w:bCs/>
                <w:color w:val="auto"/>
                <w:sz w:val="24"/>
                <w:highlight w:val="none"/>
              </w:rPr>
            </w:pPr>
            <w:bookmarkStart w:id="707" w:name="_Toc15388"/>
            <w:bookmarkStart w:id="708" w:name="_Toc23531"/>
            <w:bookmarkStart w:id="709" w:name="_Toc26117"/>
            <w:bookmarkStart w:id="710" w:name="_Toc22214"/>
            <w:bookmarkStart w:id="711" w:name="_Toc11554"/>
            <w:r>
              <w:rPr>
                <w:rFonts w:hint="eastAsia" w:ascii="宋体" w:hAnsi="宋体" w:cs="宋体"/>
                <w:bCs/>
                <w:color w:val="auto"/>
                <w:sz w:val="24"/>
                <w:highlight w:val="none"/>
              </w:rPr>
              <w:t>联系电话</w:t>
            </w:r>
            <w:bookmarkEnd w:id="707"/>
            <w:bookmarkEnd w:id="708"/>
            <w:bookmarkEnd w:id="709"/>
            <w:bookmarkEnd w:id="710"/>
            <w:bookmarkEnd w:id="711"/>
          </w:p>
        </w:tc>
        <w:tc>
          <w:tcPr>
            <w:tcW w:w="1260" w:type="dxa"/>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712" w:name="_Toc18125"/>
            <w:bookmarkStart w:id="713" w:name="_Toc21459"/>
            <w:bookmarkStart w:id="714" w:name="_Toc4649"/>
            <w:bookmarkStart w:id="715" w:name="_Toc4143"/>
            <w:bookmarkStart w:id="716" w:name="_Toc23893"/>
            <w:r>
              <w:rPr>
                <w:rFonts w:hint="eastAsia" w:ascii="宋体" w:hAnsi="宋体" w:cs="宋体"/>
                <w:bCs/>
                <w:color w:val="auto"/>
                <w:sz w:val="24"/>
                <w:highlight w:val="none"/>
              </w:rPr>
              <w:t>成立时间</w:t>
            </w:r>
            <w:bookmarkEnd w:id="712"/>
            <w:bookmarkEnd w:id="713"/>
            <w:bookmarkEnd w:id="714"/>
            <w:bookmarkEnd w:id="715"/>
            <w:bookmarkEnd w:id="716"/>
          </w:p>
        </w:tc>
        <w:tc>
          <w:tcPr>
            <w:tcW w:w="2285" w:type="dxa"/>
            <w:gridSpan w:val="3"/>
            <w:vAlign w:val="center"/>
          </w:tcPr>
          <w:p>
            <w:pPr>
              <w:shd w:val="clear"/>
              <w:spacing w:line="360" w:lineRule="auto"/>
              <w:jc w:val="left"/>
              <w:outlineLvl w:val="1"/>
              <w:rPr>
                <w:rFonts w:ascii="宋体" w:hAnsi="宋体" w:cs="宋体"/>
                <w:bCs/>
                <w:color w:val="auto"/>
                <w:sz w:val="24"/>
                <w:highlight w:val="none"/>
              </w:rPr>
            </w:pPr>
          </w:p>
        </w:tc>
        <w:tc>
          <w:tcPr>
            <w:tcW w:w="5040" w:type="dxa"/>
            <w:gridSpan w:val="8"/>
            <w:vAlign w:val="center"/>
          </w:tcPr>
          <w:p>
            <w:pPr>
              <w:shd w:val="clear"/>
              <w:spacing w:line="360" w:lineRule="auto"/>
              <w:jc w:val="left"/>
              <w:outlineLvl w:val="1"/>
              <w:rPr>
                <w:rFonts w:ascii="宋体" w:hAnsi="宋体" w:cs="宋体"/>
                <w:bCs/>
                <w:color w:val="auto"/>
                <w:sz w:val="24"/>
                <w:highlight w:val="none"/>
              </w:rPr>
            </w:pPr>
            <w:bookmarkStart w:id="717" w:name="_Toc11113"/>
            <w:bookmarkStart w:id="718" w:name="_Toc4072"/>
            <w:bookmarkStart w:id="719" w:name="_Toc25194"/>
            <w:bookmarkStart w:id="720" w:name="_Toc484"/>
            <w:bookmarkStart w:id="721" w:name="_Toc21254"/>
            <w:r>
              <w:rPr>
                <w:rFonts w:hint="eastAsia" w:ascii="宋体" w:hAnsi="宋体" w:cs="宋体"/>
                <w:bCs/>
                <w:color w:val="auto"/>
                <w:sz w:val="24"/>
                <w:highlight w:val="none"/>
              </w:rPr>
              <w:t>员工总人数：</w:t>
            </w:r>
            <w:bookmarkEnd w:id="717"/>
            <w:bookmarkEnd w:id="718"/>
            <w:bookmarkEnd w:id="719"/>
            <w:bookmarkEnd w:id="720"/>
            <w:bookmarkEnd w:id="7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722" w:name="_Toc31406"/>
            <w:bookmarkStart w:id="723" w:name="_Toc17356"/>
            <w:bookmarkStart w:id="724" w:name="_Toc21607"/>
            <w:bookmarkStart w:id="725" w:name="_Toc18561"/>
            <w:bookmarkStart w:id="726" w:name="_Toc24901"/>
            <w:r>
              <w:rPr>
                <w:rFonts w:hint="eastAsia" w:ascii="宋体" w:hAnsi="宋体" w:cs="宋体"/>
                <w:bCs/>
                <w:color w:val="auto"/>
                <w:sz w:val="24"/>
                <w:highlight w:val="none"/>
              </w:rPr>
              <w:t>企业资质等级</w:t>
            </w:r>
            <w:bookmarkEnd w:id="722"/>
            <w:bookmarkEnd w:id="723"/>
            <w:bookmarkEnd w:id="724"/>
            <w:bookmarkEnd w:id="725"/>
            <w:bookmarkEnd w:id="726"/>
          </w:p>
        </w:tc>
        <w:tc>
          <w:tcPr>
            <w:tcW w:w="2285" w:type="dxa"/>
            <w:gridSpan w:val="3"/>
            <w:vAlign w:val="center"/>
          </w:tcPr>
          <w:p>
            <w:pPr>
              <w:shd w:val="clear"/>
              <w:spacing w:line="360" w:lineRule="auto"/>
              <w:jc w:val="left"/>
              <w:outlineLvl w:val="1"/>
              <w:rPr>
                <w:rFonts w:ascii="宋体" w:hAnsi="宋体" w:cs="宋体"/>
                <w:bCs/>
                <w:color w:val="auto"/>
                <w:sz w:val="24"/>
                <w:highlight w:val="none"/>
              </w:rPr>
            </w:pPr>
          </w:p>
        </w:tc>
        <w:tc>
          <w:tcPr>
            <w:tcW w:w="1680" w:type="dxa"/>
            <w:gridSpan w:val="2"/>
            <w:vMerge w:val="restart"/>
            <w:vAlign w:val="center"/>
          </w:tcPr>
          <w:p>
            <w:pPr>
              <w:shd w:val="clear"/>
              <w:spacing w:line="360" w:lineRule="auto"/>
              <w:jc w:val="center"/>
              <w:outlineLvl w:val="1"/>
              <w:rPr>
                <w:rFonts w:ascii="宋体" w:hAnsi="宋体" w:cs="宋体"/>
                <w:bCs/>
                <w:color w:val="auto"/>
                <w:sz w:val="24"/>
                <w:highlight w:val="none"/>
              </w:rPr>
            </w:pPr>
            <w:bookmarkStart w:id="727" w:name="_Toc25379"/>
            <w:bookmarkStart w:id="728" w:name="_Toc2847"/>
            <w:bookmarkStart w:id="729" w:name="_Toc15138"/>
            <w:bookmarkStart w:id="730" w:name="_Toc8691"/>
            <w:bookmarkStart w:id="731" w:name="_Toc13485"/>
            <w:r>
              <w:rPr>
                <w:rFonts w:hint="eastAsia" w:ascii="宋体" w:hAnsi="宋体" w:cs="宋体"/>
                <w:bCs/>
                <w:color w:val="auto"/>
                <w:sz w:val="24"/>
                <w:highlight w:val="none"/>
              </w:rPr>
              <w:t>其中</w:t>
            </w:r>
            <w:bookmarkEnd w:id="727"/>
            <w:bookmarkEnd w:id="728"/>
            <w:bookmarkEnd w:id="729"/>
            <w:bookmarkEnd w:id="730"/>
            <w:bookmarkEnd w:id="731"/>
          </w:p>
        </w:tc>
        <w:tc>
          <w:tcPr>
            <w:tcW w:w="1680" w:type="dxa"/>
            <w:gridSpan w:val="3"/>
            <w:vAlign w:val="center"/>
          </w:tcPr>
          <w:p>
            <w:pPr>
              <w:shd w:val="clear"/>
              <w:spacing w:line="360" w:lineRule="auto"/>
              <w:jc w:val="left"/>
              <w:outlineLvl w:val="1"/>
              <w:rPr>
                <w:rFonts w:ascii="宋体" w:hAnsi="宋体" w:cs="宋体"/>
                <w:bCs/>
                <w:color w:val="auto"/>
                <w:sz w:val="24"/>
                <w:highlight w:val="none"/>
              </w:rPr>
            </w:pPr>
            <w:bookmarkStart w:id="732" w:name="_Toc7888"/>
            <w:bookmarkStart w:id="733" w:name="_Toc12503"/>
            <w:bookmarkStart w:id="734" w:name="_Toc8707"/>
            <w:bookmarkStart w:id="735" w:name="_Toc31031"/>
            <w:bookmarkStart w:id="736" w:name="_Toc22414"/>
            <w:r>
              <w:rPr>
                <w:rFonts w:hint="eastAsia" w:ascii="宋体" w:hAnsi="宋体" w:cs="宋体"/>
                <w:bCs/>
                <w:color w:val="auto"/>
                <w:sz w:val="24"/>
                <w:highlight w:val="none"/>
              </w:rPr>
              <w:t>项目经理</w:t>
            </w:r>
            <w:bookmarkEnd w:id="732"/>
            <w:bookmarkEnd w:id="733"/>
            <w:bookmarkEnd w:id="734"/>
            <w:bookmarkEnd w:id="735"/>
            <w:bookmarkEnd w:id="736"/>
          </w:p>
        </w:tc>
        <w:tc>
          <w:tcPr>
            <w:tcW w:w="1680" w:type="dxa"/>
            <w:gridSpan w:val="3"/>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737" w:name="_Toc28460"/>
            <w:bookmarkStart w:id="738" w:name="_Toc6300"/>
            <w:bookmarkStart w:id="739" w:name="_Toc28574"/>
            <w:bookmarkStart w:id="740" w:name="_Toc13410"/>
            <w:bookmarkStart w:id="741" w:name="_Toc6095"/>
            <w:r>
              <w:rPr>
                <w:rFonts w:hint="eastAsia" w:ascii="宋体" w:hAnsi="宋体" w:cs="宋体"/>
                <w:bCs/>
                <w:color w:val="auto"/>
                <w:sz w:val="24"/>
                <w:highlight w:val="none"/>
              </w:rPr>
              <w:t>营业执照</w:t>
            </w:r>
            <w:r>
              <w:rPr>
                <w:rFonts w:hint="eastAsia" w:ascii="宋体" w:hAnsi="宋体" w:cs="宋体"/>
                <w:color w:val="auto"/>
                <w:sz w:val="24"/>
                <w:highlight w:val="none"/>
              </w:rPr>
              <w:t>号</w:t>
            </w:r>
            <w:bookmarkEnd w:id="737"/>
            <w:bookmarkEnd w:id="738"/>
            <w:bookmarkEnd w:id="739"/>
            <w:bookmarkEnd w:id="740"/>
            <w:bookmarkEnd w:id="741"/>
          </w:p>
        </w:tc>
        <w:tc>
          <w:tcPr>
            <w:tcW w:w="2285" w:type="dxa"/>
            <w:gridSpan w:val="3"/>
            <w:vAlign w:val="center"/>
          </w:tcPr>
          <w:p>
            <w:pPr>
              <w:shd w:val="clear"/>
              <w:spacing w:line="360" w:lineRule="auto"/>
              <w:jc w:val="left"/>
              <w:outlineLvl w:val="1"/>
              <w:rPr>
                <w:rFonts w:ascii="宋体" w:hAnsi="宋体" w:cs="宋体"/>
                <w:bCs/>
                <w:color w:val="auto"/>
                <w:sz w:val="24"/>
                <w:highlight w:val="none"/>
              </w:rPr>
            </w:pPr>
          </w:p>
        </w:tc>
        <w:tc>
          <w:tcPr>
            <w:tcW w:w="1680" w:type="dxa"/>
            <w:gridSpan w:val="2"/>
            <w:vMerge w:val="continue"/>
            <w:vAlign w:val="center"/>
          </w:tcPr>
          <w:p>
            <w:pPr>
              <w:shd w:val="clear"/>
              <w:spacing w:line="360" w:lineRule="auto"/>
              <w:jc w:val="left"/>
              <w:outlineLvl w:val="1"/>
              <w:rPr>
                <w:rFonts w:ascii="宋体" w:hAnsi="宋体" w:cs="宋体"/>
                <w:bCs/>
                <w:color w:val="auto"/>
                <w:sz w:val="24"/>
                <w:highlight w:val="none"/>
              </w:rPr>
            </w:pPr>
          </w:p>
        </w:tc>
        <w:tc>
          <w:tcPr>
            <w:tcW w:w="1680" w:type="dxa"/>
            <w:gridSpan w:val="3"/>
            <w:vAlign w:val="center"/>
          </w:tcPr>
          <w:p>
            <w:pPr>
              <w:shd w:val="clear"/>
              <w:spacing w:line="360" w:lineRule="auto"/>
              <w:jc w:val="left"/>
              <w:outlineLvl w:val="1"/>
              <w:rPr>
                <w:rFonts w:ascii="宋体" w:hAnsi="宋体" w:cs="宋体"/>
                <w:bCs/>
                <w:color w:val="auto"/>
                <w:sz w:val="24"/>
                <w:highlight w:val="none"/>
              </w:rPr>
            </w:pPr>
            <w:bookmarkStart w:id="742" w:name="_Toc25287"/>
            <w:bookmarkStart w:id="743" w:name="_Toc17693"/>
            <w:bookmarkStart w:id="744" w:name="_Toc32213"/>
            <w:bookmarkStart w:id="745" w:name="_Toc21677"/>
            <w:bookmarkStart w:id="746" w:name="_Toc25265"/>
            <w:r>
              <w:rPr>
                <w:rFonts w:hint="eastAsia" w:ascii="宋体" w:hAnsi="宋体" w:cs="宋体"/>
                <w:bCs/>
                <w:color w:val="auto"/>
                <w:sz w:val="24"/>
                <w:highlight w:val="none"/>
              </w:rPr>
              <w:t>高级职称人员</w:t>
            </w:r>
            <w:bookmarkEnd w:id="742"/>
            <w:bookmarkEnd w:id="743"/>
            <w:bookmarkEnd w:id="744"/>
            <w:bookmarkEnd w:id="745"/>
            <w:bookmarkEnd w:id="746"/>
          </w:p>
        </w:tc>
        <w:tc>
          <w:tcPr>
            <w:tcW w:w="1680" w:type="dxa"/>
            <w:gridSpan w:val="3"/>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747" w:name="_Toc20577"/>
            <w:bookmarkStart w:id="748" w:name="_Toc2828"/>
            <w:bookmarkStart w:id="749" w:name="_Toc668"/>
            <w:bookmarkStart w:id="750" w:name="_Toc690"/>
            <w:bookmarkStart w:id="751" w:name="_Toc24290"/>
            <w:r>
              <w:rPr>
                <w:rFonts w:hint="eastAsia" w:ascii="宋体" w:hAnsi="宋体" w:cs="宋体"/>
                <w:bCs/>
                <w:color w:val="auto"/>
                <w:sz w:val="24"/>
                <w:highlight w:val="none"/>
              </w:rPr>
              <w:t>注册资金</w:t>
            </w:r>
            <w:bookmarkEnd w:id="747"/>
            <w:bookmarkEnd w:id="748"/>
            <w:bookmarkEnd w:id="749"/>
            <w:bookmarkEnd w:id="750"/>
            <w:bookmarkEnd w:id="751"/>
          </w:p>
        </w:tc>
        <w:tc>
          <w:tcPr>
            <w:tcW w:w="2285" w:type="dxa"/>
            <w:gridSpan w:val="3"/>
            <w:vAlign w:val="center"/>
          </w:tcPr>
          <w:p>
            <w:pPr>
              <w:shd w:val="clear"/>
              <w:spacing w:line="360" w:lineRule="auto"/>
              <w:jc w:val="left"/>
              <w:outlineLvl w:val="1"/>
              <w:rPr>
                <w:rFonts w:ascii="宋体" w:hAnsi="宋体" w:cs="宋体"/>
                <w:bCs/>
                <w:color w:val="auto"/>
                <w:sz w:val="24"/>
                <w:highlight w:val="none"/>
              </w:rPr>
            </w:pPr>
          </w:p>
        </w:tc>
        <w:tc>
          <w:tcPr>
            <w:tcW w:w="1680" w:type="dxa"/>
            <w:gridSpan w:val="2"/>
            <w:vMerge w:val="continue"/>
            <w:vAlign w:val="center"/>
          </w:tcPr>
          <w:p>
            <w:pPr>
              <w:shd w:val="clear"/>
              <w:spacing w:line="360" w:lineRule="auto"/>
              <w:jc w:val="left"/>
              <w:outlineLvl w:val="1"/>
              <w:rPr>
                <w:rFonts w:ascii="宋体" w:hAnsi="宋体" w:cs="宋体"/>
                <w:bCs/>
                <w:color w:val="auto"/>
                <w:sz w:val="24"/>
                <w:highlight w:val="none"/>
              </w:rPr>
            </w:pPr>
          </w:p>
        </w:tc>
        <w:tc>
          <w:tcPr>
            <w:tcW w:w="1680" w:type="dxa"/>
            <w:gridSpan w:val="3"/>
            <w:vAlign w:val="center"/>
          </w:tcPr>
          <w:p>
            <w:pPr>
              <w:shd w:val="clear"/>
              <w:spacing w:line="360" w:lineRule="auto"/>
              <w:jc w:val="left"/>
              <w:outlineLvl w:val="1"/>
              <w:rPr>
                <w:rFonts w:ascii="宋体" w:hAnsi="宋体" w:cs="宋体"/>
                <w:bCs/>
                <w:color w:val="auto"/>
                <w:sz w:val="24"/>
                <w:highlight w:val="none"/>
              </w:rPr>
            </w:pPr>
            <w:bookmarkStart w:id="752" w:name="_Toc2839"/>
            <w:bookmarkStart w:id="753" w:name="_Toc9461"/>
            <w:bookmarkStart w:id="754" w:name="_Toc8130"/>
            <w:bookmarkStart w:id="755" w:name="_Toc23800"/>
            <w:bookmarkStart w:id="756" w:name="_Toc30047"/>
            <w:r>
              <w:rPr>
                <w:rFonts w:hint="eastAsia" w:ascii="宋体" w:hAnsi="宋体" w:cs="宋体"/>
                <w:bCs/>
                <w:color w:val="auto"/>
                <w:sz w:val="24"/>
                <w:highlight w:val="none"/>
              </w:rPr>
              <w:t>中级职称人员</w:t>
            </w:r>
            <w:bookmarkEnd w:id="752"/>
            <w:bookmarkEnd w:id="753"/>
            <w:bookmarkEnd w:id="754"/>
            <w:bookmarkEnd w:id="755"/>
            <w:bookmarkEnd w:id="756"/>
          </w:p>
        </w:tc>
        <w:tc>
          <w:tcPr>
            <w:tcW w:w="1680" w:type="dxa"/>
            <w:gridSpan w:val="3"/>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757" w:name="_Toc23484"/>
            <w:bookmarkStart w:id="758" w:name="_Toc29170"/>
            <w:bookmarkStart w:id="759" w:name="_Toc22245"/>
            <w:bookmarkStart w:id="760" w:name="_Toc27134"/>
            <w:bookmarkStart w:id="761" w:name="_Toc10906"/>
            <w:r>
              <w:rPr>
                <w:rFonts w:hint="eastAsia" w:ascii="宋体" w:hAnsi="宋体" w:cs="宋体"/>
                <w:bCs/>
                <w:color w:val="auto"/>
                <w:sz w:val="24"/>
                <w:highlight w:val="none"/>
              </w:rPr>
              <w:t>开户银行</w:t>
            </w:r>
            <w:bookmarkEnd w:id="757"/>
            <w:bookmarkEnd w:id="758"/>
            <w:bookmarkEnd w:id="759"/>
            <w:bookmarkEnd w:id="760"/>
            <w:bookmarkEnd w:id="761"/>
          </w:p>
        </w:tc>
        <w:tc>
          <w:tcPr>
            <w:tcW w:w="2285" w:type="dxa"/>
            <w:gridSpan w:val="3"/>
            <w:vAlign w:val="center"/>
          </w:tcPr>
          <w:p>
            <w:pPr>
              <w:shd w:val="clear"/>
              <w:spacing w:line="360" w:lineRule="auto"/>
              <w:jc w:val="left"/>
              <w:outlineLvl w:val="1"/>
              <w:rPr>
                <w:rFonts w:ascii="宋体" w:hAnsi="宋体" w:cs="宋体"/>
                <w:bCs/>
                <w:color w:val="auto"/>
                <w:sz w:val="24"/>
                <w:highlight w:val="none"/>
              </w:rPr>
            </w:pPr>
          </w:p>
        </w:tc>
        <w:tc>
          <w:tcPr>
            <w:tcW w:w="1680" w:type="dxa"/>
            <w:gridSpan w:val="2"/>
            <w:vMerge w:val="continue"/>
            <w:vAlign w:val="center"/>
          </w:tcPr>
          <w:p>
            <w:pPr>
              <w:shd w:val="clear"/>
              <w:spacing w:line="360" w:lineRule="auto"/>
              <w:jc w:val="left"/>
              <w:outlineLvl w:val="1"/>
              <w:rPr>
                <w:rFonts w:ascii="宋体" w:hAnsi="宋体" w:cs="宋体"/>
                <w:bCs/>
                <w:color w:val="auto"/>
                <w:sz w:val="24"/>
                <w:highlight w:val="none"/>
              </w:rPr>
            </w:pPr>
          </w:p>
        </w:tc>
        <w:tc>
          <w:tcPr>
            <w:tcW w:w="1680" w:type="dxa"/>
            <w:gridSpan w:val="3"/>
            <w:vAlign w:val="center"/>
          </w:tcPr>
          <w:p>
            <w:pPr>
              <w:shd w:val="clear"/>
              <w:spacing w:line="360" w:lineRule="auto"/>
              <w:jc w:val="left"/>
              <w:outlineLvl w:val="1"/>
              <w:rPr>
                <w:rFonts w:ascii="宋体" w:hAnsi="宋体" w:cs="宋体"/>
                <w:bCs/>
                <w:color w:val="auto"/>
                <w:sz w:val="24"/>
                <w:highlight w:val="none"/>
              </w:rPr>
            </w:pPr>
            <w:bookmarkStart w:id="762" w:name="_Toc17189"/>
            <w:bookmarkStart w:id="763" w:name="_Toc7243"/>
            <w:bookmarkStart w:id="764" w:name="_Toc13039"/>
            <w:bookmarkStart w:id="765" w:name="_Toc20484"/>
            <w:bookmarkStart w:id="766" w:name="_Toc32001"/>
            <w:r>
              <w:rPr>
                <w:rFonts w:hint="eastAsia" w:ascii="宋体" w:hAnsi="宋体" w:cs="宋体"/>
                <w:bCs/>
                <w:color w:val="auto"/>
                <w:sz w:val="24"/>
                <w:highlight w:val="none"/>
              </w:rPr>
              <w:t>初级职称人员</w:t>
            </w:r>
            <w:bookmarkEnd w:id="762"/>
            <w:bookmarkEnd w:id="763"/>
            <w:bookmarkEnd w:id="764"/>
            <w:bookmarkEnd w:id="765"/>
            <w:bookmarkEnd w:id="766"/>
          </w:p>
        </w:tc>
        <w:tc>
          <w:tcPr>
            <w:tcW w:w="1680" w:type="dxa"/>
            <w:gridSpan w:val="3"/>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767" w:name="_Toc27641"/>
            <w:bookmarkStart w:id="768" w:name="_Toc18052"/>
            <w:bookmarkStart w:id="769" w:name="_Toc5147"/>
            <w:bookmarkStart w:id="770" w:name="_Toc2500"/>
            <w:bookmarkStart w:id="771" w:name="_Toc13847"/>
            <w:r>
              <w:rPr>
                <w:rFonts w:hint="eastAsia" w:ascii="宋体" w:hAnsi="宋体" w:cs="宋体"/>
                <w:bCs/>
                <w:color w:val="auto"/>
                <w:sz w:val="24"/>
                <w:highlight w:val="none"/>
              </w:rPr>
              <w:t>账号</w:t>
            </w:r>
            <w:bookmarkEnd w:id="767"/>
            <w:bookmarkEnd w:id="768"/>
            <w:bookmarkEnd w:id="769"/>
            <w:bookmarkEnd w:id="770"/>
            <w:bookmarkEnd w:id="771"/>
          </w:p>
        </w:tc>
        <w:tc>
          <w:tcPr>
            <w:tcW w:w="2285" w:type="dxa"/>
            <w:gridSpan w:val="3"/>
            <w:vAlign w:val="center"/>
          </w:tcPr>
          <w:p>
            <w:pPr>
              <w:shd w:val="clear"/>
              <w:spacing w:line="360" w:lineRule="auto"/>
              <w:jc w:val="left"/>
              <w:outlineLvl w:val="1"/>
              <w:rPr>
                <w:rFonts w:ascii="宋体" w:hAnsi="宋体" w:cs="宋体"/>
                <w:bCs/>
                <w:color w:val="auto"/>
                <w:sz w:val="24"/>
                <w:highlight w:val="none"/>
              </w:rPr>
            </w:pPr>
          </w:p>
        </w:tc>
        <w:tc>
          <w:tcPr>
            <w:tcW w:w="1680" w:type="dxa"/>
            <w:gridSpan w:val="2"/>
            <w:vMerge w:val="continue"/>
            <w:vAlign w:val="center"/>
          </w:tcPr>
          <w:p>
            <w:pPr>
              <w:shd w:val="clear"/>
              <w:spacing w:line="360" w:lineRule="auto"/>
              <w:jc w:val="left"/>
              <w:outlineLvl w:val="1"/>
              <w:rPr>
                <w:rFonts w:ascii="宋体" w:hAnsi="宋体" w:cs="宋体"/>
                <w:bCs/>
                <w:color w:val="auto"/>
                <w:sz w:val="24"/>
                <w:highlight w:val="none"/>
              </w:rPr>
            </w:pPr>
          </w:p>
        </w:tc>
        <w:tc>
          <w:tcPr>
            <w:tcW w:w="1680" w:type="dxa"/>
            <w:gridSpan w:val="3"/>
            <w:vAlign w:val="center"/>
          </w:tcPr>
          <w:p>
            <w:pPr>
              <w:shd w:val="clear"/>
              <w:spacing w:line="360" w:lineRule="auto"/>
              <w:jc w:val="left"/>
              <w:outlineLvl w:val="1"/>
              <w:rPr>
                <w:rFonts w:ascii="宋体" w:hAnsi="宋体" w:cs="宋体"/>
                <w:bCs/>
                <w:color w:val="auto"/>
                <w:sz w:val="24"/>
                <w:highlight w:val="none"/>
              </w:rPr>
            </w:pPr>
            <w:bookmarkStart w:id="772" w:name="_Toc8122"/>
            <w:bookmarkStart w:id="773" w:name="_Toc9795"/>
            <w:bookmarkStart w:id="774" w:name="_Toc30406"/>
            <w:bookmarkStart w:id="775" w:name="_Toc1971"/>
            <w:bookmarkStart w:id="776" w:name="_Toc19"/>
            <w:r>
              <w:rPr>
                <w:rFonts w:hint="eastAsia" w:ascii="宋体" w:hAnsi="宋体" w:cs="宋体"/>
                <w:bCs/>
                <w:color w:val="auto"/>
                <w:sz w:val="24"/>
                <w:highlight w:val="none"/>
              </w:rPr>
              <w:t>技工</w:t>
            </w:r>
            <w:bookmarkEnd w:id="772"/>
            <w:bookmarkEnd w:id="773"/>
            <w:bookmarkEnd w:id="774"/>
            <w:bookmarkEnd w:id="775"/>
            <w:bookmarkEnd w:id="776"/>
          </w:p>
        </w:tc>
        <w:tc>
          <w:tcPr>
            <w:tcW w:w="1680" w:type="dxa"/>
            <w:gridSpan w:val="3"/>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777" w:name="_Toc4265"/>
            <w:bookmarkStart w:id="778" w:name="_Toc30415"/>
            <w:bookmarkStart w:id="779" w:name="_Toc17988"/>
            <w:bookmarkStart w:id="780" w:name="_Toc8404"/>
            <w:bookmarkStart w:id="781" w:name="_Toc27240"/>
            <w:r>
              <w:rPr>
                <w:rFonts w:hint="eastAsia" w:ascii="宋体" w:hAnsi="宋体" w:cs="宋体"/>
                <w:bCs/>
                <w:color w:val="auto"/>
                <w:sz w:val="24"/>
                <w:highlight w:val="none"/>
              </w:rPr>
              <w:t>经营范围</w:t>
            </w:r>
            <w:bookmarkEnd w:id="777"/>
            <w:bookmarkEnd w:id="778"/>
            <w:bookmarkEnd w:id="779"/>
            <w:bookmarkEnd w:id="780"/>
            <w:bookmarkEnd w:id="781"/>
          </w:p>
        </w:tc>
        <w:tc>
          <w:tcPr>
            <w:tcW w:w="7325" w:type="dxa"/>
            <w:gridSpan w:val="11"/>
            <w:vAlign w:val="center"/>
          </w:tcPr>
          <w:p>
            <w:pPr>
              <w:shd w:val="clear"/>
              <w:spacing w:line="360" w:lineRule="auto"/>
              <w:jc w:val="left"/>
              <w:outlineLvl w:val="1"/>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55" w:type="dxa"/>
            <w:vAlign w:val="center"/>
          </w:tcPr>
          <w:p>
            <w:pPr>
              <w:shd w:val="clear"/>
              <w:spacing w:line="360" w:lineRule="auto"/>
              <w:jc w:val="left"/>
              <w:outlineLvl w:val="1"/>
              <w:rPr>
                <w:rFonts w:ascii="宋体" w:hAnsi="宋体" w:cs="宋体"/>
                <w:bCs/>
                <w:color w:val="auto"/>
                <w:sz w:val="24"/>
                <w:highlight w:val="none"/>
              </w:rPr>
            </w:pPr>
            <w:bookmarkStart w:id="782" w:name="_Toc27438"/>
            <w:bookmarkStart w:id="783" w:name="_Toc32567"/>
            <w:bookmarkStart w:id="784" w:name="_Toc19702"/>
            <w:bookmarkStart w:id="785" w:name="_Toc3796"/>
            <w:bookmarkStart w:id="786" w:name="_Toc28693"/>
            <w:r>
              <w:rPr>
                <w:rFonts w:hint="eastAsia" w:ascii="宋体" w:hAnsi="宋体" w:cs="宋体"/>
                <w:bCs/>
                <w:color w:val="auto"/>
                <w:sz w:val="24"/>
                <w:highlight w:val="none"/>
              </w:rPr>
              <w:t>备注</w:t>
            </w:r>
            <w:bookmarkEnd w:id="782"/>
            <w:bookmarkEnd w:id="783"/>
            <w:bookmarkEnd w:id="784"/>
            <w:bookmarkEnd w:id="785"/>
            <w:bookmarkEnd w:id="786"/>
          </w:p>
        </w:tc>
        <w:tc>
          <w:tcPr>
            <w:tcW w:w="7325" w:type="dxa"/>
            <w:gridSpan w:val="11"/>
            <w:vAlign w:val="center"/>
          </w:tcPr>
          <w:p>
            <w:pPr>
              <w:shd w:val="clear"/>
              <w:spacing w:line="360" w:lineRule="auto"/>
              <w:jc w:val="left"/>
              <w:outlineLvl w:val="1"/>
              <w:rPr>
                <w:rFonts w:ascii="宋体" w:hAnsi="宋体" w:cs="宋体"/>
                <w:bCs/>
                <w:color w:val="auto"/>
                <w:sz w:val="24"/>
                <w:highlight w:val="none"/>
              </w:rPr>
            </w:pPr>
          </w:p>
        </w:tc>
      </w:tr>
    </w:tbl>
    <w:p>
      <w:pPr>
        <w:shd w:val="clear"/>
        <w:rPr>
          <w:rFonts w:ascii="宋体" w:hAnsi="宋体" w:cs="宋体"/>
          <w:color w:val="auto"/>
          <w:highlight w:val="none"/>
        </w:rPr>
      </w:pPr>
    </w:p>
    <w:p>
      <w:pPr>
        <w:shd w:val="clear"/>
        <w:spacing w:line="360" w:lineRule="auto"/>
        <w:jc w:val="left"/>
        <w:rPr>
          <w:rFonts w:ascii="宋体" w:hAnsi="宋体" w:cs="宋体"/>
          <w:b/>
          <w:color w:val="auto"/>
          <w:sz w:val="24"/>
          <w:highlight w:val="none"/>
        </w:rPr>
      </w:pPr>
      <w:bookmarkStart w:id="787" w:name="_Toc31054"/>
      <w:bookmarkStart w:id="788" w:name="_Toc8107"/>
      <w:r>
        <w:rPr>
          <w:rFonts w:hint="eastAsia" w:ascii="宋体" w:hAnsi="宋体" w:cs="宋体"/>
          <w:b/>
          <w:color w:val="auto"/>
          <w:sz w:val="24"/>
          <w:highlight w:val="none"/>
        </w:rPr>
        <w:t>备注：</w:t>
      </w:r>
      <w:r>
        <w:rPr>
          <w:rFonts w:hint="eastAsia" w:ascii="宋体" w:hAnsi="宋体" w:cs="宋体"/>
          <w:b/>
          <w:bCs/>
          <w:color w:val="auto"/>
          <w:sz w:val="24"/>
          <w:highlight w:val="none"/>
        </w:rPr>
        <w:t>表后附营业执照及供应商认为有必要提供的相关证书</w:t>
      </w:r>
      <w:bookmarkEnd w:id="787"/>
      <w:bookmarkEnd w:id="788"/>
      <w:r>
        <w:rPr>
          <w:rFonts w:hint="eastAsia" w:ascii="宋体" w:hAnsi="宋体" w:cs="宋体"/>
          <w:b/>
          <w:bCs/>
          <w:color w:val="auto"/>
          <w:sz w:val="24"/>
          <w:highlight w:val="none"/>
        </w:rPr>
        <w:t>。</w:t>
      </w:r>
    </w:p>
    <w:p>
      <w:pPr>
        <w:shd w:val="clear"/>
        <w:rPr>
          <w:rFonts w:ascii="宋体" w:hAnsi="宋体" w:cs="宋体"/>
          <w:color w:val="auto"/>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480" w:lineRule="auto"/>
        <w:jc w:val="left"/>
        <w:rPr>
          <w:rFonts w:ascii="宋体" w:hAnsi="宋体" w:cs="宋体"/>
          <w:color w:val="auto"/>
          <w:sz w:val="24"/>
          <w:highlight w:val="none"/>
        </w:rPr>
      </w:pPr>
      <w:r>
        <w:rPr>
          <w:rFonts w:hint="eastAsia" w:ascii="宋体" w:hAnsi="宋体" w:cs="宋体"/>
          <w:color w:val="auto"/>
          <w:kern w:val="1"/>
          <w:sz w:val="24"/>
          <w:highlight w:val="none"/>
        </w:rPr>
        <w:t>日期： ____年____月_____日</w:t>
      </w:r>
    </w:p>
    <w:p>
      <w:pPr>
        <w:shd w:val="clear"/>
        <w:rPr>
          <w:rFonts w:ascii="宋体" w:hAnsi="宋体" w:cs="宋体"/>
          <w:color w:val="auto"/>
          <w:highlight w:val="none"/>
        </w:rPr>
      </w:pPr>
    </w:p>
    <w:p>
      <w:pPr>
        <w:shd w:val="clear"/>
        <w:rPr>
          <w:rFonts w:ascii="宋体" w:hAnsi="宋体" w:cs="宋体"/>
          <w:color w:val="auto"/>
          <w:highlight w:val="none"/>
        </w:rPr>
      </w:pPr>
    </w:p>
    <w:p>
      <w:pPr>
        <w:pStyle w:val="21"/>
        <w:shd w:val="clear"/>
        <w:rPr>
          <w:rFonts w:ascii="宋体" w:hAnsi="宋体" w:cs="宋体"/>
          <w:color w:val="auto"/>
          <w:sz w:val="24"/>
          <w:szCs w:val="24"/>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b/>
          <w:bCs/>
          <w:color w:val="auto"/>
          <w:sz w:val="24"/>
          <w:highlight w:val="none"/>
        </w:rPr>
      </w:pPr>
      <w:bookmarkStart w:id="789" w:name="_Toc29785"/>
      <w:bookmarkStart w:id="790" w:name="_Toc20999"/>
      <w:bookmarkStart w:id="791" w:name="_Toc21010"/>
      <w:bookmarkStart w:id="792" w:name="_Toc6938"/>
      <w:r>
        <w:rPr>
          <w:rFonts w:hint="eastAsia" w:ascii="宋体" w:hAnsi="宋体" w:cs="宋体"/>
          <w:b/>
          <w:bCs/>
          <w:color w:val="auto"/>
          <w:sz w:val="24"/>
          <w:highlight w:val="none"/>
        </w:rPr>
        <w:br w:type="page"/>
      </w:r>
    </w:p>
    <w:p>
      <w:pPr>
        <w:shd w:val="clear"/>
        <w:spacing w:line="360" w:lineRule="auto"/>
        <w:jc w:val="center"/>
        <w:outlineLvl w:val="3"/>
        <w:rPr>
          <w:rFonts w:ascii="宋体" w:hAnsi="宋体" w:cs="宋体"/>
          <w:b/>
          <w:bCs/>
          <w:color w:val="auto"/>
          <w:sz w:val="24"/>
          <w:highlight w:val="none"/>
        </w:rPr>
      </w:pPr>
      <w:r>
        <w:rPr>
          <w:rFonts w:hint="eastAsia" w:ascii="宋体" w:hAnsi="宋体" w:cs="宋体"/>
          <w:b/>
          <w:bCs/>
          <w:color w:val="auto"/>
          <w:sz w:val="24"/>
          <w:highlight w:val="none"/>
        </w:rPr>
        <w:t>4.2参加政府采购活动前三年内在经营活动中没有重大违法记录的</w:t>
      </w:r>
      <w:bookmarkEnd w:id="789"/>
      <w:bookmarkEnd w:id="790"/>
      <w:r>
        <w:rPr>
          <w:rFonts w:hint="eastAsia" w:ascii="宋体" w:hAnsi="宋体" w:cs="宋体"/>
          <w:b/>
          <w:bCs/>
          <w:color w:val="auto"/>
          <w:sz w:val="24"/>
          <w:highlight w:val="none"/>
        </w:rPr>
        <w:t>承诺书</w:t>
      </w:r>
      <w:bookmarkEnd w:id="791"/>
      <w:bookmarkEnd w:id="792"/>
    </w:p>
    <w:p>
      <w:pPr>
        <w:shd w:val="clear"/>
        <w:rPr>
          <w:rFonts w:ascii="宋体" w:hAnsi="宋体" w:cs="宋体"/>
          <w:color w:val="auto"/>
          <w:highlight w:val="none"/>
        </w:rPr>
      </w:pPr>
    </w:p>
    <w:p>
      <w:pPr>
        <w:shd w:val="clear"/>
        <w:spacing w:line="600" w:lineRule="auto"/>
        <w:jc w:val="left"/>
        <w:rPr>
          <w:rFonts w:ascii="宋体" w:hAnsi="宋体" w:cs="宋体"/>
          <w:color w:val="auto"/>
          <w:sz w:val="24"/>
          <w:highlight w:val="none"/>
        </w:rPr>
      </w:pPr>
      <w:bookmarkStart w:id="793" w:name="_Toc12989"/>
      <w:bookmarkStart w:id="794" w:name="_Toc24624"/>
      <w:r>
        <w:rPr>
          <w:rFonts w:hint="eastAsia" w:ascii="宋体" w:hAnsi="宋体" w:cs="宋体"/>
          <w:color w:val="auto"/>
          <w:sz w:val="24"/>
          <w:highlight w:val="none"/>
        </w:rPr>
        <w:t>我公司承诺：</w:t>
      </w:r>
      <w:bookmarkEnd w:id="793"/>
      <w:bookmarkEnd w:id="794"/>
    </w:p>
    <w:p>
      <w:pPr>
        <w:shd w:val="clear"/>
        <w:spacing w:line="600" w:lineRule="auto"/>
        <w:ind w:firstLine="480" w:firstLineChars="200"/>
        <w:jc w:val="left"/>
        <w:rPr>
          <w:rFonts w:ascii="宋体" w:hAnsi="宋体" w:cs="宋体"/>
          <w:color w:val="auto"/>
          <w:sz w:val="24"/>
          <w:highlight w:val="none"/>
        </w:rPr>
      </w:pPr>
      <w:bookmarkStart w:id="795" w:name="_Toc22986"/>
      <w:bookmarkStart w:id="796" w:name="_Toc30872"/>
      <w:r>
        <w:rPr>
          <w:rFonts w:hint="eastAsia" w:ascii="宋体" w:hAnsi="宋体" w:cs="宋体"/>
          <w:color w:val="auto"/>
          <w:sz w:val="24"/>
          <w:highlight w:val="none"/>
        </w:rPr>
        <w:t>我公司参加政府采购活动前三年内在经营活动中没有重大违法记录。</w:t>
      </w:r>
      <w:bookmarkEnd w:id="795"/>
      <w:bookmarkEnd w:id="796"/>
    </w:p>
    <w:p>
      <w:pPr>
        <w:shd w:val="clear"/>
        <w:spacing w:line="600" w:lineRule="auto"/>
        <w:ind w:firstLine="360" w:firstLineChars="150"/>
        <w:jc w:val="left"/>
        <w:rPr>
          <w:rFonts w:ascii="宋体" w:hAnsi="宋体" w:cs="宋体"/>
          <w:color w:val="auto"/>
          <w:sz w:val="24"/>
          <w:highlight w:val="none"/>
        </w:rPr>
      </w:pPr>
      <w:bookmarkStart w:id="797" w:name="_Toc7332"/>
      <w:bookmarkStart w:id="798" w:name="_Toc10306"/>
      <w:r>
        <w:rPr>
          <w:rFonts w:hint="eastAsia" w:ascii="宋体" w:hAnsi="宋体" w:cs="宋体"/>
          <w:color w:val="auto"/>
          <w:sz w:val="24"/>
          <w:highlight w:val="none"/>
        </w:rPr>
        <w:t>若我公司承诺不属实，同意取消本项目参加资格，并将承担相关法律责任，接受处理。</w:t>
      </w:r>
      <w:bookmarkEnd w:id="797"/>
      <w:bookmarkEnd w:id="798"/>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480" w:lineRule="auto"/>
        <w:jc w:val="left"/>
        <w:rPr>
          <w:rFonts w:ascii="宋体" w:hAnsi="宋体" w:cs="宋体"/>
          <w:color w:val="auto"/>
          <w:sz w:val="24"/>
          <w:highlight w:val="none"/>
        </w:rPr>
      </w:pPr>
      <w:r>
        <w:rPr>
          <w:rFonts w:hint="eastAsia" w:ascii="宋体" w:hAnsi="宋体" w:cs="宋体"/>
          <w:color w:val="auto"/>
          <w:kern w:val="1"/>
          <w:sz w:val="24"/>
          <w:highlight w:val="none"/>
        </w:rPr>
        <w:t>日期： ____年____月_____日</w:t>
      </w: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r>
        <w:rPr>
          <w:rFonts w:hint="eastAsia" w:ascii="宋体" w:hAnsi="宋体" w:cs="宋体"/>
          <w:color w:val="auto"/>
          <w:highlight w:val="none"/>
        </w:rPr>
        <w:t xml:space="preserve"> </w:t>
      </w:r>
    </w:p>
    <w:p>
      <w:pPr>
        <w:shd w:val="clear"/>
        <w:rPr>
          <w:rFonts w:ascii="宋体" w:hAnsi="宋体" w:cs="宋体"/>
          <w:color w:val="auto"/>
          <w:highlight w:val="none"/>
        </w:rPr>
      </w:pPr>
    </w:p>
    <w:p>
      <w:pPr>
        <w:shd w:val="clear"/>
        <w:rPr>
          <w:rFonts w:ascii="宋体" w:hAnsi="宋体" w:cs="宋体"/>
          <w:color w:val="auto"/>
          <w:highlight w:val="none"/>
        </w:rPr>
      </w:pPr>
      <w:r>
        <w:rPr>
          <w:rFonts w:hint="eastAsia" w:ascii="宋体" w:hAnsi="宋体" w:cs="宋体"/>
          <w:color w:val="auto"/>
          <w:highlight w:val="none"/>
        </w:rPr>
        <w:tab/>
      </w: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bookmarkStart w:id="799" w:name="_Toc28365"/>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bookmarkEnd w:id="799"/>
    <w:p>
      <w:pPr>
        <w:shd w:val="clear"/>
        <w:spacing w:line="360" w:lineRule="auto"/>
        <w:jc w:val="center"/>
        <w:outlineLvl w:val="3"/>
        <w:rPr>
          <w:rFonts w:ascii="宋体" w:hAnsi="宋体" w:cs="宋体"/>
          <w:b/>
          <w:bCs/>
          <w:color w:val="auto"/>
          <w:sz w:val="24"/>
          <w:highlight w:val="none"/>
        </w:rPr>
      </w:pPr>
      <w:bookmarkStart w:id="800" w:name="_Toc24156"/>
      <w:bookmarkStart w:id="801" w:name="_Toc8549"/>
      <w:bookmarkStart w:id="802" w:name="_Toc11108"/>
      <w:bookmarkStart w:id="803" w:name="_Toc2240"/>
    </w:p>
    <w:p>
      <w:pPr>
        <w:shd w:val="clear"/>
        <w:spacing w:line="360" w:lineRule="auto"/>
        <w:jc w:val="center"/>
        <w:outlineLvl w:val="3"/>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4.3 依法缴纳税收凭证及社会保障资金证明</w:t>
      </w:r>
      <w:bookmarkEnd w:id="800"/>
      <w:bookmarkEnd w:id="801"/>
      <w:bookmarkEnd w:id="802"/>
      <w:bookmarkEnd w:id="803"/>
    </w:p>
    <w:p>
      <w:pPr>
        <w:shd w:val="clear"/>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提供 2023 年1月份以来任意一个月份依法纳税和缴纳社会保障资金的证明材料，如有供应商成立时限不足要求时限的，由供应商根据自身成立时间提供证明材料。依法免税或不需要缴纳社会保障资金的供应商，应提供相应文件证明其依法免税或不需要缴纳社会保障资金</w:t>
      </w:r>
      <w:bookmarkStart w:id="804" w:name="_Toc30280"/>
      <w:bookmarkStart w:id="805" w:name="_Toc23270"/>
      <w:r>
        <w:rPr>
          <w:rFonts w:hint="eastAsia" w:ascii="宋体" w:hAnsi="宋体" w:cs="宋体"/>
          <w:color w:val="auto"/>
          <w:sz w:val="24"/>
          <w:highlight w:val="none"/>
        </w:rPr>
        <w:t>。</w:t>
      </w:r>
    </w:p>
    <w:p>
      <w:pPr>
        <w:shd w:val="clear"/>
        <w:spacing w:line="360" w:lineRule="auto"/>
        <w:jc w:val="center"/>
        <w:outlineLvl w:val="3"/>
        <w:rPr>
          <w:rFonts w:ascii="宋体" w:hAnsi="宋体" w:cs="宋体"/>
          <w:b/>
          <w:bCs/>
          <w:color w:val="auto"/>
          <w:sz w:val="24"/>
          <w:highlight w:val="none"/>
        </w:rPr>
      </w:pPr>
      <w:bookmarkStart w:id="806" w:name="_Toc10005"/>
      <w:bookmarkStart w:id="807" w:name="_Toc10109"/>
    </w:p>
    <w:p>
      <w:pPr>
        <w:shd w:val="clear"/>
        <w:spacing w:line="360" w:lineRule="auto"/>
        <w:jc w:val="center"/>
        <w:outlineLvl w:val="3"/>
        <w:rPr>
          <w:rFonts w:ascii="宋体" w:hAnsi="宋体" w:cs="宋体"/>
          <w:b/>
          <w:bCs/>
          <w:color w:val="auto"/>
          <w:sz w:val="24"/>
          <w:highlight w:val="none"/>
        </w:rPr>
      </w:pPr>
      <w:r>
        <w:rPr>
          <w:rFonts w:hint="eastAsia" w:ascii="宋体" w:hAnsi="宋体" w:cs="宋体"/>
          <w:b/>
          <w:bCs/>
          <w:color w:val="auto"/>
          <w:sz w:val="24"/>
          <w:highlight w:val="none"/>
        </w:rPr>
        <w:t>4.4 财务状况报告</w:t>
      </w:r>
      <w:bookmarkEnd w:id="804"/>
      <w:bookmarkEnd w:id="805"/>
      <w:bookmarkEnd w:id="806"/>
      <w:bookmarkEnd w:id="807"/>
    </w:p>
    <w:p>
      <w:pPr>
        <w:shd w:val="clear"/>
        <w:tabs>
          <w:tab w:val="left" w:pos="152"/>
          <w:tab w:val="left" w:pos="588"/>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提供2022年经审计的财务状况报告或银行出具的资信证明（如有供应商成立时限不足要求时限的，由供应商根据自身成立时间提供证明资料）</w:t>
      </w:r>
    </w:p>
    <w:p>
      <w:pPr>
        <w:shd w:val="clear"/>
        <w:tabs>
          <w:tab w:val="left" w:pos="152"/>
          <w:tab w:val="left" w:pos="588"/>
        </w:tabs>
        <w:spacing w:line="360" w:lineRule="auto"/>
        <w:jc w:val="center"/>
        <w:outlineLvl w:val="3"/>
        <w:rPr>
          <w:rFonts w:ascii="宋体" w:hAnsi="宋体" w:cs="宋体"/>
          <w:b/>
          <w:bCs/>
          <w:color w:val="auto"/>
          <w:sz w:val="24"/>
          <w:highlight w:val="none"/>
        </w:rPr>
      </w:pPr>
      <w:bookmarkStart w:id="808" w:name="_Toc31241"/>
      <w:bookmarkStart w:id="809" w:name="_Toc13350"/>
    </w:p>
    <w:p>
      <w:pPr>
        <w:shd w:val="clear"/>
        <w:tabs>
          <w:tab w:val="left" w:pos="152"/>
          <w:tab w:val="left" w:pos="588"/>
        </w:tabs>
        <w:spacing w:line="360" w:lineRule="auto"/>
        <w:jc w:val="center"/>
        <w:outlineLvl w:val="3"/>
        <w:rPr>
          <w:rFonts w:ascii="宋体" w:hAnsi="宋体" w:cs="宋体"/>
          <w:color w:val="auto"/>
          <w:sz w:val="24"/>
          <w:highlight w:val="none"/>
        </w:rPr>
      </w:pPr>
      <w:bookmarkStart w:id="810" w:name="_Toc1907"/>
      <w:bookmarkStart w:id="811" w:name="_Toc14116"/>
      <w:r>
        <w:rPr>
          <w:rFonts w:hint="eastAsia" w:ascii="宋体" w:hAnsi="宋体" w:cs="宋体"/>
          <w:b/>
          <w:bCs/>
          <w:color w:val="auto"/>
          <w:sz w:val="24"/>
          <w:highlight w:val="none"/>
        </w:rPr>
        <w:t>4.5 履行合同所必需的设备和专业技术能力</w:t>
      </w:r>
      <w:bookmarkEnd w:id="808"/>
      <w:bookmarkEnd w:id="809"/>
      <w:bookmarkEnd w:id="810"/>
      <w:bookmarkEnd w:id="811"/>
    </w:p>
    <w:p>
      <w:pPr>
        <w:shd w:val="clear"/>
        <w:tabs>
          <w:tab w:val="left" w:pos="152"/>
          <w:tab w:val="left" w:pos="588"/>
        </w:tabs>
        <w:spacing w:line="360" w:lineRule="auto"/>
        <w:jc w:val="center"/>
        <w:outlineLvl w:val="3"/>
        <w:rPr>
          <w:rFonts w:ascii="宋体" w:hAnsi="宋体" w:cs="宋体"/>
          <w:color w:val="auto"/>
          <w:sz w:val="24"/>
          <w:highlight w:val="none"/>
        </w:rPr>
      </w:pPr>
      <w:bookmarkStart w:id="812" w:name="_Toc7349"/>
      <w:bookmarkStart w:id="813" w:name="_Toc3707"/>
    </w:p>
    <w:p>
      <w:pPr>
        <w:shd w:val="clear"/>
        <w:tabs>
          <w:tab w:val="left" w:pos="152"/>
          <w:tab w:val="left" w:pos="588"/>
        </w:tabs>
        <w:spacing w:line="360" w:lineRule="auto"/>
        <w:jc w:val="center"/>
        <w:outlineLvl w:val="3"/>
        <w:rPr>
          <w:rFonts w:ascii="宋体" w:hAnsi="宋体" w:cs="宋体"/>
          <w:b/>
          <w:bCs/>
          <w:color w:val="auto"/>
          <w:sz w:val="24"/>
          <w:highlight w:val="none"/>
        </w:rPr>
      </w:pPr>
      <w:r>
        <w:rPr>
          <w:rFonts w:hint="eastAsia" w:ascii="宋体" w:hAnsi="宋体" w:cs="宋体"/>
          <w:color w:val="auto"/>
          <w:sz w:val="24"/>
          <w:highlight w:val="none"/>
        </w:rPr>
        <w:t>自行承诺或提供相关证明材料</w:t>
      </w:r>
    </w:p>
    <w:p>
      <w:pPr>
        <w:shd w:val="clear"/>
        <w:tabs>
          <w:tab w:val="left" w:pos="152"/>
          <w:tab w:val="left" w:pos="588"/>
        </w:tabs>
        <w:spacing w:line="360" w:lineRule="auto"/>
        <w:jc w:val="center"/>
        <w:outlineLvl w:val="3"/>
        <w:rPr>
          <w:rFonts w:ascii="宋体" w:hAnsi="宋体" w:cs="宋体"/>
          <w:b/>
          <w:bCs/>
          <w:color w:val="auto"/>
          <w:sz w:val="24"/>
          <w:highlight w:val="none"/>
        </w:rPr>
      </w:pPr>
    </w:p>
    <w:p>
      <w:pPr>
        <w:shd w:val="clear"/>
        <w:tabs>
          <w:tab w:val="left" w:pos="152"/>
          <w:tab w:val="left" w:pos="588"/>
        </w:tabs>
        <w:spacing w:line="360" w:lineRule="auto"/>
        <w:jc w:val="center"/>
        <w:outlineLvl w:val="3"/>
        <w:rPr>
          <w:rFonts w:ascii="宋体" w:hAnsi="宋体" w:cs="宋体"/>
          <w:b/>
          <w:bCs/>
          <w:color w:val="auto"/>
          <w:sz w:val="24"/>
          <w:highlight w:val="none"/>
        </w:rPr>
      </w:pPr>
      <w:bookmarkStart w:id="814" w:name="_Toc25988"/>
      <w:bookmarkStart w:id="815" w:name="_Toc9016"/>
    </w:p>
    <w:p>
      <w:pPr>
        <w:shd w:val="clear"/>
        <w:tabs>
          <w:tab w:val="left" w:pos="152"/>
          <w:tab w:val="left" w:pos="588"/>
        </w:tabs>
        <w:spacing w:line="360" w:lineRule="auto"/>
        <w:jc w:val="center"/>
        <w:outlineLvl w:val="3"/>
        <w:rPr>
          <w:rFonts w:ascii="宋体" w:hAnsi="宋体" w:cs="宋体"/>
          <w:b/>
          <w:bCs/>
          <w:color w:val="auto"/>
          <w:sz w:val="24"/>
          <w:highlight w:val="none"/>
        </w:rPr>
      </w:pPr>
      <w:r>
        <w:rPr>
          <w:rFonts w:hint="eastAsia" w:ascii="宋体" w:hAnsi="宋体" w:cs="宋体"/>
          <w:b/>
          <w:bCs/>
          <w:color w:val="auto"/>
          <w:sz w:val="24"/>
          <w:highlight w:val="none"/>
        </w:rPr>
        <w:t>4.6 其他</w:t>
      </w:r>
      <w:bookmarkEnd w:id="812"/>
      <w:bookmarkEnd w:id="813"/>
      <w:bookmarkEnd w:id="814"/>
      <w:bookmarkEnd w:id="815"/>
    </w:p>
    <w:p>
      <w:pPr>
        <w:pStyle w:val="28"/>
        <w:shd w:val="clear"/>
        <w:spacing w:line="360" w:lineRule="auto"/>
        <w:rPr>
          <w:rFonts w:hAnsi="宋体" w:cs="宋体"/>
          <w:color w:val="auto"/>
          <w:kern w:val="0"/>
          <w:sz w:val="24"/>
          <w:szCs w:val="24"/>
          <w:highlight w:val="none"/>
        </w:rPr>
      </w:pPr>
      <w:r>
        <w:rPr>
          <w:rFonts w:hint="eastAsia" w:hAnsi="宋体" w:cs="宋体"/>
          <w:color w:val="auto"/>
          <w:kern w:val="0"/>
          <w:sz w:val="24"/>
          <w:szCs w:val="24"/>
          <w:highlight w:val="none"/>
        </w:rPr>
        <w:t>4.6.1</w:t>
      </w:r>
      <w:r>
        <w:rPr>
          <w:rFonts w:hint="eastAsia" w:hAnsi="宋体" w:cs="宋体"/>
          <w:color w:val="auto"/>
          <w:sz w:val="24"/>
          <w:highlight w:val="none"/>
        </w:rPr>
        <w:t>单位负责人为同一人或者存在直接控股、管理关系的不同供应商（投标人），不得参加同一合同项下的政府采购活动。供应商（投标人）需出具承诺函，格式自拟。</w:t>
      </w:r>
    </w:p>
    <w:p>
      <w:pPr>
        <w:pStyle w:val="28"/>
        <w:shd w:val="clear"/>
        <w:spacing w:line="360" w:lineRule="auto"/>
        <w:rPr>
          <w:rFonts w:hAnsi="宋体" w:cs="宋体"/>
          <w:color w:val="auto"/>
          <w:kern w:val="0"/>
          <w:sz w:val="24"/>
          <w:szCs w:val="24"/>
          <w:highlight w:val="none"/>
        </w:rPr>
      </w:pPr>
      <w:r>
        <w:rPr>
          <w:rFonts w:hint="eastAsia" w:hAnsi="宋体" w:cs="宋体"/>
          <w:color w:val="auto"/>
          <w:kern w:val="0"/>
          <w:sz w:val="24"/>
          <w:szCs w:val="24"/>
          <w:highlight w:val="none"/>
        </w:rPr>
        <w:t>4.6.2信用查询及供应商认为有必要提供的其他证明文件。</w:t>
      </w:r>
    </w:p>
    <w:p>
      <w:pPr>
        <w:shd w:val="clear"/>
        <w:rPr>
          <w:rFonts w:ascii="宋体" w:hAnsi="宋体" w:cs="宋体"/>
          <w:color w:val="auto"/>
          <w:sz w:val="24"/>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pStyle w:val="21"/>
        <w:shd w:val="clear"/>
        <w:rPr>
          <w:rFonts w:ascii="宋体" w:hAnsi="宋体" w:cs="宋体"/>
          <w:color w:val="auto"/>
          <w:highlight w:val="none"/>
        </w:rPr>
      </w:pPr>
    </w:p>
    <w:p>
      <w:pPr>
        <w:shd w:val="clear"/>
        <w:spacing w:line="360" w:lineRule="auto"/>
        <w:jc w:val="center"/>
        <w:outlineLvl w:val="2"/>
        <w:rPr>
          <w:rFonts w:ascii="宋体" w:hAnsi="宋体" w:cs="宋体"/>
          <w:b/>
          <w:color w:val="auto"/>
          <w:sz w:val="32"/>
          <w:szCs w:val="32"/>
          <w:highlight w:val="none"/>
        </w:rPr>
      </w:pPr>
      <w:r>
        <w:rPr>
          <w:rFonts w:hint="eastAsia" w:ascii="宋体" w:hAnsi="宋体" w:cs="宋体"/>
          <w:b/>
          <w:color w:val="auto"/>
          <w:sz w:val="32"/>
          <w:szCs w:val="32"/>
          <w:highlight w:val="none"/>
        </w:rPr>
        <w:br w:type="page"/>
      </w:r>
      <w:bookmarkStart w:id="816" w:name="_Toc8551"/>
      <w:bookmarkStart w:id="817" w:name="_Toc14693"/>
      <w:r>
        <w:rPr>
          <w:rFonts w:hint="eastAsia" w:ascii="宋体" w:hAnsi="宋体" w:cs="宋体"/>
          <w:b/>
          <w:color w:val="auto"/>
          <w:sz w:val="32"/>
          <w:szCs w:val="32"/>
          <w:highlight w:val="none"/>
        </w:rPr>
        <w:t>五、竞争性磋商报价表</w:t>
      </w:r>
      <w:bookmarkEnd w:id="816"/>
      <w:bookmarkEnd w:id="817"/>
    </w:p>
    <w:p>
      <w:pPr>
        <w:shd w:val="clear"/>
        <w:spacing w:line="360" w:lineRule="auto"/>
        <w:jc w:val="center"/>
        <w:outlineLvl w:val="3"/>
        <w:rPr>
          <w:rFonts w:ascii="宋体" w:hAnsi="宋体" w:cs="宋体"/>
          <w:b/>
          <w:color w:val="auto"/>
          <w:sz w:val="24"/>
          <w:highlight w:val="none"/>
        </w:rPr>
      </w:pPr>
      <w:bookmarkStart w:id="818" w:name="_Toc6674"/>
      <w:bookmarkStart w:id="819" w:name="_Toc15275"/>
      <w:bookmarkStart w:id="820" w:name="_Toc25651"/>
      <w:bookmarkStart w:id="821" w:name="_Toc23076"/>
      <w:r>
        <w:rPr>
          <w:rFonts w:hint="eastAsia" w:ascii="宋体" w:hAnsi="宋体" w:cs="宋体"/>
          <w:b/>
          <w:color w:val="auto"/>
          <w:sz w:val="24"/>
          <w:highlight w:val="none"/>
        </w:rPr>
        <w:t>5.1  报价表</w:t>
      </w:r>
      <w:bookmarkEnd w:id="818"/>
      <w:bookmarkEnd w:id="819"/>
      <w:bookmarkEnd w:id="820"/>
      <w:bookmarkEnd w:id="821"/>
    </w:p>
    <w:tbl>
      <w:tblPr>
        <w:tblStyle w:val="4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6"/>
        <w:gridCol w:w="69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86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924" w:type="dxa"/>
            <w:vAlign w:val="center"/>
          </w:tcPr>
          <w:p>
            <w:pPr>
              <w:shd w:val="clear"/>
              <w:spacing w:line="360" w:lineRule="auto"/>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86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供应商名称</w:t>
            </w:r>
          </w:p>
        </w:tc>
        <w:tc>
          <w:tcPr>
            <w:tcW w:w="6924" w:type="dxa"/>
            <w:vAlign w:val="center"/>
          </w:tcPr>
          <w:p>
            <w:pPr>
              <w:shd w:val="clear"/>
              <w:spacing w:line="360" w:lineRule="auto"/>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1866" w:type="dxa"/>
            <w:vAlign w:val="center"/>
          </w:tcPr>
          <w:p>
            <w:pPr>
              <w:pStyle w:val="28"/>
              <w:shd w:val="clear"/>
              <w:spacing w:line="400" w:lineRule="exact"/>
              <w:jc w:val="center"/>
              <w:rPr>
                <w:rFonts w:hAnsi="宋体" w:cs="宋体"/>
                <w:color w:val="auto"/>
                <w:sz w:val="24"/>
                <w:szCs w:val="24"/>
                <w:highlight w:val="none"/>
              </w:rPr>
            </w:pPr>
            <w:r>
              <w:rPr>
                <w:rFonts w:hint="eastAsia" w:hAnsi="宋体" w:cs="宋体"/>
                <w:color w:val="auto"/>
                <w:sz w:val="24"/>
                <w:szCs w:val="24"/>
                <w:highlight w:val="none"/>
              </w:rPr>
              <w:t>磋商报价（大写）</w:t>
            </w:r>
          </w:p>
        </w:tc>
        <w:tc>
          <w:tcPr>
            <w:tcW w:w="6924" w:type="dxa"/>
            <w:vAlign w:val="center"/>
          </w:tcPr>
          <w:p>
            <w:pPr>
              <w:shd w:val="clear"/>
              <w:spacing w:line="360" w:lineRule="auto"/>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1866" w:type="dxa"/>
            <w:vAlign w:val="center"/>
          </w:tcPr>
          <w:p>
            <w:pPr>
              <w:pStyle w:val="28"/>
              <w:shd w:val="clear"/>
              <w:spacing w:line="400" w:lineRule="exact"/>
              <w:jc w:val="center"/>
              <w:rPr>
                <w:rFonts w:hAnsi="宋体" w:cs="宋体"/>
                <w:color w:val="auto"/>
                <w:sz w:val="24"/>
                <w:szCs w:val="24"/>
                <w:highlight w:val="none"/>
              </w:rPr>
            </w:pPr>
            <w:r>
              <w:rPr>
                <w:rFonts w:hint="eastAsia" w:hAnsi="宋体" w:cs="宋体"/>
                <w:color w:val="auto"/>
                <w:sz w:val="24"/>
                <w:szCs w:val="24"/>
                <w:highlight w:val="none"/>
              </w:rPr>
              <w:t>磋商报价（小写）</w:t>
            </w:r>
          </w:p>
        </w:tc>
        <w:tc>
          <w:tcPr>
            <w:tcW w:w="6924" w:type="dxa"/>
            <w:vAlign w:val="center"/>
          </w:tcPr>
          <w:p>
            <w:pPr>
              <w:shd w:val="clear"/>
              <w:spacing w:line="360" w:lineRule="auto"/>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86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交货期</w:t>
            </w:r>
          </w:p>
        </w:tc>
        <w:tc>
          <w:tcPr>
            <w:tcW w:w="6924" w:type="dxa"/>
            <w:vAlign w:val="center"/>
          </w:tcPr>
          <w:p>
            <w:pPr>
              <w:shd w:val="clear"/>
              <w:spacing w:line="360" w:lineRule="auto"/>
              <w:rPr>
                <w:rFonts w:ascii="宋体" w:hAnsi="宋体" w:cs="宋体"/>
                <w:color w:val="auto"/>
                <w:sz w:val="24"/>
                <w:highlight w:val="none"/>
              </w:rPr>
            </w:pPr>
            <w:r>
              <w:rPr>
                <w:rFonts w:hint="eastAsia" w:ascii="宋体" w:hAnsi="宋体" w:cs="宋体"/>
                <w:bCs/>
                <w:color w:val="auto"/>
                <w:sz w:val="24"/>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86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质量保证期</w:t>
            </w:r>
          </w:p>
        </w:tc>
        <w:tc>
          <w:tcPr>
            <w:tcW w:w="6924" w:type="dxa"/>
            <w:vAlign w:val="center"/>
          </w:tcPr>
          <w:p>
            <w:pPr>
              <w:shd w:val="clear"/>
              <w:spacing w:line="360" w:lineRule="auto"/>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86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6924" w:type="dxa"/>
            <w:vAlign w:val="center"/>
          </w:tcPr>
          <w:p>
            <w:pPr>
              <w:shd w:val="clear"/>
              <w:spacing w:line="360" w:lineRule="auto"/>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96" w:hRule="atLeast"/>
          <w:jc w:val="center"/>
        </w:trPr>
        <w:tc>
          <w:tcPr>
            <w:tcW w:w="186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保证金</w:t>
            </w:r>
          </w:p>
        </w:tc>
        <w:tc>
          <w:tcPr>
            <w:tcW w:w="6924"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86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有效期</w:t>
            </w:r>
          </w:p>
        </w:tc>
        <w:tc>
          <w:tcPr>
            <w:tcW w:w="6924"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186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其他声明</w:t>
            </w:r>
          </w:p>
        </w:tc>
        <w:tc>
          <w:tcPr>
            <w:tcW w:w="6924"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tc>
      </w:tr>
    </w:tbl>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pPr>
        <w:shd w:val="clear"/>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bCs/>
          <w:color w:val="auto"/>
          <w:kern w:val="1"/>
          <w:sz w:val="24"/>
          <w:highlight w:val="none"/>
        </w:rPr>
        <w:t>所有供应商的投标报价均保留至小数点后两位。</w:t>
      </w:r>
    </w:p>
    <w:p>
      <w:pPr>
        <w:shd w:val="clear"/>
        <w:spacing w:line="360" w:lineRule="auto"/>
        <w:jc w:val="left"/>
        <w:rPr>
          <w:rFonts w:ascii="宋体" w:hAnsi="宋体" w:cs="宋体"/>
          <w:color w:val="auto"/>
          <w:sz w:val="24"/>
          <w:highlight w:val="none"/>
        </w:rPr>
      </w:pPr>
    </w:p>
    <w:p>
      <w:pPr>
        <w:shd w:val="clear"/>
        <w:spacing w:line="360" w:lineRule="auto"/>
        <w:jc w:val="left"/>
        <w:rPr>
          <w:rFonts w:ascii="宋体" w:hAnsi="宋体" w:cs="宋体"/>
          <w:color w:val="auto"/>
          <w:sz w:val="24"/>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480" w:lineRule="auto"/>
        <w:jc w:val="left"/>
        <w:rPr>
          <w:rFonts w:ascii="宋体" w:hAnsi="宋体" w:cs="宋体"/>
          <w:color w:val="auto"/>
          <w:sz w:val="24"/>
          <w:highlight w:val="none"/>
        </w:rPr>
      </w:pPr>
      <w:r>
        <w:rPr>
          <w:rFonts w:hint="eastAsia" w:ascii="宋体" w:hAnsi="宋体" w:cs="宋体"/>
          <w:color w:val="auto"/>
          <w:kern w:val="1"/>
          <w:sz w:val="24"/>
          <w:highlight w:val="none"/>
        </w:rPr>
        <w:t>日期： ____年____月_____日</w:t>
      </w:r>
    </w:p>
    <w:p>
      <w:pPr>
        <w:shd w:val="clear"/>
        <w:spacing w:line="360" w:lineRule="auto"/>
        <w:jc w:val="left"/>
        <w:rPr>
          <w:rFonts w:ascii="宋体" w:hAnsi="宋体" w:cs="宋体"/>
          <w:color w:val="auto"/>
          <w:sz w:val="24"/>
          <w:highlight w:val="none"/>
        </w:rPr>
      </w:pPr>
    </w:p>
    <w:p>
      <w:pPr>
        <w:shd w:val="clear"/>
        <w:rPr>
          <w:rFonts w:ascii="宋体" w:hAnsi="宋体" w:cs="宋体"/>
          <w:color w:val="auto"/>
          <w:highlight w:val="none"/>
        </w:rPr>
      </w:pPr>
      <w:r>
        <w:rPr>
          <w:rFonts w:hint="eastAsia" w:ascii="宋体" w:hAnsi="宋体" w:cs="宋体"/>
          <w:color w:val="auto"/>
          <w:highlight w:val="none"/>
        </w:rPr>
        <w:t xml:space="preserve"> </w:t>
      </w:r>
    </w:p>
    <w:p>
      <w:pPr>
        <w:shd w:val="clear"/>
        <w:rPr>
          <w:rFonts w:ascii="宋体" w:hAnsi="宋体" w:cs="宋体"/>
          <w:b/>
          <w:color w:val="auto"/>
          <w:sz w:val="24"/>
          <w:highlight w:val="none"/>
        </w:rPr>
      </w:pPr>
      <w:r>
        <w:rPr>
          <w:rFonts w:hint="eastAsia" w:ascii="宋体" w:hAnsi="宋体" w:cs="宋体"/>
          <w:b/>
          <w:color w:val="auto"/>
          <w:sz w:val="24"/>
          <w:highlight w:val="none"/>
        </w:rPr>
        <w:br w:type="page"/>
      </w:r>
    </w:p>
    <w:p>
      <w:pPr>
        <w:shd w:val="clear"/>
        <w:rPr>
          <w:rFonts w:ascii="宋体" w:hAnsi="宋体" w:cs="宋体"/>
          <w:color w:val="auto"/>
          <w:highlight w:val="none"/>
        </w:rPr>
      </w:pPr>
      <w:bookmarkStart w:id="822" w:name="_Toc417491272"/>
    </w:p>
    <w:p>
      <w:pPr>
        <w:shd w:val="clear"/>
        <w:rPr>
          <w:rFonts w:ascii="宋体" w:hAnsi="宋体" w:cs="宋体"/>
          <w:color w:val="auto"/>
          <w:highlight w:val="none"/>
        </w:rPr>
      </w:pPr>
      <w:bookmarkStart w:id="823" w:name="_Toc31158"/>
    </w:p>
    <w:p>
      <w:pPr>
        <w:shd w:val="clear"/>
        <w:spacing w:line="360" w:lineRule="auto"/>
        <w:jc w:val="center"/>
        <w:outlineLvl w:val="3"/>
        <w:rPr>
          <w:rFonts w:ascii="宋体" w:hAnsi="宋体" w:cs="宋体"/>
          <w:b/>
          <w:color w:val="auto"/>
          <w:sz w:val="24"/>
          <w:highlight w:val="none"/>
        </w:rPr>
      </w:pPr>
      <w:bookmarkStart w:id="824" w:name="_Toc395"/>
      <w:bookmarkStart w:id="825" w:name="_Toc14115"/>
      <w:bookmarkStart w:id="826" w:name="_Toc21127"/>
      <w:r>
        <w:rPr>
          <w:rFonts w:hint="eastAsia" w:ascii="宋体" w:hAnsi="宋体" w:cs="宋体"/>
          <w:b/>
          <w:color w:val="auto"/>
          <w:sz w:val="24"/>
          <w:highlight w:val="none"/>
        </w:rPr>
        <w:t>5.2  分项报价一览表</w:t>
      </w:r>
      <w:bookmarkEnd w:id="823"/>
      <w:bookmarkEnd w:id="824"/>
      <w:bookmarkEnd w:id="825"/>
      <w:bookmarkEnd w:id="826"/>
    </w:p>
    <w:p>
      <w:pPr>
        <w:pStyle w:val="31"/>
        <w:shd w:val="clear"/>
        <w:rPr>
          <w:rFonts w:ascii="宋体" w:hAnsi="宋体" w:cs="宋体"/>
          <w:b/>
          <w:color w:val="auto"/>
          <w:sz w:val="24"/>
          <w:szCs w:val="24"/>
          <w:highlight w:val="none"/>
        </w:rPr>
      </w:pPr>
    </w:p>
    <w:p>
      <w:pPr>
        <w:pStyle w:val="14"/>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项目名称： </w:t>
      </w:r>
    </w:p>
    <w:p>
      <w:pPr>
        <w:shd w:val="clear"/>
        <w:rPr>
          <w:rFonts w:ascii="宋体" w:hAnsi="宋体" w:cs="宋体"/>
          <w:b/>
          <w:color w:val="auto"/>
          <w:sz w:val="24"/>
          <w:highlight w:val="none"/>
          <w:lang w:val="zh-CN"/>
        </w:rPr>
      </w:pPr>
      <w:r>
        <w:rPr>
          <w:rFonts w:hint="eastAsia" w:ascii="宋体" w:hAnsi="宋体" w:cs="宋体"/>
          <w:color w:val="auto"/>
          <w:sz w:val="24"/>
          <w:highlight w:val="none"/>
        </w:rPr>
        <w:t xml:space="preserve">          金额单位：元人民币</w:t>
      </w:r>
      <w:r>
        <w:rPr>
          <w:rFonts w:hint="eastAsia" w:ascii="宋体" w:hAnsi="宋体" w:cs="宋体"/>
          <w:b/>
          <w:color w:val="auto"/>
          <w:sz w:val="24"/>
          <w:highlight w:val="none"/>
          <w:lang w:val="zh-CN"/>
        </w:rPr>
        <w:t xml:space="preserve">  </w:t>
      </w:r>
    </w:p>
    <w:p>
      <w:pPr>
        <w:shd w:val="clear"/>
        <w:rPr>
          <w:rFonts w:ascii="宋体" w:hAnsi="宋体" w:cs="宋体"/>
          <w:color w:val="auto"/>
          <w:sz w:val="24"/>
          <w:highlight w:val="none"/>
        </w:rPr>
      </w:pPr>
      <w:r>
        <w:rPr>
          <w:rFonts w:hint="eastAsia" w:ascii="宋体" w:hAnsi="宋体" w:cs="宋体"/>
          <w:b/>
          <w:color w:val="auto"/>
          <w:sz w:val="24"/>
          <w:highlight w:val="none"/>
          <w:lang w:val="zh-CN"/>
        </w:rPr>
        <w:t xml:space="preserve">                                            </w:t>
      </w:r>
    </w:p>
    <w:tbl>
      <w:tblPr>
        <w:tblStyle w:val="49"/>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38"/>
        <w:gridCol w:w="1244"/>
        <w:gridCol w:w="1228"/>
        <w:gridCol w:w="756"/>
        <w:gridCol w:w="913"/>
        <w:gridCol w:w="756"/>
        <w:gridCol w:w="850"/>
        <w:gridCol w:w="80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2" w:type="dxa"/>
            <w:vAlign w:val="center"/>
          </w:tcPr>
          <w:p>
            <w:pPr>
              <w:shd w:val="clear"/>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238" w:type="dxa"/>
            <w:vAlign w:val="center"/>
          </w:tcPr>
          <w:p>
            <w:pPr>
              <w:shd w:val="clear"/>
              <w:jc w:val="center"/>
              <w:rPr>
                <w:rFonts w:ascii="宋体" w:hAnsi="宋体" w:cs="宋体"/>
                <w:bCs/>
                <w:color w:val="auto"/>
                <w:sz w:val="24"/>
                <w:highlight w:val="none"/>
              </w:rPr>
            </w:pPr>
            <w:r>
              <w:rPr>
                <w:rFonts w:hint="eastAsia" w:ascii="宋体" w:hAnsi="宋体" w:cs="宋体"/>
                <w:bCs/>
                <w:color w:val="auto"/>
                <w:sz w:val="24"/>
                <w:highlight w:val="none"/>
              </w:rPr>
              <w:t>名称</w:t>
            </w:r>
          </w:p>
        </w:tc>
        <w:tc>
          <w:tcPr>
            <w:tcW w:w="1244" w:type="dxa"/>
            <w:vAlign w:val="center"/>
          </w:tcPr>
          <w:p>
            <w:pPr>
              <w:shd w:val="clear"/>
              <w:ind w:firstLine="240" w:firstLineChars="100"/>
              <w:rPr>
                <w:rFonts w:ascii="宋体" w:hAnsi="宋体" w:cs="宋体"/>
                <w:bCs/>
                <w:color w:val="auto"/>
                <w:sz w:val="24"/>
                <w:highlight w:val="none"/>
              </w:rPr>
            </w:pPr>
            <w:r>
              <w:rPr>
                <w:rFonts w:hint="eastAsia" w:ascii="宋体" w:hAnsi="宋体" w:cs="宋体"/>
                <w:bCs/>
                <w:color w:val="auto"/>
                <w:sz w:val="24"/>
                <w:highlight w:val="none"/>
              </w:rPr>
              <w:t>品牌</w:t>
            </w:r>
          </w:p>
        </w:tc>
        <w:tc>
          <w:tcPr>
            <w:tcW w:w="1228" w:type="dxa"/>
            <w:vAlign w:val="center"/>
          </w:tcPr>
          <w:p>
            <w:pPr>
              <w:shd w:val="clear"/>
              <w:jc w:val="center"/>
              <w:rPr>
                <w:rFonts w:ascii="宋体" w:hAnsi="宋体" w:cs="宋体"/>
                <w:bCs/>
                <w:color w:val="auto"/>
                <w:sz w:val="24"/>
                <w:highlight w:val="none"/>
              </w:rPr>
            </w:pPr>
            <w:r>
              <w:rPr>
                <w:rFonts w:hint="eastAsia" w:ascii="宋体" w:hAnsi="宋体" w:cs="宋体"/>
                <w:bCs/>
                <w:color w:val="auto"/>
                <w:sz w:val="24"/>
                <w:highlight w:val="none"/>
              </w:rPr>
              <w:t>规格型号</w:t>
            </w:r>
          </w:p>
        </w:tc>
        <w:tc>
          <w:tcPr>
            <w:tcW w:w="756" w:type="dxa"/>
            <w:vAlign w:val="center"/>
          </w:tcPr>
          <w:p>
            <w:pPr>
              <w:shd w:val="clear"/>
              <w:jc w:val="center"/>
              <w:rPr>
                <w:rFonts w:ascii="宋体" w:hAnsi="宋体" w:cs="宋体"/>
                <w:bCs/>
                <w:color w:val="auto"/>
                <w:sz w:val="24"/>
                <w:highlight w:val="none"/>
              </w:rPr>
            </w:pPr>
            <w:r>
              <w:rPr>
                <w:rFonts w:hint="eastAsia" w:ascii="宋体" w:hAnsi="宋体" w:cs="宋体"/>
                <w:bCs/>
                <w:color w:val="auto"/>
                <w:sz w:val="24"/>
                <w:highlight w:val="none"/>
              </w:rPr>
              <w:t>单位</w:t>
            </w:r>
          </w:p>
        </w:tc>
        <w:tc>
          <w:tcPr>
            <w:tcW w:w="913" w:type="dxa"/>
            <w:vAlign w:val="center"/>
          </w:tcPr>
          <w:p>
            <w:pPr>
              <w:shd w:val="clear"/>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756" w:type="dxa"/>
            <w:vAlign w:val="center"/>
          </w:tcPr>
          <w:p>
            <w:pPr>
              <w:shd w:val="clear"/>
              <w:jc w:val="center"/>
              <w:rPr>
                <w:rFonts w:ascii="宋体" w:hAnsi="宋体" w:cs="宋体"/>
                <w:bCs/>
                <w:color w:val="auto"/>
                <w:sz w:val="24"/>
                <w:highlight w:val="none"/>
              </w:rPr>
            </w:pPr>
            <w:r>
              <w:rPr>
                <w:rFonts w:hint="eastAsia" w:ascii="宋体" w:hAnsi="宋体" w:cs="宋体"/>
                <w:bCs/>
                <w:color w:val="auto"/>
                <w:sz w:val="24"/>
                <w:highlight w:val="none"/>
              </w:rPr>
              <w:t>单价</w:t>
            </w:r>
          </w:p>
        </w:tc>
        <w:tc>
          <w:tcPr>
            <w:tcW w:w="850" w:type="dxa"/>
            <w:vAlign w:val="center"/>
          </w:tcPr>
          <w:p>
            <w:pPr>
              <w:shd w:val="clear"/>
              <w:jc w:val="center"/>
              <w:rPr>
                <w:rFonts w:ascii="宋体" w:hAnsi="宋体" w:cs="宋体"/>
                <w:bCs/>
                <w:color w:val="auto"/>
                <w:sz w:val="24"/>
                <w:highlight w:val="none"/>
              </w:rPr>
            </w:pPr>
            <w:r>
              <w:rPr>
                <w:rFonts w:hint="eastAsia" w:ascii="宋体" w:hAnsi="宋体" w:cs="宋体"/>
                <w:bCs/>
                <w:color w:val="auto"/>
                <w:sz w:val="24"/>
                <w:highlight w:val="none"/>
              </w:rPr>
              <w:t>小计</w:t>
            </w:r>
          </w:p>
        </w:tc>
        <w:tc>
          <w:tcPr>
            <w:tcW w:w="803" w:type="dxa"/>
            <w:vAlign w:val="center"/>
          </w:tcPr>
          <w:p>
            <w:pPr>
              <w:shd w:val="clear"/>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756" w:type="dxa"/>
            <w:vAlign w:val="center"/>
          </w:tcPr>
          <w:p>
            <w:pPr>
              <w:shd w:val="clear"/>
              <w:jc w:val="center"/>
              <w:rPr>
                <w:rFonts w:ascii="宋体" w:hAnsi="宋体" w:cs="宋体"/>
                <w:bCs/>
                <w:color w:val="auto"/>
                <w:sz w:val="24"/>
                <w:highlight w:val="none"/>
              </w:rPr>
            </w:pPr>
            <w:r>
              <w:rPr>
                <w:rFonts w:hint="eastAsia" w:ascii="宋体" w:hAnsi="宋体" w:cs="宋体"/>
                <w:bCs/>
                <w:color w:val="auto"/>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2" w:type="dxa"/>
          </w:tcPr>
          <w:p>
            <w:pPr>
              <w:shd w:val="clear"/>
              <w:rPr>
                <w:rFonts w:ascii="宋体" w:hAnsi="宋体" w:cs="宋体"/>
                <w:color w:val="auto"/>
                <w:sz w:val="24"/>
                <w:highlight w:val="none"/>
              </w:rPr>
            </w:pPr>
          </w:p>
        </w:tc>
        <w:tc>
          <w:tcPr>
            <w:tcW w:w="1238" w:type="dxa"/>
          </w:tcPr>
          <w:p>
            <w:pPr>
              <w:shd w:val="clear"/>
              <w:rPr>
                <w:rFonts w:ascii="宋体" w:hAnsi="宋体" w:cs="宋体"/>
                <w:color w:val="auto"/>
                <w:sz w:val="24"/>
                <w:highlight w:val="none"/>
              </w:rPr>
            </w:pPr>
          </w:p>
        </w:tc>
        <w:tc>
          <w:tcPr>
            <w:tcW w:w="1244" w:type="dxa"/>
          </w:tcPr>
          <w:p>
            <w:pPr>
              <w:shd w:val="clear"/>
              <w:rPr>
                <w:rFonts w:ascii="宋体" w:hAnsi="宋体" w:cs="宋体"/>
                <w:color w:val="auto"/>
                <w:sz w:val="24"/>
                <w:highlight w:val="none"/>
              </w:rPr>
            </w:pPr>
          </w:p>
        </w:tc>
        <w:tc>
          <w:tcPr>
            <w:tcW w:w="1228"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91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850" w:type="dxa"/>
          </w:tcPr>
          <w:p>
            <w:pPr>
              <w:shd w:val="clear"/>
              <w:rPr>
                <w:rFonts w:ascii="宋体" w:hAnsi="宋体" w:cs="宋体"/>
                <w:color w:val="auto"/>
                <w:sz w:val="24"/>
                <w:highlight w:val="none"/>
              </w:rPr>
            </w:pPr>
          </w:p>
        </w:tc>
        <w:tc>
          <w:tcPr>
            <w:tcW w:w="80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2" w:type="dxa"/>
          </w:tcPr>
          <w:p>
            <w:pPr>
              <w:shd w:val="clear"/>
              <w:rPr>
                <w:rFonts w:ascii="宋体" w:hAnsi="宋体" w:cs="宋体"/>
                <w:color w:val="auto"/>
                <w:sz w:val="24"/>
                <w:highlight w:val="none"/>
              </w:rPr>
            </w:pPr>
          </w:p>
        </w:tc>
        <w:tc>
          <w:tcPr>
            <w:tcW w:w="1238" w:type="dxa"/>
          </w:tcPr>
          <w:p>
            <w:pPr>
              <w:shd w:val="clear"/>
              <w:rPr>
                <w:rFonts w:ascii="宋体" w:hAnsi="宋体" w:cs="宋体"/>
                <w:color w:val="auto"/>
                <w:sz w:val="24"/>
                <w:highlight w:val="none"/>
              </w:rPr>
            </w:pPr>
          </w:p>
        </w:tc>
        <w:tc>
          <w:tcPr>
            <w:tcW w:w="1244" w:type="dxa"/>
          </w:tcPr>
          <w:p>
            <w:pPr>
              <w:shd w:val="clear"/>
              <w:rPr>
                <w:rFonts w:ascii="宋体" w:hAnsi="宋体" w:cs="宋体"/>
                <w:color w:val="auto"/>
                <w:sz w:val="24"/>
                <w:highlight w:val="none"/>
              </w:rPr>
            </w:pPr>
          </w:p>
        </w:tc>
        <w:tc>
          <w:tcPr>
            <w:tcW w:w="1228"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91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850" w:type="dxa"/>
          </w:tcPr>
          <w:p>
            <w:pPr>
              <w:shd w:val="clear"/>
              <w:rPr>
                <w:rFonts w:ascii="宋体" w:hAnsi="宋体" w:cs="宋体"/>
                <w:color w:val="auto"/>
                <w:sz w:val="24"/>
                <w:highlight w:val="none"/>
              </w:rPr>
            </w:pPr>
          </w:p>
        </w:tc>
        <w:tc>
          <w:tcPr>
            <w:tcW w:w="80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2" w:type="dxa"/>
          </w:tcPr>
          <w:p>
            <w:pPr>
              <w:shd w:val="clear"/>
              <w:rPr>
                <w:rFonts w:ascii="宋体" w:hAnsi="宋体" w:cs="宋体"/>
                <w:color w:val="auto"/>
                <w:sz w:val="24"/>
                <w:highlight w:val="none"/>
              </w:rPr>
            </w:pPr>
          </w:p>
        </w:tc>
        <w:tc>
          <w:tcPr>
            <w:tcW w:w="1238" w:type="dxa"/>
          </w:tcPr>
          <w:p>
            <w:pPr>
              <w:shd w:val="clear"/>
              <w:rPr>
                <w:rFonts w:ascii="宋体" w:hAnsi="宋体" w:cs="宋体"/>
                <w:color w:val="auto"/>
                <w:sz w:val="24"/>
                <w:highlight w:val="none"/>
              </w:rPr>
            </w:pPr>
          </w:p>
        </w:tc>
        <w:tc>
          <w:tcPr>
            <w:tcW w:w="1244" w:type="dxa"/>
          </w:tcPr>
          <w:p>
            <w:pPr>
              <w:shd w:val="clear"/>
              <w:rPr>
                <w:rFonts w:ascii="宋体" w:hAnsi="宋体" w:cs="宋体"/>
                <w:color w:val="auto"/>
                <w:sz w:val="24"/>
                <w:highlight w:val="none"/>
              </w:rPr>
            </w:pPr>
          </w:p>
        </w:tc>
        <w:tc>
          <w:tcPr>
            <w:tcW w:w="1228"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91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850" w:type="dxa"/>
          </w:tcPr>
          <w:p>
            <w:pPr>
              <w:shd w:val="clear"/>
              <w:rPr>
                <w:rFonts w:ascii="宋体" w:hAnsi="宋体" w:cs="宋体"/>
                <w:color w:val="auto"/>
                <w:sz w:val="24"/>
                <w:highlight w:val="none"/>
              </w:rPr>
            </w:pPr>
          </w:p>
        </w:tc>
        <w:tc>
          <w:tcPr>
            <w:tcW w:w="80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2" w:type="dxa"/>
          </w:tcPr>
          <w:p>
            <w:pPr>
              <w:shd w:val="clear"/>
              <w:rPr>
                <w:rFonts w:ascii="宋体" w:hAnsi="宋体" w:cs="宋体"/>
                <w:color w:val="auto"/>
                <w:sz w:val="24"/>
                <w:highlight w:val="none"/>
              </w:rPr>
            </w:pPr>
          </w:p>
        </w:tc>
        <w:tc>
          <w:tcPr>
            <w:tcW w:w="1238" w:type="dxa"/>
          </w:tcPr>
          <w:p>
            <w:pPr>
              <w:shd w:val="clear"/>
              <w:rPr>
                <w:rFonts w:ascii="宋体" w:hAnsi="宋体" w:cs="宋体"/>
                <w:color w:val="auto"/>
                <w:sz w:val="24"/>
                <w:highlight w:val="none"/>
              </w:rPr>
            </w:pPr>
          </w:p>
        </w:tc>
        <w:tc>
          <w:tcPr>
            <w:tcW w:w="1244" w:type="dxa"/>
          </w:tcPr>
          <w:p>
            <w:pPr>
              <w:shd w:val="clear"/>
              <w:rPr>
                <w:rFonts w:ascii="宋体" w:hAnsi="宋体" w:cs="宋体"/>
                <w:color w:val="auto"/>
                <w:sz w:val="24"/>
                <w:highlight w:val="none"/>
              </w:rPr>
            </w:pPr>
          </w:p>
        </w:tc>
        <w:tc>
          <w:tcPr>
            <w:tcW w:w="1228"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91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850" w:type="dxa"/>
          </w:tcPr>
          <w:p>
            <w:pPr>
              <w:shd w:val="clear"/>
              <w:rPr>
                <w:rFonts w:ascii="宋体" w:hAnsi="宋体" w:cs="宋体"/>
                <w:color w:val="auto"/>
                <w:sz w:val="24"/>
                <w:highlight w:val="none"/>
              </w:rPr>
            </w:pPr>
          </w:p>
        </w:tc>
        <w:tc>
          <w:tcPr>
            <w:tcW w:w="80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2" w:type="dxa"/>
          </w:tcPr>
          <w:p>
            <w:pPr>
              <w:shd w:val="clear"/>
              <w:rPr>
                <w:rFonts w:ascii="宋体" w:hAnsi="宋体" w:cs="宋体"/>
                <w:color w:val="auto"/>
                <w:sz w:val="24"/>
                <w:highlight w:val="none"/>
              </w:rPr>
            </w:pPr>
          </w:p>
        </w:tc>
        <w:tc>
          <w:tcPr>
            <w:tcW w:w="1238" w:type="dxa"/>
          </w:tcPr>
          <w:p>
            <w:pPr>
              <w:shd w:val="clear"/>
              <w:rPr>
                <w:rFonts w:ascii="宋体" w:hAnsi="宋体" w:cs="宋体"/>
                <w:color w:val="auto"/>
                <w:sz w:val="24"/>
                <w:highlight w:val="none"/>
              </w:rPr>
            </w:pPr>
          </w:p>
        </w:tc>
        <w:tc>
          <w:tcPr>
            <w:tcW w:w="1244" w:type="dxa"/>
          </w:tcPr>
          <w:p>
            <w:pPr>
              <w:shd w:val="clear"/>
              <w:rPr>
                <w:rFonts w:ascii="宋体" w:hAnsi="宋体" w:cs="宋体"/>
                <w:color w:val="auto"/>
                <w:sz w:val="24"/>
                <w:highlight w:val="none"/>
              </w:rPr>
            </w:pPr>
          </w:p>
        </w:tc>
        <w:tc>
          <w:tcPr>
            <w:tcW w:w="1228"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91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850" w:type="dxa"/>
          </w:tcPr>
          <w:p>
            <w:pPr>
              <w:shd w:val="clear"/>
              <w:rPr>
                <w:rFonts w:ascii="宋体" w:hAnsi="宋体" w:cs="宋体"/>
                <w:color w:val="auto"/>
                <w:sz w:val="24"/>
                <w:highlight w:val="none"/>
              </w:rPr>
            </w:pPr>
          </w:p>
        </w:tc>
        <w:tc>
          <w:tcPr>
            <w:tcW w:w="80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2" w:type="dxa"/>
          </w:tcPr>
          <w:p>
            <w:pPr>
              <w:shd w:val="clear"/>
              <w:rPr>
                <w:rFonts w:ascii="宋体" w:hAnsi="宋体" w:cs="宋体"/>
                <w:color w:val="auto"/>
                <w:sz w:val="24"/>
                <w:highlight w:val="none"/>
              </w:rPr>
            </w:pPr>
          </w:p>
        </w:tc>
        <w:tc>
          <w:tcPr>
            <w:tcW w:w="1238" w:type="dxa"/>
          </w:tcPr>
          <w:p>
            <w:pPr>
              <w:shd w:val="clear"/>
              <w:rPr>
                <w:rFonts w:ascii="宋体" w:hAnsi="宋体" w:cs="宋体"/>
                <w:color w:val="auto"/>
                <w:sz w:val="24"/>
                <w:highlight w:val="none"/>
              </w:rPr>
            </w:pPr>
          </w:p>
        </w:tc>
        <w:tc>
          <w:tcPr>
            <w:tcW w:w="1244" w:type="dxa"/>
          </w:tcPr>
          <w:p>
            <w:pPr>
              <w:shd w:val="clear"/>
              <w:rPr>
                <w:rFonts w:ascii="宋体" w:hAnsi="宋体" w:cs="宋体"/>
                <w:color w:val="auto"/>
                <w:sz w:val="24"/>
                <w:highlight w:val="none"/>
              </w:rPr>
            </w:pPr>
          </w:p>
        </w:tc>
        <w:tc>
          <w:tcPr>
            <w:tcW w:w="1228"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91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850" w:type="dxa"/>
          </w:tcPr>
          <w:p>
            <w:pPr>
              <w:shd w:val="clear"/>
              <w:rPr>
                <w:rFonts w:ascii="宋体" w:hAnsi="宋体" w:cs="宋体"/>
                <w:color w:val="auto"/>
                <w:sz w:val="24"/>
                <w:highlight w:val="none"/>
              </w:rPr>
            </w:pPr>
          </w:p>
        </w:tc>
        <w:tc>
          <w:tcPr>
            <w:tcW w:w="80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2" w:type="dxa"/>
          </w:tcPr>
          <w:p>
            <w:pPr>
              <w:shd w:val="clear"/>
              <w:rPr>
                <w:rFonts w:ascii="宋体" w:hAnsi="宋体" w:cs="宋体"/>
                <w:color w:val="auto"/>
                <w:sz w:val="24"/>
                <w:highlight w:val="none"/>
              </w:rPr>
            </w:pPr>
          </w:p>
        </w:tc>
        <w:tc>
          <w:tcPr>
            <w:tcW w:w="1238" w:type="dxa"/>
          </w:tcPr>
          <w:p>
            <w:pPr>
              <w:shd w:val="clear"/>
              <w:rPr>
                <w:rFonts w:ascii="宋体" w:hAnsi="宋体" w:cs="宋体"/>
                <w:color w:val="auto"/>
                <w:sz w:val="24"/>
                <w:highlight w:val="none"/>
              </w:rPr>
            </w:pPr>
          </w:p>
        </w:tc>
        <w:tc>
          <w:tcPr>
            <w:tcW w:w="1244" w:type="dxa"/>
          </w:tcPr>
          <w:p>
            <w:pPr>
              <w:shd w:val="clear"/>
              <w:rPr>
                <w:rFonts w:ascii="宋体" w:hAnsi="宋体" w:cs="宋体"/>
                <w:color w:val="auto"/>
                <w:sz w:val="24"/>
                <w:highlight w:val="none"/>
              </w:rPr>
            </w:pPr>
          </w:p>
        </w:tc>
        <w:tc>
          <w:tcPr>
            <w:tcW w:w="1228"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91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850" w:type="dxa"/>
          </w:tcPr>
          <w:p>
            <w:pPr>
              <w:shd w:val="clear"/>
              <w:rPr>
                <w:rFonts w:ascii="宋体" w:hAnsi="宋体" w:cs="宋体"/>
                <w:color w:val="auto"/>
                <w:sz w:val="24"/>
                <w:highlight w:val="none"/>
              </w:rPr>
            </w:pPr>
          </w:p>
        </w:tc>
        <w:tc>
          <w:tcPr>
            <w:tcW w:w="80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2" w:type="dxa"/>
          </w:tcPr>
          <w:p>
            <w:pPr>
              <w:shd w:val="clear"/>
              <w:rPr>
                <w:rFonts w:ascii="宋体" w:hAnsi="宋体" w:cs="宋体"/>
                <w:color w:val="auto"/>
                <w:sz w:val="24"/>
                <w:highlight w:val="none"/>
              </w:rPr>
            </w:pPr>
          </w:p>
        </w:tc>
        <w:tc>
          <w:tcPr>
            <w:tcW w:w="1238" w:type="dxa"/>
          </w:tcPr>
          <w:p>
            <w:pPr>
              <w:shd w:val="clear"/>
              <w:rPr>
                <w:rFonts w:ascii="宋体" w:hAnsi="宋体" w:cs="宋体"/>
                <w:color w:val="auto"/>
                <w:sz w:val="24"/>
                <w:highlight w:val="none"/>
              </w:rPr>
            </w:pPr>
          </w:p>
        </w:tc>
        <w:tc>
          <w:tcPr>
            <w:tcW w:w="1244" w:type="dxa"/>
          </w:tcPr>
          <w:p>
            <w:pPr>
              <w:shd w:val="clear"/>
              <w:rPr>
                <w:rFonts w:ascii="宋体" w:hAnsi="宋体" w:cs="宋体"/>
                <w:color w:val="auto"/>
                <w:sz w:val="24"/>
                <w:highlight w:val="none"/>
              </w:rPr>
            </w:pPr>
          </w:p>
        </w:tc>
        <w:tc>
          <w:tcPr>
            <w:tcW w:w="1228"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91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850" w:type="dxa"/>
          </w:tcPr>
          <w:p>
            <w:pPr>
              <w:shd w:val="clear"/>
              <w:rPr>
                <w:rFonts w:ascii="宋体" w:hAnsi="宋体" w:cs="宋体"/>
                <w:color w:val="auto"/>
                <w:sz w:val="24"/>
                <w:highlight w:val="none"/>
              </w:rPr>
            </w:pPr>
          </w:p>
        </w:tc>
        <w:tc>
          <w:tcPr>
            <w:tcW w:w="80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2" w:type="dxa"/>
          </w:tcPr>
          <w:p>
            <w:pPr>
              <w:shd w:val="clear"/>
              <w:rPr>
                <w:rFonts w:ascii="宋体" w:hAnsi="宋体" w:cs="宋体"/>
                <w:color w:val="auto"/>
                <w:sz w:val="24"/>
                <w:highlight w:val="none"/>
              </w:rPr>
            </w:pPr>
          </w:p>
        </w:tc>
        <w:tc>
          <w:tcPr>
            <w:tcW w:w="1238" w:type="dxa"/>
          </w:tcPr>
          <w:p>
            <w:pPr>
              <w:shd w:val="clear"/>
              <w:rPr>
                <w:rFonts w:ascii="宋体" w:hAnsi="宋体" w:cs="宋体"/>
                <w:color w:val="auto"/>
                <w:sz w:val="24"/>
                <w:highlight w:val="none"/>
              </w:rPr>
            </w:pPr>
          </w:p>
        </w:tc>
        <w:tc>
          <w:tcPr>
            <w:tcW w:w="1244" w:type="dxa"/>
          </w:tcPr>
          <w:p>
            <w:pPr>
              <w:shd w:val="clear"/>
              <w:rPr>
                <w:rFonts w:ascii="宋体" w:hAnsi="宋体" w:cs="宋体"/>
                <w:color w:val="auto"/>
                <w:sz w:val="24"/>
                <w:highlight w:val="none"/>
              </w:rPr>
            </w:pPr>
          </w:p>
        </w:tc>
        <w:tc>
          <w:tcPr>
            <w:tcW w:w="1228"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91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c>
          <w:tcPr>
            <w:tcW w:w="850" w:type="dxa"/>
          </w:tcPr>
          <w:p>
            <w:pPr>
              <w:shd w:val="clear"/>
              <w:rPr>
                <w:rFonts w:ascii="宋体" w:hAnsi="宋体" w:cs="宋体"/>
                <w:color w:val="auto"/>
                <w:sz w:val="24"/>
                <w:highlight w:val="none"/>
              </w:rPr>
            </w:pPr>
          </w:p>
        </w:tc>
        <w:tc>
          <w:tcPr>
            <w:tcW w:w="803" w:type="dxa"/>
          </w:tcPr>
          <w:p>
            <w:pPr>
              <w:shd w:val="clear"/>
              <w:rPr>
                <w:rFonts w:ascii="宋体" w:hAnsi="宋体" w:cs="宋体"/>
                <w:color w:val="auto"/>
                <w:sz w:val="24"/>
                <w:highlight w:val="none"/>
              </w:rPr>
            </w:pPr>
          </w:p>
        </w:tc>
        <w:tc>
          <w:tcPr>
            <w:tcW w:w="756" w:type="dxa"/>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356" w:type="dxa"/>
            <w:gridSpan w:val="10"/>
          </w:tcPr>
          <w:p>
            <w:pPr>
              <w:shd w:val="clear"/>
              <w:rPr>
                <w:rFonts w:ascii="宋体" w:hAnsi="宋体" w:cs="宋体"/>
                <w:color w:val="auto"/>
                <w:sz w:val="24"/>
                <w:highlight w:val="none"/>
              </w:rPr>
            </w:pPr>
            <w:r>
              <w:rPr>
                <w:rFonts w:hint="eastAsia" w:ascii="宋体" w:hAnsi="宋体" w:cs="宋体"/>
                <w:color w:val="auto"/>
                <w:sz w:val="24"/>
                <w:highlight w:val="none"/>
              </w:rPr>
              <w:t>合计：</w:t>
            </w:r>
          </w:p>
        </w:tc>
      </w:tr>
    </w:tbl>
    <w:p>
      <w:pPr>
        <w:shd w:val="clear"/>
        <w:rPr>
          <w:rFonts w:ascii="宋体" w:hAnsi="宋体" w:cs="宋体"/>
          <w:color w:val="auto"/>
          <w:highlight w:val="none"/>
        </w:rPr>
      </w:pPr>
    </w:p>
    <w:p>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注：1、所有价格以人民币表示；</w:t>
      </w:r>
    </w:p>
    <w:p>
      <w:pPr>
        <w:shd w:val="clear"/>
        <w:autoSpaceDE w:val="0"/>
        <w:autoSpaceDN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2、若总价与单价不符，以单价汇总为准；</w:t>
      </w:r>
    </w:p>
    <w:p>
      <w:pPr>
        <w:shd w:val="clear"/>
        <w:rPr>
          <w:rFonts w:ascii="宋体" w:hAnsi="宋体" w:cs="宋体"/>
          <w:color w:val="auto"/>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480" w:lineRule="auto"/>
        <w:jc w:val="left"/>
        <w:rPr>
          <w:rFonts w:ascii="宋体" w:hAnsi="宋体" w:cs="宋体"/>
          <w:color w:val="auto"/>
          <w:sz w:val="24"/>
          <w:highlight w:val="none"/>
        </w:rPr>
      </w:pPr>
      <w:r>
        <w:rPr>
          <w:rFonts w:hint="eastAsia" w:ascii="宋体" w:hAnsi="宋体" w:cs="宋体"/>
          <w:color w:val="auto"/>
          <w:kern w:val="1"/>
          <w:sz w:val="24"/>
          <w:highlight w:val="none"/>
        </w:rPr>
        <w:t>日期： ____年____月_____日</w:t>
      </w:r>
    </w:p>
    <w:p>
      <w:pPr>
        <w:shd w:val="clear"/>
        <w:rPr>
          <w:rFonts w:ascii="宋体" w:hAnsi="宋体" w:cs="宋体"/>
          <w:b/>
          <w:color w:val="auto"/>
          <w:sz w:val="24"/>
          <w:highlight w:val="none"/>
        </w:rPr>
      </w:pPr>
    </w:p>
    <w:p>
      <w:pPr>
        <w:shd w:val="clear"/>
        <w:rPr>
          <w:rFonts w:ascii="宋体" w:hAnsi="宋体" w:cs="宋体"/>
          <w:color w:val="auto"/>
          <w:highlight w:val="none"/>
        </w:rPr>
      </w:pPr>
    </w:p>
    <w:p>
      <w:pPr>
        <w:shd w:val="clear"/>
        <w:rPr>
          <w:rFonts w:ascii="宋体" w:hAnsi="宋体" w:cs="宋体"/>
          <w:color w:val="auto"/>
          <w:highlight w:val="none"/>
        </w:rPr>
      </w:pPr>
      <w:r>
        <w:rPr>
          <w:rFonts w:hint="eastAsia" w:ascii="宋体" w:hAnsi="宋体" w:cs="宋体"/>
          <w:color w:val="auto"/>
          <w:highlight w:val="none"/>
        </w:rPr>
        <w:br w:type="page"/>
      </w:r>
    </w:p>
    <w:p>
      <w:pPr>
        <w:shd w:val="clear"/>
        <w:rPr>
          <w:rFonts w:ascii="宋体" w:hAnsi="宋体" w:cs="宋体"/>
          <w:color w:val="auto"/>
          <w:highlight w:val="none"/>
        </w:rPr>
      </w:pPr>
    </w:p>
    <w:p>
      <w:pPr>
        <w:shd w:val="clear"/>
        <w:rPr>
          <w:rFonts w:ascii="宋体" w:hAnsi="宋体" w:cs="宋体"/>
          <w:color w:val="auto"/>
          <w:highlight w:val="none"/>
        </w:rPr>
      </w:pPr>
    </w:p>
    <w:p>
      <w:pPr>
        <w:shd w:val="clear"/>
        <w:spacing w:line="360" w:lineRule="auto"/>
        <w:jc w:val="center"/>
        <w:outlineLvl w:val="2"/>
        <w:rPr>
          <w:rFonts w:ascii="宋体" w:hAnsi="宋体" w:cs="宋体"/>
          <w:b/>
          <w:color w:val="auto"/>
          <w:sz w:val="24"/>
          <w:highlight w:val="none"/>
        </w:rPr>
      </w:pPr>
      <w:bookmarkStart w:id="827" w:name="_Toc11944"/>
      <w:bookmarkStart w:id="828" w:name="_Toc26773"/>
      <w:r>
        <w:rPr>
          <w:rFonts w:hint="eastAsia" w:ascii="宋体" w:hAnsi="宋体" w:cs="宋体"/>
          <w:b/>
          <w:color w:val="auto"/>
          <w:sz w:val="32"/>
          <w:szCs w:val="32"/>
          <w:highlight w:val="none"/>
        </w:rPr>
        <w:t>六、技术规格和商务条款偏差表</w:t>
      </w:r>
      <w:bookmarkEnd w:id="827"/>
      <w:bookmarkEnd w:id="828"/>
    </w:p>
    <w:p>
      <w:pPr>
        <w:shd w:val="clear"/>
        <w:spacing w:line="360" w:lineRule="auto"/>
        <w:jc w:val="center"/>
        <w:outlineLvl w:val="3"/>
        <w:rPr>
          <w:rFonts w:ascii="宋体" w:hAnsi="宋体" w:cs="宋体"/>
          <w:color w:val="auto"/>
          <w:sz w:val="24"/>
          <w:highlight w:val="none"/>
        </w:rPr>
      </w:pPr>
      <w:bookmarkStart w:id="829" w:name="_Toc3418"/>
      <w:bookmarkStart w:id="830" w:name="_Toc788"/>
      <w:bookmarkStart w:id="831" w:name="_Toc5280"/>
      <w:bookmarkStart w:id="832" w:name="_Toc10367"/>
      <w:r>
        <w:rPr>
          <w:rFonts w:hint="eastAsia" w:ascii="宋体" w:hAnsi="宋体" w:cs="宋体"/>
          <w:b/>
          <w:color w:val="auto"/>
          <w:sz w:val="24"/>
          <w:highlight w:val="none"/>
        </w:rPr>
        <w:t>6.1  技术条款响应表</w:t>
      </w:r>
      <w:bookmarkEnd w:id="829"/>
      <w:bookmarkEnd w:id="830"/>
      <w:bookmarkEnd w:id="831"/>
      <w:bookmarkEnd w:id="832"/>
    </w:p>
    <w:tbl>
      <w:tblPr>
        <w:tblStyle w:val="49"/>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57"/>
        <w:gridCol w:w="1696"/>
        <w:gridCol w:w="1881"/>
        <w:gridCol w:w="1437"/>
        <w:gridCol w:w="103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48" w:type="dxa"/>
            <w:vMerge w:val="restart"/>
            <w:vAlign w:val="center"/>
          </w:tcPr>
          <w:p>
            <w:pPr>
              <w:shd w:val="clear"/>
              <w:spacing w:line="48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157" w:type="dxa"/>
            <w:vMerge w:val="restart"/>
            <w:vAlign w:val="center"/>
          </w:tcPr>
          <w:p>
            <w:pPr>
              <w:shd w:val="clear"/>
              <w:spacing w:line="480" w:lineRule="auto"/>
              <w:jc w:val="center"/>
              <w:rPr>
                <w:rFonts w:ascii="宋体" w:hAnsi="宋体" w:cs="宋体"/>
                <w:b/>
                <w:bCs/>
                <w:color w:val="auto"/>
                <w:sz w:val="24"/>
                <w:highlight w:val="none"/>
              </w:rPr>
            </w:pPr>
            <w:r>
              <w:rPr>
                <w:rFonts w:hint="eastAsia" w:ascii="宋体" w:hAnsi="宋体" w:cs="宋体"/>
                <w:b/>
                <w:bCs/>
                <w:color w:val="auto"/>
                <w:sz w:val="24"/>
                <w:highlight w:val="none"/>
              </w:rPr>
              <w:t>名称或条款号</w:t>
            </w:r>
          </w:p>
        </w:tc>
        <w:tc>
          <w:tcPr>
            <w:tcW w:w="3577" w:type="dxa"/>
            <w:gridSpan w:val="2"/>
            <w:vAlign w:val="bottom"/>
          </w:tcPr>
          <w:p>
            <w:pPr>
              <w:shd w:val="clear"/>
              <w:spacing w:line="480" w:lineRule="auto"/>
              <w:jc w:val="center"/>
              <w:rPr>
                <w:rFonts w:ascii="宋体" w:hAnsi="宋体" w:cs="宋体"/>
                <w:b/>
                <w:bCs/>
                <w:color w:val="auto"/>
                <w:sz w:val="24"/>
                <w:highlight w:val="none"/>
              </w:rPr>
            </w:pPr>
            <w:r>
              <w:rPr>
                <w:rFonts w:hint="eastAsia" w:ascii="宋体" w:hAnsi="宋体" w:cs="宋体"/>
                <w:b/>
                <w:bCs/>
                <w:color w:val="auto"/>
                <w:kern w:val="0"/>
                <w:sz w:val="24"/>
                <w:highlight w:val="none"/>
              </w:rPr>
              <w:t>技术规格或系统功能要求</w:t>
            </w:r>
          </w:p>
        </w:tc>
        <w:tc>
          <w:tcPr>
            <w:tcW w:w="1437" w:type="dxa"/>
            <w:vMerge w:val="restart"/>
            <w:vAlign w:val="center"/>
          </w:tcPr>
          <w:p>
            <w:pPr>
              <w:shd w:val="clear"/>
              <w:spacing w:line="480" w:lineRule="auto"/>
              <w:jc w:val="center"/>
              <w:rPr>
                <w:rFonts w:ascii="宋体" w:hAnsi="宋体" w:cs="宋体"/>
                <w:b/>
                <w:bCs/>
                <w:color w:val="auto"/>
                <w:sz w:val="24"/>
                <w:highlight w:val="none"/>
              </w:rPr>
            </w:pPr>
            <w:r>
              <w:rPr>
                <w:rFonts w:hint="eastAsia" w:ascii="宋体" w:hAnsi="宋体" w:cs="宋体"/>
                <w:b/>
                <w:bCs/>
                <w:color w:val="auto"/>
                <w:sz w:val="24"/>
                <w:highlight w:val="none"/>
              </w:rPr>
              <w:t>对磋商文件  偏离</w:t>
            </w:r>
          </w:p>
        </w:tc>
        <w:tc>
          <w:tcPr>
            <w:tcW w:w="1030" w:type="dxa"/>
            <w:vMerge w:val="restart"/>
            <w:vAlign w:val="center"/>
          </w:tcPr>
          <w:p>
            <w:pPr>
              <w:shd w:val="clear"/>
              <w:spacing w:line="480" w:lineRule="auto"/>
              <w:jc w:val="center"/>
              <w:rPr>
                <w:rFonts w:ascii="宋体" w:hAnsi="宋体" w:cs="宋体"/>
                <w:b/>
                <w:bCs/>
                <w:color w:val="auto"/>
                <w:sz w:val="24"/>
                <w:highlight w:val="none"/>
              </w:rPr>
            </w:pPr>
            <w:r>
              <w:rPr>
                <w:rFonts w:hint="eastAsia" w:ascii="宋体" w:hAnsi="宋体" w:cs="宋体"/>
                <w:b/>
                <w:bCs/>
                <w:color w:val="auto"/>
                <w:sz w:val="24"/>
                <w:highlight w:val="none"/>
              </w:rPr>
              <w:t>描述</w:t>
            </w:r>
          </w:p>
        </w:tc>
        <w:tc>
          <w:tcPr>
            <w:tcW w:w="987" w:type="dxa"/>
            <w:vMerge w:val="restart"/>
            <w:vAlign w:val="center"/>
          </w:tcPr>
          <w:p>
            <w:pPr>
              <w:shd w:val="clear"/>
              <w:spacing w:line="48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48" w:type="dxa"/>
            <w:vMerge w:val="continue"/>
          </w:tcPr>
          <w:p>
            <w:pPr>
              <w:shd w:val="clear"/>
              <w:spacing w:line="480" w:lineRule="auto"/>
              <w:rPr>
                <w:rFonts w:ascii="宋体" w:hAnsi="宋体" w:cs="宋体"/>
                <w:color w:val="auto"/>
                <w:sz w:val="24"/>
                <w:highlight w:val="none"/>
              </w:rPr>
            </w:pPr>
          </w:p>
        </w:tc>
        <w:tc>
          <w:tcPr>
            <w:tcW w:w="2157" w:type="dxa"/>
            <w:vMerge w:val="continue"/>
          </w:tcPr>
          <w:p>
            <w:pPr>
              <w:shd w:val="clear"/>
              <w:spacing w:line="480" w:lineRule="auto"/>
              <w:rPr>
                <w:rFonts w:ascii="宋体" w:hAnsi="宋体" w:cs="宋体"/>
                <w:color w:val="auto"/>
                <w:sz w:val="24"/>
                <w:highlight w:val="none"/>
              </w:rPr>
            </w:pPr>
          </w:p>
        </w:tc>
        <w:tc>
          <w:tcPr>
            <w:tcW w:w="1696" w:type="dxa"/>
            <w:vAlign w:val="bottom"/>
          </w:tcPr>
          <w:p>
            <w:pPr>
              <w:shd w:val="clear"/>
              <w:spacing w:line="480" w:lineRule="auto"/>
              <w:jc w:val="center"/>
              <w:rPr>
                <w:rFonts w:ascii="宋体" w:hAnsi="宋体" w:cs="宋体"/>
                <w:b/>
                <w:bCs/>
                <w:color w:val="auto"/>
                <w:sz w:val="24"/>
                <w:highlight w:val="none"/>
              </w:rPr>
            </w:pPr>
            <w:r>
              <w:rPr>
                <w:rFonts w:hint="eastAsia" w:ascii="宋体" w:hAnsi="宋体" w:cs="宋体"/>
                <w:b/>
                <w:bCs/>
                <w:color w:val="auto"/>
                <w:sz w:val="24"/>
                <w:highlight w:val="none"/>
              </w:rPr>
              <w:t>磋商文件</w:t>
            </w:r>
          </w:p>
        </w:tc>
        <w:tc>
          <w:tcPr>
            <w:tcW w:w="1881" w:type="dxa"/>
            <w:vAlign w:val="bottom"/>
          </w:tcPr>
          <w:p>
            <w:pPr>
              <w:shd w:val="clear"/>
              <w:spacing w:line="480" w:lineRule="auto"/>
              <w:jc w:val="center"/>
              <w:rPr>
                <w:rFonts w:ascii="宋体" w:hAnsi="宋体" w:cs="宋体"/>
                <w:b/>
                <w:bCs/>
                <w:color w:val="auto"/>
                <w:sz w:val="24"/>
                <w:highlight w:val="none"/>
              </w:rPr>
            </w:pPr>
            <w:r>
              <w:rPr>
                <w:rFonts w:hint="eastAsia" w:ascii="宋体" w:hAnsi="宋体" w:cs="宋体"/>
                <w:b/>
                <w:bCs/>
                <w:color w:val="auto"/>
                <w:sz w:val="24"/>
                <w:highlight w:val="none"/>
              </w:rPr>
              <w:t>响应文件</w:t>
            </w:r>
          </w:p>
        </w:tc>
        <w:tc>
          <w:tcPr>
            <w:tcW w:w="1437" w:type="dxa"/>
            <w:vMerge w:val="continue"/>
          </w:tcPr>
          <w:p>
            <w:pPr>
              <w:shd w:val="clear"/>
              <w:spacing w:line="480" w:lineRule="auto"/>
              <w:rPr>
                <w:rFonts w:ascii="宋体" w:hAnsi="宋体" w:cs="宋体"/>
                <w:color w:val="auto"/>
                <w:sz w:val="24"/>
                <w:highlight w:val="none"/>
              </w:rPr>
            </w:pPr>
          </w:p>
        </w:tc>
        <w:tc>
          <w:tcPr>
            <w:tcW w:w="1030" w:type="dxa"/>
            <w:vMerge w:val="continue"/>
          </w:tcPr>
          <w:p>
            <w:pPr>
              <w:shd w:val="clear"/>
              <w:spacing w:line="480" w:lineRule="auto"/>
              <w:rPr>
                <w:rFonts w:ascii="宋体" w:hAnsi="宋体" w:cs="宋体"/>
                <w:color w:val="auto"/>
                <w:sz w:val="24"/>
                <w:highlight w:val="none"/>
              </w:rPr>
            </w:pPr>
          </w:p>
        </w:tc>
        <w:tc>
          <w:tcPr>
            <w:tcW w:w="987" w:type="dxa"/>
            <w:vMerge w:val="continue"/>
          </w:tcPr>
          <w:p>
            <w:pPr>
              <w:shd w:val="clear"/>
              <w:spacing w:line="48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648" w:type="dxa"/>
            <w:vMerge w:val="restart"/>
          </w:tcPr>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1</w:t>
            </w:r>
          </w:p>
        </w:tc>
        <w:tc>
          <w:tcPr>
            <w:tcW w:w="2157" w:type="dxa"/>
          </w:tcPr>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名称1</w:t>
            </w:r>
          </w:p>
        </w:tc>
        <w:tc>
          <w:tcPr>
            <w:tcW w:w="1696" w:type="dxa"/>
          </w:tcPr>
          <w:p>
            <w:pPr>
              <w:shd w:val="clear"/>
              <w:spacing w:line="480" w:lineRule="auto"/>
              <w:rPr>
                <w:rFonts w:ascii="宋体" w:hAnsi="宋体" w:cs="宋体"/>
                <w:color w:val="auto"/>
                <w:sz w:val="24"/>
                <w:highlight w:val="none"/>
              </w:rPr>
            </w:pPr>
          </w:p>
        </w:tc>
        <w:tc>
          <w:tcPr>
            <w:tcW w:w="1881" w:type="dxa"/>
          </w:tcPr>
          <w:p>
            <w:pPr>
              <w:shd w:val="clear"/>
              <w:spacing w:line="480" w:lineRule="auto"/>
              <w:rPr>
                <w:rFonts w:ascii="宋体" w:hAnsi="宋体" w:cs="宋体"/>
                <w:color w:val="auto"/>
                <w:sz w:val="24"/>
                <w:highlight w:val="none"/>
              </w:rPr>
            </w:pPr>
          </w:p>
        </w:tc>
        <w:tc>
          <w:tcPr>
            <w:tcW w:w="1437" w:type="dxa"/>
          </w:tcPr>
          <w:p>
            <w:pPr>
              <w:shd w:val="clear"/>
              <w:spacing w:line="480" w:lineRule="auto"/>
              <w:rPr>
                <w:rFonts w:ascii="宋体" w:hAnsi="宋体" w:cs="宋体"/>
                <w:color w:val="auto"/>
                <w:sz w:val="24"/>
                <w:highlight w:val="none"/>
              </w:rPr>
            </w:pPr>
          </w:p>
        </w:tc>
        <w:tc>
          <w:tcPr>
            <w:tcW w:w="1030" w:type="dxa"/>
          </w:tcPr>
          <w:p>
            <w:pPr>
              <w:shd w:val="clear"/>
              <w:spacing w:line="480" w:lineRule="auto"/>
              <w:rPr>
                <w:rFonts w:ascii="宋体" w:hAnsi="宋体" w:cs="宋体"/>
                <w:color w:val="auto"/>
                <w:sz w:val="24"/>
                <w:highlight w:val="none"/>
              </w:rPr>
            </w:pPr>
          </w:p>
        </w:tc>
        <w:tc>
          <w:tcPr>
            <w:tcW w:w="987" w:type="dxa"/>
          </w:tcPr>
          <w:p>
            <w:pPr>
              <w:shd w:val="clear"/>
              <w:spacing w:line="48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48" w:type="dxa"/>
            <w:vMerge w:val="continue"/>
          </w:tcPr>
          <w:p>
            <w:pPr>
              <w:shd w:val="clear"/>
              <w:spacing w:line="480" w:lineRule="auto"/>
              <w:rPr>
                <w:rFonts w:ascii="宋体" w:hAnsi="宋体" w:cs="宋体"/>
                <w:color w:val="auto"/>
                <w:sz w:val="24"/>
                <w:highlight w:val="none"/>
              </w:rPr>
            </w:pPr>
          </w:p>
        </w:tc>
        <w:tc>
          <w:tcPr>
            <w:tcW w:w="2157" w:type="dxa"/>
          </w:tcPr>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参数名称1</w:t>
            </w:r>
          </w:p>
        </w:tc>
        <w:tc>
          <w:tcPr>
            <w:tcW w:w="1696" w:type="dxa"/>
          </w:tcPr>
          <w:p>
            <w:pPr>
              <w:shd w:val="clear"/>
              <w:spacing w:line="480" w:lineRule="auto"/>
              <w:rPr>
                <w:rFonts w:ascii="宋体" w:hAnsi="宋体" w:cs="宋体"/>
                <w:color w:val="auto"/>
                <w:sz w:val="24"/>
                <w:highlight w:val="none"/>
              </w:rPr>
            </w:pPr>
          </w:p>
        </w:tc>
        <w:tc>
          <w:tcPr>
            <w:tcW w:w="1881" w:type="dxa"/>
          </w:tcPr>
          <w:p>
            <w:pPr>
              <w:shd w:val="clear"/>
              <w:spacing w:line="480" w:lineRule="auto"/>
              <w:rPr>
                <w:rFonts w:ascii="宋体" w:hAnsi="宋体" w:cs="宋体"/>
                <w:color w:val="auto"/>
                <w:sz w:val="24"/>
                <w:highlight w:val="none"/>
              </w:rPr>
            </w:pPr>
          </w:p>
        </w:tc>
        <w:tc>
          <w:tcPr>
            <w:tcW w:w="1437" w:type="dxa"/>
          </w:tcPr>
          <w:p>
            <w:pPr>
              <w:shd w:val="clear"/>
              <w:spacing w:line="480" w:lineRule="auto"/>
              <w:rPr>
                <w:rFonts w:ascii="宋体" w:hAnsi="宋体" w:cs="宋体"/>
                <w:color w:val="auto"/>
                <w:sz w:val="24"/>
                <w:highlight w:val="none"/>
              </w:rPr>
            </w:pPr>
          </w:p>
        </w:tc>
        <w:tc>
          <w:tcPr>
            <w:tcW w:w="1030" w:type="dxa"/>
          </w:tcPr>
          <w:p>
            <w:pPr>
              <w:shd w:val="clear"/>
              <w:spacing w:line="480" w:lineRule="auto"/>
              <w:rPr>
                <w:rFonts w:ascii="宋体" w:hAnsi="宋体" w:cs="宋体"/>
                <w:color w:val="auto"/>
                <w:sz w:val="24"/>
                <w:highlight w:val="none"/>
              </w:rPr>
            </w:pPr>
          </w:p>
        </w:tc>
        <w:tc>
          <w:tcPr>
            <w:tcW w:w="987" w:type="dxa"/>
          </w:tcPr>
          <w:p>
            <w:pPr>
              <w:shd w:val="clear"/>
              <w:spacing w:line="48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48" w:type="dxa"/>
            <w:vMerge w:val="continue"/>
          </w:tcPr>
          <w:p>
            <w:pPr>
              <w:shd w:val="clear"/>
              <w:spacing w:line="480" w:lineRule="auto"/>
              <w:rPr>
                <w:rFonts w:ascii="宋体" w:hAnsi="宋体" w:cs="宋体"/>
                <w:color w:val="auto"/>
                <w:sz w:val="24"/>
                <w:highlight w:val="none"/>
              </w:rPr>
            </w:pPr>
          </w:p>
        </w:tc>
        <w:tc>
          <w:tcPr>
            <w:tcW w:w="2157" w:type="dxa"/>
          </w:tcPr>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参数名称2</w:t>
            </w:r>
          </w:p>
        </w:tc>
        <w:tc>
          <w:tcPr>
            <w:tcW w:w="1696" w:type="dxa"/>
          </w:tcPr>
          <w:p>
            <w:pPr>
              <w:shd w:val="clear"/>
              <w:spacing w:line="480" w:lineRule="auto"/>
              <w:rPr>
                <w:rFonts w:ascii="宋体" w:hAnsi="宋体" w:cs="宋体"/>
                <w:color w:val="auto"/>
                <w:sz w:val="24"/>
                <w:highlight w:val="none"/>
              </w:rPr>
            </w:pPr>
          </w:p>
        </w:tc>
        <w:tc>
          <w:tcPr>
            <w:tcW w:w="1881" w:type="dxa"/>
          </w:tcPr>
          <w:p>
            <w:pPr>
              <w:shd w:val="clear"/>
              <w:spacing w:line="480" w:lineRule="auto"/>
              <w:rPr>
                <w:rFonts w:ascii="宋体" w:hAnsi="宋体" w:cs="宋体"/>
                <w:color w:val="auto"/>
                <w:sz w:val="24"/>
                <w:highlight w:val="none"/>
              </w:rPr>
            </w:pPr>
          </w:p>
        </w:tc>
        <w:tc>
          <w:tcPr>
            <w:tcW w:w="1437" w:type="dxa"/>
          </w:tcPr>
          <w:p>
            <w:pPr>
              <w:shd w:val="clear"/>
              <w:spacing w:line="480" w:lineRule="auto"/>
              <w:rPr>
                <w:rFonts w:ascii="宋体" w:hAnsi="宋体" w:cs="宋体"/>
                <w:color w:val="auto"/>
                <w:sz w:val="24"/>
                <w:highlight w:val="none"/>
              </w:rPr>
            </w:pPr>
          </w:p>
        </w:tc>
        <w:tc>
          <w:tcPr>
            <w:tcW w:w="1030" w:type="dxa"/>
          </w:tcPr>
          <w:p>
            <w:pPr>
              <w:shd w:val="clear"/>
              <w:spacing w:line="480" w:lineRule="auto"/>
              <w:rPr>
                <w:rFonts w:ascii="宋体" w:hAnsi="宋体" w:cs="宋体"/>
                <w:color w:val="auto"/>
                <w:sz w:val="24"/>
                <w:highlight w:val="none"/>
              </w:rPr>
            </w:pPr>
          </w:p>
        </w:tc>
        <w:tc>
          <w:tcPr>
            <w:tcW w:w="987" w:type="dxa"/>
          </w:tcPr>
          <w:p>
            <w:pPr>
              <w:shd w:val="clear"/>
              <w:spacing w:line="48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648" w:type="dxa"/>
          </w:tcPr>
          <w:p>
            <w:pPr>
              <w:shd w:val="clear"/>
              <w:spacing w:line="480" w:lineRule="auto"/>
              <w:rPr>
                <w:rFonts w:ascii="宋体" w:hAnsi="宋体" w:cs="宋体"/>
                <w:color w:val="auto"/>
                <w:sz w:val="24"/>
                <w:highlight w:val="none"/>
              </w:rPr>
            </w:pPr>
          </w:p>
        </w:tc>
        <w:tc>
          <w:tcPr>
            <w:tcW w:w="2157" w:type="dxa"/>
          </w:tcPr>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w:t>
            </w:r>
          </w:p>
        </w:tc>
        <w:tc>
          <w:tcPr>
            <w:tcW w:w="1696" w:type="dxa"/>
          </w:tcPr>
          <w:p>
            <w:pPr>
              <w:shd w:val="clear"/>
              <w:spacing w:line="480" w:lineRule="auto"/>
              <w:rPr>
                <w:rFonts w:ascii="宋体" w:hAnsi="宋体" w:cs="宋体"/>
                <w:color w:val="auto"/>
                <w:sz w:val="24"/>
                <w:highlight w:val="none"/>
              </w:rPr>
            </w:pPr>
          </w:p>
        </w:tc>
        <w:tc>
          <w:tcPr>
            <w:tcW w:w="1881" w:type="dxa"/>
          </w:tcPr>
          <w:p>
            <w:pPr>
              <w:shd w:val="clear"/>
              <w:spacing w:line="480" w:lineRule="auto"/>
              <w:rPr>
                <w:rFonts w:ascii="宋体" w:hAnsi="宋体" w:cs="宋体"/>
                <w:color w:val="auto"/>
                <w:sz w:val="24"/>
                <w:highlight w:val="none"/>
              </w:rPr>
            </w:pPr>
          </w:p>
        </w:tc>
        <w:tc>
          <w:tcPr>
            <w:tcW w:w="1437" w:type="dxa"/>
          </w:tcPr>
          <w:p>
            <w:pPr>
              <w:shd w:val="clear"/>
              <w:spacing w:line="480" w:lineRule="auto"/>
              <w:rPr>
                <w:rFonts w:ascii="宋体" w:hAnsi="宋体" w:cs="宋体"/>
                <w:color w:val="auto"/>
                <w:sz w:val="24"/>
                <w:highlight w:val="none"/>
              </w:rPr>
            </w:pPr>
          </w:p>
        </w:tc>
        <w:tc>
          <w:tcPr>
            <w:tcW w:w="1030" w:type="dxa"/>
          </w:tcPr>
          <w:p>
            <w:pPr>
              <w:shd w:val="clear"/>
              <w:spacing w:line="480" w:lineRule="auto"/>
              <w:rPr>
                <w:rFonts w:ascii="宋体" w:hAnsi="宋体" w:cs="宋体"/>
                <w:color w:val="auto"/>
                <w:sz w:val="24"/>
                <w:highlight w:val="none"/>
              </w:rPr>
            </w:pPr>
          </w:p>
        </w:tc>
        <w:tc>
          <w:tcPr>
            <w:tcW w:w="987" w:type="dxa"/>
          </w:tcPr>
          <w:p>
            <w:pPr>
              <w:shd w:val="clear"/>
              <w:spacing w:line="48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648" w:type="dxa"/>
            <w:vMerge w:val="restart"/>
          </w:tcPr>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2</w:t>
            </w:r>
          </w:p>
        </w:tc>
        <w:tc>
          <w:tcPr>
            <w:tcW w:w="2157" w:type="dxa"/>
          </w:tcPr>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名称2</w:t>
            </w:r>
          </w:p>
        </w:tc>
        <w:tc>
          <w:tcPr>
            <w:tcW w:w="1696" w:type="dxa"/>
          </w:tcPr>
          <w:p>
            <w:pPr>
              <w:shd w:val="clear"/>
              <w:spacing w:line="480" w:lineRule="auto"/>
              <w:rPr>
                <w:rFonts w:ascii="宋体" w:hAnsi="宋体" w:cs="宋体"/>
                <w:color w:val="auto"/>
                <w:sz w:val="24"/>
                <w:highlight w:val="none"/>
              </w:rPr>
            </w:pPr>
          </w:p>
        </w:tc>
        <w:tc>
          <w:tcPr>
            <w:tcW w:w="1881" w:type="dxa"/>
          </w:tcPr>
          <w:p>
            <w:pPr>
              <w:shd w:val="clear"/>
              <w:spacing w:line="480" w:lineRule="auto"/>
              <w:rPr>
                <w:rFonts w:ascii="宋体" w:hAnsi="宋体" w:cs="宋体"/>
                <w:color w:val="auto"/>
                <w:sz w:val="24"/>
                <w:highlight w:val="none"/>
              </w:rPr>
            </w:pPr>
          </w:p>
        </w:tc>
        <w:tc>
          <w:tcPr>
            <w:tcW w:w="1437" w:type="dxa"/>
          </w:tcPr>
          <w:p>
            <w:pPr>
              <w:shd w:val="clear"/>
              <w:spacing w:line="480" w:lineRule="auto"/>
              <w:rPr>
                <w:rFonts w:ascii="宋体" w:hAnsi="宋体" w:cs="宋体"/>
                <w:color w:val="auto"/>
                <w:sz w:val="24"/>
                <w:highlight w:val="none"/>
              </w:rPr>
            </w:pPr>
          </w:p>
        </w:tc>
        <w:tc>
          <w:tcPr>
            <w:tcW w:w="1030" w:type="dxa"/>
          </w:tcPr>
          <w:p>
            <w:pPr>
              <w:shd w:val="clear"/>
              <w:spacing w:line="480" w:lineRule="auto"/>
              <w:rPr>
                <w:rFonts w:ascii="宋体" w:hAnsi="宋体" w:cs="宋体"/>
                <w:color w:val="auto"/>
                <w:sz w:val="24"/>
                <w:highlight w:val="none"/>
              </w:rPr>
            </w:pPr>
          </w:p>
        </w:tc>
        <w:tc>
          <w:tcPr>
            <w:tcW w:w="987" w:type="dxa"/>
          </w:tcPr>
          <w:p>
            <w:pPr>
              <w:shd w:val="clear"/>
              <w:spacing w:line="48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48" w:type="dxa"/>
            <w:vMerge w:val="continue"/>
          </w:tcPr>
          <w:p>
            <w:pPr>
              <w:shd w:val="clear"/>
              <w:spacing w:line="480" w:lineRule="auto"/>
              <w:rPr>
                <w:rFonts w:ascii="宋体" w:hAnsi="宋体" w:cs="宋体"/>
                <w:color w:val="auto"/>
                <w:sz w:val="24"/>
                <w:highlight w:val="none"/>
              </w:rPr>
            </w:pPr>
          </w:p>
        </w:tc>
        <w:tc>
          <w:tcPr>
            <w:tcW w:w="2157" w:type="dxa"/>
          </w:tcPr>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参数名称1</w:t>
            </w:r>
          </w:p>
        </w:tc>
        <w:tc>
          <w:tcPr>
            <w:tcW w:w="1696" w:type="dxa"/>
          </w:tcPr>
          <w:p>
            <w:pPr>
              <w:shd w:val="clear"/>
              <w:spacing w:line="480" w:lineRule="auto"/>
              <w:rPr>
                <w:rFonts w:ascii="宋体" w:hAnsi="宋体" w:cs="宋体"/>
                <w:color w:val="auto"/>
                <w:sz w:val="24"/>
                <w:highlight w:val="none"/>
              </w:rPr>
            </w:pPr>
          </w:p>
        </w:tc>
        <w:tc>
          <w:tcPr>
            <w:tcW w:w="1881" w:type="dxa"/>
          </w:tcPr>
          <w:p>
            <w:pPr>
              <w:shd w:val="clear"/>
              <w:spacing w:line="480" w:lineRule="auto"/>
              <w:rPr>
                <w:rFonts w:ascii="宋体" w:hAnsi="宋体" w:cs="宋体"/>
                <w:color w:val="auto"/>
                <w:sz w:val="24"/>
                <w:highlight w:val="none"/>
              </w:rPr>
            </w:pPr>
          </w:p>
        </w:tc>
        <w:tc>
          <w:tcPr>
            <w:tcW w:w="1437" w:type="dxa"/>
          </w:tcPr>
          <w:p>
            <w:pPr>
              <w:shd w:val="clear"/>
              <w:spacing w:line="480" w:lineRule="auto"/>
              <w:rPr>
                <w:rFonts w:ascii="宋体" w:hAnsi="宋体" w:cs="宋体"/>
                <w:color w:val="auto"/>
                <w:sz w:val="24"/>
                <w:highlight w:val="none"/>
              </w:rPr>
            </w:pPr>
          </w:p>
        </w:tc>
        <w:tc>
          <w:tcPr>
            <w:tcW w:w="1030" w:type="dxa"/>
          </w:tcPr>
          <w:p>
            <w:pPr>
              <w:shd w:val="clear"/>
              <w:spacing w:line="480" w:lineRule="auto"/>
              <w:rPr>
                <w:rFonts w:ascii="宋体" w:hAnsi="宋体" w:cs="宋体"/>
                <w:color w:val="auto"/>
                <w:sz w:val="24"/>
                <w:highlight w:val="none"/>
              </w:rPr>
            </w:pPr>
          </w:p>
        </w:tc>
        <w:tc>
          <w:tcPr>
            <w:tcW w:w="987" w:type="dxa"/>
          </w:tcPr>
          <w:p>
            <w:pPr>
              <w:shd w:val="clear"/>
              <w:spacing w:line="48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48" w:type="dxa"/>
            <w:vMerge w:val="continue"/>
          </w:tcPr>
          <w:p>
            <w:pPr>
              <w:shd w:val="clear"/>
              <w:spacing w:line="480" w:lineRule="auto"/>
              <w:rPr>
                <w:rFonts w:ascii="宋体" w:hAnsi="宋体" w:cs="宋体"/>
                <w:color w:val="auto"/>
                <w:sz w:val="24"/>
                <w:highlight w:val="none"/>
              </w:rPr>
            </w:pPr>
          </w:p>
        </w:tc>
        <w:tc>
          <w:tcPr>
            <w:tcW w:w="2157" w:type="dxa"/>
          </w:tcPr>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参数名称2</w:t>
            </w:r>
          </w:p>
        </w:tc>
        <w:tc>
          <w:tcPr>
            <w:tcW w:w="1696" w:type="dxa"/>
          </w:tcPr>
          <w:p>
            <w:pPr>
              <w:shd w:val="clear"/>
              <w:spacing w:line="480" w:lineRule="auto"/>
              <w:rPr>
                <w:rFonts w:ascii="宋体" w:hAnsi="宋体" w:cs="宋体"/>
                <w:color w:val="auto"/>
                <w:sz w:val="24"/>
                <w:highlight w:val="none"/>
              </w:rPr>
            </w:pPr>
          </w:p>
        </w:tc>
        <w:tc>
          <w:tcPr>
            <w:tcW w:w="1881" w:type="dxa"/>
          </w:tcPr>
          <w:p>
            <w:pPr>
              <w:shd w:val="clear"/>
              <w:spacing w:line="480" w:lineRule="auto"/>
              <w:rPr>
                <w:rFonts w:ascii="宋体" w:hAnsi="宋体" w:cs="宋体"/>
                <w:color w:val="auto"/>
                <w:sz w:val="24"/>
                <w:highlight w:val="none"/>
              </w:rPr>
            </w:pPr>
          </w:p>
        </w:tc>
        <w:tc>
          <w:tcPr>
            <w:tcW w:w="1437" w:type="dxa"/>
          </w:tcPr>
          <w:p>
            <w:pPr>
              <w:shd w:val="clear"/>
              <w:spacing w:line="480" w:lineRule="auto"/>
              <w:rPr>
                <w:rFonts w:ascii="宋体" w:hAnsi="宋体" w:cs="宋体"/>
                <w:color w:val="auto"/>
                <w:sz w:val="24"/>
                <w:highlight w:val="none"/>
              </w:rPr>
            </w:pPr>
          </w:p>
        </w:tc>
        <w:tc>
          <w:tcPr>
            <w:tcW w:w="1030" w:type="dxa"/>
          </w:tcPr>
          <w:p>
            <w:pPr>
              <w:shd w:val="clear"/>
              <w:spacing w:line="480" w:lineRule="auto"/>
              <w:rPr>
                <w:rFonts w:ascii="宋体" w:hAnsi="宋体" w:cs="宋体"/>
                <w:color w:val="auto"/>
                <w:sz w:val="24"/>
                <w:highlight w:val="none"/>
              </w:rPr>
            </w:pPr>
          </w:p>
        </w:tc>
        <w:tc>
          <w:tcPr>
            <w:tcW w:w="987" w:type="dxa"/>
          </w:tcPr>
          <w:p>
            <w:pPr>
              <w:shd w:val="clear"/>
              <w:spacing w:line="48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48" w:type="dxa"/>
          </w:tcPr>
          <w:p>
            <w:pPr>
              <w:shd w:val="clear"/>
              <w:spacing w:line="480" w:lineRule="auto"/>
              <w:rPr>
                <w:rFonts w:ascii="宋体" w:hAnsi="宋体" w:cs="宋体"/>
                <w:color w:val="auto"/>
                <w:sz w:val="24"/>
                <w:highlight w:val="none"/>
              </w:rPr>
            </w:pPr>
          </w:p>
        </w:tc>
        <w:tc>
          <w:tcPr>
            <w:tcW w:w="2157" w:type="dxa"/>
          </w:tcPr>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w:t>
            </w:r>
          </w:p>
        </w:tc>
        <w:tc>
          <w:tcPr>
            <w:tcW w:w="1696" w:type="dxa"/>
          </w:tcPr>
          <w:p>
            <w:pPr>
              <w:shd w:val="clear"/>
              <w:spacing w:line="480" w:lineRule="auto"/>
              <w:rPr>
                <w:rFonts w:ascii="宋体" w:hAnsi="宋体" w:cs="宋体"/>
                <w:color w:val="auto"/>
                <w:sz w:val="24"/>
                <w:highlight w:val="none"/>
              </w:rPr>
            </w:pPr>
          </w:p>
        </w:tc>
        <w:tc>
          <w:tcPr>
            <w:tcW w:w="1881" w:type="dxa"/>
          </w:tcPr>
          <w:p>
            <w:pPr>
              <w:shd w:val="clear"/>
              <w:spacing w:line="480" w:lineRule="auto"/>
              <w:rPr>
                <w:rFonts w:ascii="宋体" w:hAnsi="宋体" w:cs="宋体"/>
                <w:color w:val="auto"/>
                <w:sz w:val="24"/>
                <w:highlight w:val="none"/>
              </w:rPr>
            </w:pPr>
          </w:p>
        </w:tc>
        <w:tc>
          <w:tcPr>
            <w:tcW w:w="1437" w:type="dxa"/>
          </w:tcPr>
          <w:p>
            <w:pPr>
              <w:shd w:val="clear"/>
              <w:spacing w:line="480" w:lineRule="auto"/>
              <w:rPr>
                <w:rFonts w:ascii="宋体" w:hAnsi="宋体" w:cs="宋体"/>
                <w:color w:val="auto"/>
                <w:sz w:val="24"/>
                <w:highlight w:val="none"/>
              </w:rPr>
            </w:pPr>
          </w:p>
        </w:tc>
        <w:tc>
          <w:tcPr>
            <w:tcW w:w="1030" w:type="dxa"/>
          </w:tcPr>
          <w:p>
            <w:pPr>
              <w:shd w:val="clear"/>
              <w:spacing w:line="480" w:lineRule="auto"/>
              <w:rPr>
                <w:rFonts w:ascii="宋体" w:hAnsi="宋体" w:cs="宋体"/>
                <w:color w:val="auto"/>
                <w:sz w:val="24"/>
                <w:highlight w:val="none"/>
              </w:rPr>
            </w:pPr>
          </w:p>
        </w:tc>
        <w:tc>
          <w:tcPr>
            <w:tcW w:w="987" w:type="dxa"/>
          </w:tcPr>
          <w:p>
            <w:pPr>
              <w:shd w:val="clear"/>
              <w:spacing w:line="480" w:lineRule="auto"/>
              <w:rPr>
                <w:rFonts w:ascii="宋体" w:hAnsi="宋体" w:cs="宋体"/>
                <w:color w:val="auto"/>
                <w:sz w:val="24"/>
                <w:highlight w:val="none"/>
              </w:rPr>
            </w:pPr>
          </w:p>
        </w:tc>
      </w:tr>
    </w:tbl>
    <w:p>
      <w:pPr>
        <w:shd w:val="clear"/>
        <w:spacing w:line="360" w:lineRule="auto"/>
        <w:jc w:val="left"/>
        <w:rPr>
          <w:rFonts w:ascii="宋体" w:hAnsi="宋体" w:cs="宋体"/>
          <w:color w:val="auto"/>
          <w:sz w:val="24"/>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480" w:lineRule="auto"/>
        <w:jc w:val="left"/>
        <w:rPr>
          <w:rFonts w:ascii="宋体" w:hAnsi="宋体" w:cs="宋体"/>
          <w:color w:val="auto"/>
          <w:sz w:val="24"/>
          <w:highlight w:val="none"/>
        </w:rPr>
      </w:pPr>
      <w:r>
        <w:rPr>
          <w:rFonts w:hint="eastAsia" w:ascii="宋体" w:hAnsi="宋体" w:cs="宋体"/>
          <w:color w:val="auto"/>
          <w:kern w:val="1"/>
          <w:sz w:val="24"/>
          <w:highlight w:val="none"/>
        </w:rPr>
        <w:t>日期： ____年____月_____日</w:t>
      </w:r>
    </w:p>
    <w:p>
      <w:pPr>
        <w:pStyle w:val="20"/>
        <w:shd w:val="clear"/>
        <w:spacing w:line="480" w:lineRule="auto"/>
        <w:rPr>
          <w:rFonts w:hAnsi="宋体" w:cs="宋体"/>
          <w:color w:val="auto"/>
          <w:szCs w:val="24"/>
          <w:highlight w:val="none"/>
        </w:rPr>
      </w:pPr>
    </w:p>
    <w:p>
      <w:pPr>
        <w:pStyle w:val="28"/>
        <w:shd w:val="clear"/>
        <w:spacing w:line="360" w:lineRule="auto"/>
        <w:rPr>
          <w:rFonts w:hAnsi="宋体" w:cs="宋体"/>
          <w:color w:val="auto"/>
          <w:sz w:val="24"/>
          <w:highlight w:val="none"/>
        </w:rPr>
      </w:pPr>
      <w:r>
        <w:rPr>
          <w:rFonts w:hint="eastAsia" w:hAnsi="宋体" w:cs="宋体"/>
          <w:color w:val="auto"/>
          <w:sz w:val="24"/>
          <w:szCs w:val="24"/>
          <w:highlight w:val="none"/>
        </w:rPr>
        <w:t>注明：</w:t>
      </w:r>
      <w:r>
        <w:rPr>
          <w:rFonts w:hint="eastAsia" w:hAnsi="宋体" w:cs="宋体"/>
          <w:color w:val="auto"/>
          <w:sz w:val="24"/>
          <w:highlight w:val="none"/>
        </w:rPr>
        <w:t>1、名称的排列顺序应与磋商文件中提供的货物或服务名称排列顺序一致；</w:t>
      </w:r>
    </w:p>
    <w:p>
      <w:pPr>
        <w:shd w:val="clear"/>
        <w:adjustRightInd w:val="0"/>
        <w:snapToGrid w:val="0"/>
        <w:spacing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2、</w:t>
      </w:r>
      <w:r>
        <w:rPr>
          <w:rFonts w:hint="eastAsia" w:ascii="宋体" w:hAnsi="宋体" w:cs="宋体"/>
          <w:color w:val="auto"/>
          <w:sz w:val="24"/>
          <w:szCs w:val="20"/>
          <w:highlight w:val="none"/>
        </w:rPr>
        <w:t>偏离必须用 “正偏离、负偏离或无偏离”三个名称中的一种进行标注，并在描述一栏中做出详细描述。</w:t>
      </w:r>
    </w:p>
    <w:p>
      <w:pPr>
        <w:pStyle w:val="20"/>
        <w:shd w:val="clear"/>
        <w:spacing w:line="480" w:lineRule="auto"/>
        <w:rPr>
          <w:rFonts w:hAnsi="宋体" w:cs="宋体"/>
          <w:color w:val="auto"/>
          <w:szCs w:val="24"/>
          <w:highlight w:val="none"/>
        </w:rPr>
      </w:pPr>
    </w:p>
    <w:p>
      <w:pPr>
        <w:shd w:val="clear"/>
        <w:tabs>
          <w:tab w:val="left" w:pos="877"/>
        </w:tabs>
        <w:rPr>
          <w:rFonts w:ascii="宋体" w:hAnsi="宋体" w:cs="宋体"/>
          <w:color w:val="auto"/>
          <w:highlight w:val="none"/>
        </w:rPr>
      </w:pPr>
      <w:bookmarkStart w:id="833" w:name="_Toc451931391"/>
      <w:bookmarkStart w:id="834" w:name="_Toc395181599"/>
      <w:bookmarkStart w:id="835" w:name="_Toc99423354"/>
      <w:r>
        <w:rPr>
          <w:rFonts w:hint="eastAsia" w:ascii="宋体" w:hAnsi="宋体" w:cs="宋体"/>
          <w:color w:val="auto"/>
          <w:highlight w:val="none"/>
        </w:rPr>
        <w:tab/>
      </w: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spacing w:line="480" w:lineRule="auto"/>
        <w:jc w:val="center"/>
        <w:outlineLvl w:val="3"/>
        <w:rPr>
          <w:rFonts w:ascii="宋体" w:hAnsi="宋体" w:cs="宋体"/>
          <w:b/>
          <w:color w:val="auto"/>
          <w:sz w:val="24"/>
          <w:highlight w:val="none"/>
        </w:rPr>
      </w:pPr>
      <w:bookmarkStart w:id="836" w:name="_Toc10903"/>
      <w:bookmarkStart w:id="837" w:name="_Toc17024"/>
      <w:bookmarkStart w:id="838" w:name="_Toc7088"/>
      <w:bookmarkStart w:id="839" w:name="_Toc24948"/>
      <w:r>
        <w:rPr>
          <w:rFonts w:hint="eastAsia" w:ascii="宋体" w:hAnsi="宋体" w:cs="宋体"/>
          <w:b/>
          <w:color w:val="auto"/>
          <w:sz w:val="24"/>
          <w:highlight w:val="none"/>
        </w:rPr>
        <w:t>6.2  商务条款响应表</w:t>
      </w:r>
      <w:bookmarkEnd w:id="833"/>
      <w:bookmarkEnd w:id="834"/>
      <w:bookmarkEnd w:id="835"/>
      <w:bookmarkEnd w:id="836"/>
      <w:bookmarkEnd w:id="837"/>
      <w:bookmarkEnd w:id="838"/>
      <w:bookmarkEnd w:id="839"/>
    </w:p>
    <w:p>
      <w:pPr>
        <w:shd w:val="clear"/>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112"/>
        <w:gridCol w:w="1791"/>
        <w:gridCol w:w="903"/>
        <w:gridCol w:w="133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4" w:type="dxa"/>
            <w:vAlign w:val="center"/>
          </w:tcPr>
          <w:p>
            <w:pPr>
              <w:shd w:val="clear"/>
              <w:jc w:val="center"/>
              <w:rPr>
                <w:rFonts w:ascii="宋体" w:hAnsi="宋体" w:cs="宋体"/>
                <w:color w:val="auto"/>
                <w:sz w:val="24"/>
                <w:highlight w:val="none"/>
              </w:rPr>
            </w:pPr>
            <w:bookmarkStart w:id="840" w:name="_Toc32238"/>
            <w:bookmarkStart w:id="841" w:name="_Toc1931"/>
            <w:r>
              <w:rPr>
                <w:rFonts w:hint="eastAsia" w:ascii="宋体" w:hAnsi="宋体" w:cs="宋体"/>
                <w:color w:val="auto"/>
                <w:sz w:val="24"/>
                <w:highlight w:val="none"/>
              </w:rPr>
              <w:t>序号</w:t>
            </w:r>
            <w:bookmarkEnd w:id="840"/>
            <w:bookmarkEnd w:id="841"/>
          </w:p>
        </w:tc>
        <w:tc>
          <w:tcPr>
            <w:tcW w:w="3112" w:type="dxa"/>
            <w:vAlign w:val="center"/>
          </w:tcPr>
          <w:p>
            <w:pPr>
              <w:shd w:val="clear"/>
              <w:jc w:val="center"/>
              <w:rPr>
                <w:rFonts w:ascii="宋体" w:hAnsi="宋体" w:cs="宋体"/>
                <w:color w:val="auto"/>
                <w:sz w:val="24"/>
                <w:highlight w:val="none"/>
              </w:rPr>
            </w:pPr>
            <w:bookmarkStart w:id="842" w:name="_Toc5174"/>
            <w:bookmarkStart w:id="843" w:name="_Toc15930"/>
            <w:r>
              <w:rPr>
                <w:rFonts w:hint="eastAsia" w:ascii="宋体" w:hAnsi="宋体" w:cs="宋体"/>
                <w:color w:val="auto"/>
                <w:sz w:val="24"/>
                <w:highlight w:val="none"/>
              </w:rPr>
              <w:t>内容</w:t>
            </w:r>
            <w:bookmarkEnd w:id="842"/>
            <w:bookmarkEnd w:id="843"/>
          </w:p>
        </w:tc>
        <w:tc>
          <w:tcPr>
            <w:tcW w:w="1791" w:type="dxa"/>
            <w:vAlign w:val="center"/>
          </w:tcPr>
          <w:p>
            <w:pPr>
              <w:shd w:val="clear"/>
              <w:jc w:val="center"/>
              <w:rPr>
                <w:rFonts w:ascii="宋体" w:hAnsi="宋体" w:cs="宋体"/>
                <w:color w:val="auto"/>
                <w:sz w:val="24"/>
                <w:highlight w:val="none"/>
              </w:rPr>
            </w:pPr>
            <w:bookmarkStart w:id="844" w:name="_Toc32537"/>
            <w:bookmarkStart w:id="845" w:name="_Toc31060"/>
            <w:r>
              <w:rPr>
                <w:rFonts w:hint="eastAsia" w:ascii="宋体" w:hAnsi="宋体" w:cs="宋体"/>
                <w:color w:val="auto"/>
                <w:sz w:val="24"/>
                <w:highlight w:val="none"/>
              </w:rPr>
              <w:t>磋商文件要求</w:t>
            </w:r>
            <w:bookmarkEnd w:id="844"/>
            <w:bookmarkEnd w:id="845"/>
          </w:p>
        </w:tc>
        <w:tc>
          <w:tcPr>
            <w:tcW w:w="903" w:type="dxa"/>
            <w:vAlign w:val="center"/>
          </w:tcPr>
          <w:p>
            <w:pPr>
              <w:shd w:val="clear"/>
              <w:jc w:val="center"/>
              <w:rPr>
                <w:rFonts w:ascii="宋体" w:hAnsi="宋体" w:cs="宋体"/>
                <w:color w:val="auto"/>
                <w:sz w:val="24"/>
                <w:highlight w:val="none"/>
              </w:rPr>
            </w:pPr>
            <w:bookmarkStart w:id="846" w:name="_Toc30855"/>
            <w:bookmarkStart w:id="847" w:name="_Toc21157"/>
            <w:r>
              <w:rPr>
                <w:rFonts w:hint="eastAsia" w:ascii="宋体" w:hAnsi="宋体" w:cs="宋体"/>
                <w:color w:val="auto"/>
                <w:sz w:val="24"/>
                <w:highlight w:val="none"/>
              </w:rPr>
              <w:t>响应</w:t>
            </w:r>
            <w:bookmarkEnd w:id="846"/>
            <w:bookmarkEnd w:id="847"/>
          </w:p>
        </w:tc>
        <w:tc>
          <w:tcPr>
            <w:tcW w:w="1333"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偏离情况</w:t>
            </w:r>
          </w:p>
        </w:tc>
        <w:tc>
          <w:tcPr>
            <w:tcW w:w="993"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4" w:type="dxa"/>
            <w:vAlign w:val="center"/>
          </w:tcPr>
          <w:p>
            <w:pPr>
              <w:shd w:val="clear"/>
              <w:jc w:val="center"/>
              <w:rPr>
                <w:rFonts w:ascii="宋体" w:hAnsi="宋体" w:cs="宋体"/>
                <w:color w:val="auto"/>
                <w:sz w:val="24"/>
                <w:highlight w:val="none"/>
              </w:rPr>
            </w:pPr>
            <w:bookmarkStart w:id="848" w:name="_Toc4357"/>
            <w:bookmarkStart w:id="849" w:name="_Toc22484"/>
            <w:r>
              <w:rPr>
                <w:rFonts w:hint="eastAsia" w:ascii="宋体" w:hAnsi="宋体" w:cs="宋体"/>
                <w:color w:val="auto"/>
                <w:sz w:val="24"/>
                <w:highlight w:val="none"/>
              </w:rPr>
              <w:t>1</w:t>
            </w:r>
            <w:bookmarkEnd w:id="848"/>
            <w:bookmarkEnd w:id="849"/>
          </w:p>
        </w:tc>
        <w:tc>
          <w:tcPr>
            <w:tcW w:w="3112"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交货期</w:t>
            </w:r>
          </w:p>
        </w:tc>
        <w:tc>
          <w:tcPr>
            <w:tcW w:w="1791" w:type="dxa"/>
            <w:vAlign w:val="center"/>
          </w:tcPr>
          <w:p>
            <w:pPr>
              <w:shd w:val="clear"/>
              <w:jc w:val="center"/>
              <w:rPr>
                <w:rFonts w:ascii="宋体" w:hAnsi="宋体" w:cs="宋体"/>
                <w:color w:val="auto"/>
                <w:sz w:val="24"/>
                <w:highlight w:val="none"/>
              </w:rPr>
            </w:pPr>
          </w:p>
        </w:tc>
        <w:tc>
          <w:tcPr>
            <w:tcW w:w="903" w:type="dxa"/>
            <w:vAlign w:val="center"/>
          </w:tcPr>
          <w:p>
            <w:pPr>
              <w:shd w:val="clear"/>
              <w:jc w:val="center"/>
              <w:rPr>
                <w:rFonts w:ascii="宋体" w:hAnsi="宋体" w:cs="宋体"/>
                <w:color w:val="auto"/>
                <w:sz w:val="24"/>
                <w:highlight w:val="none"/>
              </w:rPr>
            </w:pPr>
          </w:p>
        </w:tc>
        <w:tc>
          <w:tcPr>
            <w:tcW w:w="1333"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vAlign w:val="center"/>
          </w:tcPr>
          <w:p>
            <w:pPr>
              <w:shd w:val="clear"/>
              <w:jc w:val="center"/>
              <w:rPr>
                <w:rFonts w:ascii="宋体" w:hAnsi="宋体" w:cs="宋体"/>
                <w:color w:val="auto"/>
                <w:sz w:val="24"/>
                <w:highlight w:val="none"/>
              </w:rPr>
            </w:pPr>
            <w:bookmarkStart w:id="850" w:name="_Toc10532"/>
            <w:bookmarkStart w:id="851" w:name="_Toc9584"/>
            <w:r>
              <w:rPr>
                <w:rFonts w:hint="eastAsia" w:ascii="宋体" w:hAnsi="宋体" w:cs="宋体"/>
                <w:color w:val="auto"/>
                <w:sz w:val="24"/>
                <w:highlight w:val="none"/>
              </w:rPr>
              <w:t>2</w:t>
            </w:r>
          </w:p>
        </w:tc>
        <w:tc>
          <w:tcPr>
            <w:tcW w:w="3112"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质量保证期</w:t>
            </w:r>
          </w:p>
        </w:tc>
        <w:tc>
          <w:tcPr>
            <w:tcW w:w="1791" w:type="dxa"/>
            <w:vAlign w:val="center"/>
          </w:tcPr>
          <w:p>
            <w:pPr>
              <w:shd w:val="clear"/>
              <w:jc w:val="center"/>
              <w:rPr>
                <w:rFonts w:ascii="宋体" w:hAnsi="宋体" w:cs="宋体"/>
                <w:color w:val="auto"/>
                <w:sz w:val="24"/>
                <w:highlight w:val="none"/>
              </w:rPr>
            </w:pPr>
          </w:p>
        </w:tc>
        <w:tc>
          <w:tcPr>
            <w:tcW w:w="903" w:type="dxa"/>
            <w:vAlign w:val="center"/>
          </w:tcPr>
          <w:p>
            <w:pPr>
              <w:shd w:val="clear"/>
              <w:jc w:val="center"/>
              <w:rPr>
                <w:rFonts w:ascii="宋体" w:hAnsi="宋体" w:cs="宋体"/>
                <w:color w:val="auto"/>
                <w:sz w:val="24"/>
                <w:highlight w:val="none"/>
              </w:rPr>
            </w:pPr>
          </w:p>
        </w:tc>
        <w:tc>
          <w:tcPr>
            <w:tcW w:w="1333"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r>
      <w:bookmarkEnd w:id="850"/>
      <w:bookmarkEnd w:id="8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3112"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1791" w:type="dxa"/>
            <w:vAlign w:val="center"/>
          </w:tcPr>
          <w:p>
            <w:pPr>
              <w:shd w:val="clear"/>
              <w:jc w:val="center"/>
              <w:rPr>
                <w:rFonts w:ascii="宋体" w:hAnsi="宋体" w:cs="宋体"/>
                <w:color w:val="auto"/>
                <w:sz w:val="24"/>
                <w:highlight w:val="none"/>
              </w:rPr>
            </w:pPr>
          </w:p>
        </w:tc>
        <w:tc>
          <w:tcPr>
            <w:tcW w:w="903" w:type="dxa"/>
            <w:vAlign w:val="center"/>
          </w:tcPr>
          <w:p>
            <w:pPr>
              <w:shd w:val="clear"/>
              <w:jc w:val="center"/>
              <w:rPr>
                <w:rFonts w:ascii="宋体" w:hAnsi="宋体" w:cs="宋体"/>
                <w:color w:val="auto"/>
                <w:sz w:val="24"/>
                <w:highlight w:val="none"/>
              </w:rPr>
            </w:pPr>
          </w:p>
        </w:tc>
        <w:tc>
          <w:tcPr>
            <w:tcW w:w="1333"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w:t>
            </w:r>
          </w:p>
        </w:tc>
        <w:tc>
          <w:tcPr>
            <w:tcW w:w="3112"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1791" w:type="dxa"/>
            <w:vAlign w:val="center"/>
          </w:tcPr>
          <w:p>
            <w:pPr>
              <w:shd w:val="clear"/>
              <w:jc w:val="center"/>
              <w:rPr>
                <w:rFonts w:ascii="宋体" w:hAnsi="宋体" w:cs="宋体"/>
                <w:color w:val="auto"/>
                <w:sz w:val="24"/>
                <w:highlight w:val="none"/>
              </w:rPr>
            </w:pPr>
          </w:p>
        </w:tc>
        <w:tc>
          <w:tcPr>
            <w:tcW w:w="903" w:type="dxa"/>
            <w:vAlign w:val="center"/>
          </w:tcPr>
          <w:p>
            <w:pPr>
              <w:shd w:val="clear"/>
              <w:jc w:val="center"/>
              <w:rPr>
                <w:rFonts w:ascii="宋体" w:hAnsi="宋体" w:cs="宋体"/>
                <w:color w:val="auto"/>
                <w:sz w:val="24"/>
                <w:highlight w:val="none"/>
              </w:rPr>
            </w:pPr>
          </w:p>
        </w:tc>
        <w:tc>
          <w:tcPr>
            <w:tcW w:w="1333"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w:t>
            </w:r>
          </w:p>
        </w:tc>
        <w:tc>
          <w:tcPr>
            <w:tcW w:w="3112"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响应文件有效期</w:t>
            </w:r>
          </w:p>
        </w:tc>
        <w:tc>
          <w:tcPr>
            <w:tcW w:w="1791" w:type="dxa"/>
            <w:vAlign w:val="center"/>
          </w:tcPr>
          <w:p>
            <w:pPr>
              <w:shd w:val="clear"/>
              <w:jc w:val="center"/>
              <w:rPr>
                <w:rFonts w:ascii="宋体" w:hAnsi="宋体" w:cs="宋体"/>
                <w:color w:val="auto"/>
                <w:sz w:val="24"/>
                <w:highlight w:val="none"/>
              </w:rPr>
            </w:pPr>
          </w:p>
        </w:tc>
        <w:tc>
          <w:tcPr>
            <w:tcW w:w="903" w:type="dxa"/>
            <w:vAlign w:val="center"/>
          </w:tcPr>
          <w:p>
            <w:pPr>
              <w:shd w:val="clear"/>
              <w:jc w:val="center"/>
              <w:rPr>
                <w:rFonts w:ascii="宋体" w:hAnsi="宋体" w:cs="宋体"/>
                <w:color w:val="auto"/>
                <w:sz w:val="24"/>
                <w:highlight w:val="none"/>
              </w:rPr>
            </w:pPr>
          </w:p>
        </w:tc>
        <w:tc>
          <w:tcPr>
            <w:tcW w:w="1333"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2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6</w:t>
            </w:r>
          </w:p>
        </w:tc>
        <w:tc>
          <w:tcPr>
            <w:tcW w:w="3112" w:type="dxa"/>
            <w:vAlign w:val="center"/>
          </w:tcPr>
          <w:p>
            <w:pPr>
              <w:shd w:val="clear"/>
              <w:jc w:val="center"/>
              <w:rPr>
                <w:rFonts w:ascii="宋体" w:hAnsi="宋体" w:cs="宋体"/>
                <w:color w:val="auto"/>
                <w:sz w:val="24"/>
                <w:highlight w:val="none"/>
              </w:rPr>
            </w:pPr>
            <w:bookmarkStart w:id="852" w:name="_Toc29342"/>
            <w:bookmarkStart w:id="853" w:name="_Toc28001"/>
            <w:r>
              <w:rPr>
                <w:rFonts w:hint="eastAsia" w:ascii="宋体" w:hAnsi="宋体" w:cs="宋体"/>
                <w:color w:val="auto"/>
                <w:sz w:val="24"/>
                <w:highlight w:val="none"/>
              </w:rPr>
              <w:t>…</w:t>
            </w:r>
            <w:bookmarkEnd w:id="852"/>
            <w:bookmarkEnd w:id="853"/>
          </w:p>
        </w:tc>
        <w:tc>
          <w:tcPr>
            <w:tcW w:w="1791" w:type="dxa"/>
            <w:vAlign w:val="center"/>
          </w:tcPr>
          <w:p>
            <w:pPr>
              <w:shd w:val="clear"/>
              <w:jc w:val="center"/>
              <w:rPr>
                <w:rFonts w:ascii="宋体" w:hAnsi="宋体" w:cs="宋体"/>
                <w:color w:val="auto"/>
                <w:sz w:val="24"/>
                <w:highlight w:val="none"/>
              </w:rPr>
            </w:pPr>
          </w:p>
        </w:tc>
        <w:tc>
          <w:tcPr>
            <w:tcW w:w="903" w:type="dxa"/>
            <w:vAlign w:val="center"/>
          </w:tcPr>
          <w:p>
            <w:pPr>
              <w:shd w:val="clear"/>
              <w:jc w:val="center"/>
              <w:rPr>
                <w:rFonts w:ascii="宋体" w:hAnsi="宋体" w:cs="宋体"/>
                <w:color w:val="auto"/>
                <w:sz w:val="24"/>
                <w:highlight w:val="none"/>
              </w:rPr>
            </w:pPr>
          </w:p>
        </w:tc>
        <w:tc>
          <w:tcPr>
            <w:tcW w:w="1333"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4" w:type="dxa"/>
            <w:vAlign w:val="center"/>
          </w:tcPr>
          <w:p>
            <w:pPr>
              <w:shd w:val="clear"/>
              <w:jc w:val="center"/>
              <w:rPr>
                <w:rFonts w:ascii="宋体" w:hAnsi="宋体" w:cs="宋体"/>
                <w:color w:val="auto"/>
                <w:sz w:val="24"/>
                <w:highlight w:val="none"/>
              </w:rPr>
            </w:pPr>
            <w:bookmarkStart w:id="854" w:name="_Toc6477"/>
            <w:bookmarkStart w:id="855" w:name="_Toc15914"/>
            <w:r>
              <w:rPr>
                <w:rFonts w:hint="eastAsia" w:ascii="宋体" w:hAnsi="宋体" w:cs="宋体"/>
                <w:color w:val="auto"/>
                <w:sz w:val="24"/>
                <w:highlight w:val="none"/>
              </w:rPr>
              <w:t>…</w:t>
            </w:r>
            <w:bookmarkEnd w:id="854"/>
            <w:bookmarkEnd w:id="855"/>
          </w:p>
        </w:tc>
        <w:tc>
          <w:tcPr>
            <w:tcW w:w="3112" w:type="dxa"/>
            <w:vAlign w:val="center"/>
          </w:tcPr>
          <w:p>
            <w:pPr>
              <w:shd w:val="clear"/>
              <w:jc w:val="center"/>
              <w:rPr>
                <w:rFonts w:ascii="宋体" w:hAnsi="宋体" w:cs="宋体"/>
                <w:color w:val="auto"/>
                <w:sz w:val="24"/>
                <w:highlight w:val="none"/>
              </w:rPr>
            </w:pPr>
            <w:bookmarkStart w:id="856" w:name="_Toc10399"/>
            <w:bookmarkStart w:id="857" w:name="_Toc7308"/>
            <w:r>
              <w:rPr>
                <w:rFonts w:hint="eastAsia" w:ascii="宋体" w:hAnsi="宋体" w:cs="宋体"/>
                <w:color w:val="auto"/>
                <w:sz w:val="24"/>
                <w:highlight w:val="none"/>
              </w:rPr>
              <w:t>其他</w:t>
            </w:r>
            <w:bookmarkEnd w:id="856"/>
            <w:bookmarkEnd w:id="857"/>
          </w:p>
        </w:tc>
        <w:tc>
          <w:tcPr>
            <w:tcW w:w="1791" w:type="dxa"/>
            <w:vAlign w:val="center"/>
          </w:tcPr>
          <w:p>
            <w:pPr>
              <w:shd w:val="clear"/>
              <w:jc w:val="center"/>
              <w:rPr>
                <w:rFonts w:ascii="宋体" w:hAnsi="宋体" w:cs="宋体"/>
                <w:color w:val="auto"/>
                <w:sz w:val="24"/>
                <w:highlight w:val="none"/>
              </w:rPr>
            </w:pPr>
            <w:bookmarkStart w:id="858" w:name="_Toc9110"/>
            <w:bookmarkStart w:id="859" w:name="_Toc24839"/>
            <w:r>
              <w:rPr>
                <w:rFonts w:hint="eastAsia" w:ascii="宋体" w:hAnsi="宋体" w:cs="宋体"/>
                <w:color w:val="auto"/>
                <w:sz w:val="24"/>
                <w:highlight w:val="none"/>
              </w:rPr>
              <w:t>…</w:t>
            </w:r>
            <w:bookmarkEnd w:id="858"/>
            <w:bookmarkEnd w:id="859"/>
          </w:p>
        </w:tc>
        <w:tc>
          <w:tcPr>
            <w:tcW w:w="903" w:type="dxa"/>
            <w:vAlign w:val="center"/>
          </w:tcPr>
          <w:p>
            <w:pPr>
              <w:shd w:val="clear"/>
              <w:jc w:val="center"/>
              <w:rPr>
                <w:rFonts w:ascii="宋体" w:hAnsi="宋体" w:cs="宋体"/>
                <w:color w:val="auto"/>
                <w:sz w:val="24"/>
                <w:highlight w:val="none"/>
              </w:rPr>
            </w:pPr>
            <w:bookmarkStart w:id="860" w:name="_Toc26089"/>
            <w:bookmarkStart w:id="861" w:name="_Toc14357"/>
            <w:r>
              <w:rPr>
                <w:rFonts w:hint="eastAsia" w:ascii="宋体" w:hAnsi="宋体" w:cs="宋体"/>
                <w:color w:val="auto"/>
                <w:sz w:val="24"/>
                <w:highlight w:val="none"/>
              </w:rPr>
              <w:t>…</w:t>
            </w:r>
            <w:bookmarkEnd w:id="860"/>
            <w:bookmarkEnd w:id="861"/>
          </w:p>
        </w:tc>
        <w:tc>
          <w:tcPr>
            <w:tcW w:w="1333" w:type="dxa"/>
            <w:vAlign w:val="center"/>
          </w:tcPr>
          <w:p>
            <w:pPr>
              <w:shd w:val="clear"/>
              <w:jc w:val="center"/>
              <w:rPr>
                <w:rFonts w:ascii="宋体" w:hAnsi="宋体" w:cs="宋体"/>
                <w:color w:val="auto"/>
                <w:sz w:val="24"/>
                <w:highlight w:val="none"/>
              </w:rPr>
            </w:pPr>
            <w:bookmarkStart w:id="862" w:name="_Toc19614"/>
            <w:bookmarkStart w:id="863" w:name="_Toc10738"/>
            <w:r>
              <w:rPr>
                <w:rFonts w:hint="eastAsia" w:ascii="宋体" w:hAnsi="宋体" w:cs="宋体"/>
                <w:color w:val="auto"/>
                <w:sz w:val="24"/>
                <w:highlight w:val="none"/>
              </w:rPr>
              <w:t>…</w:t>
            </w:r>
            <w:bookmarkEnd w:id="862"/>
            <w:bookmarkEnd w:id="863"/>
          </w:p>
        </w:tc>
        <w:tc>
          <w:tcPr>
            <w:tcW w:w="993" w:type="dxa"/>
            <w:vAlign w:val="center"/>
          </w:tcPr>
          <w:p>
            <w:pPr>
              <w:shd w:val="clear"/>
              <w:jc w:val="center"/>
              <w:rPr>
                <w:rFonts w:ascii="宋体" w:hAnsi="宋体" w:cs="宋体"/>
                <w:color w:val="auto"/>
                <w:sz w:val="24"/>
                <w:highlight w:val="none"/>
              </w:rPr>
            </w:pPr>
            <w:bookmarkStart w:id="864" w:name="_Toc31070"/>
            <w:bookmarkStart w:id="865" w:name="_Toc450"/>
            <w:r>
              <w:rPr>
                <w:rFonts w:hint="eastAsia" w:ascii="宋体" w:hAnsi="宋体" w:cs="宋体"/>
                <w:color w:val="auto"/>
                <w:sz w:val="24"/>
                <w:highlight w:val="none"/>
              </w:rPr>
              <w:t>…</w:t>
            </w:r>
            <w:bookmarkEnd w:id="864"/>
            <w:bookmarkEnd w:id="865"/>
          </w:p>
        </w:tc>
      </w:tr>
    </w:tbl>
    <w:p>
      <w:pPr>
        <w:shd w:val="clear"/>
        <w:rPr>
          <w:rFonts w:ascii="宋体" w:hAnsi="宋体" w:cs="宋体"/>
          <w:color w:val="auto"/>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480" w:lineRule="auto"/>
        <w:jc w:val="left"/>
        <w:rPr>
          <w:rFonts w:ascii="宋体" w:hAnsi="宋体" w:cs="宋体"/>
          <w:color w:val="auto"/>
          <w:sz w:val="24"/>
          <w:highlight w:val="none"/>
        </w:rPr>
      </w:pPr>
      <w:r>
        <w:rPr>
          <w:rFonts w:hint="eastAsia" w:ascii="宋体" w:hAnsi="宋体" w:cs="宋体"/>
          <w:color w:val="auto"/>
          <w:kern w:val="1"/>
          <w:sz w:val="24"/>
          <w:highlight w:val="none"/>
        </w:rPr>
        <w:t>日期： ____年____月_____日</w:t>
      </w:r>
    </w:p>
    <w:p>
      <w:pPr>
        <w:shd w:val="clear"/>
        <w:rPr>
          <w:rFonts w:ascii="宋体" w:hAnsi="宋体" w:cs="宋体"/>
          <w:color w:val="auto"/>
          <w:highlight w:val="none"/>
        </w:rPr>
      </w:pPr>
    </w:p>
    <w:p>
      <w:pPr>
        <w:pStyle w:val="28"/>
        <w:shd w:val="clear"/>
        <w:spacing w:line="360" w:lineRule="auto"/>
        <w:rPr>
          <w:rFonts w:hAnsi="宋体" w:cs="宋体"/>
          <w:color w:val="auto"/>
          <w:sz w:val="24"/>
          <w:highlight w:val="none"/>
        </w:rPr>
      </w:pPr>
      <w:r>
        <w:rPr>
          <w:rFonts w:hint="eastAsia" w:hAnsi="宋体" w:cs="宋体"/>
          <w:color w:val="auto"/>
          <w:sz w:val="24"/>
          <w:highlight w:val="none"/>
        </w:rPr>
        <w:t>注;偏离情况必须用 “正偏离、负偏离或无偏离”三个名称中的一种进行标注，并在说明一栏中做出详细描述。</w:t>
      </w:r>
    </w:p>
    <w:p>
      <w:pPr>
        <w:shd w:val="clear"/>
        <w:rPr>
          <w:rFonts w:ascii="宋体" w:hAnsi="宋体" w:cs="宋体"/>
          <w:color w:val="auto"/>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highlight w:val="none"/>
        </w:rPr>
      </w:pPr>
      <w:r>
        <w:rPr>
          <w:rFonts w:hint="eastAsia" w:ascii="宋体" w:hAnsi="宋体" w:cs="宋体"/>
          <w:color w:val="auto"/>
          <w:highlight w:val="none"/>
        </w:rPr>
        <w:t>说明：</w:t>
      </w:r>
    </w:p>
    <w:p>
      <w:pPr>
        <w:pStyle w:val="28"/>
        <w:shd w:val="clear"/>
        <w:spacing w:line="360" w:lineRule="auto"/>
        <w:ind w:firstLine="638" w:firstLineChars="266"/>
        <w:rPr>
          <w:rFonts w:hAnsi="宋体" w:cs="宋体"/>
          <w:color w:val="auto"/>
          <w:sz w:val="24"/>
          <w:highlight w:val="none"/>
        </w:rPr>
      </w:pPr>
      <w:r>
        <w:rPr>
          <w:rFonts w:hint="eastAsia" w:hAnsi="宋体" w:cs="宋体"/>
          <w:color w:val="auto"/>
          <w:sz w:val="24"/>
          <w:highlight w:val="none"/>
        </w:rPr>
        <w:t>1.供应商要如实填写技术及商务偏离表。</w:t>
      </w:r>
    </w:p>
    <w:p>
      <w:pPr>
        <w:pStyle w:val="28"/>
        <w:shd w:val="clear"/>
        <w:spacing w:line="360" w:lineRule="auto"/>
        <w:ind w:firstLine="638" w:firstLineChars="266"/>
        <w:rPr>
          <w:rFonts w:hAnsi="宋体" w:cs="宋体"/>
          <w:color w:val="auto"/>
          <w:sz w:val="24"/>
          <w:highlight w:val="none"/>
        </w:rPr>
      </w:pPr>
      <w:r>
        <w:rPr>
          <w:rFonts w:hint="eastAsia" w:hAnsi="宋体" w:cs="宋体"/>
          <w:color w:val="auto"/>
          <w:sz w:val="24"/>
          <w:highlight w:val="none"/>
        </w:rPr>
        <w:t>2.响应文件中的技术、商务要求偏离表应当按照磋商文件中的要求、商务要求条款逐条对照，逐条描述是否响应磋商文件中的货物或服务指标要求、商务要求。</w:t>
      </w: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pStyle w:val="5"/>
        <w:shd w:val="clear"/>
        <w:jc w:val="center"/>
        <w:rPr>
          <w:rFonts w:ascii="宋体" w:hAnsi="宋体" w:eastAsia="宋体" w:cs="宋体"/>
          <w:color w:val="auto"/>
          <w:highlight w:val="none"/>
        </w:rPr>
      </w:pPr>
      <w:bookmarkStart w:id="866" w:name="_Toc11305"/>
      <w:bookmarkStart w:id="867" w:name="_Toc26667"/>
      <w:r>
        <w:rPr>
          <w:rFonts w:hint="eastAsia" w:ascii="宋体" w:hAnsi="宋体" w:eastAsia="宋体" w:cs="宋体"/>
          <w:color w:val="auto"/>
          <w:highlight w:val="none"/>
        </w:rPr>
        <w:t>七</w:t>
      </w:r>
      <w:bookmarkEnd w:id="822"/>
      <w:bookmarkEnd w:id="866"/>
      <w:bookmarkEnd w:id="867"/>
      <w:bookmarkStart w:id="868" w:name="_Toc13994"/>
      <w:bookmarkStart w:id="869" w:name="_Toc1173"/>
      <w:r>
        <w:rPr>
          <w:rFonts w:hint="eastAsia" w:ascii="宋体" w:hAnsi="宋体" w:eastAsia="宋体" w:cs="宋体"/>
          <w:color w:val="auto"/>
          <w:highlight w:val="none"/>
        </w:rPr>
        <w:t>、技术部分（格式自拟）</w:t>
      </w:r>
      <w:bookmarkEnd w:id="868"/>
      <w:bookmarkEnd w:id="869"/>
    </w:p>
    <w:p>
      <w:pPr>
        <w:shd w:val="clear"/>
        <w:autoSpaceDE w:val="0"/>
        <w:autoSpaceDN w:val="0"/>
        <w:adjustRightInd w:val="0"/>
        <w:spacing w:line="360" w:lineRule="auto"/>
        <w:jc w:val="center"/>
        <w:rPr>
          <w:rFonts w:ascii="宋体" w:hAnsi="宋体" w:cs="宋体"/>
          <w:b/>
          <w:color w:val="auto"/>
          <w:spacing w:val="10"/>
          <w:kern w:val="0"/>
          <w:sz w:val="24"/>
          <w:highlight w:val="none"/>
        </w:rPr>
      </w:pPr>
    </w:p>
    <w:p>
      <w:pPr>
        <w:shd w:val="clear"/>
        <w:spacing w:line="600" w:lineRule="auto"/>
        <w:rPr>
          <w:rFonts w:ascii="宋体" w:hAnsi="宋体" w:cs="宋体"/>
          <w:color w:val="auto"/>
          <w:sz w:val="24"/>
          <w:highlight w:val="none"/>
        </w:rPr>
      </w:pPr>
    </w:p>
    <w:p>
      <w:pPr>
        <w:shd w:val="clear"/>
        <w:spacing w:line="600" w:lineRule="auto"/>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highlight w:val="none"/>
        </w:rPr>
      </w:pPr>
      <w:r>
        <w:rPr>
          <w:rFonts w:hint="eastAsia" w:ascii="宋体" w:hAnsi="宋体" w:cs="宋体"/>
          <w:color w:val="auto"/>
          <w:highlight w:val="none"/>
        </w:rPr>
        <w:br w:type="page"/>
      </w:r>
    </w:p>
    <w:p>
      <w:pPr>
        <w:pStyle w:val="5"/>
        <w:shd w:val="clear"/>
        <w:jc w:val="center"/>
        <w:rPr>
          <w:rFonts w:ascii="宋体" w:hAnsi="宋体" w:eastAsia="宋体" w:cs="宋体"/>
          <w:color w:val="auto"/>
          <w:highlight w:val="none"/>
        </w:rPr>
      </w:pPr>
      <w:bookmarkStart w:id="870" w:name="_Toc2975"/>
      <w:bookmarkStart w:id="871" w:name="_Toc18621"/>
      <w:r>
        <w:rPr>
          <w:rFonts w:hint="eastAsia" w:ascii="宋体" w:hAnsi="宋体" w:eastAsia="宋体" w:cs="宋体"/>
          <w:color w:val="auto"/>
          <w:highlight w:val="none"/>
        </w:rPr>
        <w:t>八、商务部分（格式自拟）</w:t>
      </w:r>
      <w:bookmarkEnd w:id="870"/>
      <w:bookmarkEnd w:id="871"/>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highlight w:val="none"/>
        </w:rPr>
      </w:pPr>
    </w:p>
    <w:p>
      <w:pPr>
        <w:shd w:val="clear"/>
        <w:rPr>
          <w:rFonts w:ascii="宋体" w:hAnsi="宋体" w:cs="宋体"/>
          <w:color w:val="auto"/>
          <w:highlight w:val="none"/>
        </w:rPr>
      </w:pPr>
      <w:r>
        <w:rPr>
          <w:rFonts w:hint="eastAsia" w:ascii="宋体" w:hAnsi="宋体" w:cs="宋体"/>
          <w:color w:val="auto"/>
          <w:highlight w:val="none"/>
        </w:rPr>
        <w:br w:type="page"/>
      </w:r>
    </w:p>
    <w:p>
      <w:pPr>
        <w:pStyle w:val="5"/>
        <w:shd w:val="clear"/>
        <w:spacing w:before="0" w:line="360" w:lineRule="auto"/>
        <w:jc w:val="center"/>
        <w:rPr>
          <w:rFonts w:ascii="宋体" w:hAnsi="宋体" w:eastAsia="宋体" w:cs="宋体"/>
          <w:color w:val="auto"/>
          <w:highlight w:val="none"/>
        </w:rPr>
      </w:pPr>
      <w:bookmarkStart w:id="872" w:name="_Toc26207"/>
      <w:bookmarkStart w:id="873" w:name="_Toc25510"/>
      <w:r>
        <w:rPr>
          <w:rFonts w:hint="eastAsia" w:ascii="宋体" w:hAnsi="宋体" w:eastAsia="宋体" w:cs="宋体"/>
          <w:color w:val="auto"/>
          <w:highlight w:val="none"/>
        </w:rPr>
        <w:t>九、供应商参加磋商采购活动的承诺书</w:t>
      </w:r>
      <w:bookmarkEnd w:id="872"/>
      <w:bookmarkEnd w:id="873"/>
    </w:p>
    <w:p>
      <w:pPr>
        <w:shd w:val="clear"/>
        <w:spacing w:line="360" w:lineRule="auto"/>
        <w:jc w:val="center"/>
        <w:rPr>
          <w:rFonts w:ascii="宋体" w:hAnsi="宋体"/>
          <w:color w:val="auto"/>
          <w:sz w:val="24"/>
          <w:highlight w:val="none"/>
        </w:rPr>
      </w:pPr>
      <w:r>
        <w:rPr>
          <w:rFonts w:hint="eastAsia" w:ascii="宋体" w:hAnsi="宋体" w:cs="宋体"/>
          <w:b/>
          <w:bCs/>
          <w:color w:val="auto"/>
          <w:sz w:val="24"/>
          <w:highlight w:val="none"/>
        </w:rPr>
        <w:t>（一）磋商承诺函</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（填写采购人及采购代理机构名称）</w:t>
      </w:r>
    </w:p>
    <w:p>
      <w:pPr>
        <w:shd w:val="clear"/>
        <w:spacing w:line="360" w:lineRule="auto"/>
        <w:ind w:firstLine="600"/>
        <w:rPr>
          <w:rFonts w:ascii="宋体" w:hAnsi="宋体" w:cs="宋体"/>
          <w:color w:val="auto"/>
          <w:sz w:val="24"/>
          <w:highlight w:val="none"/>
        </w:rPr>
      </w:pPr>
      <w:r>
        <w:rPr>
          <w:rFonts w:hint="eastAsia" w:ascii="宋体" w:hAnsi="宋体" w:cs="宋体"/>
          <w:color w:val="auto"/>
          <w:sz w:val="24"/>
          <w:highlight w:val="none"/>
        </w:rPr>
        <w:t>我（单位/本人，以下统称我单位）自愿参加</w:t>
      </w:r>
      <w:r>
        <w:rPr>
          <w:rFonts w:hint="eastAsia" w:ascii="宋体" w:hAnsi="宋体" w:cs="宋体"/>
          <w:color w:val="auto"/>
          <w:sz w:val="24"/>
          <w:highlight w:val="none"/>
          <w:u w:val="single"/>
        </w:rPr>
        <w:t xml:space="preserve">              （项目名称、项目编号、包号、包名称）</w:t>
      </w:r>
      <w:r>
        <w:rPr>
          <w:rFonts w:hint="eastAsia" w:ascii="宋体" w:hAnsi="宋体" w:cs="宋体"/>
          <w:color w:val="auto"/>
          <w:sz w:val="24"/>
          <w:highlight w:val="none"/>
        </w:rPr>
        <w:t>的磋商采购活动,</w:t>
      </w:r>
      <w:r>
        <w:rPr>
          <w:rFonts w:hint="eastAsia" w:ascii="宋体" w:hAnsi="宋体" w:cs="宋体"/>
          <w:color w:val="auto"/>
          <w:spacing w:val="8"/>
          <w:kern w:val="0"/>
          <w:sz w:val="24"/>
          <w:highlight w:val="none"/>
        </w:rPr>
        <w:t xml:space="preserve"> 作为参加本次采购活动的供应商，根据竞争性磋商文件的要求，现郑重承诺如下：</w:t>
      </w:r>
    </w:p>
    <w:p>
      <w:pPr>
        <w:widowControl/>
        <w:shd w:val="clear" w:color="auto"/>
        <w:spacing w:line="360" w:lineRule="auto"/>
        <w:ind w:firstLine="480"/>
        <w:jc w:val="lef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一、我单位完全接受和满足本项目竞争性磋商文件中规定的实质性要求，如对采购（磋商）文件有异议，已经在收到采购（磋商）文件之日起或采购（磋商）文件公告期限届满之日起七个工作日内依法进行维权救济，不存在对采购（磋商）文件有异议的同时又参加本项目的磋商采购活动以求侥幸成为成交人或者为实现其他非法目的的行为。</w:t>
      </w:r>
    </w:p>
    <w:p>
      <w:pPr>
        <w:widowControl/>
        <w:shd w:val="clear" w:color="auto"/>
        <w:spacing w:line="360" w:lineRule="auto"/>
        <w:ind w:firstLine="480"/>
        <w:jc w:val="lef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二、我单位参加本次磋商采购活动，不存在和其他供应商在同一合同项下的采购项目中，同时委托同一个自然人、同一家庭的人员、同一单位的人员作为代理人的行为。</w:t>
      </w:r>
    </w:p>
    <w:p>
      <w:pPr>
        <w:widowControl/>
        <w:shd w:val="clear" w:color="auto"/>
        <w:spacing w:line="360" w:lineRule="auto"/>
        <w:ind w:firstLine="480"/>
        <w:jc w:val="lef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四、参加本次磋商采购活动前，在近三年内我单位和其法定代表人（或负责人）没有行贿犯罪行为。</w:t>
      </w:r>
    </w:p>
    <w:p>
      <w:pPr>
        <w:widowControl/>
        <w:shd w:val="clear" w:color="auto"/>
        <w:spacing w:line="360" w:lineRule="auto"/>
        <w:ind w:firstLine="480" w:firstLineChars="200"/>
        <w:jc w:val="left"/>
        <w:rPr>
          <w:rFonts w:ascii="宋体" w:hAnsi="宋体" w:cs="宋体"/>
          <w:color w:val="auto"/>
          <w:spacing w:val="8"/>
          <w:kern w:val="0"/>
          <w:sz w:val="24"/>
          <w:highlight w:val="none"/>
        </w:rPr>
      </w:pPr>
      <w:r>
        <w:rPr>
          <w:rFonts w:hint="eastAsia" w:ascii="宋体" w:hAnsi="宋体" w:cs="宋体"/>
          <w:color w:val="auto"/>
          <w:sz w:val="24"/>
          <w:highlight w:val="none"/>
        </w:rPr>
        <w:t>五、我单位在此申明：保证本次响应文件中提供的所有内容、资料、陈述是正确的、真实的、有效的、合法的，并愿意承担相关法律责任。</w:t>
      </w:r>
    </w:p>
    <w:p>
      <w:pPr>
        <w:widowControl/>
        <w:shd w:val="clear" w:color="auto"/>
        <w:spacing w:line="360" w:lineRule="auto"/>
        <w:ind w:firstLine="512" w:firstLineChars="200"/>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六、如本项目磋商采购过程中需要提供样品，则我单位提供的样品即为成交后将要提供的成交产品，我单位对提供样品的性能和质量负责，因样品存在缺陷或者不符合竞争性磋商文件要求导致未能成交的，我单位愿意承担相应不利后果。</w:t>
      </w:r>
    </w:p>
    <w:p>
      <w:pPr>
        <w:widowControl/>
        <w:shd w:val="clear" w:color="auto"/>
        <w:spacing w:line="360" w:lineRule="auto"/>
        <w:ind w:firstLine="512" w:firstLineChars="200"/>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七、如果存在以下行为之一的愿意接受相关部门的处理：</w:t>
      </w:r>
    </w:p>
    <w:p>
      <w:pPr>
        <w:widowControl/>
        <w:shd w:val="clear" w:color="auto"/>
        <w:spacing w:line="360" w:lineRule="auto"/>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   1、我单位在响应文件有效期内撤销响应文件的（不包括在提交最后报价前推出磋商的情况）；</w:t>
      </w:r>
    </w:p>
    <w:p>
      <w:pPr>
        <w:widowControl/>
        <w:shd w:val="clear" w:color="auto"/>
        <w:spacing w:line="360" w:lineRule="auto"/>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   2、我单位在采购人确定成交人以前放弃成交候选人资格的；</w:t>
      </w:r>
    </w:p>
    <w:p>
      <w:pPr>
        <w:widowControl/>
        <w:shd w:val="clear" w:color="auto"/>
        <w:spacing w:line="360" w:lineRule="auto"/>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   3、由于我单位的原因未能按照竞争性磋商文件的规定与采购人签订合同；</w:t>
      </w:r>
    </w:p>
    <w:p>
      <w:pPr>
        <w:widowControl/>
        <w:shd w:val="clear" w:color="auto"/>
        <w:spacing w:line="360" w:lineRule="auto"/>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   4、由于我单位的原因未能按照竞争性磋商文件的规定交纳履约保证金；</w:t>
      </w:r>
    </w:p>
    <w:p>
      <w:pPr>
        <w:widowControl/>
        <w:shd w:val="clear" w:color="auto"/>
        <w:spacing w:line="360" w:lineRule="auto"/>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   5、我单位在响应文件中提供虚假材料；</w:t>
      </w:r>
    </w:p>
    <w:p>
      <w:pPr>
        <w:widowControl/>
        <w:shd w:val="clear" w:color="auto"/>
        <w:spacing w:line="360" w:lineRule="auto"/>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   6、我单位与采购人、其他供应商或者采购代理机构恶意串通的；</w:t>
      </w:r>
    </w:p>
    <w:p>
      <w:pPr>
        <w:widowControl/>
        <w:shd w:val="clear" w:color="auto"/>
        <w:spacing w:line="360" w:lineRule="auto"/>
        <w:ind w:firstLine="640" w:firstLineChars="250"/>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7、在响应文件有效期内，我单位在政府采购活动中有违法、违规、违纪行为。</w:t>
      </w:r>
    </w:p>
    <w:p>
      <w:pPr>
        <w:widowControl/>
        <w:shd w:val="clear" w:color="auto"/>
        <w:spacing w:line="360" w:lineRule="auto"/>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 xml:space="preserve">   我单位如果发生以上任意一条行为，将在行为发生的5个工作日内，向采购人及招标代理公司分别支付本竞争性磋商文件公布的预算金额或最高限价（如无预算金额或最高限价的话，以我单位的响应报价为基准）的 2%作为赔偿金。 </w:t>
      </w:r>
    </w:p>
    <w:p>
      <w:pPr>
        <w:widowControl/>
        <w:shd w:val="clear" w:color="auto"/>
        <w:spacing w:line="360" w:lineRule="auto"/>
        <w:ind w:firstLine="480" w:firstLineChars="200"/>
        <w:rPr>
          <w:rFonts w:ascii="宋体" w:hAnsi="宋体" w:cs="宋体"/>
          <w:color w:val="auto"/>
          <w:spacing w:val="8"/>
          <w:kern w:val="0"/>
          <w:sz w:val="24"/>
          <w:highlight w:val="none"/>
        </w:rPr>
      </w:pPr>
      <w:r>
        <w:rPr>
          <w:rFonts w:hint="eastAsia" w:ascii="宋体" w:hAnsi="宋体" w:cs="宋体"/>
          <w:color w:val="auto"/>
          <w:sz w:val="24"/>
          <w:highlight w:val="none"/>
        </w:rPr>
        <w:t>八、我单位知晓上述行为的法律后果，承认本承诺书作为采购人及采购代理机构要求我单位履行违约赔偿义务的依据作用。</w:t>
      </w:r>
    </w:p>
    <w:p>
      <w:pPr>
        <w:widowControl/>
        <w:shd w:val="clear" w:color="auto"/>
        <w:spacing w:line="360" w:lineRule="auto"/>
        <w:ind w:firstLine="512" w:firstLineChars="200"/>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由此产生的一切法律后果和责任由我单位承担。我单位声明放弃对此提出任何异议和追索的权利。</w:t>
      </w:r>
    </w:p>
    <w:p>
      <w:pPr>
        <w:widowControl/>
        <w:shd w:val="clear" w:color="auto"/>
        <w:spacing w:line="360" w:lineRule="auto"/>
        <w:ind w:firstLine="512" w:firstLineChars="200"/>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我单位对上述承诺的内容事项真实性负责。如经查实上述承诺的内容事项存在虚假，我单位愿意接受以提供虚假材料谋取成交而被追究法律责任。</w:t>
      </w:r>
    </w:p>
    <w:p>
      <w:pPr>
        <w:widowControl/>
        <w:shd w:val="clear" w:color="auto"/>
        <w:spacing w:line="360" w:lineRule="auto"/>
        <w:jc w:val="lef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360" w:lineRule="auto"/>
        <w:ind w:left="1620" w:leftChars="257" w:hanging="1080"/>
        <w:rPr>
          <w:rFonts w:ascii="宋体" w:hAnsi="宋体" w:cs="宋体"/>
          <w:color w:val="auto"/>
          <w:sz w:val="24"/>
          <w:highlight w:val="none"/>
        </w:rPr>
      </w:pPr>
    </w:p>
    <w:p>
      <w:pPr>
        <w:shd w:val="clear"/>
        <w:spacing w:line="360" w:lineRule="auto"/>
        <w:ind w:left="1620" w:leftChars="257" w:hanging="108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hd w:val="clear"/>
        <w:spacing w:line="360" w:lineRule="auto"/>
        <w:ind w:left="1620" w:leftChars="257" w:hanging="1080"/>
        <w:rPr>
          <w:rFonts w:ascii="宋体" w:hAnsi="宋体" w:cs="宋体"/>
          <w:color w:val="auto"/>
          <w:sz w:val="24"/>
          <w:highlight w:val="none"/>
        </w:rPr>
      </w:pPr>
      <w:r>
        <w:rPr>
          <w:rFonts w:hint="eastAsia" w:ascii="宋体" w:hAnsi="宋体" w:cs="宋体"/>
          <w:color w:val="auto"/>
          <w:sz w:val="24"/>
          <w:highlight w:val="none"/>
        </w:rPr>
        <w:t>邮编：</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hd w:val="clear"/>
        <w:spacing w:line="360" w:lineRule="auto"/>
        <w:ind w:left="1620" w:leftChars="257" w:hanging="1080"/>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电子邮箱：</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shd w:val="clear"/>
        <w:spacing w:line="360" w:lineRule="auto"/>
        <w:ind w:firstLine="544" w:firstLineChars="227"/>
        <w:rPr>
          <w:rFonts w:ascii="宋体" w:hAnsi="宋体" w:cs="宋体"/>
          <w:color w:val="auto"/>
          <w:sz w:val="24"/>
          <w:highlight w:val="none"/>
        </w:rPr>
      </w:pPr>
      <w:r>
        <w:rPr>
          <w:rFonts w:hint="eastAsia" w:ascii="宋体" w:hAnsi="宋体" w:cs="宋体"/>
          <w:color w:val="auto"/>
          <w:sz w:val="24"/>
          <w:highlight w:val="none"/>
        </w:rPr>
        <w:t>日期：　　 　年　　月 　日</w:t>
      </w:r>
    </w:p>
    <w:p>
      <w:pPr>
        <w:shd w:val="clear"/>
        <w:rPr>
          <w:rFonts w:ascii="宋体" w:hAnsi="宋体" w:cs="宋体"/>
          <w:color w:val="auto"/>
          <w:highlight w:val="none"/>
        </w:rPr>
      </w:pPr>
    </w:p>
    <w:p>
      <w:pPr>
        <w:shd w:val="clear"/>
        <w:rPr>
          <w:rFonts w:ascii="宋体" w:hAnsi="宋体" w:cs="宋体"/>
          <w:color w:val="auto"/>
          <w:highlight w:val="none"/>
        </w:rPr>
      </w:pPr>
    </w:p>
    <w:p>
      <w:pPr>
        <w:pStyle w:val="47"/>
        <w:shd w:val="clear"/>
        <w:ind w:firstLine="200"/>
        <w:rPr>
          <w:rFonts w:ascii="宋体" w:hAnsi="宋体" w:eastAsia="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shd w:val="clear"/>
        <w:spacing w:line="480" w:lineRule="exact"/>
        <w:jc w:val="center"/>
        <w:rPr>
          <w:rFonts w:ascii="宋体" w:hAnsi="宋体" w:cs="宋体"/>
          <w:color w:val="auto"/>
          <w:szCs w:val="28"/>
          <w:highlight w:val="none"/>
        </w:rPr>
      </w:pPr>
      <w:bookmarkStart w:id="874" w:name="_Toc23836"/>
      <w:bookmarkStart w:id="875" w:name="_Toc28685"/>
      <w:r>
        <w:rPr>
          <w:rFonts w:hint="eastAsia" w:ascii="宋体" w:hAnsi="宋体" w:cs="宋体"/>
          <w:color w:val="auto"/>
          <w:highlight w:val="none"/>
        </w:rPr>
        <w:br w:type="page"/>
      </w:r>
      <w:r>
        <w:rPr>
          <w:rFonts w:hint="eastAsia"/>
          <w:b/>
          <w:bCs/>
          <w:color w:val="auto"/>
          <w:sz w:val="24"/>
          <w:highlight w:val="none"/>
        </w:rPr>
        <w:t>（二）</w:t>
      </w:r>
      <w:r>
        <w:rPr>
          <w:rFonts w:hint="eastAsia" w:ascii="宋体" w:hAnsi="宋体" w:cs="宋体"/>
          <w:b/>
          <w:bCs/>
          <w:color w:val="auto"/>
          <w:sz w:val="24"/>
          <w:highlight w:val="none"/>
        </w:rPr>
        <w:t>代理服务费承诺函</w:t>
      </w:r>
    </w:p>
    <w:p>
      <w:pPr>
        <w:shd w:val="clear"/>
        <w:spacing w:line="360" w:lineRule="auto"/>
        <w:jc w:val="left"/>
        <w:rPr>
          <w:rFonts w:ascii="宋体" w:hAnsi="宋体" w:cs="宋体"/>
          <w:color w:val="auto"/>
          <w:sz w:val="24"/>
          <w:highlight w:val="none"/>
        </w:rPr>
      </w:pP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致（采购人及采购代理机构）：</w:t>
      </w:r>
    </w:p>
    <w:p>
      <w:pPr>
        <w:shd w:val="clear"/>
        <w:spacing w:line="360" w:lineRule="auto"/>
        <w:ind w:firstLine="480" w:firstLineChars="200"/>
        <w:jc w:val="center"/>
        <w:rPr>
          <w:rFonts w:ascii="宋体" w:hAnsi="宋体" w:cs="宋体"/>
          <w:color w:val="auto"/>
          <w:sz w:val="24"/>
          <w:highlight w:val="none"/>
        </w:rPr>
      </w:pP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我们在贵公司组织的（采购项目名称： ，采购项目编号：    ）采购中若获成交，我们保证在成交公告发布后5个工作日内，按竞争性磋商文件的规定，以银行转账形式，向贵公司一次性支付代理服务费用（中标服务费或成交服务费），并且按照规定和业主签订合同。否则，由此产生的一切法律后果和责任由我公司承担。我公司声明放弃对此提出任何异议和追索的权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hd w:val="clea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pPr>
        <w:shd w:val="clear"/>
        <w:spacing w:line="360" w:lineRule="auto"/>
        <w:ind w:firstLine="480" w:firstLineChars="200"/>
        <w:jc w:val="center"/>
        <w:rPr>
          <w:rFonts w:ascii="宋体" w:hAnsi="宋体" w:cs="宋体"/>
          <w:color w:val="auto"/>
          <w:sz w:val="24"/>
          <w:highlight w:val="none"/>
        </w:rPr>
      </w:pPr>
    </w:p>
    <w:p>
      <w:pPr>
        <w:shd w:val="clea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pPr>
        <w:shd w:val="clear"/>
        <w:spacing w:line="360" w:lineRule="auto"/>
        <w:ind w:firstLine="720" w:firstLineChars="300"/>
        <w:jc w:val="right"/>
        <w:rPr>
          <w:rFonts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sz w:val="24"/>
          <w:highlight w:val="none"/>
        </w:rPr>
        <w:t>企业电子签章或盖章</w:t>
      </w:r>
      <w:r>
        <w:rPr>
          <w:rFonts w:hint="eastAsia" w:ascii="宋体" w:hAnsi="宋体" w:cs="宋体"/>
          <w:color w:val="auto"/>
          <w:kern w:val="0"/>
          <w:sz w:val="24"/>
          <w:highlight w:val="none"/>
        </w:rPr>
        <w:t>）：</w:t>
      </w:r>
    </w:p>
    <w:p>
      <w:pPr>
        <w:shd w:val="clear"/>
        <w:spacing w:line="360" w:lineRule="auto"/>
        <w:jc w:val="right"/>
        <w:rPr>
          <w:rFonts w:ascii="宋体" w:hAnsi="宋体" w:cs="宋体"/>
          <w:b/>
          <w:color w:val="auto"/>
          <w:sz w:val="24"/>
          <w:highlight w:val="none"/>
        </w:rPr>
      </w:pPr>
      <w:r>
        <w:rPr>
          <w:rFonts w:hint="eastAsia" w:ascii="宋体" w:hAnsi="宋体" w:cs="宋体"/>
          <w:color w:val="auto"/>
          <w:kern w:val="0"/>
          <w:sz w:val="24"/>
          <w:highlight w:val="none"/>
        </w:rPr>
        <w:t>日      期：    年     月    日</w:t>
      </w:r>
    </w:p>
    <w:p>
      <w:pPr>
        <w:keepNext/>
        <w:shd w:val="clear"/>
        <w:tabs>
          <w:tab w:val="left" w:pos="4592"/>
        </w:tabs>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p>
    <w:p>
      <w:pPr>
        <w:keepNext/>
        <w:shd w:val="clear"/>
        <w:tabs>
          <w:tab w:val="left" w:pos="4592"/>
        </w:tabs>
        <w:spacing w:line="360" w:lineRule="auto"/>
        <w:jc w:val="center"/>
        <w:rPr>
          <w:b/>
          <w:bCs/>
          <w:color w:val="auto"/>
          <w:sz w:val="24"/>
          <w:highlight w:val="none"/>
        </w:rPr>
      </w:pPr>
      <w:r>
        <w:rPr>
          <w:rFonts w:hint="eastAsia"/>
          <w:b/>
          <w:bCs/>
          <w:color w:val="auto"/>
          <w:sz w:val="24"/>
          <w:highlight w:val="none"/>
        </w:rPr>
        <w:t>（三）竞争性磋商文件内容确认书</w:t>
      </w:r>
    </w:p>
    <w:p>
      <w:pPr>
        <w:shd w:val="clear"/>
        <w:spacing w:line="360" w:lineRule="auto"/>
        <w:rPr>
          <w:rFonts w:ascii="宋体" w:hAnsi="宋体" w:cs="宋体"/>
          <w:color w:val="auto"/>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致（采购人及采购代理机构）：</w:t>
      </w:r>
    </w:p>
    <w:p>
      <w:pPr>
        <w:pStyle w:val="47"/>
        <w:shd w:val="clear"/>
        <w:spacing w:line="360" w:lineRule="auto"/>
        <w:ind w:firstLine="240"/>
        <w:rPr>
          <w:color w:val="auto"/>
          <w:sz w:val="24"/>
          <w:szCs w:val="24"/>
          <w:highlight w:val="none"/>
          <w:lang w:eastAsia="zh-CN"/>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我单位已经详细阅读整个竞争性磋商文件的所有内容，对本竞争性磋商文件的所有内容没有任何异议，全部同意并接受且我单位保证在磋商活动结束后不再对本竞争性磋商文件的任何内容提出异议。</w:t>
      </w:r>
    </w:p>
    <w:p>
      <w:pPr>
        <w:shd w:val="clear"/>
        <w:spacing w:line="360" w:lineRule="auto"/>
        <w:jc w:val="left"/>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ind w:firstLine="720" w:firstLineChars="300"/>
        <w:jc w:val="right"/>
        <w:rPr>
          <w:rFonts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sz w:val="24"/>
          <w:highlight w:val="none"/>
        </w:rPr>
        <w:t>企业电子签章或盖章</w:t>
      </w:r>
      <w:r>
        <w:rPr>
          <w:rFonts w:hint="eastAsia" w:ascii="宋体" w:hAnsi="宋体" w:cs="宋体"/>
          <w:color w:val="auto"/>
          <w:kern w:val="0"/>
          <w:sz w:val="24"/>
          <w:highlight w:val="none"/>
        </w:rPr>
        <w:t>）</w:t>
      </w:r>
    </w:p>
    <w:p>
      <w:pPr>
        <w:shd w:val="clear"/>
        <w:spacing w:line="360" w:lineRule="auto"/>
        <w:jc w:val="right"/>
        <w:rPr>
          <w:rFonts w:ascii="宋体" w:hAnsi="宋体" w:cs="宋体"/>
          <w:b/>
          <w:color w:val="auto"/>
          <w:sz w:val="24"/>
          <w:highlight w:val="none"/>
        </w:rPr>
      </w:pPr>
      <w:r>
        <w:rPr>
          <w:rFonts w:hint="eastAsia" w:ascii="宋体" w:hAnsi="宋体" w:cs="宋体"/>
          <w:color w:val="auto"/>
          <w:kern w:val="0"/>
          <w:sz w:val="24"/>
          <w:highlight w:val="none"/>
        </w:rPr>
        <w:t>日      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pPr>
        <w:shd w:val="clear"/>
        <w:rPr>
          <w:rFonts w:ascii="宋体" w:hAnsi="宋体" w:cs="宋体"/>
          <w:color w:val="auto"/>
          <w:highlight w:val="none"/>
        </w:rPr>
      </w:pPr>
    </w:p>
    <w:p>
      <w:pPr>
        <w:shd w:val="clear"/>
        <w:rPr>
          <w:rFonts w:ascii="宋体" w:hAnsi="宋体" w:cs="宋体"/>
          <w:color w:val="auto"/>
          <w:highlight w:val="none"/>
        </w:rPr>
      </w:pPr>
      <w:r>
        <w:rPr>
          <w:rFonts w:hint="eastAsia" w:ascii="宋体" w:hAnsi="宋体" w:cs="宋体"/>
          <w:color w:val="auto"/>
          <w:highlight w:val="none"/>
        </w:rPr>
        <w:br w:type="page"/>
      </w:r>
    </w:p>
    <w:p>
      <w:pPr>
        <w:pStyle w:val="5"/>
        <w:shd w:val="clear"/>
        <w:spacing w:before="0" w:line="360" w:lineRule="auto"/>
        <w:rPr>
          <w:rFonts w:ascii="宋体" w:hAnsi="宋体" w:eastAsia="宋体" w:cs="宋体"/>
          <w:color w:val="auto"/>
          <w:highlight w:val="none"/>
        </w:rPr>
      </w:pPr>
      <w:r>
        <w:rPr>
          <w:rFonts w:hint="eastAsia" w:ascii="宋体" w:hAnsi="宋体" w:eastAsia="宋体" w:cs="宋体"/>
          <w:color w:val="auto"/>
          <w:highlight w:val="none"/>
        </w:rPr>
        <w:t>十、符合《政府采购促进中小企业发展管理办法》、《关于政府采购支持监狱企业发展有关问题的通知》和《三部门联合发布关于促进残疾人就业政府采购政策的通知》价格扣减条件的供应商须提交资料</w:t>
      </w:r>
      <w:bookmarkEnd w:id="874"/>
      <w:bookmarkEnd w:id="875"/>
    </w:p>
    <w:p>
      <w:pPr>
        <w:shd w:val="clear"/>
        <w:spacing w:line="400" w:lineRule="exact"/>
        <w:jc w:val="center"/>
        <w:outlineLvl w:val="3"/>
        <w:rPr>
          <w:rFonts w:ascii="宋体" w:hAnsi="宋体" w:cs="宋体"/>
          <w:b/>
          <w:color w:val="auto"/>
          <w:spacing w:val="10"/>
          <w:kern w:val="0"/>
          <w:sz w:val="24"/>
          <w:highlight w:val="none"/>
        </w:rPr>
      </w:pPr>
      <w:bookmarkStart w:id="876" w:name="_Toc21312"/>
      <w:bookmarkStart w:id="877" w:name="_Toc14934315"/>
      <w:bookmarkStart w:id="878" w:name="_Toc515647823"/>
      <w:bookmarkStart w:id="879" w:name="_Toc10725"/>
      <w:bookmarkStart w:id="880" w:name="_Toc532473511"/>
      <w:bookmarkStart w:id="881" w:name="_Toc14737"/>
      <w:bookmarkStart w:id="882" w:name="_Toc4646"/>
      <w:bookmarkStart w:id="883" w:name="_Toc26726"/>
      <w:r>
        <w:rPr>
          <w:rFonts w:hint="eastAsia" w:ascii="宋体" w:hAnsi="宋体" w:cs="宋体"/>
          <w:b/>
          <w:color w:val="auto"/>
          <w:kern w:val="0"/>
          <w:sz w:val="24"/>
          <w:highlight w:val="none"/>
        </w:rPr>
        <w:t xml:space="preserve">11-1 </w:t>
      </w:r>
      <w:r>
        <w:rPr>
          <w:rFonts w:hint="eastAsia" w:ascii="宋体" w:hAnsi="宋体" w:cs="宋体"/>
          <w:b/>
          <w:color w:val="auto"/>
          <w:sz w:val="24"/>
          <w:highlight w:val="none"/>
        </w:rPr>
        <w:t xml:space="preserve"> </w:t>
      </w:r>
      <w:bookmarkEnd w:id="876"/>
      <w:bookmarkEnd w:id="877"/>
      <w:bookmarkEnd w:id="878"/>
      <w:bookmarkEnd w:id="879"/>
      <w:bookmarkEnd w:id="880"/>
      <w:bookmarkStart w:id="884" w:name="_Toc532473512"/>
      <w:bookmarkStart w:id="885" w:name="_Toc14934316"/>
      <w:bookmarkStart w:id="886" w:name="_Toc515647824"/>
      <w:bookmarkStart w:id="887" w:name="_Toc10977"/>
      <w:bookmarkStart w:id="888" w:name="_Toc11803"/>
      <w:r>
        <w:rPr>
          <w:rFonts w:hint="eastAsia" w:ascii="宋体" w:hAnsi="宋体" w:cs="宋体"/>
          <w:b/>
          <w:color w:val="auto"/>
          <w:spacing w:val="10"/>
          <w:kern w:val="0"/>
          <w:sz w:val="24"/>
          <w:highlight w:val="none"/>
        </w:rPr>
        <w:t>中小企业声明函</w:t>
      </w:r>
      <w:bookmarkEnd w:id="881"/>
      <w:bookmarkEnd w:id="882"/>
      <w:bookmarkEnd w:id="883"/>
    </w:p>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（供应商属于中小企业的填写，不属于的无需填写此项内容）</w:t>
      </w:r>
    </w:p>
    <w:p>
      <w:pPr>
        <w:shd w:val="clear"/>
        <w:autoSpaceDE w:val="0"/>
        <w:autoSpaceDN w:val="0"/>
        <w:adjustRightInd w:val="0"/>
        <w:spacing w:line="312" w:lineRule="auto"/>
        <w:ind w:firstLine="480" w:firstLineChars="200"/>
        <w:jc w:val="left"/>
        <w:rPr>
          <w:rFonts w:ascii="宋体" w:hAnsi="宋体" w:cs="宋体"/>
          <w:color w:val="auto"/>
          <w:sz w:val="24"/>
          <w:highlight w:val="none"/>
        </w:rPr>
      </w:pPr>
    </w:p>
    <w:p>
      <w:pPr>
        <w:shd w:val="clea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和</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numPr>
          <w:ilvl w:val="0"/>
          <w:numId w:val="17"/>
        </w:numPr>
        <w:shd w:val="clea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17"/>
        </w:numPr>
        <w:shd w:val="clea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hd w:val="clea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hd w:val="clea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本企业对上述声明内容的真实性负责。如有虚假，将依法承担相应责任。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480" w:lineRule="auto"/>
        <w:jc w:val="left"/>
        <w:rPr>
          <w:rFonts w:ascii="宋体" w:hAnsi="宋体" w:cs="宋体"/>
          <w:color w:val="auto"/>
          <w:sz w:val="24"/>
          <w:highlight w:val="none"/>
        </w:rPr>
      </w:pPr>
      <w:r>
        <w:rPr>
          <w:rFonts w:hint="eastAsia" w:ascii="宋体" w:hAnsi="宋体" w:cs="宋体"/>
          <w:color w:val="auto"/>
          <w:kern w:val="1"/>
          <w:sz w:val="24"/>
          <w:highlight w:val="none"/>
        </w:rPr>
        <w:t>日期： ___年____月_____日</w:t>
      </w:r>
    </w:p>
    <w:p>
      <w:pPr>
        <w:shd w:val="clea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从业人员、营业收入、资产总额填报上一年度数据，无上一年度数据的新成立企业可不填报。</w:t>
      </w:r>
    </w:p>
    <w:p>
      <w:pPr>
        <w:shd w:val="clear"/>
        <w:spacing w:line="360" w:lineRule="auto"/>
        <w:jc w:val="left"/>
        <w:rPr>
          <w:rFonts w:ascii="宋体" w:hAnsi="宋体" w:cs="宋体"/>
          <w:color w:val="auto"/>
          <w:sz w:val="24"/>
          <w:highlight w:val="none"/>
        </w:rPr>
      </w:pPr>
    </w:p>
    <w:p>
      <w:pPr>
        <w:pStyle w:val="7"/>
        <w:shd w:val="clear"/>
        <w:spacing w:before="0" w:line="360" w:lineRule="auto"/>
        <w:jc w:val="center"/>
        <w:rPr>
          <w:rFonts w:ascii="宋体" w:hAnsi="宋体" w:eastAsia="宋体" w:cs="宋体"/>
          <w:color w:val="auto"/>
          <w:kern w:val="0"/>
          <w:sz w:val="24"/>
          <w:szCs w:val="24"/>
          <w:highlight w:val="none"/>
        </w:rPr>
      </w:pPr>
      <w:bookmarkStart w:id="889" w:name="_Toc20278"/>
      <w:bookmarkStart w:id="890" w:name="_Toc4326"/>
      <w:bookmarkStart w:id="891" w:name="_Toc19533"/>
      <w:r>
        <w:rPr>
          <w:rFonts w:hint="eastAsia" w:ascii="宋体" w:hAnsi="宋体" w:eastAsia="宋体" w:cs="宋体"/>
          <w:color w:val="auto"/>
          <w:kern w:val="0"/>
          <w:sz w:val="24"/>
          <w:szCs w:val="24"/>
          <w:highlight w:val="none"/>
        </w:rPr>
        <w:t>11-2  供应商监狱企业声明函</w:t>
      </w:r>
      <w:bookmarkEnd w:id="884"/>
      <w:bookmarkEnd w:id="885"/>
      <w:bookmarkEnd w:id="889"/>
      <w:bookmarkEnd w:id="890"/>
      <w:bookmarkEnd w:id="891"/>
    </w:p>
    <w:p>
      <w:pPr>
        <w:shd w:val="clear"/>
        <w:rPr>
          <w:rFonts w:ascii="宋体" w:hAnsi="宋体" w:cs="宋体"/>
          <w:color w:val="auto"/>
          <w:sz w:val="24"/>
          <w:highlight w:val="none"/>
        </w:rPr>
      </w:pPr>
    </w:p>
    <w:p>
      <w:pPr>
        <w:widowControl/>
        <w:shd w:val="clear"/>
        <w:spacing w:before="100" w:beforeAutospacing="1" w:after="100" w:afterAutospacing="1"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本企业（单位）郑重声明下列事项（按照实际情况勾选或填空）：</w:t>
      </w:r>
    </w:p>
    <w:p>
      <w:pPr>
        <w:widowControl/>
        <w:shd w:val="clear"/>
        <w:spacing w:before="100" w:beforeAutospacing="1" w:after="100" w:afterAutospacing="1"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（1）本企业（单位）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（请填写：是、不是）监狱企业。后附省级以上监狱管理局、戒毒管理局（含新疆生产建设兵团）出具的属于监狱企业的证明文件。</w:t>
      </w:r>
    </w:p>
    <w:p>
      <w:pPr>
        <w:widowControl/>
        <w:shd w:val="clear"/>
        <w:spacing w:before="100" w:beforeAutospacing="1" w:after="100" w:afterAutospacing="1"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（2）本企业（单位）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hd w:val="clear"/>
        <w:spacing w:before="100" w:beforeAutospacing="1" w:after="100" w:afterAutospacing="1" w:line="360" w:lineRule="auto"/>
        <w:ind w:firstLine="475"/>
        <w:jc w:val="left"/>
        <w:rPr>
          <w:rFonts w:ascii="宋体" w:hAnsi="宋体" w:cs="宋体"/>
          <w:color w:val="auto"/>
          <w:kern w:val="0"/>
          <w:sz w:val="24"/>
          <w:highlight w:val="none"/>
        </w:rPr>
      </w:pPr>
      <w:r>
        <w:rPr>
          <w:rFonts w:hint="eastAsia" w:ascii="宋体" w:hAnsi="宋体" w:cs="宋体"/>
          <w:color w:val="auto"/>
          <w:kern w:val="0"/>
          <w:sz w:val="24"/>
          <w:highlight w:val="none"/>
        </w:rPr>
        <w:t>本企业（单位）对上述声明的真实性负责。如有虚假，将依法承担相应责任。</w:t>
      </w:r>
    </w:p>
    <w:p>
      <w:pPr>
        <w:widowControl/>
        <w:shd w:val="clear"/>
        <w:spacing w:before="100" w:beforeAutospacing="1" w:after="100" w:afterAutospacing="1"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spacing w:before="100" w:beforeAutospacing="1" w:after="100" w:afterAutospacing="1" w:line="360" w:lineRule="auto"/>
        <w:jc w:val="left"/>
        <w:rPr>
          <w:rFonts w:ascii="宋体" w:hAnsi="宋体" w:cs="宋体"/>
          <w:color w:val="auto"/>
          <w:kern w:val="0"/>
          <w:sz w:val="24"/>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480" w:lineRule="auto"/>
        <w:jc w:val="left"/>
        <w:rPr>
          <w:rFonts w:ascii="宋体" w:hAnsi="宋体" w:cs="宋体"/>
          <w:color w:val="auto"/>
          <w:sz w:val="24"/>
          <w:highlight w:val="none"/>
        </w:rPr>
      </w:pPr>
      <w:r>
        <w:rPr>
          <w:rFonts w:hint="eastAsia" w:ascii="宋体" w:hAnsi="宋体" w:cs="宋体"/>
          <w:color w:val="auto"/>
          <w:kern w:val="1"/>
          <w:sz w:val="24"/>
          <w:highlight w:val="none"/>
        </w:rPr>
        <w:t>日期： ____年____月_____日</w:t>
      </w: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jc w:val="center"/>
        <w:rPr>
          <w:rFonts w:ascii="宋体" w:hAnsi="宋体" w:cs="宋体"/>
          <w:color w:val="auto"/>
          <w:sz w:val="24"/>
          <w:highlight w:val="none"/>
        </w:rPr>
      </w:pPr>
      <w:r>
        <w:rPr>
          <w:rFonts w:hint="eastAsia" w:ascii="宋体" w:hAnsi="宋体" w:cs="宋体"/>
          <w:b/>
          <w:color w:val="auto"/>
          <w:sz w:val="24"/>
          <w:highlight w:val="none"/>
        </w:rPr>
        <w:t>说明：符合要求的单位，按照上述格式进行填写；不属于监狱企业的不需要提供。</w:t>
      </w:r>
    </w:p>
    <w:p>
      <w:pPr>
        <w:widowControl/>
        <w:shd w:val="clear"/>
        <w:spacing w:before="100" w:beforeAutospacing="1" w:after="100" w:afterAutospacing="1" w:line="360" w:lineRule="auto"/>
        <w:jc w:val="center"/>
        <w:outlineLvl w:val="3"/>
        <w:rPr>
          <w:rFonts w:ascii="宋体" w:hAnsi="宋体" w:cs="宋体"/>
          <w:color w:val="auto"/>
          <w:kern w:val="0"/>
          <w:sz w:val="24"/>
          <w:highlight w:val="none"/>
        </w:rPr>
      </w:pPr>
      <w:r>
        <w:rPr>
          <w:rFonts w:hint="eastAsia" w:ascii="宋体" w:hAnsi="宋体" w:cs="宋体"/>
          <w:color w:val="auto"/>
          <w:sz w:val="24"/>
          <w:highlight w:val="none"/>
        </w:rPr>
        <w:br w:type="page"/>
      </w:r>
      <w:bookmarkStart w:id="892" w:name="_Toc5019"/>
      <w:bookmarkStart w:id="893" w:name="_Toc21490"/>
      <w:bookmarkStart w:id="894" w:name="_Toc17512"/>
      <w:bookmarkStart w:id="895" w:name="_Toc14934317"/>
      <w:bookmarkStart w:id="896" w:name="_Toc532473513"/>
      <w:r>
        <w:rPr>
          <w:rFonts w:hint="eastAsia" w:ascii="宋体" w:hAnsi="宋体" w:cs="宋体"/>
          <w:b/>
          <w:bCs/>
          <w:color w:val="auto"/>
          <w:kern w:val="0"/>
          <w:sz w:val="24"/>
          <w:highlight w:val="none"/>
        </w:rPr>
        <w:t>11-3  残疾人福利性单位声明函</w:t>
      </w:r>
      <w:bookmarkEnd w:id="892"/>
      <w:bookmarkEnd w:id="893"/>
      <w:bookmarkEnd w:id="894"/>
      <w:bookmarkEnd w:id="895"/>
      <w:bookmarkEnd w:id="896"/>
    </w:p>
    <w:p>
      <w:pPr>
        <w:pStyle w:val="21"/>
        <w:shd w:val="clear"/>
        <w:rPr>
          <w:rFonts w:ascii="宋体" w:hAnsi="宋体" w:cs="宋体"/>
          <w:color w:val="auto"/>
          <w:sz w:val="24"/>
          <w:szCs w:val="24"/>
          <w:highlight w:val="none"/>
        </w:rPr>
      </w:pPr>
    </w:p>
    <w:p>
      <w:pPr>
        <w:shd w:val="clear"/>
        <w:spacing w:line="480" w:lineRule="auto"/>
        <w:ind w:firstLine="567"/>
        <w:rPr>
          <w:rFonts w:ascii="宋体" w:hAnsi="宋体" w:cs="宋体"/>
          <w:color w:val="auto"/>
          <w:kern w:val="0"/>
          <w:sz w:val="24"/>
          <w:highlight w:val="none"/>
        </w:rPr>
      </w:pPr>
      <w:r>
        <w:rPr>
          <w:rFonts w:hint="eastAsia" w:ascii="宋体" w:hAnsi="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单位的_____项目采购活动提供本单位制造的货物（由本单位承担工程/提供服务），或者提供其他残疾人福利性单位制造的货物（不包括使用非残疾人福利性单位注册商标的货物）。</w:t>
      </w:r>
    </w:p>
    <w:p>
      <w:pPr>
        <w:shd w:val="clear"/>
        <w:spacing w:line="480" w:lineRule="auto"/>
        <w:ind w:left="1080" w:leftChars="257" w:hanging="540"/>
        <w:rPr>
          <w:rFonts w:ascii="宋体" w:hAnsi="宋体" w:cs="宋体"/>
          <w:color w:val="auto"/>
          <w:kern w:val="0"/>
          <w:sz w:val="24"/>
          <w:highlight w:val="none"/>
        </w:rPr>
      </w:pPr>
      <w:r>
        <w:rPr>
          <w:rFonts w:hint="eastAsia" w:ascii="宋体" w:hAnsi="宋体" w:cs="宋体"/>
          <w:color w:val="auto"/>
          <w:kern w:val="0"/>
          <w:sz w:val="24"/>
          <w:highlight w:val="none"/>
        </w:rPr>
        <w:t>本单位对上述声明的真实性负责。如有虚假，将依法承担相应责任。</w:t>
      </w:r>
    </w:p>
    <w:p>
      <w:pPr>
        <w:shd w:val="clear"/>
        <w:spacing w:line="480" w:lineRule="auto"/>
        <w:ind w:left="1080" w:leftChars="257" w:hanging="540"/>
        <w:jc w:val="center"/>
        <w:rPr>
          <w:rFonts w:ascii="宋体" w:hAnsi="宋体" w:cs="宋体"/>
          <w:color w:val="auto"/>
          <w:kern w:val="0"/>
          <w:sz w:val="24"/>
          <w:highlight w:val="none"/>
        </w:rPr>
      </w:pPr>
    </w:p>
    <w:p>
      <w:pPr>
        <w:shd w:val="clear"/>
        <w:spacing w:line="480" w:lineRule="auto"/>
        <w:ind w:left="1080" w:leftChars="257" w:hanging="540"/>
        <w:jc w:val="center"/>
        <w:rPr>
          <w:rFonts w:ascii="宋体" w:hAnsi="宋体" w:cs="宋体"/>
          <w:color w:val="auto"/>
          <w:kern w:val="0"/>
          <w:sz w:val="24"/>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供应商（企业电子签章或盖章）：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法定代表人（个人电子签章或签字或盖章）：</w:t>
      </w:r>
      <w:r>
        <w:rPr>
          <w:rFonts w:hint="eastAsia" w:ascii="宋体" w:hAnsi="宋体" w:cs="宋体"/>
          <w:color w:val="auto"/>
          <w:sz w:val="24"/>
          <w:highlight w:val="none"/>
          <w:u w:val="single"/>
        </w:rPr>
        <w:t xml:space="preserve">                 </w:t>
      </w:r>
    </w:p>
    <w:p>
      <w:pPr>
        <w:shd w:val="clear"/>
        <w:spacing w:line="480" w:lineRule="auto"/>
        <w:jc w:val="left"/>
        <w:rPr>
          <w:rFonts w:ascii="宋体" w:hAnsi="宋体" w:cs="宋体"/>
          <w:color w:val="auto"/>
          <w:sz w:val="24"/>
          <w:highlight w:val="none"/>
        </w:rPr>
      </w:pPr>
      <w:r>
        <w:rPr>
          <w:rFonts w:hint="eastAsia" w:ascii="宋体" w:hAnsi="宋体" w:cs="宋体"/>
          <w:color w:val="auto"/>
          <w:kern w:val="1"/>
          <w:sz w:val="24"/>
          <w:highlight w:val="none"/>
        </w:rPr>
        <w:t>日期： ____年____月_____日</w:t>
      </w:r>
    </w:p>
    <w:p>
      <w:pPr>
        <w:widowControl/>
        <w:shd w:val="clear"/>
        <w:spacing w:before="100" w:beforeAutospacing="1" w:after="100" w:afterAutospacing="1" w:line="480" w:lineRule="auto"/>
        <w:ind w:firstLine="3720" w:firstLineChars="1550"/>
        <w:jc w:val="left"/>
        <w:rPr>
          <w:rFonts w:ascii="宋体" w:hAnsi="宋体" w:cs="宋体"/>
          <w:color w:val="auto"/>
          <w:kern w:val="0"/>
          <w:sz w:val="24"/>
          <w:highlight w:val="none"/>
          <w:u w:val="single"/>
        </w:rPr>
      </w:pPr>
    </w:p>
    <w:p>
      <w:pPr>
        <w:shd w:val="clear"/>
        <w:spacing w:line="360" w:lineRule="auto"/>
        <w:ind w:left="645" w:leftChars="307" w:firstLine="3480" w:firstLineChars="1450"/>
        <w:rPr>
          <w:rFonts w:ascii="宋体" w:hAnsi="宋体" w:cs="宋体"/>
          <w:color w:val="auto"/>
          <w:kern w:val="0"/>
          <w:sz w:val="24"/>
          <w:highlight w:val="none"/>
          <w:u w:val="single"/>
        </w:rPr>
      </w:pPr>
    </w:p>
    <w:bookmarkEnd w:id="886"/>
    <w:bookmarkEnd w:id="887"/>
    <w:bookmarkEnd w:id="888"/>
    <w:p>
      <w:pPr>
        <w:shd w:val="clear"/>
        <w:spacing w:line="360" w:lineRule="auto"/>
        <w:rPr>
          <w:rFonts w:ascii="宋体" w:hAnsi="宋体" w:cs="宋体"/>
          <w:b/>
          <w:color w:val="auto"/>
          <w:sz w:val="24"/>
          <w:highlight w:val="none"/>
        </w:rPr>
      </w:pPr>
      <w:bookmarkStart w:id="897" w:name="_Toc14934319"/>
      <w:bookmarkStart w:id="898" w:name="_Toc30795"/>
      <w:bookmarkStart w:id="899" w:name="_Toc515647827"/>
      <w:bookmarkStart w:id="900" w:name="_Toc532473515"/>
      <w:bookmarkStart w:id="901" w:name="_Toc28099"/>
      <w:r>
        <w:rPr>
          <w:rFonts w:hint="eastAsia" w:ascii="宋体" w:hAnsi="宋体" w:cs="宋体"/>
          <w:b/>
          <w:color w:val="auto"/>
          <w:sz w:val="24"/>
          <w:highlight w:val="none"/>
        </w:rPr>
        <w:t>说明：符合要求的单位，按照上述格式进行填写并提供相关证明材料；不属于残疾人福利性单位的不需要提供。</w:t>
      </w:r>
    </w:p>
    <w:p>
      <w:pPr>
        <w:pStyle w:val="43"/>
        <w:shd w:val="clear" w:color="auto"/>
        <w:spacing w:before="0" w:beforeAutospacing="0" w:after="0" w:afterAutospacing="0" w:line="360" w:lineRule="auto"/>
        <w:jc w:val="center"/>
        <w:rPr>
          <w:rFonts w:cs="宋体"/>
          <w:b/>
          <w:bCs/>
          <w:color w:val="auto"/>
          <w:spacing w:val="8"/>
          <w:szCs w:val="24"/>
          <w:highlight w:val="none"/>
          <w:shd w:val="clear" w:color="auto" w:fill="FFFFFF"/>
        </w:rPr>
      </w:pPr>
      <w:r>
        <w:rPr>
          <w:rFonts w:hint="eastAsia" w:cs="宋体"/>
          <w:color w:val="auto"/>
          <w:szCs w:val="24"/>
          <w:highlight w:val="none"/>
        </w:rPr>
        <w:br w:type="page"/>
      </w:r>
      <w:r>
        <w:rPr>
          <w:rFonts w:hint="eastAsia" w:cs="宋体"/>
          <w:b/>
          <w:bCs/>
          <w:color w:val="auto"/>
          <w:spacing w:val="8"/>
          <w:szCs w:val="24"/>
          <w:highlight w:val="none"/>
          <w:shd w:val="clear" w:color="auto" w:fill="FFFFFF"/>
        </w:rPr>
        <w:t>工信部联企业[2011]300号 大中小微型企业划分标准</w:t>
      </w:r>
    </w:p>
    <w:tbl>
      <w:tblPr>
        <w:tblStyle w:val="49"/>
        <w:tblW w:w="4996" w:type="pct"/>
        <w:jc w:val="center"/>
        <w:shd w:val="clear" w:color="auto" w:fill="FFFFFF"/>
        <w:tblLayout w:type="autofit"/>
        <w:tblCellMar>
          <w:top w:w="0" w:type="dxa"/>
          <w:left w:w="0" w:type="dxa"/>
          <w:bottom w:w="0" w:type="dxa"/>
          <w:right w:w="0" w:type="dxa"/>
        </w:tblCellMar>
      </w:tblPr>
      <w:tblGrid>
        <w:gridCol w:w="1602"/>
        <w:gridCol w:w="1641"/>
        <w:gridCol w:w="827"/>
        <w:gridCol w:w="1094"/>
        <w:gridCol w:w="1648"/>
        <w:gridCol w:w="1386"/>
        <w:gridCol w:w="963"/>
      </w:tblGrid>
      <w:tr>
        <w:tblPrEx>
          <w:shd w:val="clear" w:color="auto" w:fill="FFFFFF"/>
          <w:tblCellMar>
            <w:top w:w="0" w:type="dxa"/>
            <w:left w:w="0" w:type="dxa"/>
            <w:bottom w:w="0" w:type="dxa"/>
            <w:right w:w="0" w:type="dxa"/>
          </w:tblCellMar>
        </w:tblPrEx>
        <w:trPr>
          <w:trHeight w:val="615" w:hRule="atLeast"/>
          <w:jc w:val="center"/>
        </w:trPr>
        <w:tc>
          <w:tcPr>
            <w:tcW w:w="874" w:type="pct"/>
            <w:tcBorders>
              <w:top w:val="single" w:color="4F81BD" w:sz="6" w:space="0"/>
              <w:left w:val="single" w:color="4F81BD" w:sz="6" w:space="0"/>
              <w:bottom w:val="single" w:color="FFFFFF" w:sz="18" w:space="0"/>
              <w:right w:val="single" w:color="4F81BD" w:sz="6" w:space="0"/>
            </w:tcBorders>
            <w:shd w:val="clear" w:color="auto" w:fill="4F81BD"/>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Style w:val="52"/>
                <w:rFonts w:hint="eastAsia" w:cs="宋体"/>
                <w:color w:val="auto"/>
                <w:spacing w:val="8"/>
                <w:szCs w:val="24"/>
                <w:highlight w:val="none"/>
              </w:rPr>
              <w:t>行业名称</w:t>
            </w:r>
          </w:p>
        </w:tc>
        <w:tc>
          <w:tcPr>
            <w:tcW w:w="895" w:type="pct"/>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Style w:val="52"/>
                <w:rFonts w:hint="eastAsia" w:cs="宋体"/>
                <w:color w:val="auto"/>
                <w:spacing w:val="8"/>
                <w:szCs w:val="24"/>
                <w:highlight w:val="none"/>
              </w:rPr>
              <w:t>指标名称</w:t>
            </w:r>
          </w:p>
        </w:tc>
        <w:tc>
          <w:tcPr>
            <w:tcW w:w="451" w:type="pct"/>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Style w:val="52"/>
                <w:rFonts w:hint="eastAsia" w:cs="宋体"/>
                <w:color w:val="auto"/>
                <w:spacing w:val="8"/>
                <w:szCs w:val="24"/>
                <w:highlight w:val="none"/>
              </w:rPr>
              <w:t>计量单位</w:t>
            </w:r>
          </w:p>
        </w:tc>
        <w:tc>
          <w:tcPr>
            <w:tcW w:w="597" w:type="pct"/>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Style w:val="52"/>
                <w:rFonts w:hint="eastAsia" w:cs="宋体"/>
                <w:color w:val="auto"/>
                <w:spacing w:val="8"/>
                <w:szCs w:val="24"/>
                <w:highlight w:val="none"/>
              </w:rPr>
              <w:t>大型</w:t>
            </w:r>
          </w:p>
        </w:tc>
        <w:tc>
          <w:tcPr>
            <w:tcW w:w="899" w:type="pct"/>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Style w:val="52"/>
                <w:rFonts w:hint="eastAsia" w:cs="宋体"/>
                <w:color w:val="auto"/>
                <w:spacing w:val="8"/>
                <w:szCs w:val="24"/>
                <w:highlight w:val="none"/>
              </w:rPr>
              <w:t>中型</w:t>
            </w:r>
          </w:p>
        </w:tc>
        <w:tc>
          <w:tcPr>
            <w:tcW w:w="756" w:type="pct"/>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Style w:val="52"/>
                <w:rFonts w:hint="eastAsia" w:cs="宋体"/>
                <w:color w:val="auto"/>
                <w:spacing w:val="8"/>
                <w:szCs w:val="24"/>
                <w:highlight w:val="none"/>
              </w:rPr>
              <w:t>小型</w:t>
            </w:r>
          </w:p>
        </w:tc>
        <w:tc>
          <w:tcPr>
            <w:tcW w:w="525" w:type="pct"/>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Style w:val="52"/>
                <w:rFonts w:hint="eastAsia" w:cs="宋体"/>
                <w:color w:val="auto"/>
                <w:spacing w:val="8"/>
                <w:szCs w:val="24"/>
                <w:highlight w:val="none"/>
              </w:rPr>
              <w:t>微型</w:t>
            </w:r>
          </w:p>
        </w:tc>
      </w:tr>
      <w:tr>
        <w:tblPrEx>
          <w:shd w:val="clear" w:color="auto" w:fill="FFFFFF"/>
          <w:tblCellMar>
            <w:top w:w="0" w:type="dxa"/>
            <w:left w:w="0" w:type="dxa"/>
            <w:bottom w:w="0" w:type="dxa"/>
            <w:right w:w="0" w:type="dxa"/>
          </w:tblCellMar>
        </w:tblPrEx>
        <w:trPr>
          <w:trHeight w:val="390" w:hRule="atLeast"/>
          <w:jc w:val="center"/>
        </w:trPr>
        <w:tc>
          <w:tcPr>
            <w:tcW w:w="874" w:type="pct"/>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农、林、牧、渔业</w:t>
            </w: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Y≥20000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500≤Y＜20000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50≤Y＜500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Y＜50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工业 *</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300≤X＜1000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20≤X＜300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X＜20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Y≥40000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2000≤Y＜40000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300≤Y＜2000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Y＜300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建筑业</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Y≥80000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6000≤Y＜80000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300≤Y＜6000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Y＜300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资产总额(Z)</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Z≥80000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5000≤Z＜80000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300≤Z＜5000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Z＜300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批发业</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X≥200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20≤X＜200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5≤X＜20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X＜5</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Y≥40000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5000≤Y＜40000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1000≤Y＜5000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零售业</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X≥300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50≤X＜300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10≤X＜50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Y≥20000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500≤Y＜20000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100≤Y＜500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交通运输业 *</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300≤X＜1000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20≤X＜300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X＜20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Y≥30000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3000≤Y＜30000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200≤Y＜3000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Y＜200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仓储业*</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X≥200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100≤X＜200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20≤X＜100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X＜20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Y≥30000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1000≤Y＜30000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100≤Y＜1000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邮政业</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300≤X＜1000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20≤X＜300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X＜20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Y≥30000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2000≤Y＜30000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100≤Y＜2000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住宿业</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X≥300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100≤X＜300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10≤X＜100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2000≤Y＜10000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100≤Y＜2000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餐饮业</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X≥300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100≤X＜300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10≤X＜100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2000≤Y＜10000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100≤Y＜2000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信息传输业 *</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X≥2000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100≤X＜2000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10≤X＜100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w:t>
            </w:r>
          </w:p>
        </w:tc>
      </w:tr>
      <w:tr>
        <w:tblPrEx>
          <w:shd w:val="clear" w:color="auto" w:fill="FFFFFF"/>
          <w:tblCellMar>
            <w:top w:w="0" w:type="dxa"/>
            <w:left w:w="0" w:type="dxa"/>
            <w:bottom w:w="0" w:type="dxa"/>
            <w:right w:w="0" w:type="dxa"/>
          </w:tblCellMar>
        </w:tblPrEx>
        <w:trPr>
          <w:trHeight w:val="390"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1000≤Y＜100000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100≤Y＜1000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w:t>
            </w:r>
          </w:p>
        </w:tc>
      </w:tr>
      <w:tr>
        <w:tblPrEx>
          <w:shd w:val="clear" w:color="auto" w:fill="FFFFFF"/>
          <w:tblCellMar>
            <w:top w:w="0" w:type="dxa"/>
            <w:left w:w="0" w:type="dxa"/>
            <w:bottom w:w="0" w:type="dxa"/>
            <w:right w:w="0" w:type="dxa"/>
          </w:tblCellMar>
        </w:tblPrEx>
        <w:trPr>
          <w:trHeight w:val="345"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15"/>
                <w:szCs w:val="24"/>
                <w:highlight w:val="none"/>
              </w:rPr>
              <w:t>软件和信息技术服</w:t>
            </w:r>
            <w:r>
              <w:rPr>
                <w:rFonts w:hint="eastAsia" w:cs="宋体"/>
                <w:color w:val="auto"/>
                <w:spacing w:val="8"/>
                <w:szCs w:val="24"/>
                <w:highlight w:val="none"/>
              </w:rPr>
              <w:t>务业</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X≥300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100≤X＜300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10≤X＜100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w:t>
            </w:r>
          </w:p>
        </w:tc>
      </w:tr>
      <w:tr>
        <w:tblPrEx>
          <w:shd w:val="clear" w:color="auto" w:fill="FFFFFF"/>
          <w:tblCellMar>
            <w:top w:w="0" w:type="dxa"/>
            <w:left w:w="0" w:type="dxa"/>
            <w:bottom w:w="0" w:type="dxa"/>
            <w:right w:w="0" w:type="dxa"/>
          </w:tblCellMar>
        </w:tblPrEx>
        <w:trPr>
          <w:trHeight w:val="345"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1000≤Y＜10000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50≤Y＜1000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Y＜50</w:t>
            </w:r>
          </w:p>
        </w:tc>
      </w:tr>
      <w:tr>
        <w:tblPrEx>
          <w:shd w:val="clear" w:color="auto" w:fill="FFFFFF"/>
          <w:tblCellMar>
            <w:top w:w="0" w:type="dxa"/>
            <w:left w:w="0" w:type="dxa"/>
            <w:bottom w:w="0" w:type="dxa"/>
            <w:right w:w="0" w:type="dxa"/>
          </w:tblCellMar>
        </w:tblPrEx>
        <w:trPr>
          <w:trHeight w:val="345"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房地产开发经营</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Y≥200000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1000≤Y＜200000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100≤Y＜1000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Y＜100</w:t>
            </w:r>
          </w:p>
        </w:tc>
      </w:tr>
      <w:tr>
        <w:tblPrEx>
          <w:shd w:val="clear" w:color="auto" w:fill="FFFFFF"/>
          <w:tblCellMar>
            <w:top w:w="0" w:type="dxa"/>
            <w:left w:w="0" w:type="dxa"/>
            <w:bottom w:w="0" w:type="dxa"/>
            <w:right w:w="0" w:type="dxa"/>
          </w:tblCellMar>
        </w:tblPrEx>
        <w:trPr>
          <w:trHeight w:val="345"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资产总额(Z)</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Z≥10000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5000≤Z＜10000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2000≤Z＜5000   </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Z＜2000</w:t>
            </w:r>
          </w:p>
        </w:tc>
      </w:tr>
      <w:tr>
        <w:tblPrEx>
          <w:shd w:val="clear" w:color="auto" w:fill="FFFFFF"/>
          <w:tblCellMar>
            <w:top w:w="0" w:type="dxa"/>
            <w:left w:w="0" w:type="dxa"/>
            <w:bottom w:w="0" w:type="dxa"/>
            <w:right w:w="0" w:type="dxa"/>
          </w:tblCellMar>
        </w:tblPrEx>
        <w:trPr>
          <w:trHeight w:val="345"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物业管理</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300≤X＜1000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100≤X＜300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X＜100</w:t>
            </w:r>
          </w:p>
        </w:tc>
      </w:tr>
      <w:tr>
        <w:tblPrEx>
          <w:shd w:val="clear" w:color="auto" w:fill="FFFFFF"/>
          <w:tblCellMar>
            <w:top w:w="0" w:type="dxa"/>
            <w:left w:w="0" w:type="dxa"/>
            <w:bottom w:w="0" w:type="dxa"/>
            <w:right w:w="0" w:type="dxa"/>
          </w:tblCellMar>
        </w:tblPrEx>
        <w:trPr>
          <w:trHeight w:val="345"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营业收入(Y)</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Y≥5000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1000≤Y＜5000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500≤Y＜1000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Y＜500</w:t>
            </w:r>
          </w:p>
        </w:tc>
      </w:tr>
      <w:tr>
        <w:tblPrEx>
          <w:shd w:val="clear" w:color="auto" w:fill="FFFFFF"/>
          <w:tblCellMar>
            <w:top w:w="0" w:type="dxa"/>
            <w:left w:w="0" w:type="dxa"/>
            <w:bottom w:w="0" w:type="dxa"/>
            <w:right w:w="0" w:type="dxa"/>
          </w:tblCellMar>
        </w:tblPrEx>
        <w:trPr>
          <w:trHeight w:val="345" w:hRule="atLeast"/>
          <w:jc w:val="center"/>
        </w:trPr>
        <w:tc>
          <w:tcPr>
            <w:tcW w:w="874" w:type="pct"/>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租赁和商务服务业</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X≥300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100≤X＜300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10≤X＜100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w:t>
            </w:r>
          </w:p>
        </w:tc>
      </w:tr>
      <w:tr>
        <w:tblPrEx>
          <w:shd w:val="clear" w:color="auto" w:fill="FFFFFF"/>
          <w:tblCellMar>
            <w:top w:w="0" w:type="dxa"/>
            <w:left w:w="0" w:type="dxa"/>
            <w:bottom w:w="0" w:type="dxa"/>
            <w:right w:w="0" w:type="dxa"/>
          </w:tblCellMar>
        </w:tblPrEx>
        <w:trPr>
          <w:trHeight w:val="345" w:hRule="atLeast"/>
          <w:jc w:val="center"/>
        </w:trPr>
        <w:tc>
          <w:tcPr>
            <w:tcW w:w="874" w:type="pct"/>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shd w:val="clear"/>
              <w:spacing w:line="360" w:lineRule="auto"/>
              <w:rPr>
                <w:rFonts w:ascii="宋体" w:hAnsi="宋体" w:cs="宋体"/>
                <w:color w:val="auto"/>
                <w:spacing w:val="8"/>
                <w:sz w:val="24"/>
                <w:highlight w:val="none"/>
              </w:rPr>
            </w:pPr>
          </w:p>
        </w:tc>
        <w:tc>
          <w:tcPr>
            <w:tcW w:w="89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资产总额(Z)</w:t>
            </w:r>
          </w:p>
        </w:tc>
        <w:tc>
          <w:tcPr>
            <w:tcW w:w="451"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万元</w:t>
            </w:r>
          </w:p>
        </w:tc>
        <w:tc>
          <w:tcPr>
            <w:tcW w:w="597"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Z≥120000</w:t>
            </w:r>
          </w:p>
        </w:tc>
        <w:tc>
          <w:tcPr>
            <w:tcW w:w="899"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8000≤Z＜120000</w:t>
            </w:r>
          </w:p>
        </w:tc>
        <w:tc>
          <w:tcPr>
            <w:tcW w:w="756"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100≤Z＜8000</w:t>
            </w:r>
          </w:p>
        </w:tc>
        <w:tc>
          <w:tcPr>
            <w:tcW w:w="525" w:type="pct"/>
            <w:tcBorders>
              <w:top w:val="nil"/>
              <w:left w:val="nil"/>
              <w:bottom w:val="single" w:color="4F81BD" w:sz="6" w:space="0"/>
              <w:right w:val="single" w:color="4F81BD" w:sz="6" w:space="0"/>
            </w:tcBorders>
            <w:shd w:val="clear" w:color="auto" w:fill="B8CCE4"/>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Z＜100</w:t>
            </w:r>
          </w:p>
        </w:tc>
      </w:tr>
      <w:tr>
        <w:tblPrEx>
          <w:shd w:val="clear" w:color="auto" w:fill="FFFFFF"/>
          <w:tblCellMar>
            <w:top w:w="0" w:type="dxa"/>
            <w:left w:w="0" w:type="dxa"/>
            <w:bottom w:w="0" w:type="dxa"/>
            <w:right w:w="0" w:type="dxa"/>
          </w:tblCellMar>
        </w:tblPrEx>
        <w:trPr>
          <w:trHeight w:val="390" w:hRule="atLeast"/>
          <w:jc w:val="center"/>
        </w:trPr>
        <w:tc>
          <w:tcPr>
            <w:tcW w:w="874" w:type="pc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both"/>
              <w:rPr>
                <w:rFonts w:cs="宋体"/>
                <w:color w:val="auto"/>
                <w:szCs w:val="24"/>
                <w:highlight w:val="none"/>
              </w:rPr>
            </w:pPr>
            <w:r>
              <w:rPr>
                <w:rFonts w:hint="eastAsia" w:cs="宋体"/>
                <w:color w:val="auto"/>
                <w:spacing w:val="8"/>
                <w:szCs w:val="24"/>
                <w:highlight w:val="none"/>
              </w:rPr>
              <w:t>其他未列明行业 *</w:t>
            </w:r>
          </w:p>
        </w:tc>
        <w:tc>
          <w:tcPr>
            <w:tcW w:w="89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从业人员(X)</w:t>
            </w:r>
          </w:p>
        </w:tc>
        <w:tc>
          <w:tcPr>
            <w:tcW w:w="451"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人</w:t>
            </w:r>
          </w:p>
        </w:tc>
        <w:tc>
          <w:tcPr>
            <w:tcW w:w="597"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X≥300</w:t>
            </w:r>
          </w:p>
        </w:tc>
        <w:tc>
          <w:tcPr>
            <w:tcW w:w="899"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100≤X＜300</w:t>
            </w:r>
          </w:p>
        </w:tc>
        <w:tc>
          <w:tcPr>
            <w:tcW w:w="756"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 10≤X＜100</w:t>
            </w:r>
          </w:p>
        </w:tc>
        <w:tc>
          <w:tcPr>
            <w:tcW w:w="525" w:type="pct"/>
            <w:tcBorders>
              <w:top w:val="nil"/>
              <w:left w:val="nil"/>
              <w:bottom w:val="single" w:color="4F81BD" w:sz="6" w:space="0"/>
              <w:right w:val="single" w:color="4F81BD" w:sz="6" w:space="0"/>
            </w:tcBorders>
            <w:shd w:val="clear" w:color="auto" w:fill="FFFFFF"/>
            <w:tcMar>
              <w:left w:w="105" w:type="dxa"/>
              <w:right w:w="105" w:type="dxa"/>
            </w:tcMar>
            <w:vAlign w:val="center"/>
          </w:tcPr>
          <w:p>
            <w:pPr>
              <w:pStyle w:val="43"/>
              <w:shd w:val="clear"/>
              <w:wordWrap w:val="0"/>
              <w:spacing w:before="0" w:beforeAutospacing="0" w:after="0" w:afterAutospacing="0" w:line="360" w:lineRule="auto"/>
              <w:jc w:val="center"/>
              <w:rPr>
                <w:rFonts w:cs="宋体"/>
                <w:color w:val="auto"/>
                <w:szCs w:val="24"/>
                <w:highlight w:val="none"/>
              </w:rPr>
            </w:pPr>
            <w:r>
              <w:rPr>
                <w:rFonts w:hint="eastAsia" w:cs="宋体"/>
                <w:color w:val="auto"/>
                <w:spacing w:val="8"/>
                <w:szCs w:val="24"/>
                <w:highlight w:val="none"/>
              </w:rPr>
              <w:t>X＜10</w:t>
            </w:r>
          </w:p>
        </w:tc>
      </w:tr>
    </w:tbl>
    <w:p>
      <w:pPr>
        <w:shd w:val="clear"/>
        <w:spacing w:line="360" w:lineRule="auto"/>
        <w:rPr>
          <w:rFonts w:ascii="宋体" w:hAnsi="宋体" w:cs="宋体"/>
          <w:color w:val="auto"/>
          <w:spacing w:val="15"/>
          <w:sz w:val="24"/>
          <w:highlight w:val="none"/>
        </w:rPr>
      </w:pPr>
    </w:p>
    <w:p>
      <w:pPr>
        <w:shd w:val="clear"/>
        <w:spacing w:line="360" w:lineRule="auto"/>
        <w:ind w:firstLine="540" w:firstLineChars="200"/>
        <w:rPr>
          <w:rFonts w:ascii="宋体" w:hAnsi="宋体" w:cs="宋体"/>
          <w:color w:val="auto"/>
          <w:spacing w:val="15"/>
          <w:sz w:val="24"/>
          <w:highlight w:val="none"/>
        </w:rPr>
      </w:pPr>
      <w:r>
        <w:rPr>
          <w:rFonts w:hint="eastAsia" w:ascii="宋体" w:hAnsi="宋体" w:cs="宋体"/>
          <w:color w:val="auto"/>
          <w:spacing w:val="15"/>
          <w:sz w:val="24"/>
          <w:highlight w:val="none"/>
        </w:rPr>
        <w:t>说明：1.大型、中型和小型企业须同时满足所列指标的下限，否则下划一档；微型企业只须满足所列指标中的一项即可。</w:t>
      </w:r>
    </w:p>
    <w:p>
      <w:pPr>
        <w:numPr>
          <w:ilvl w:val="0"/>
          <w:numId w:val="18"/>
        </w:numPr>
        <w:shd w:val="clear"/>
        <w:spacing w:line="360" w:lineRule="auto"/>
        <w:ind w:firstLine="540" w:firstLineChars="200"/>
        <w:rPr>
          <w:rFonts w:ascii="宋体" w:hAnsi="宋体" w:cs="宋体"/>
          <w:color w:val="auto"/>
          <w:spacing w:val="15"/>
          <w:sz w:val="24"/>
          <w:highlight w:val="none"/>
        </w:rPr>
      </w:pPr>
      <w:r>
        <w:rPr>
          <w:rFonts w:hint="eastAsia" w:ascii="宋体" w:hAnsi="宋体" w:cs="宋体"/>
          <w:color w:val="auto"/>
          <w:spacing w:val="15"/>
          <w:sz w:val="24"/>
          <w:highlight w:val="none"/>
        </w:rPr>
        <w:t>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numPr>
          <w:ilvl w:val="0"/>
          <w:numId w:val="18"/>
        </w:numPr>
        <w:shd w:val="clear"/>
        <w:spacing w:line="360" w:lineRule="auto"/>
        <w:ind w:firstLine="540" w:firstLineChars="200"/>
        <w:rPr>
          <w:rFonts w:ascii="宋体" w:hAnsi="宋体" w:cs="宋体"/>
          <w:color w:val="auto"/>
          <w:spacing w:val="15"/>
          <w:sz w:val="24"/>
          <w:highlight w:val="none"/>
        </w:rPr>
      </w:pPr>
      <w:r>
        <w:rPr>
          <w:rFonts w:hint="eastAsia" w:ascii="宋体" w:hAnsi="宋体" w:cs="宋体"/>
          <w:color w:val="auto"/>
          <w:spacing w:val="15"/>
          <w:sz w:val="24"/>
          <w:highlight w:val="none"/>
        </w:rPr>
        <w:t>企业划分指标以现行统计制度为准。</w:t>
      </w:r>
    </w:p>
    <w:p>
      <w:pPr>
        <w:shd w:val="clear"/>
        <w:spacing w:line="360" w:lineRule="auto"/>
        <w:ind w:firstLine="540" w:firstLineChars="200"/>
        <w:rPr>
          <w:rFonts w:ascii="宋体" w:hAnsi="宋体" w:cs="宋体"/>
          <w:color w:val="auto"/>
          <w:spacing w:val="15"/>
          <w:sz w:val="24"/>
          <w:highlight w:val="none"/>
        </w:rPr>
      </w:pPr>
      <w:r>
        <w:rPr>
          <w:rFonts w:hint="eastAsia" w:ascii="宋体" w:hAnsi="宋体" w:cs="宋体"/>
          <w:color w:val="auto"/>
          <w:spacing w:val="15"/>
          <w:sz w:val="24"/>
          <w:highlight w:val="none"/>
        </w:rPr>
        <w:t>（1）从业人员，是指期末从业人员数，没有期末从业人员数的，采用全年平均人员数代替。</w:t>
      </w:r>
    </w:p>
    <w:p>
      <w:pPr>
        <w:shd w:val="clear"/>
        <w:spacing w:line="360" w:lineRule="auto"/>
        <w:ind w:firstLine="540" w:firstLineChars="200"/>
        <w:rPr>
          <w:rFonts w:ascii="宋体" w:hAnsi="宋体" w:cs="宋体"/>
          <w:color w:val="auto"/>
          <w:spacing w:val="15"/>
          <w:sz w:val="24"/>
          <w:highlight w:val="none"/>
        </w:rPr>
      </w:pPr>
      <w:r>
        <w:rPr>
          <w:rFonts w:hint="eastAsia" w:ascii="宋体" w:hAnsi="宋体" w:cs="宋体"/>
          <w:color w:val="auto"/>
          <w:spacing w:val="15"/>
          <w:sz w:val="24"/>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hd w:val="clear"/>
        <w:spacing w:line="360" w:lineRule="auto"/>
        <w:ind w:firstLine="540" w:firstLineChars="200"/>
        <w:rPr>
          <w:rFonts w:ascii="宋体" w:hAnsi="宋体" w:cs="宋体"/>
          <w:color w:val="auto"/>
          <w:sz w:val="24"/>
          <w:highlight w:val="none"/>
        </w:rPr>
      </w:pPr>
      <w:r>
        <w:rPr>
          <w:rFonts w:hint="eastAsia" w:ascii="宋体" w:hAnsi="宋体" w:cs="宋体"/>
          <w:color w:val="auto"/>
          <w:spacing w:val="15"/>
          <w:sz w:val="24"/>
          <w:highlight w:val="none"/>
        </w:rPr>
        <w:t>（3）资产总额，采用资产总计代替。</w:t>
      </w:r>
    </w:p>
    <w:p>
      <w:pPr>
        <w:pStyle w:val="28"/>
        <w:shd w:val="clear"/>
        <w:jc w:val="center"/>
        <w:rPr>
          <w:rFonts w:hAnsi="宋体" w:cs="宋体"/>
          <w:b/>
          <w:color w:val="auto"/>
          <w:sz w:val="24"/>
          <w:szCs w:val="24"/>
          <w:highlight w:val="none"/>
        </w:rPr>
      </w:pPr>
      <w:r>
        <w:rPr>
          <w:rFonts w:hint="eastAsia" w:hAnsi="宋体" w:cs="宋体"/>
          <w:color w:val="auto"/>
          <w:sz w:val="24"/>
          <w:szCs w:val="24"/>
          <w:highlight w:val="none"/>
        </w:rPr>
        <w:br w:type="page"/>
      </w:r>
      <w:bookmarkEnd w:id="897"/>
      <w:bookmarkEnd w:id="898"/>
      <w:bookmarkEnd w:id="899"/>
      <w:bookmarkEnd w:id="900"/>
      <w:bookmarkEnd w:id="901"/>
    </w:p>
    <w:p>
      <w:pPr>
        <w:pStyle w:val="4"/>
        <w:shd w:val="clear"/>
        <w:tabs>
          <w:tab w:val="left" w:pos="840"/>
        </w:tabs>
        <w:spacing w:line="360" w:lineRule="auto"/>
        <w:jc w:val="center"/>
        <w:rPr>
          <w:rFonts w:ascii="宋体" w:hAnsi="宋体" w:eastAsia="宋体" w:cs="宋体"/>
          <w:color w:val="auto"/>
          <w:highlight w:val="none"/>
          <w:lang w:val="en-GB"/>
        </w:rPr>
      </w:pPr>
      <w:bookmarkStart w:id="902" w:name="_Toc17709"/>
      <w:bookmarkStart w:id="903" w:name="_Toc18443"/>
      <w:r>
        <w:rPr>
          <w:rFonts w:hint="eastAsia" w:ascii="宋体" w:hAnsi="宋体" w:eastAsia="宋体" w:cs="宋体"/>
          <w:color w:val="auto"/>
          <w:highlight w:val="none"/>
          <w:lang w:val="en-GB"/>
        </w:rPr>
        <w:t>十</w:t>
      </w:r>
      <w:r>
        <w:rPr>
          <w:rFonts w:hint="eastAsia" w:ascii="宋体" w:hAnsi="宋体" w:eastAsia="宋体" w:cs="宋体"/>
          <w:color w:val="auto"/>
          <w:highlight w:val="none"/>
        </w:rPr>
        <w:t>一</w:t>
      </w:r>
      <w:r>
        <w:rPr>
          <w:rFonts w:hint="eastAsia" w:ascii="宋体" w:hAnsi="宋体" w:eastAsia="宋体" w:cs="宋体"/>
          <w:color w:val="auto"/>
          <w:highlight w:val="none"/>
          <w:lang w:val="en-GB"/>
        </w:rPr>
        <w:t>、评审办法中所要求提供的</w:t>
      </w:r>
      <w:r>
        <w:rPr>
          <w:rFonts w:hint="eastAsia" w:ascii="宋体" w:hAnsi="宋体" w:eastAsia="宋体" w:cs="宋体"/>
          <w:color w:val="auto"/>
          <w:highlight w:val="none"/>
        </w:rPr>
        <w:t>其它</w:t>
      </w:r>
      <w:r>
        <w:rPr>
          <w:rFonts w:hint="eastAsia" w:ascii="宋体" w:hAnsi="宋体" w:eastAsia="宋体" w:cs="宋体"/>
          <w:color w:val="auto"/>
          <w:highlight w:val="none"/>
          <w:lang w:val="en-GB"/>
        </w:rPr>
        <w:t>相关材料</w:t>
      </w:r>
      <w:bookmarkEnd w:id="902"/>
      <w:bookmarkEnd w:id="903"/>
    </w:p>
    <w:p>
      <w:pPr>
        <w:pStyle w:val="28"/>
        <w:shd w:val="clear"/>
        <w:jc w:val="center"/>
        <w:rPr>
          <w:rFonts w:hAnsi="宋体" w:cs="宋体"/>
          <w:b/>
          <w:color w:val="auto"/>
          <w:sz w:val="24"/>
          <w:szCs w:val="24"/>
          <w:highlight w:val="none"/>
        </w:rPr>
      </w:pPr>
    </w:p>
    <w:p>
      <w:pPr>
        <w:shd w:val="clear"/>
        <w:spacing w:line="360" w:lineRule="auto"/>
        <w:jc w:val="left"/>
        <w:rPr>
          <w:rFonts w:ascii="宋体" w:hAnsi="宋体" w:cs="宋体"/>
          <w:color w:val="auto"/>
          <w:sz w:val="24"/>
          <w:highlight w:val="none"/>
        </w:rPr>
      </w:pP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1、磋商文件及评标办法中要求的与本项目相关的所有资料的复印件或扫描件；</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2、供应商认为与本项目有关其他必要的内容及承诺。</w:t>
      </w:r>
    </w:p>
    <w:p>
      <w:pPr>
        <w:shd w:val="clear"/>
        <w:spacing w:line="360" w:lineRule="auto"/>
        <w:rPr>
          <w:rFonts w:ascii="宋体" w:hAnsi="宋体" w:cs="宋体"/>
          <w:color w:val="auto"/>
          <w:kern w:val="1"/>
          <w:sz w:val="24"/>
          <w:highlight w:val="none"/>
        </w:rPr>
      </w:pPr>
    </w:p>
    <w:p>
      <w:pPr>
        <w:pStyle w:val="28"/>
        <w:shd w:val="clear"/>
        <w:spacing w:line="480" w:lineRule="auto"/>
        <w:jc w:val="left"/>
        <w:rPr>
          <w:rFonts w:hAnsi="宋体" w:cs="宋体"/>
          <w:color w:val="auto"/>
          <w:kern w:val="1"/>
          <w:sz w:val="24"/>
          <w:szCs w:val="24"/>
          <w:highlight w:val="none"/>
        </w:rPr>
      </w:pPr>
      <w:r>
        <w:rPr>
          <w:rFonts w:hint="eastAsia" w:hAnsi="宋体" w:cs="宋体"/>
          <w:color w:val="auto"/>
          <w:kern w:val="1"/>
          <w:sz w:val="24"/>
          <w:szCs w:val="24"/>
          <w:highlight w:val="none"/>
        </w:rPr>
        <w:t>注：</w:t>
      </w:r>
    </w:p>
    <w:p>
      <w:pPr>
        <w:pStyle w:val="28"/>
        <w:numPr>
          <w:ilvl w:val="0"/>
          <w:numId w:val="19"/>
        </w:numPr>
        <w:shd w:val="clear"/>
        <w:spacing w:line="480" w:lineRule="auto"/>
        <w:jc w:val="left"/>
        <w:rPr>
          <w:rFonts w:hAnsi="宋体" w:cs="宋体"/>
          <w:color w:val="auto"/>
          <w:kern w:val="1"/>
          <w:sz w:val="24"/>
          <w:szCs w:val="24"/>
          <w:highlight w:val="none"/>
        </w:rPr>
      </w:pPr>
      <w:r>
        <w:rPr>
          <w:rFonts w:hint="eastAsia" w:hAnsi="宋体" w:cs="宋体"/>
          <w:color w:val="auto"/>
          <w:kern w:val="1"/>
          <w:sz w:val="24"/>
          <w:szCs w:val="24"/>
          <w:highlight w:val="none"/>
        </w:rPr>
        <w:t>文件中已放过的资料可不重复放。</w:t>
      </w:r>
    </w:p>
    <w:p>
      <w:pPr>
        <w:pStyle w:val="28"/>
        <w:shd w:val="clear"/>
        <w:spacing w:line="480" w:lineRule="auto"/>
        <w:jc w:val="left"/>
        <w:rPr>
          <w:rFonts w:hAnsi="宋体" w:cs="宋体"/>
          <w:b/>
          <w:color w:val="auto"/>
          <w:sz w:val="24"/>
          <w:szCs w:val="24"/>
          <w:highlight w:val="none"/>
        </w:rPr>
      </w:pPr>
      <w:r>
        <w:rPr>
          <w:rFonts w:hint="eastAsia" w:hAnsi="宋体" w:cs="宋体"/>
          <w:color w:val="auto"/>
          <w:kern w:val="1"/>
          <w:sz w:val="24"/>
          <w:szCs w:val="24"/>
          <w:highlight w:val="none"/>
        </w:rPr>
        <w:t>2、磋商文件中没有给出固定格式的，格式自拟。</w:t>
      </w:r>
    </w:p>
    <w:p>
      <w:pPr>
        <w:pStyle w:val="28"/>
        <w:shd w:val="clear"/>
        <w:spacing w:line="480" w:lineRule="auto"/>
        <w:jc w:val="left"/>
        <w:rPr>
          <w:rFonts w:hAnsi="宋体" w:cs="宋体"/>
          <w:b/>
          <w:color w:val="auto"/>
          <w:sz w:val="24"/>
          <w:szCs w:val="24"/>
          <w:highlight w:val="none"/>
        </w:rPr>
      </w:pPr>
    </w:p>
    <w:p>
      <w:pPr>
        <w:pStyle w:val="28"/>
        <w:shd w:val="clear"/>
        <w:jc w:val="center"/>
        <w:rPr>
          <w:rFonts w:hAnsi="宋体" w:cs="宋体"/>
          <w:b/>
          <w:color w:val="auto"/>
          <w:sz w:val="24"/>
          <w:szCs w:val="24"/>
          <w:highlight w:val="none"/>
        </w:rPr>
      </w:pPr>
    </w:p>
    <w:p>
      <w:pPr>
        <w:pStyle w:val="28"/>
        <w:shd w:val="clear"/>
        <w:jc w:val="center"/>
        <w:rPr>
          <w:rFonts w:hAnsi="宋体" w:cs="宋体"/>
          <w:b/>
          <w:color w:val="auto"/>
          <w:sz w:val="24"/>
          <w:szCs w:val="24"/>
          <w:highlight w:val="none"/>
        </w:rPr>
      </w:pPr>
    </w:p>
    <w:p>
      <w:pPr>
        <w:pStyle w:val="28"/>
        <w:shd w:val="clear"/>
        <w:jc w:val="center"/>
        <w:rPr>
          <w:rFonts w:hAnsi="宋体" w:cs="宋体"/>
          <w:b/>
          <w:color w:val="auto"/>
          <w:sz w:val="24"/>
          <w:szCs w:val="24"/>
          <w:highlight w:val="none"/>
        </w:rPr>
      </w:pPr>
    </w:p>
    <w:p>
      <w:pPr>
        <w:pStyle w:val="28"/>
        <w:shd w:val="clear"/>
        <w:jc w:val="center"/>
        <w:rPr>
          <w:rFonts w:hAnsi="宋体" w:cs="宋体"/>
          <w:b/>
          <w:color w:val="auto"/>
          <w:sz w:val="24"/>
          <w:szCs w:val="24"/>
          <w:highlight w:val="none"/>
        </w:rPr>
      </w:pPr>
    </w:p>
    <w:p>
      <w:pPr>
        <w:pStyle w:val="28"/>
        <w:shd w:val="clear"/>
        <w:jc w:val="center"/>
        <w:rPr>
          <w:rFonts w:hAnsi="宋体" w:cs="宋体"/>
          <w:b/>
          <w:color w:val="auto"/>
          <w:sz w:val="24"/>
          <w:szCs w:val="24"/>
          <w:highlight w:val="none"/>
        </w:rPr>
      </w:pPr>
    </w:p>
    <w:p>
      <w:pPr>
        <w:pStyle w:val="28"/>
        <w:shd w:val="clear"/>
        <w:jc w:val="center"/>
        <w:rPr>
          <w:rFonts w:hAnsi="宋体" w:cs="宋体"/>
          <w:b/>
          <w:color w:val="auto"/>
          <w:sz w:val="24"/>
          <w:szCs w:val="24"/>
          <w:highlight w:val="none"/>
        </w:rPr>
      </w:pPr>
    </w:p>
    <w:p>
      <w:pPr>
        <w:pStyle w:val="28"/>
        <w:shd w:val="clear"/>
        <w:jc w:val="center"/>
        <w:rPr>
          <w:rFonts w:hAnsi="宋体" w:cs="宋体"/>
          <w:b/>
          <w:color w:val="auto"/>
          <w:sz w:val="24"/>
          <w:szCs w:val="24"/>
          <w:highlight w:val="none"/>
        </w:rPr>
      </w:pPr>
    </w:p>
    <w:p>
      <w:pPr>
        <w:pStyle w:val="28"/>
        <w:shd w:val="clear"/>
        <w:jc w:val="center"/>
        <w:rPr>
          <w:rFonts w:hAnsi="宋体" w:cs="宋体"/>
          <w:b/>
          <w:color w:val="auto"/>
          <w:sz w:val="24"/>
          <w:szCs w:val="24"/>
          <w:highlight w:val="none"/>
        </w:rPr>
      </w:pPr>
    </w:p>
    <w:p>
      <w:pPr>
        <w:pStyle w:val="28"/>
        <w:shd w:val="clear"/>
        <w:jc w:val="center"/>
        <w:rPr>
          <w:rFonts w:hAnsi="宋体" w:cs="宋体"/>
          <w:b/>
          <w:color w:val="auto"/>
          <w:sz w:val="24"/>
          <w:szCs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sectPr>
      <w:footerReference r:id="rId11" w:type="first"/>
      <w:headerReference r:id="rId8" w:type="default"/>
      <w:footerReference r:id="rId9" w:type="default"/>
      <w:footerReference r:id="rId10" w:type="even"/>
      <w:pgSz w:w="11907" w:h="16840"/>
      <w:pgMar w:top="1418" w:right="1418" w:bottom="1304" w:left="1531" w:header="1077" w:footer="102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体">
    <w:altName w:val="仿宋"/>
    <w:panose1 w:val="00000000000000000000"/>
    <w:charset w:val="86"/>
    <w:family w:val="modern"/>
    <w:pitch w:val="default"/>
    <w:sig w:usb0="00000000" w:usb1="00000000" w:usb2="0000001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苹方 常规">
    <w:altName w:val="宋体"/>
    <w:panose1 w:val="00000000000000000000"/>
    <w:charset w:val="86"/>
    <w:family w:val="roma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116</w:t>
                    </w:r>
                    <w:r>
                      <w:fldChar w:fldCharType="end"/>
                    </w:r>
                  </w:p>
                </w:txbxContent>
              </v:textbox>
            </v:shape>
          </w:pict>
        </mc:Fallback>
      </mc:AlternateContent>
    </w:r>
    <w:r>
      <w:rPr>
        <w:rFonts w:cs="宋体"/>
      </w:rPr>
      <w:t xml:space="preserve">                                                                    </w:t>
    </w:r>
    <w:r>
      <w:rPr>
        <w:rFonts w:hint="eastAsia" w:cs="宋体"/>
      </w:rPr>
      <w:t xml:space="preserve">   </w:t>
    </w:r>
    <w:r>
      <w:rPr>
        <w:rFonts w:cs="宋体"/>
      </w:rPr>
      <w:t xml:space="preserve">                             </w:t>
    </w:r>
  </w:p>
  <w:p>
    <w:pPr>
      <w:pStyle w:val="33"/>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3"/>
      </w:rPr>
    </w:pPr>
    <w:r>
      <w:fldChar w:fldCharType="begin"/>
    </w:r>
    <w:r>
      <w:rPr>
        <w:rStyle w:val="53"/>
      </w:rPr>
      <w:instrText xml:space="preserve">PAGE  </w:instrTex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thinThickSmallGap" w:color="auto" w:sz="12" w:space="1"/>
      </w:pBdr>
      <w:jc w:val="both"/>
    </w:pPr>
    <w:r>
      <w:rPr>
        <w:rFonts w:hint="eastAsia" w:ascii="宋体" w:hAnsi="宋体" w:cs="宋体"/>
        <w:iCs/>
        <w:sz w:val="21"/>
        <w:szCs w:val="21"/>
      </w:rPr>
      <w:t>河南司法警官职业学院心理健康教育标准化建设项目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thinThickSmallGap" w:color="auto" w:sz="12" w:space="1"/>
      </w:pBdr>
      <w:jc w:val="left"/>
    </w:pPr>
    <w:r>
      <w:rPr>
        <w:rFonts w:hint="eastAsia" w:ascii="宋体" w:hAnsi="宋体" w:cs="宋体"/>
        <w:iCs/>
        <w:sz w:val="21"/>
        <w:szCs w:val="21"/>
      </w:rPr>
      <w:t>河南司法警官职业学院心理健康教育标准化建设项目                     竞争性磋商文件</w:t>
    </w:r>
  </w:p>
  <w:p>
    <w:pPr>
      <w:pStyle w:val="3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ascii="宋体" w:hAnsi="宋体" w:cs="宋体"/>
        <w:iCs/>
        <w:sz w:val="21"/>
        <w:szCs w:val="21"/>
      </w:rPr>
    </w:pPr>
  </w:p>
  <w:p>
    <w:pPr>
      <w:pStyle w:val="34"/>
      <w:pBdr>
        <w:bottom w:val="thinThickSmallGap" w:color="993300" w:sz="12" w:space="1"/>
      </w:pBdr>
      <w:jc w:val="both"/>
    </w:pPr>
    <w:r>
      <w:rPr>
        <w:rFonts w:hint="eastAsia" w:ascii="宋体" w:hAnsi="宋体" w:cs="宋体"/>
        <w:iCs/>
        <w:sz w:val="21"/>
        <w:szCs w:val="21"/>
      </w:rPr>
      <w:t>河南司法警官职业学院心理健康教育标准化建设项目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thinThickSmallGap" w:color="993300" w:sz="12" w:space="1"/>
      </w:pBdr>
      <w:jc w:val="left"/>
      <w:rPr>
        <w:rFonts w:ascii="宋体" w:hAnsi="宋体" w:cs="宋体"/>
        <w:sz w:val="21"/>
        <w:szCs w:val="21"/>
      </w:rPr>
    </w:pPr>
    <w:r>
      <w:rPr>
        <w:rFonts w:hint="eastAsia" w:ascii="宋体" w:hAnsi="宋体" w:cs="宋体"/>
        <w:iCs/>
        <w:sz w:val="21"/>
        <w:szCs w:val="21"/>
      </w:rPr>
      <w:t>河南司法警官职业学院心理健康教育标准化建设项目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E2819"/>
    <w:multiLevelType w:val="singleLevel"/>
    <w:tmpl w:val="93FE2819"/>
    <w:lvl w:ilvl="0" w:tentative="0">
      <w:start w:val="1"/>
      <w:numFmt w:val="decimal"/>
      <w:lvlText w:val="%1."/>
      <w:lvlJc w:val="left"/>
      <w:pPr>
        <w:tabs>
          <w:tab w:val="left" w:pos="312"/>
        </w:tabs>
      </w:pPr>
    </w:lvl>
  </w:abstractNum>
  <w:abstractNum w:abstractNumId="1">
    <w:nsid w:val="A40D3925"/>
    <w:multiLevelType w:val="singleLevel"/>
    <w:tmpl w:val="A40D3925"/>
    <w:lvl w:ilvl="0" w:tentative="0">
      <w:start w:val="1"/>
      <w:numFmt w:val="decimal"/>
      <w:lvlText w:val="%1."/>
      <w:lvlJc w:val="left"/>
      <w:pPr>
        <w:tabs>
          <w:tab w:val="left" w:pos="312"/>
        </w:tabs>
      </w:pPr>
    </w:lvl>
  </w:abstractNum>
  <w:abstractNum w:abstractNumId="2">
    <w:nsid w:val="C401838A"/>
    <w:multiLevelType w:val="singleLevel"/>
    <w:tmpl w:val="C401838A"/>
    <w:lvl w:ilvl="0" w:tentative="0">
      <w:start w:val="3"/>
      <w:numFmt w:val="chineseCounting"/>
      <w:suff w:val="space"/>
      <w:lvlText w:val="第%1章"/>
      <w:lvlJc w:val="left"/>
      <w:pPr>
        <w:ind w:left="3780"/>
      </w:pPr>
      <w:rPr>
        <w:rFonts w:hint="eastAsia"/>
      </w:rPr>
    </w:lvl>
  </w:abstractNum>
  <w:abstractNum w:abstractNumId="3">
    <w:nsid w:val="C7ED9771"/>
    <w:multiLevelType w:val="singleLevel"/>
    <w:tmpl w:val="C7ED9771"/>
    <w:lvl w:ilvl="0" w:tentative="0">
      <w:start w:val="1"/>
      <w:numFmt w:val="decimal"/>
      <w:suff w:val="nothing"/>
      <w:lvlText w:val="%1、"/>
      <w:lvlJc w:val="left"/>
    </w:lvl>
  </w:abstractNum>
  <w:abstractNum w:abstractNumId="4">
    <w:nsid w:val="CDB1CA8D"/>
    <w:multiLevelType w:val="singleLevel"/>
    <w:tmpl w:val="CDB1CA8D"/>
    <w:lvl w:ilvl="0" w:tentative="0">
      <w:start w:val="1"/>
      <w:numFmt w:val="decimal"/>
      <w:lvlText w:val="%1."/>
      <w:lvlJc w:val="left"/>
      <w:pPr>
        <w:tabs>
          <w:tab w:val="left" w:pos="312"/>
        </w:tabs>
      </w:pPr>
    </w:lvl>
  </w:abstractNum>
  <w:abstractNum w:abstractNumId="5">
    <w:nsid w:val="D4F88865"/>
    <w:multiLevelType w:val="singleLevel"/>
    <w:tmpl w:val="D4F88865"/>
    <w:lvl w:ilvl="0" w:tentative="0">
      <w:start w:val="1"/>
      <w:numFmt w:val="decimal"/>
      <w:lvlText w:val="%1."/>
      <w:lvlJc w:val="left"/>
      <w:pPr>
        <w:tabs>
          <w:tab w:val="left" w:pos="312"/>
        </w:tabs>
      </w:pPr>
    </w:lvl>
  </w:abstractNum>
  <w:abstractNum w:abstractNumId="6">
    <w:nsid w:val="D993C15E"/>
    <w:multiLevelType w:val="singleLevel"/>
    <w:tmpl w:val="D993C15E"/>
    <w:lvl w:ilvl="0" w:tentative="0">
      <w:start w:val="5"/>
      <w:numFmt w:val="decimal"/>
      <w:suff w:val="nothing"/>
      <w:lvlText w:val="%1、"/>
      <w:lvlJc w:val="left"/>
    </w:lvl>
  </w:abstractNum>
  <w:abstractNum w:abstractNumId="7">
    <w:nsid w:val="DD4BE79A"/>
    <w:multiLevelType w:val="singleLevel"/>
    <w:tmpl w:val="DD4BE79A"/>
    <w:lvl w:ilvl="0" w:tentative="0">
      <w:start w:val="1"/>
      <w:numFmt w:val="decimal"/>
      <w:lvlText w:val="%1."/>
      <w:lvlJc w:val="left"/>
      <w:pPr>
        <w:tabs>
          <w:tab w:val="left" w:pos="312"/>
        </w:tabs>
      </w:pPr>
    </w:lvl>
  </w:abstractNum>
  <w:abstractNum w:abstractNumId="8">
    <w:nsid w:val="E5EB9349"/>
    <w:multiLevelType w:val="singleLevel"/>
    <w:tmpl w:val="E5EB9349"/>
    <w:lvl w:ilvl="0" w:tentative="0">
      <w:start w:val="1"/>
      <w:numFmt w:val="chineseCounting"/>
      <w:suff w:val="space"/>
      <w:lvlText w:val="第%1章"/>
      <w:lvlJc w:val="left"/>
      <w:rPr>
        <w:rFonts w:hint="eastAsia"/>
      </w:rPr>
    </w:lvl>
  </w:abstractNum>
  <w:abstractNum w:abstractNumId="9">
    <w:nsid w:val="FA00D462"/>
    <w:multiLevelType w:val="singleLevel"/>
    <w:tmpl w:val="FA00D462"/>
    <w:lvl w:ilvl="0" w:tentative="0">
      <w:start w:val="1"/>
      <w:numFmt w:val="decimal"/>
      <w:lvlText w:val="%1."/>
      <w:lvlJc w:val="left"/>
      <w:pPr>
        <w:tabs>
          <w:tab w:val="left" w:pos="312"/>
        </w:tabs>
      </w:pPr>
    </w:lvl>
  </w:abstractNum>
  <w:abstractNum w:abstractNumId="10">
    <w:nsid w:val="FE397862"/>
    <w:multiLevelType w:val="singleLevel"/>
    <w:tmpl w:val="FE397862"/>
    <w:lvl w:ilvl="0" w:tentative="0">
      <w:start w:val="1"/>
      <w:numFmt w:val="decimal"/>
      <w:lvlText w:val="%1."/>
      <w:lvlJc w:val="left"/>
      <w:pPr>
        <w:tabs>
          <w:tab w:val="left" w:pos="312"/>
        </w:tabs>
      </w:pPr>
    </w:lvl>
  </w:abstractNum>
  <w:abstractNum w:abstractNumId="11">
    <w:nsid w:val="0C5F1E43"/>
    <w:multiLevelType w:val="singleLevel"/>
    <w:tmpl w:val="0C5F1E43"/>
    <w:lvl w:ilvl="0" w:tentative="0">
      <w:start w:val="1"/>
      <w:numFmt w:val="chineseCounting"/>
      <w:suff w:val="nothing"/>
      <w:lvlText w:val="%1、"/>
      <w:lvlJc w:val="left"/>
      <w:rPr>
        <w:rFonts w:hint="eastAsia"/>
      </w:rPr>
    </w:lvl>
  </w:abstractNum>
  <w:abstractNum w:abstractNumId="12">
    <w:nsid w:val="2D292BE3"/>
    <w:multiLevelType w:val="singleLevel"/>
    <w:tmpl w:val="2D292BE3"/>
    <w:lvl w:ilvl="0" w:tentative="0">
      <w:start w:val="1"/>
      <w:numFmt w:val="decimal"/>
      <w:lvlText w:val="%1."/>
      <w:lvlJc w:val="left"/>
      <w:pPr>
        <w:tabs>
          <w:tab w:val="left" w:pos="312"/>
        </w:tabs>
      </w:pPr>
    </w:lvl>
  </w:abstractNum>
  <w:abstractNum w:abstractNumId="13">
    <w:nsid w:val="30A18192"/>
    <w:multiLevelType w:val="singleLevel"/>
    <w:tmpl w:val="30A18192"/>
    <w:lvl w:ilvl="0" w:tentative="0">
      <w:start w:val="1"/>
      <w:numFmt w:val="decimal"/>
      <w:lvlText w:val="%1."/>
      <w:lvlJc w:val="left"/>
      <w:pPr>
        <w:tabs>
          <w:tab w:val="left" w:pos="312"/>
        </w:tabs>
      </w:pPr>
    </w:lvl>
  </w:abstractNum>
  <w:abstractNum w:abstractNumId="14">
    <w:nsid w:val="38D86342"/>
    <w:multiLevelType w:val="singleLevel"/>
    <w:tmpl w:val="38D86342"/>
    <w:lvl w:ilvl="0" w:tentative="0">
      <w:start w:val="1"/>
      <w:numFmt w:val="decimal"/>
      <w:lvlText w:val="%1."/>
      <w:lvlJc w:val="left"/>
      <w:pPr>
        <w:tabs>
          <w:tab w:val="left" w:pos="312"/>
        </w:tabs>
      </w:pPr>
    </w:lvl>
  </w:abstractNum>
  <w:abstractNum w:abstractNumId="15">
    <w:nsid w:val="38DAA284"/>
    <w:multiLevelType w:val="singleLevel"/>
    <w:tmpl w:val="38DAA284"/>
    <w:lvl w:ilvl="0" w:tentative="0">
      <w:start w:val="1"/>
      <w:numFmt w:val="decimal"/>
      <w:lvlText w:val="%1."/>
      <w:lvlJc w:val="left"/>
      <w:pPr>
        <w:tabs>
          <w:tab w:val="left" w:pos="312"/>
        </w:tabs>
      </w:pPr>
    </w:lvl>
  </w:abstractNum>
  <w:abstractNum w:abstractNumId="16">
    <w:nsid w:val="48BEBF68"/>
    <w:multiLevelType w:val="singleLevel"/>
    <w:tmpl w:val="48BEBF68"/>
    <w:lvl w:ilvl="0" w:tentative="0">
      <w:start w:val="1"/>
      <w:numFmt w:val="decimal"/>
      <w:lvlText w:val="%1."/>
      <w:lvlJc w:val="left"/>
      <w:pPr>
        <w:tabs>
          <w:tab w:val="left" w:pos="312"/>
        </w:tabs>
      </w:pPr>
    </w:lvl>
  </w:abstractNum>
  <w:abstractNum w:abstractNumId="17">
    <w:nsid w:val="4F3FF634"/>
    <w:multiLevelType w:val="singleLevel"/>
    <w:tmpl w:val="4F3FF634"/>
    <w:lvl w:ilvl="0" w:tentative="0">
      <w:start w:val="2"/>
      <w:numFmt w:val="decimal"/>
      <w:lvlText w:val="%1."/>
      <w:lvlJc w:val="left"/>
      <w:pPr>
        <w:tabs>
          <w:tab w:val="left" w:pos="312"/>
        </w:tabs>
      </w:pPr>
    </w:lvl>
  </w:abstractNum>
  <w:abstractNum w:abstractNumId="18">
    <w:nsid w:val="7704E249"/>
    <w:multiLevelType w:val="singleLevel"/>
    <w:tmpl w:val="7704E249"/>
    <w:lvl w:ilvl="0" w:tentative="0">
      <w:start w:val="1"/>
      <w:numFmt w:val="decimal"/>
      <w:lvlText w:val="%1."/>
      <w:lvlJc w:val="left"/>
      <w:pPr>
        <w:tabs>
          <w:tab w:val="left" w:pos="312"/>
        </w:tabs>
      </w:pPr>
    </w:lvl>
  </w:abstractNum>
  <w:num w:numId="1">
    <w:abstractNumId w:val="8"/>
  </w:num>
  <w:num w:numId="2">
    <w:abstractNumId w:val="6"/>
  </w:num>
  <w:num w:numId="3">
    <w:abstractNumId w:val="2"/>
  </w:num>
  <w:num w:numId="4">
    <w:abstractNumId w:val="18"/>
  </w:num>
  <w:num w:numId="5">
    <w:abstractNumId w:val="15"/>
  </w:num>
  <w:num w:numId="6">
    <w:abstractNumId w:val="14"/>
  </w:num>
  <w:num w:numId="7">
    <w:abstractNumId w:val="12"/>
  </w:num>
  <w:num w:numId="8">
    <w:abstractNumId w:val="10"/>
  </w:num>
  <w:num w:numId="9">
    <w:abstractNumId w:val="9"/>
  </w:num>
  <w:num w:numId="10">
    <w:abstractNumId w:val="4"/>
  </w:num>
  <w:num w:numId="11">
    <w:abstractNumId w:val="11"/>
  </w:num>
  <w:num w:numId="12">
    <w:abstractNumId w:val="5"/>
  </w:num>
  <w:num w:numId="13">
    <w:abstractNumId w:val="16"/>
  </w:num>
  <w:num w:numId="14">
    <w:abstractNumId w:val="0"/>
  </w:num>
  <w:num w:numId="15">
    <w:abstractNumId w:val="13"/>
  </w:num>
  <w:num w:numId="16">
    <w:abstractNumId w:val="7"/>
  </w:num>
  <w:num w:numId="17">
    <w:abstractNumId w:val="1"/>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OThkMzc2ZTVhYjJlN2ExYjAxNzg2YjQ1Zjk2MTkifQ=="/>
  </w:docVars>
  <w:rsids>
    <w:rsidRoot w:val="0020087F"/>
    <w:rsid w:val="00001D30"/>
    <w:rsid w:val="00002327"/>
    <w:rsid w:val="00002EEE"/>
    <w:rsid w:val="000044A9"/>
    <w:rsid w:val="00004ABE"/>
    <w:rsid w:val="000052B2"/>
    <w:rsid w:val="000063DC"/>
    <w:rsid w:val="00010E22"/>
    <w:rsid w:val="000115D5"/>
    <w:rsid w:val="00011FA7"/>
    <w:rsid w:val="00012376"/>
    <w:rsid w:val="000125BB"/>
    <w:rsid w:val="00012E23"/>
    <w:rsid w:val="00014662"/>
    <w:rsid w:val="00014F0D"/>
    <w:rsid w:val="000201A3"/>
    <w:rsid w:val="00022E1F"/>
    <w:rsid w:val="00023412"/>
    <w:rsid w:val="00024ABA"/>
    <w:rsid w:val="00024B65"/>
    <w:rsid w:val="00024BD6"/>
    <w:rsid w:val="00025934"/>
    <w:rsid w:val="000260B5"/>
    <w:rsid w:val="00026B21"/>
    <w:rsid w:val="00026DA1"/>
    <w:rsid w:val="00030380"/>
    <w:rsid w:val="000305EE"/>
    <w:rsid w:val="00030F30"/>
    <w:rsid w:val="0003236F"/>
    <w:rsid w:val="000327F0"/>
    <w:rsid w:val="00032B1A"/>
    <w:rsid w:val="0003562E"/>
    <w:rsid w:val="00035913"/>
    <w:rsid w:val="00036670"/>
    <w:rsid w:val="00037EB7"/>
    <w:rsid w:val="00040613"/>
    <w:rsid w:val="00040B77"/>
    <w:rsid w:val="00040E07"/>
    <w:rsid w:val="00043A06"/>
    <w:rsid w:val="0004404F"/>
    <w:rsid w:val="00045769"/>
    <w:rsid w:val="000461C4"/>
    <w:rsid w:val="00046CA8"/>
    <w:rsid w:val="00051510"/>
    <w:rsid w:val="00052029"/>
    <w:rsid w:val="0005293D"/>
    <w:rsid w:val="0005588D"/>
    <w:rsid w:val="00056B6C"/>
    <w:rsid w:val="00060C9D"/>
    <w:rsid w:val="00062D47"/>
    <w:rsid w:val="00063172"/>
    <w:rsid w:val="00063AEB"/>
    <w:rsid w:val="0006509F"/>
    <w:rsid w:val="000664BA"/>
    <w:rsid w:val="00067DA0"/>
    <w:rsid w:val="000712E3"/>
    <w:rsid w:val="000714A4"/>
    <w:rsid w:val="000724AC"/>
    <w:rsid w:val="00073D36"/>
    <w:rsid w:val="00073D65"/>
    <w:rsid w:val="00074522"/>
    <w:rsid w:val="000748E9"/>
    <w:rsid w:val="00075C0F"/>
    <w:rsid w:val="00076DC4"/>
    <w:rsid w:val="000778EA"/>
    <w:rsid w:val="00077A06"/>
    <w:rsid w:val="00077A86"/>
    <w:rsid w:val="00080DDB"/>
    <w:rsid w:val="000818DC"/>
    <w:rsid w:val="00085F50"/>
    <w:rsid w:val="00086102"/>
    <w:rsid w:val="00086D72"/>
    <w:rsid w:val="00087A7A"/>
    <w:rsid w:val="00090759"/>
    <w:rsid w:val="00090853"/>
    <w:rsid w:val="00090C01"/>
    <w:rsid w:val="000911B6"/>
    <w:rsid w:val="0009121A"/>
    <w:rsid w:val="00092623"/>
    <w:rsid w:val="00095756"/>
    <w:rsid w:val="00097E09"/>
    <w:rsid w:val="000A0CD7"/>
    <w:rsid w:val="000A1FC6"/>
    <w:rsid w:val="000A4138"/>
    <w:rsid w:val="000A5136"/>
    <w:rsid w:val="000A5CBF"/>
    <w:rsid w:val="000A6C95"/>
    <w:rsid w:val="000A70C4"/>
    <w:rsid w:val="000B138E"/>
    <w:rsid w:val="000B148C"/>
    <w:rsid w:val="000B14DA"/>
    <w:rsid w:val="000B1B23"/>
    <w:rsid w:val="000B237F"/>
    <w:rsid w:val="000B3589"/>
    <w:rsid w:val="000B3D9D"/>
    <w:rsid w:val="000B4AD9"/>
    <w:rsid w:val="000B5022"/>
    <w:rsid w:val="000B5279"/>
    <w:rsid w:val="000B5AF3"/>
    <w:rsid w:val="000B6E02"/>
    <w:rsid w:val="000B768E"/>
    <w:rsid w:val="000B7B1B"/>
    <w:rsid w:val="000B7E0E"/>
    <w:rsid w:val="000B7F2A"/>
    <w:rsid w:val="000C0406"/>
    <w:rsid w:val="000C0A86"/>
    <w:rsid w:val="000C0FBB"/>
    <w:rsid w:val="000C229D"/>
    <w:rsid w:val="000C3183"/>
    <w:rsid w:val="000C366C"/>
    <w:rsid w:val="000C3F14"/>
    <w:rsid w:val="000C554C"/>
    <w:rsid w:val="000C5D7E"/>
    <w:rsid w:val="000C5FF4"/>
    <w:rsid w:val="000C6AF0"/>
    <w:rsid w:val="000C7B95"/>
    <w:rsid w:val="000D037D"/>
    <w:rsid w:val="000D159A"/>
    <w:rsid w:val="000D1EBA"/>
    <w:rsid w:val="000D372D"/>
    <w:rsid w:val="000D3991"/>
    <w:rsid w:val="000D4687"/>
    <w:rsid w:val="000D50D2"/>
    <w:rsid w:val="000D5276"/>
    <w:rsid w:val="000D7DA2"/>
    <w:rsid w:val="000E0778"/>
    <w:rsid w:val="000E2AF1"/>
    <w:rsid w:val="000E54ED"/>
    <w:rsid w:val="000E6134"/>
    <w:rsid w:val="000E6CCA"/>
    <w:rsid w:val="000E72D0"/>
    <w:rsid w:val="000E7F89"/>
    <w:rsid w:val="000F070A"/>
    <w:rsid w:val="000F0C57"/>
    <w:rsid w:val="000F11D1"/>
    <w:rsid w:val="000F26B4"/>
    <w:rsid w:val="000F30CA"/>
    <w:rsid w:val="000F36E9"/>
    <w:rsid w:val="000F442C"/>
    <w:rsid w:val="000F5505"/>
    <w:rsid w:val="00100DBA"/>
    <w:rsid w:val="0010100C"/>
    <w:rsid w:val="00101A71"/>
    <w:rsid w:val="00102F1E"/>
    <w:rsid w:val="00105239"/>
    <w:rsid w:val="00105317"/>
    <w:rsid w:val="0010565E"/>
    <w:rsid w:val="001063C0"/>
    <w:rsid w:val="00106CA7"/>
    <w:rsid w:val="001070A0"/>
    <w:rsid w:val="0010719C"/>
    <w:rsid w:val="001072CB"/>
    <w:rsid w:val="001073D6"/>
    <w:rsid w:val="0010799C"/>
    <w:rsid w:val="00111D5E"/>
    <w:rsid w:val="00112175"/>
    <w:rsid w:val="0011220A"/>
    <w:rsid w:val="00112ECE"/>
    <w:rsid w:val="00113BD4"/>
    <w:rsid w:val="0011463D"/>
    <w:rsid w:val="0011619C"/>
    <w:rsid w:val="0011633B"/>
    <w:rsid w:val="00116B65"/>
    <w:rsid w:val="0011723E"/>
    <w:rsid w:val="001220A6"/>
    <w:rsid w:val="001222B9"/>
    <w:rsid w:val="0012246F"/>
    <w:rsid w:val="00123518"/>
    <w:rsid w:val="001235AF"/>
    <w:rsid w:val="00123ECB"/>
    <w:rsid w:val="00123EDF"/>
    <w:rsid w:val="00124D4E"/>
    <w:rsid w:val="001253A7"/>
    <w:rsid w:val="00127869"/>
    <w:rsid w:val="00130248"/>
    <w:rsid w:val="00130D74"/>
    <w:rsid w:val="00130F59"/>
    <w:rsid w:val="00131E35"/>
    <w:rsid w:val="00132131"/>
    <w:rsid w:val="0013243F"/>
    <w:rsid w:val="001347E5"/>
    <w:rsid w:val="00136832"/>
    <w:rsid w:val="00136C58"/>
    <w:rsid w:val="001372D0"/>
    <w:rsid w:val="00137EC2"/>
    <w:rsid w:val="00137F36"/>
    <w:rsid w:val="001436A2"/>
    <w:rsid w:val="0014390F"/>
    <w:rsid w:val="0014408E"/>
    <w:rsid w:val="0014455A"/>
    <w:rsid w:val="001467D7"/>
    <w:rsid w:val="00147303"/>
    <w:rsid w:val="001479D4"/>
    <w:rsid w:val="00147BF4"/>
    <w:rsid w:val="0015227D"/>
    <w:rsid w:val="001529D0"/>
    <w:rsid w:val="00153E6B"/>
    <w:rsid w:val="0015542F"/>
    <w:rsid w:val="00155FC3"/>
    <w:rsid w:val="00156E9A"/>
    <w:rsid w:val="001572DE"/>
    <w:rsid w:val="0016198F"/>
    <w:rsid w:val="00164AE1"/>
    <w:rsid w:val="001662B4"/>
    <w:rsid w:val="001664E0"/>
    <w:rsid w:val="00166673"/>
    <w:rsid w:val="001673FE"/>
    <w:rsid w:val="00172247"/>
    <w:rsid w:val="00176A15"/>
    <w:rsid w:val="00176DB9"/>
    <w:rsid w:val="0017705D"/>
    <w:rsid w:val="00177B5B"/>
    <w:rsid w:val="001805ED"/>
    <w:rsid w:val="00180E0D"/>
    <w:rsid w:val="001817C5"/>
    <w:rsid w:val="00181A91"/>
    <w:rsid w:val="0018320C"/>
    <w:rsid w:val="00183ED6"/>
    <w:rsid w:val="00186930"/>
    <w:rsid w:val="00186FEC"/>
    <w:rsid w:val="0018758E"/>
    <w:rsid w:val="00190F61"/>
    <w:rsid w:val="00193701"/>
    <w:rsid w:val="0019441F"/>
    <w:rsid w:val="001947C4"/>
    <w:rsid w:val="001956FC"/>
    <w:rsid w:val="0019591F"/>
    <w:rsid w:val="00196875"/>
    <w:rsid w:val="00196FE5"/>
    <w:rsid w:val="001972DA"/>
    <w:rsid w:val="00197340"/>
    <w:rsid w:val="00197EF5"/>
    <w:rsid w:val="001A01B7"/>
    <w:rsid w:val="001A0529"/>
    <w:rsid w:val="001A1316"/>
    <w:rsid w:val="001A209F"/>
    <w:rsid w:val="001A27A1"/>
    <w:rsid w:val="001A2A54"/>
    <w:rsid w:val="001A36EA"/>
    <w:rsid w:val="001A4180"/>
    <w:rsid w:val="001A4DEB"/>
    <w:rsid w:val="001A66D9"/>
    <w:rsid w:val="001A67B3"/>
    <w:rsid w:val="001A7D02"/>
    <w:rsid w:val="001B0473"/>
    <w:rsid w:val="001B0762"/>
    <w:rsid w:val="001B114A"/>
    <w:rsid w:val="001B18F0"/>
    <w:rsid w:val="001B2298"/>
    <w:rsid w:val="001B2D8C"/>
    <w:rsid w:val="001B42D7"/>
    <w:rsid w:val="001B44B4"/>
    <w:rsid w:val="001B522B"/>
    <w:rsid w:val="001B629E"/>
    <w:rsid w:val="001B7290"/>
    <w:rsid w:val="001B77C2"/>
    <w:rsid w:val="001C01F1"/>
    <w:rsid w:val="001C2732"/>
    <w:rsid w:val="001C2818"/>
    <w:rsid w:val="001C2D90"/>
    <w:rsid w:val="001C3896"/>
    <w:rsid w:val="001C3FE6"/>
    <w:rsid w:val="001C4A82"/>
    <w:rsid w:val="001C5133"/>
    <w:rsid w:val="001C553D"/>
    <w:rsid w:val="001C65B0"/>
    <w:rsid w:val="001C7AAB"/>
    <w:rsid w:val="001D097D"/>
    <w:rsid w:val="001D1534"/>
    <w:rsid w:val="001D1CE4"/>
    <w:rsid w:val="001D2966"/>
    <w:rsid w:val="001D2AD9"/>
    <w:rsid w:val="001D30C3"/>
    <w:rsid w:val="001D4C07"/>
    <w:rsid w:val="001D4C86"/>
    <w:rsid w:val="001D4F31"/>
    <w:rsid w:val="001D5950"/>
    <w:rsid w:val="001D5BD7"/>
    <w:rsid w:val="001E159C"/>
    <w:rsid w:val="001E1660"/>
    <w:rsid w:val="001E1BEB"/>
    <w:rsid w:val="001E2456"/>
    <w:rsid w:val="001E260C"/>
    <w:rsid w:val="001E2B1D"/>
    <w:rsid w:val="001E41A6"/>
    <w:rsid w:val="001E6267"/>
    <w:rsid w:val="001F1791"/>
    <w:rsid w:val="001F22CB"/>
    <w:rsid w:val="001F42A1"/>
    <w:rsid w:val="001F48F0"/>
    <w:rsid w:val="001F4E3A"/>
    <w:rsid w:val="001F68DD"/>
    <w:rsid w:val="002007D7"/>
    <w:rsid w:val="0020087F"/>
    <w:rsid w:val="0020110B"/>
    <w:rsid w:val="00201AB9"/>
    <w:rsid w:val="00203232"/>
    <w:rsid w:val="0020433C"/>
    <w:rsid w:val="002055B6"/>
    <w:rsid w:val="00206A13"/>
    <w:rsid w:val="00206F70"/>
    <w:rsid w:val="0021219F"/>
    <w:rsid w:val="00212C7E"/>
    <w:rsid w:val="00213491"/>
    <w:rsid w:val="00214346"/>
    <w:rsid w:val="00214720"/>
    <w:rsid w:val="00216CB6"/>
    <w:rsid w:val="00217220"/>
    <w:rsid w:val="002178F3"/>
    <w:rsid w:val="00217E95"/>
    <w:rsid w:val="00220041"/>
    <w:rsid w:val="002201A3"/>
    <w:rsid w:val="0022042C"/>
    <w:rsid w:val="00223BA9"/>
    <w:rsid w:val="00224E6D"/>
    <w:rsid w:val="0022551F"/>
    <w:rsid w:val="002263F7"/>
    <w:rsid w:val="00230803"/>
    <w:rsid w:val="00230D16"/>
    <w:rsid w:val="002315E4"/>
    <w:rsid w:val="00231A8C"/>
    <w:rsid w:val="00232DBF"/>
    <w:rsid w:val="0023399D"/>
    <w:rsid w:val="00233DF2"/>
    <w:rsid w:val="0023477D"/>
    <w:rsid w:val="002349F5"/>
    <w:rsid w:val="00234A9D"/>
    <w:rsid w:val="00234EEE"/>
    <w:rsid w:val="00235DFC"/>
    <w:rsid w:val="00236436"/>
    <w:rsid w:val="00236C55"/>
    <w:rsid w:val="00242570"/>
    <w:rsid w:val="00243066"/>
    <w:rsid w:val="002442BF"/>
    <w:rsid w:val="00244E82"/>
    <w:rsid w:val="00245216"/>
    <w:rsid w:val="002454B9"/>
    <w:rsid w:val="00245E01"/>
    <w:rsid w:val="0025134E"/>
    <w:rsid w:val="00251532"/>
    <w:rsid w:val="00252C5C"/>
    <w:rsid w:val="00254A82"/>
    <w:rsid w:val="00254F63"/>
    <w:rsid w:val="00255FBD"/>
    <w:rsid w:val="002570F8"/>
    <w:rsid w:val="002579C0"/>
    <w:rsid w:val="00257EAF"/>
    <w:rsid w:val="002606B0"/>
    <w:rsid w:val="002607B6"/>
    <w:rsid w:val="002619F6"/>
    <w:rsid w:val="00262915"/>
    <w:rsid w:val="002640CE"/>
    <w:rsid w:val="0026521F"/>
    <w:rsid w:val="00266667"/>
    <w:rsid w:val="00266945"/>
    <w:rsid w:val="0027027F"/>
    <w:rsid w:val="00270C7C"/>
    <w:rsid w:val="00271176"/>
    <w:rsid w:val="00271B37"/>
    <w:rsid w:val="0027221C"/>
    <w:rsid w:val="0027242D"/>
    <w:rsid w:val="002724EB"/>
    <w:rsid w:val="00272941"/>
    <w:rsid w:val="002737F5"/>
    <w:rsid w:val="00274823"/>
    <w:rsid w:val="002770FB"/>
    <w:rsid w:val="0027787E"/>
    <w:rsid w:val="002810A8"/>
    <w:rsid w:val="002818AF"/>
    <w:rsid w:val="00281DB6"/>
    <w:rsid w:val="00282035"/>
    <w:rsid w:val="002821E3"/>
    <w:rsid w:val="00282443"/>
    <w:rsid w:val="00283A1B"/>
    <w:rsid w:val="0028430F"/>
    <w:rsid w:val="00284C0A"/>
    <w:rsid w:val="002853BC"/>
    <w:rsid w:val="00285FBC"/>
    <w:rsid w:val="00286107"/>
    <w:rsid w:val="0028654C"/>
    <w:rsid w:val="00287605"/>
    <w:rsid w:val="0029272C"/>
    <w:rsid w:val="0029480C"/>
    <w:rsid w:val="002953E9"/>
    <w:rsid w:val="00295D4E"/>
    <w:rsid w:val="00295F80"/>
    <w:rsid w:val="0029627B"/>
    <w:rsid w:val="00297E3A"/>
    <w:rsid w:val="002A12F1"/>
    <w:rsid w:val="002A27E4"/>
    <w:rsid w:val="002A368E"/>
    <w:rsid w:val="002A4E27"/>
    <w:rsid w:val="002A7F57"/>
    <w:rsid w:val="002B0A7E"/>
    <w:rsid w:val="002B17A7"/>
    <w:rsid w:val="002B246C"/>
    <w:rsid w:val="002B4557"/>
    <w:rsid w:val="002B4832"/>
    <w:rsid w:val="002B5498"/>
    <w:rsid w:val="002B618C"/>
    <w:rsid w:val="002B620C"/>
    <w:rsid w:val="002C03D1"/>
    <w:rsid w:val="002C0A53"/>
    <w:rsid w:val="002C0CCE"/>
    <w:rsid w:val="002C0F68"/>
    <w:rsid w:val="002C244E"/>
    <w:rsid w:val="002C3306"/>
    <w:rsid w:val="002C632C"/>
    <w:rsid w:val="002C693B"/>
    <w:rsid w:val="002C6B42"/>
    <w:rsid w:val="002C6FCF"/>
    <w:rsid w:val="002C70EB"/>
    <w:rsid w:val="002D01DF"/>
    <w:rsid w:val="002D2457"/>
    <w:rsid w:val="002D2D19"/>
    <w:rsid w:val="002D31FF"/>
    <w:rsid w:val="002D473C"/>
    <w:rsid w:val="002D53A4"/>
    <w:rsid w:val="002D6864"/>
    <w:rsid w:val="002D72B5"/>
    <w:rsid w:val="002D743A"/>
    <w:rsid w:val="002D787C"/>
    <w:rsid w:val="002E121C"/>
    <w:rsid w:val="002E2A41"/>
    <w:rsid w:val="002E2B9A"/>
    <w:rsid w:val="002E31EF"/>
    <w:rsid w:val="002E4391"/>
    <w:rsid w:val="002E4C0A"/>
    <w:rsid w:val="002E652E"/>
    <w:rsid w:val="002F0384"/>
    <w:rsid w:val="002F0C57"/>
    <w:rsid w:val="002F1A5C"/>
    <w:rsid w:val="002F419D"/>
    <w:rsid w:val="002F4ECE"/>
    <w:rsid w:val="002F5677"/>
    <w:rsid w:val="002F578B"/>
    <w:rsid w:val="002F6183"/>
    <w:rsid w:val="002F63ED"/>
    <w:rsid w:val="002F734C"/>
    <w:rsid w:val="00301760"/>
    <w:rsid w:val="0030485D"/>
    <w:rsid w:val="00305F95"/>
    <w:rsid w:val="00305FDE"/>
    <w:rsid w:val="00306EB0"/>
    <w:rsid w:val="00306EC4"/>
    <w:rsid w:val="00306F80"/>
    <w:rsid w:val="00307742"/>
    <w:rsid w:val="003101AD"/>
    <w:rsid w:val="0031250C"/>
    <w:rsid w:val="00313203"/>
    <w:rsid w:val="0031332F"/>
    <w:rsid w:val="003140B7"/>
    <w:rsid w:val="003145D8"/>
    <w:rsid w:val="00315382"/>
    <w:rsid w:val="00315DE2"/>
    <w:rsid w:val="003164E7"/>
    <w:rsid w:val="003171A4"/>
    <w:rsid w:val="00317623"/>
    <w:rsid w:val="003177F3"/>
    <w:rsid w:val="0032098D"/>
    <w:rsid w:val="0032260F"/>
    <w:rsid w:val="003230F3"/>
    <w:rsid w:val="0032346B"/>
    <w:rsid w:val="00324908"/>
    <w:rsid w:val="003251E0"/>
    <w:rsid w:val="0032546E"/>
    <w:rsid w:val="00330C7B"/>
    <w:rsid w:val="00331F4F"/>
    <w:rsid w:val="00332646"/>
    <w:rsid w:val="003327B7"/>
    <w:rsid w:val="00334652"/>
    <w:rsid w:val="00334912"/>
    <w:rsid w:val="00334DC7"/>
    <w:rsid w:val="00334E57"/>
    <w:rsid w:val="003355C8"/>
    <w:rsid w:val="00335EEF"/>
    <w:rsid w:val="00336FB7"/>
    <w:rsid w:val="003404FE"/>
    <w:rsid w:val="00340FC2"/>
    <w:rsid w:val="003428C8"/>
    <w:rsid w:val="00342B44"/>
    <w:rsid w:val="00342CD1"/>
    <w:rsid w:val="00342CE1"/>
    <w:rsid w:val="00342D0D"/>
    <w:rsid w:val="00343FE4"/>
    <w:rsid w:val="00345D14"/>
    <w:rsid w:val="0034686B"/>
    <w:rsid w:val="003468D2"/>
    <w:rsid w:val="003477CA"/>
    <w:rsid w:val="00354DC6"/>
    <w:rsid w:val="00355EDC"/>
    <w:rsid w:val="00356130"/>
    <w:rsid w:val="00357630"/>
    <w:rsid w:val="00357F56"/>
    <w:rsid w:val="00360EAF"/>
    <w:rsid w:val="00360FC5"/>
    <w:rsid w:val="00362DE1"/>
    <w:rsid w:val="00363186"/>
    <w:rsid w:val="0036371E"/>
    <w:rsid w:val="00363E52"/>
    <w:rsid w:val="00364D0B"/>
    <w:rsid w:val="00364FF7"/>
    <w:rsid w:val="003657AD"/>
    <w:rsid w:val="0037128D"/>
    <w:rsid w:val="003717AE"/>
    <w:rsid w:val="003727C8"/>
    <w:rsid w:val="003728CA"/>
    <w:rsid w:val="00372CA7"/>
    <w:rsid w:val="00372D79"/>
    <w:rsid w:val="00373DE4"/>
    <w:rsid w:val="00374A86"/>
    <w:rsid w:val="00374C21"/>
    <w:rsid w:val="00374EC9"/>
    <w:rsid w:val="00380253"/>
    <w:rsid w:val="003811E8"/>
    <w:rsid w:val="0038179C"/>
    <w:rsid w:val="003817B3"/>
    <w:rsid w:val="00381B7F"/>
    <w:rsid w:val="00381C2E"/>
    <w:rsid w:val="00381CC4"/>
    <w:rsid w:val="00382113"/>
    <w:rsid w:val="003845C0"/>
    <w:rsid w:val="00384D75"/>
    <w:rsid w:val="003858C2"/>
    <w:rsid w:val="00385D72"/>
    <w:rsid w:val="0038621F"/>
    <w:rsid w:val="00387A0B"/>
    <w:rsid w:val="003942F1"/>
    <w:rsid w:val="003950C6"/>
    <w:rsid w:val="00395BF2"/>
    <w:rsid w:val="003A107A"/>
    <w:rsid w:val="003A14CC"/>
    <w:rsid w:val="003A2885"/>
    <w:rsid w:val="003A2CC8"/>
    <w:rsid w:val="003A2F4A"/>
    <w:rsid w:val="003A3437"/>
    <w:rsid w:val="003A4839"/>
    <w:rsid w:val="003A48B4"/>
    <w:rsid w:val="003A5C4F"/>
    <w:rsid w:val="003A622A"/>
    <w:rsid w:val="003A6C7C"/>
    <w:rsid w:val="003A7C16"/>
    <w:rsid w:val="003B1B74"/>
    <w:rsid w:val="003B1CB5"/>
    <w:rsid w:val="003B3B73"/>
    <w:rsid w:val="003B4492"/>
    <w:rsid w:val="003B5FB4"/>
    <w:rsid w:val="003B6D70"/>
    <w:rsid w:val="003B6F06"/>
    <w:rsid w:val="003B7978"/>
    <w:rsid w:val="003B7B25"/>
    <w:rsid w:val="003B7DA0"/>
    <w:rsid w:val="003C05F1"/>
    <w:rsid w:val="003C20F2"/>
    <w:rsid w:val="003C24C1"/>
    <w:rsid w:val="003C29FB"/>
    <w:rsid w:val="003C2DA8"/>
    <w:rsid w:val="003C3E32"/>
    <w:rsid w:val="003C46D6"/>
    <w:rsid w:val="003C5247"/>
    <w:rsid w:val="003C7E53"/>
    <w:rsid w:val="003D00D9"/>
    <w:rsid w:val="003D0125"/>
    <w:rsid w:val="003D0AC0"/>
    <w:rsid w:val="003D111B"/>
    <w:rsid w:val="003D180D"/>
    <w:rsid w:val="003D2290"/>
    <w:rsid w:val="003D26A6"/>
    <w:rsid w:val="003D3962"/>
    <w:rsid w:val="003D4470"/>
    <w:rsid w:val="003D7BA2"/>
    <w:rsid w:val="003E03FA"/>
    <w:rsid w:val="003E3344"/>
    <w:rsid w:val="003E4AFB"/>
    <w:rsid w:val="003E6D7A"/>
    <w:rsid w:val="003F1D05"/>
    <w:rsid w:val="003F24E1"/>
    <w:rsid w:val="003F4135"/>
    <w:rsid w:val="003F4BA3"/>
    <w:rsid w:val="003F6B79"/>
    <w:rsid w:val="003F72FF"/>
    <w:rsid w:val="003F7EDD"/>
    <w:rsid w:val="004022BD"/>
    <w:rsid w:val="00404562"/>
    <w:rsid w:val="00404737"/>
    <w:rsid w:val="004062BB"/>
    <w:rsid w:val="00407105"/>
    <w:rsid w:val="0040781C"/>
    <w:rsid w:val="00407B50"/>
    <w:rsid w:val="0041009A"/>
    <w:rsid w:val="00410592"/>
    <w:rsid w:val="00411391"/>
    <w:rsid w:val="004119BF"/>
    <w:rsid w:val="0041237B"/>
    <w:rsid w:val="00412451"/>
    <w:rsid w:val="00413826"/>
    <w:rsid w:val="00414E5F"/>
    <w:rsid w:val="004156BA"/>
    <w:rsid w:val="00420EE4"/>
    <w:rsid w:val="00422146"/>
    <w:rsid w:val="00422C9E"/>
    <w:rsid w:val="00425481"/>
    <w:rsid w:val="00425DB9"/>
    <w:rsid w:val="004269B3"/>
    <w:rsid w:val="00427AD2"/>
    <w:rsid w:val="00430244"/>
    <w:rsid w:val="00430924"/>
    <w:rsid w:val="004315E2"/>
    <w:rsid w:val="00433D42"/>
    <w:rsid w:val="00434DEF"/>
    <w:rsid w:val="0043602F"/>
    <w:rsid w:val="004364FF"/>
    <w:rsid w:val="004366FC"/>
    <w:rsid w:val="00436799"/>
    <w:rsid w:val="00436B1B"/>
    <w:rsid w:val="00436B9C"/>
    <w:rsid w:val="00437C70"/>
    <w:rsid w:val="00437D4F"/>
    <w:rsid w:val="00440843"/>
    <w:rsid w:val="00443897"/>
    <w:rsid w:val="00443913"/>
    <w:rsid w:val="00445085"/>
    <w:rsid w:val="00445F68"/>
    <w:rsid w:val="004470E3"/>
    <w:rsid w:val="00447304"/>
    <w:rsid w:val="00450DBE"/>
    <w:rsid w:val="00452F09"/>
    <w:rsid w:val="00453F83"/>
    <w:rsid w:val="0045413A"/>
    <w:rsid w:val="0045504E"/>
    <w:rsid w:val="004554AC"/>
    <w:rsid w:val="004555CA"/>
    <w:rsid w:val="004557E6"/>
    <w:rsid w:val="0045681E"/>
    <w:rsid w:val="00456A37"/>
    <w:rsid w:val="00460F69"/>
    <w:rsid w:val="00461160"/>
    <w:rsid w:val="00461E70"/>
    <w:rsid w:val="0046271D"/>
    <w:rsid w:val="00464E52"/>
    <w:rsid w:val="004655D1"/>
    <w:rsid w:val="0047039A"/>
    <w:rsid w:val="00470CF5"/>
    <w:rsid w:val="0047470B"/>
    <w:rsid w:val="00477553"/>
    <w:rsid w:val="004801BB"/>
    <w:rsid w:val="00481972"/>
    <w:rsid w:val="00481C85"/>
    <w:rsid w:val="00481DFC"/>
    <w:rsid w:val="00481E5F"/>
    <w:rsid w:val="00482AC8"/>
    <w:rsid w:val="00482B36"/>
    <w:rsid w:val="00482C9E"/>
    <w:rsid w:val="00483CE4"/>
    <w:rsid w:val="004842AA"/>
    <w:rsid w:val="004847FB"/>
    <w:rsid w:val="00484829"/>
    <w:rsid w:val="00485021"/>
    <w:rsid w:val="00487049"/>
    <w:rsid w:val="0048726C"/>
    <w:rsid w:val="00487635"/>
    <w:rsid w:val="00490326"/>
    <w:rsid w:val="004908DA"/>
    <w:rsid w:val="00490B4F"/>
    <w:rsid w:val="00490FFD"/>
    <w:rsid w:val="00491A5D"/>
    <w:rsid w:val="00491FAC"/>
    <w:rsid w:val="00492A58"/>
    <w:rsid w:val="00492ACD"/>
    <w:rsid w:val="00493A5E"/>
    <w:rsid w:val="00493A63"/>
    <w:rsid w:val="00495054"/>
    <w:rsid w:val="00497414"/>
    <w:rsid w:val="00497993"/>
    <w:rsid w:val="004A2729"/>
    <w:rsid w:val="004A28CD"/>
    <w:rsid w:val="004A3799"/>
    <w:rsid w:val="004A5B30"/>
    <w:rsid w:val="004A65C9"/>
    <w:rsid w:val="004A666C"/>
    <w:rsid w:val="004A69A2"/>
    <w:rsid w:val="004A7E6C"/>
    <w:rsid w:val="004A7EDF"/>
    <w:rsid w:val="004B065D"/>
    <w:rsid w:val="004B0CC4"/>
    <w:rsid w:val="004B1ABD"/>
    <w:rsid w:val="004B1C00"/>
    <w:rsid w:val="004B2A50"/>
    <w:rsid w:val="004B2E4B"/>
    <w:rsid w:val="004B37D6"/>
    <w:rsid w:val="004B3BFA"/>
    <w:rsid w:val="004B4FE0"/>
    <w:rsid w:val="004B7565"/>
    <w:rsid w:val="004B7DC9"/>
    <w:rsid w:val="004C03D1"/>
    <w:rsid w:val="004C05DF"/>
    <w:rsid w:val="004C0815"/>
    <w:rsid w:val="004C1D9F"/>
    <w:rsid w:val="004C1F06"/>
    <w:rsid w:val="004C330A"/>
    <w:rsid w:val="004C3658"/>
    <w:rsid w:val="004C4B74"/>
    <w:rsid w:val="004C52BD"/>
    <w:rsid w:val="004C5311"/>
    <w:rsid w:val="004C575F"/>
    <w:rsid w:val="004C5F12"/>
    <w:rsid w:val="004C73CA"/>
    <w:rsid w:val="004D11E6"/>
    <w:rsid w:val="004D220B"/>
    <w:rsid w:val="004D44E3"/>
    <w:rsid w:val="004D46CF"/>
    <w:rsid w:val="004D4EAE"/>
    <w:rsid w:val="004D5420"/>
    <w:rsid w:val="004D56FD"/>
    <w:rsid w:val="004D5EBF"/>
    <w:rsid w:val="004D69F1"/>
    <w:rsid w:val="004E0DAA"/>
    <w:rsid w:val="004E185F"/>
    <w:rsid w:val="004E2698"/>
    <w:rsid w:val="004E2726"/>
    <w:rsid w:val="004E2A50"/>
    <w:rsid w:val="004E322B"/>
    <w:rsid w:val="004E3B66"/>
    <w:rsid w:val="004E4CD7"/>
    <w:rsid w:val="004E5293"/>
    <w:rsid w:val="004E66D7"/>
    <w:rsid w:val="004E733A"/>
    <w:rsid w:val="004E7478"/>
    <w:rsid w:val="004F024B"/>
    <w:rsid w:val="004F0327"/>
    <w:rsid w:val="004F08FD"/>
    <w:rsid w:val="004F0F95"/>
    <w:rsid w:val="004F0FED"/>
    <w:rsid w:val="004F15B7"/>
    <w:rsid w:val="004F34BB"/>
    <w:rsid w:val="004F3F7B"/>
    <w:rsid w:val="004F47D4"/>
    <w:rsid w:val="004F4DD4"/>
    <w:rsid w:val="004F5D35"/>
    <w:rsid w:val="004F6FE8"/>
    <w:rsid w:val="005002E7"/>
    <w:rsid w:val="00500564"/>
    <w:rsid w:val="005009ED"/>
    <w:rsid w:val="00503B50"/>
    <w:rsid w:val="00506E79"/>
    <w:rsid w:val="00507EB3"/>
    <w:rsid w:val="005105B4"/>
    <w:rsid w:val="00511A08"/>
    <w:rsid w:val="00511B7A"/>
    <w:rsid w:val="005138AC"/>
    <w:rsid w:val="0051543C"/>
    <w:rsid w:val="0051580D"/>
    <w:rsid w:val="00516293"/>
    <w:rsid w:val="005165DA"/>
    <w:rsid w:val="00517132"/>
    <w:rsid w:val="005178CE"/>
    <w:rsid w:val="00517A86"/>
    <w:rsid w:val="0052182D"/>
    <w:rsid w:val="00521940"/>
    <w:rsid w:val="00522953"/>
    <w:rsid w:val="00523535"/>
    <w:rsid w:val="0052564F"/>
    <w:rsid w:val="0052626C"/>
    <w:rsid w:val="00526B3C"/>
    <w:rsid w:val="00527A34"/>
    <w:rsid w:val="00531225"/>
    <w:rsid w:val="0053231D"/>
    <w:rsid w:val="00532546"/>
    <w:rsid w:val="005328CC"/>
    <w:rsid w:val="00532DED"/>
    <w:rsid w:val="00532E0F"/>
    <w:rsid w:val="005336EC"/>
    <w:rsid w:val="005337BF"/>
    <w:rsid w:val="00533BB5"/>
    <w:rsid w:val="00533F89"/>
    <w:rsid w:val="00534923"/>
    <w:rsid w:val="00534939"/>
    <w:rsid w:val="00534C2A"/>
    <w:rsid w:val="00535DF2"/>
    <w:rsid w:val="0053729F"/>
    <w:rsid w:val="00537AB3"/>
    <w:rsid w:val="00537CA3"/>
    <w:rsid w:val="0054121E"/>
    <w:rsid w:val="00542224"/>
    <w:rsid w:val="005426F9"/>
    <w:rsid w:val="00542C80"/>
    <w:rsid w:val="005456B2"/>
    <w:rsid w:val="00546A29"/>
    <w:rsid w:val="0055036F"/>
    <w:rsid w:val="0055057D"/>
    <w:rsid w:val="005512DE"/>
    <w:rsid w:val="005521B6"/>
    <w:rsid w:val="00553457"/>
    <w:rsid w:val="005555C3"/>
    <w:rsid w:val="005556C2"/>
    <w:rsid w:val="005565E9"/>
    <w:rsid w:val="005568E8"/>
    <w:rsid w:val="00556A85"/>
    <w:rsid w:val="00556B88"/>
    <w:rsid w:val="005571C0"/>
    <w:rsid w:val="005633D4"/>
    <w:rsid w:val="00563B8C"/>
    <w:rsid w:val="00564896"/>
    <w:rsid w:val="00566401"/>
    <w:rsid w:val="00566AEC"/>
    <w:rsid w:val="00567526"/>
    <w:rsid w:val="005703C7"/>
    <w:rsid w:val="00570616"/>
    <w:rsid w:val="00571BCD"/>
    <w:rsid w:val="0057315F"/>
    <w:rsid w:val="005757D6"/>
    <w:rsid w:val="00577DE3"/>
    <w:rsid w:val="00577E6E"/>
    <w:rsid w:val="005818E9"/>
    <w:rsid w:val="00582363"/>
    <w:rsid w:val="005829A2"/>
    <w:rsid w:val="00583F19"/>
    <w:rsid w:val="00584BAB"/>
    <w:rsid w:val="00584E47"/>
    <w:rsid w:val="005862D1"/>
    <w:rsid w:val="00586541"/>
    <w:rsid w:val="00586872"/>
    <w:rsid w:val="005869E5"/>
    <w:rsid w:val="00591426"/>
    <w:rsid w:val="005915E2"/>
    <w:rsid w:val="00593017"/>
    <w:rsid w:val="005939CC"/>
    <w:rsid w:val="005948BA"/>
    <w:rsid w:val="00595A5B"/>
    <w:rsid w:val="00595A9F"/>
    <w:rsid w:val="005966C8"/>
    <w:rsid w:val="005A01F5"/>
    <w:rsid w:val="005A0D2E"/>
    <w:rsid w:val="005A25C8"/>
    <w:rsid w:val="005A2EEA"/>
    <w:rsid w:val="005A4258"/>
    <w:rsid w:val="005A4957"/>
    <w:rsid w:val="005A6162"/>
    <w:rsid w:val="005A61B3"/>
    <w:rsid w:val="005A6DA4"/>
    <w:rsid w:val="005A6E7F"/>
    <w:rsid w:val="005A79B1"/>
    <w:rsid w:val="005B1947"/>
    <w:rsid w:val="005B2EC1"/>
    <w:rsid w:val="005B373B"/>
    <w:rsid w:val="005B4D61"/>
    <w:rsid w:val="005B575D"/>
    <w:rsid w:val="005B698D"/>
    <w:rsid w:val="005B7535"/>
    <w:rsid w:val="005C08B1"/>
    <w:rsid w:val="005C264A"/>
    <w:rsid w:val="005C5048"/>
    <w:rsid w:val="005C5356"/>
    <w:rsid w:val="005C5C2C"/>
    <w:rsid w:val="005C6FA7"/>
    <w:rsid w:val="005C7C5B"/>
    <w:rsid w:val="005D0505"/>
    <w:rsid w:val="005D0B7E"/>
    <w:rsid w:val="005D1732"/>
    <w:rsid w:val="005D177A"/>
    <w:rsid w:val="005D4150"/>
    <w:rsid w:val="005D5091"/>
    <w:rsid w:val="005D59AF"/>
    <w:rsid w:val="005D5BE6"/>
    <w:rsid w:val="005D63C9"/>
    <w:rsid w:val="005D6D3F"/>
    <w:rsid w:val="005D7404"/>
    <w:rsid w:val="005E0023"/>
    <w:rsid w:val="005E023A"/>
    <w:rsid w:val="005E0365"/>
    <w:rsid w:val="005E05CC"/>
    <w:rsid w:val="005E0A31"/>
    <w:rsid w:val="005E165A"/>
    <w:rsid w:val="005E6C42"/>
    <w:rsid w:val="005E720D"/>
    <w:rsid w:val="005F0039"/>
    <w:rsid w:val="005F061F"/>
    <w:rsid w:val="005F3002"/>
    <w:rsid w:val="005F596C"/>
    <w:rsid w:val="005F7113"/>
    <w:rsid w:val="005F76F8"/>
    <w:rsid w:val="005F7C70"/>
    <w:rsid w:val="005F7D23"/>
    <w:rsid w:val="005F7ED4"/>
    <w:rsid w:val="0060092B"/>
    <w:rsid w:val="006009F0"/>
    <w:rsid w:val="00602887"/>
    <w:rsid w:val="00602D22"/>
    <w:rsid w:val="006030FB"/>
    <w:rsid w:val="00603E15"/>
    <w:rsid w:val="00605713"/>
    <w:rsid w:val="00607949"/>
    <w:rsid w:val="006126D6"/>
    <w:rsid w:val="0061276A"/>
    <w:rsid w:val="00612792"/>
    <w:rsid w:val="00612D35"/>
    <w:rsid w:val="00615716"/>
    <w:rsid w:val="00615DFE"/>
    <w:rsid w:val="00622EF3"/>
    <w:rsid w:val="00623353"/>
    <w:rsid w:val="00623B2B"/>
    <w:rsid w:val="006240C3"/>
    <w:rsid w:val="00624441"/>
    <w:rsid w:val="006247C3"/>
    <w:rsid w:val="0062760F"/>
    <w:rsid w:val="00630FC2"/>
    <w:rsid w:val="0063217B"/>
    <w:rsid w:val="00633D83"/>
    <w:rsid w:val="006343DE"/>
    <w:rsid w:val="00636D81"/>
    <w:rsid w:val="0063756A"/>
    <w:rsid w:val="00637DA2"/>
    <w:rsid w:val="00640AD7"/>
    <w:rsid w:val="006413FA"/>
    <w:rsid w:val="00641F63"/>
    <w:rsid w:val="006425AC"/>
    <w:rsid w:val="006454C5"/>
    <w:rsid w:val="0064591C"/>
    <w:rsid w:val="00645C44"/>
    <w:rsid w:val="0064608E"/>
    <w:rsid w:val="006501F5"/>
    <w:rsid w:val="006515C8"/>
    <w:rsid w:val="00653374"/>
    <w:rsid w:val="0065376B"/>
    <w:rsid w:val="006539C0"/>
    <w:rsid w:val="00653EE3"/>
    <w:rsid w:val="00653EFE"/>
    <w:rsid w:val="0065477F"/>
    <w:rsid w:val="00654BBD"/>
    <w:rsid w:val="00654D9D"/>
    <w:rsid w:val="006617D7"/>
    <w:rsid w:val="00661E23"/>
    <w:rsid w:val="00664280"/>
    <w:rsid w:val="0066449F"/>
    <w:rsid w:val="0066465B"/>
    <w:rsid w:val="00665310"/>
    <w:rsid w:val="00665F5E"/>
    <w:rsid w:val="006666D7"/>
    <w:rsid w:val="00667DA4"/>
    <w:rsid w:val="00670265"/>
    <w:rsid w:val="00671819"/>
    <w:rsid w:val="0067200F"/>
    <w:rsid w:val="00672BDD"/>
    <w:rsid w:val="00673C9C"/>
    <w:rsid w:val="0067432A"/>
    <w:rsid w:val="00674D3F"/>
    <w:rsid w:val="0067518E"/>
    <w:rsid w:val="006765E2"/>
    <w:rsid w:val="006775FA"/>
    <w:rsid w:val="006804B9"/>
    <w:rsid w:val="006811E7"/>
    <w:rsid w:val="00684A96"/>
    <w:rsid w:val="00686038"/>
    <w:rsid w:val="00687D51"/>
    <w:rsid w:val="00687EBF"/>
    <w:rsid w:val="00691845"/>
    <w:rsid w:val="00691FBB"/>
    <w:rsid w:val="006943F5"/>
    <w:rsid w:val="00694AF2"/>
    <w:rsid w:val="006960B5"/>
    <w:rsid w:val="00696F07"/>
    <w:rsid w:val="006975B1"/>
    <w:rsid w:val="00697D03"/>
    <w:rsid w:val="006A05FD"/>
    <w:rsid w:val="006A217F"/>
    <w:rsid w:val="006A311D"/>
    <w:rsid w:val="006A3D32"/>
    <w:rsid w:val="006A4B4B"/>
    <w:rsid w:val="006A6D4D"/>
    <w:rsid w:val="006B103F"/>
    <w:rsid w:val="006B2975"/>
    <w:rsid w:val="006B2C44"/>
    <w:rsid w:val="006B3016"/>
    <w:rsid w:val="006B34AD"/>
    <w:rsid w:val="006B35B4"/>
    <w:rsid w:val="006B37AE"/>
    <w:rsid w:val="006B3AF3"/>
    <w:rsid w:val="006B3B3F"/>
    <w:rsid w:val="006B42A5"/>
    <w:rsid w:val="006B43B7"/>
    <w:rsid w:val="006B458B"/>
    <w:rsid w:val="006B5F3C"/>
    <w:rsid w:val="006B61C3"/>
    <w:rsid w:val="006B6620"/>
    <w:rsid w:val="006B70F0"/>
    <w:rsid w:val="006B7F69"/>
    <w:rsid w:val="006C0A53"/>
    <w:rsid w:val="006C1557"/>
    <w:rsid w:val="006C1FAB"/>
    <w:rsid w:val="006C34C7"/>
    <w:rsid w:val="006C36E2"/>
    <w:rsid w:val="006C531F"/>
    <w:rsid w:val="006C572C"/>
    <w:rsid w:val="006C65C0"/>
    <w:rsid w:val="006C6783"/>
    <w:rsid w:val="006C6F66"/>
    <w:rsid w:val="006C7D62"/>
    <w:rsid w:val="006D0D7A"/>
    <w:rsid w:val="006D1924"/>
    <w:rsid w:val="006D2766"/>
    <w:rsid w:val="006D38BA"/>
    <w:rsid w:val="006D56DF"/>
    <w:rsid w:val="006D6498"/>
    <w:rsid w:val="006D670D"/>
    <w:rsid w:val="006D688F"/>
    <w:rsid w:val="006D6ADD"/>
    <w:rsid w:val="006D75CE"/>
    <w:rsid w:val="006D7DC2"/>
    <w:rsid w:val="006E152F"/>
    <w:rsid w:val="006E222D"/>
    <w:rsid w:val="006E31FE"/>
    <w:rsid w:val="006E3A6B"/>
    <w:rsid w:val="006E4C7F"/>
    <w:rsid w:val="006E505D"/>
    <w:rsid w:val="006E6BCE"/>
    <w:rsid w:val="006E6F1F"/>
    <w:rsid w:val="006E7637"/>
    <w:rsid w:val="006E7798"/>
    <w:rsid w:val="006E7D2E"/>
    <w:rsid w:val="006F00B5"/>
    <w:rsid w:val="006F021A"/>
    <w:rsid w:val="006F07BA"/>
    <w:rsid w:val="006F3221"/>
    <w:rsid w:val="006F4F67"/>
    <w:rsid w:val="006F6C9B"/>
    <w:rsid w:val="00701CC1"/>
    <w:rsid w:val="0070303E"/>
    <w:rsid w:val="00704650"/>
    <w:rsid w:val="00706153"/>
    <w:rsid w:val="0070634A"/>
    <w:rsid w:val="007073B5"/>
    <w:rsid w:val="0071043E"/>
    <w:rsid w:val="00710ABA"/>
    <w:rsid w:val="00710CDB"/>
    <w:rsid w:val="007132DF"/>
    <w:rsid w:val="00714693"/>
    <w:rsid w:val="0072020F"/>
    <w:rsid w:val="0072058A"/>
    <w:rsid w:val="007223FA"/>
    <w:rsid w:val="00723111"/>
    <w:rsid w:val="007242C7"/>
    <w:rsid w:val="007248CA"/>
    <w:rsid w:val="00724CE9"/>
    <w:rsid w:val="0072504E"/>
    <w:rsid w:val="0072619D"/>
    <w:rsid w:val="0072688B"/>
    <w:rsid w:val="00726AA0"/>
    <w:rsid w:val="00727776"/>
    <w:rsid w:val="00727C81"/>
    <w:rsid w:val="00730ADC"/>
    <w:rsid w:val="00731F2D"/>
    <w:rsid w:val="00733386"/>
    <w:rsid w:val="00733529"/>
    <w:rsid w:val="007335D5"/>
    <w:rsid w:val="00734B07"/>
    <w:rsid w:val="00735F5E"/>
    <w:rsid w:val="00736AF0"/>
    <w:rsid w:val="0074319F"/>
    <w:rsid w:val="00743A55"/>
    <w:rsid w:val="0074497B"/>
    <w:rsid w:val="007451DF"/>
    <w:rsid w:val="00745AD3"/>
    <w:rsid w:val="00745C40"/>
    <w:rsid w:val="00747DCB"/>
    <w:rsid w:val="00752417"/>
    <w:rsid w:val="00752E88"/>
    <w:rsid w:val="00754549"/>
    <w:rsid w:val="007556C1"/>
    <w:rsid w:val="007558D4"/>
    <w:rsid w:val="00756995"/>
    <w:rsid w:val="007575B3"/>
    <w:rsid w:val="007578BD"/>
    <w:rsid w:val="00760B95"/>
    <w:rsid w:val="0076182C"/>
    <w:rsid w:val="00762378"/>
    <w:rsid w:val="00762828"/>
    <w:rsid w:val="007634B8"/>
    <w:rsid w:val="0076463A"/>
    <w:rsid w:val="00765686"/>
    <w:rsid w:val="00766101"/>
    <w:rsid w:val="00766D53"/>
    <w:rsid w:val="007707A2"/>
    <w:rsid w:val="0077094F"/>
    <w:rsid w:val="0077107B"/>
    <w:rsid w:val="00771546"/>
    <w:rsid w:val="00771AA4"/>
    <w:rsid w:val="00771EA9"/>
    <w:rsid w:val="00771EC4"/>
    <w:rsid w:val="00772767"/>
    <w:rsid w:val="00773856"/>
    <w:rsid w:val="00773F9D"/>
    <w:rsid w:val="007749AD"/>
    <w:rsid w:val="00774BFA"/>
    <w:rsid w:val="00775CBF"/>
    <w:rsid w:val="00775FEF"/>
    <w:rsid w:val="0077740D"/>
    <w:rsid w:val="00780943"/>
    <w:rsid w:val="00781545"/>
    <w:rsid w:val="00781F48"/>
    <w:rsid w:val="00782180"/>
    <w:rsid w:val="0078324F"/>
    <w:rsid w:val="00783B94"/>
    <w:rsid w:val="00783C33"/>
    <w:rsid w:val="00784B63"/>
    <w:rsid w:val="00784D01"/>
    <w:rsid w:val="00792169"/>
    <w:rsid w:val="00792D3B"/>
    <w:rsid w:val="007940AD"/>
    <w:rsid w:val="0079461D"/>
    <w:rsid w:val="007946FD"/>
    <w:rsid w:val="0079499D"/>
    <w:rsid w:val="00795740"/>
    <w:rsid w:val="00795E8A"/>
    <w:rsid w:val="007963E6"/>
    <w:rsid w:val="00796F6D"/>
    <w:rsid w:val="007971D8"/>
    <w:rsid w:val="007972F9"/>
    <w:rsid w:val="007A04F5"/>
    <w:rsid w:val="007A0F15"/>
    <w:rsid w:val="007A115D"/>
    <w:rsid w:val="007A2C58"/>
    <w:rsid w:val="007A34BA"/>
    <w:rsid w:val="007A5985"/>
    <w:rsid w:val="007A6856"/>
    <w:rsid w:val="007A720C"/>
    <w:rsid w:val="007B0352"/>
    <w:rsid w:val="007B1A98"/>
    <w:rsid w:val="007B2B90"/>
    <w:rsid w:val="007B355F"/>
    <w:rsid w:val="007B3C83"/>
    <w:rsid w:val="007B4A2F"/>
    <w:rsid w:val="007B59DF"/>
    <w:rsid w:val="007B6551"/>
    <w:rsid w:val="007B6C50"/>
    <w:rsid w:val="007B7E27"/>
    <w:rsid w:val="007C0CEF"/>
    <w:rsid w:val="007C1288"/>
    <w:rsid w:val="007C153E"/>
    <w:rsid w:val="007C18C5"/>
    <w:rsid w:val="007C357A"/>
    <w:rsid w:val="007C4009"/>
    <w:rsid w:val="007C57D4"/>
    <w:rsid w:val="007C7AF0"/>
    <w:rsid w:val="007D0FF5"/>
    <w:rsid w:val="007D2473"/>
    <w:rsid w:val="007D3EC5"/>
    <w:rsid w:val="007D4C76"/>
    <w:rsid w:val="007D4E3C"/>
    <w:rsid w:val="007D4EFB"/>
    <w:rsid w:val="007D6142"/>
    <w:rsid w:val="007D617E"/>
    <w:rsid w:val="007D64E5"/>
    <w:rsid w:val="007D7A32"/>
    <w:rsid w:val="007D7DD1"/>
    <w:rsid w:val="007E052C"/>
    <w:rsid w:val="007E0D6F"/>
    <w:rsid w:val="007E0F40"/>
    <w:rsid w:val="007E102E"/>
    <w:rsid w:val="007E2E59"/>
    <w:rsid w:val="007E2F95"/>
    <w:rsid w:val="007E34FF"/>
    <w:rsid w:val="007E3B66"/>
    <w:rsid w:val="007E3C94"/>
    <w:rsid w:val="007E5150"/>
    <w:rsid w:val="007E5FFB"/>
    <w:rsid w:val="007E6264"/>
    <w:rsid w:val="007E6E0C"/>
    <w:rsid w:val="007F05D6"/>
    <w:rsid w:val="007F08B0"/>
    <w:rsid w:val="007F207B"/>
    <w:rsid w:val="007F394A"/>
    <w:rsid w:val="007F4BDB"/>
    <w:rsid w:val="007F5391"/>
    <w:rsid w:val="0080176C"/>
    <w:rsid w:val="0080219D"/>
    <w:rsid w:val="0080252A"/>
    <w:rsid w:val="008026C9"/>
    <w:rsid w:val="008027BE"/>
    <w:rsid w:val="00802970"/>
    <w:rsid w:val="0080314E"/>
    <w:rsid w:val="00803AC3"/>
    <w:rsid w:val="0080601C"/>
    <w:rsid w:val="00806274"/>
    <w:rsid w:val="00806FE0"/>
    <w:rsid w:val="0081012F"/>
    <w:rsid w:val="0081161B"/>
    <w:rsid w:val="00811824"/>
    <w:rsid w:val="0081509D"/>
    <w:rsid w:val="00815171"/>
    <w:rsid w:val="0081605A"/>
    <w:rsid w:val="00816968"/>
    <w:rsid w:val="0082011D"/>
    <w:rsid w:val="008202E7"/>
    <w:rsid w:val="008208EC"/>
    <w:rsid w:val="00822200"/>
    <w:rsid w:val="008225A8"/>
    <w:rsid w:val="0082354F"/>
    <w:rsid w:val="00823AC6"/>
    <w:rsid w:val="0082777B"/>
    <w:rsid w:val="00830B23"/>
    <w:rsid w:val="00831267"/>
    <w:rsid w:val="008314FB"/>
    <w:rsid w:val="0083270B"/>
    <w:rsid w:val="008327F2"/>
    <w:rsid w:val="00832A3F"/>
    <w:rsid w:val="00832E2F"/>
    <w:rsid w:val="0083300B"/>
    <w:rsid w:val="00834C3D"/>
    <w:rsid w:val="00834ED1"/>
    <w:rsid w:val="00835D6C"/>
    <w:rsid w:val="00836DD3"/>
    <w:rsid w:val="008372BC"/>
    <w:rsid w:val="00840CDE"/>
    <w:rsid w:val="00841EA8"/>
    <w:rsid w:val="00842483"/>
    <w:rsid w:val="00842F7C"/>
    <w:rsid w:val="0084319E"/>
    <w:rsid w:val="00844298"/>
    <w:rsid w:val="00844BE2"/>
    <w:rsid w:val="00847291"/>
    <w:rsid w:val="008508DD"/>
    <w:rsid w:val="00853140"/>
    <w:rsid w:val="00853329"/>
    <w:rsid w:val="00853B48"/>
    <w:rsid w:val="0086254C"/>
    <w:rsid w:val="008632B9"/>
    <w:rsid w:val="00863518"/>
    <w:rsid w:val="00863738"/>
    <w:rsid w:val="008670C2"/>
    <w:rsid w:val="008675FB"/>
    <w:rsid w:val="0087061B"/>
    <w:rsid w:val="00872209"/>
    <w:rsid w:val="00872FD7"/>
    <w:rsid w:val="008744CB"/>
    <w:rsid w:val="00874653"/>
    <w:rsid w:val="00875EFC"/>
    <w:rsid w:val="0087666B"/>
    <w:rsid w:val="0087729B"/>
    <w:rsid w:val="0087778F"/>
    <w:rsid w:val="0088067F"/>
    <w:rsid w:val="00880EAD"/>
    <w:rsid w:val="00881B97"/>
    <w:rsid w:val="0088217C"/>
    <w:rsid w:val="00882323"/>
    <w:rsid w:val="008829A3"/>
    <w:rsid w:val="00882CAE"/>
    <w:rsid w:val="008833B3"/>
    <w:rsid w:val="00883DD1"/>
    <w:rsid w:val="00886311"/>
    <w:rsid w:val="0088636B"/>
    <w:rsid w:val="00886851"/>
    <w:rsid w:val="0088746E"/>
    <w:rsid w:val="0089044F"/>
    <w:rsid w:val="008935C8"/>
    <w:rsid w:val="0089377F"/>
    <w:rsid w:val="008939F7"/>
    <w:rsid w:val="0089693E"/>
    <w:rsid w:val="00897899"/>
    <w:rsid w:val="008A04F5"/>
    <w:rsid w:val="008A093E"/>
    <w:rsid w:val="008A1423"/>
    <w:rsid w:val="008A3288"/>
    <w:rsid w:val="008A35CD"/>
    <w:rsid w:val="008A39D6"/>
    <w:rsid w:val="008A3ACF"/>
    <w:rsid w:val="008A42FF"/>
    <w:rsid w:val="008A4459"/>
    <w:rsid w:val="008A6EDD"/>
    <w:rsid w:val="008A794A"/>
    <w:rsid w:val="008A7D8B"/>
    <w:rsid w:val="008B15E2"/>
    <w:rsid w:val="008B2BB1"/>
    <w:rsid w:val="008B2E69"/>
    <w:rsid w:val="008B3E97"/>
    <w:rsid w:val="008B497C"/>
    <w:rsid w:val="008B49CF"/>
    <w:rsid w:val="008B4F0C"/>
    <w:rsid w:val="008B6BF0"/>
    <w:rsid w:val="008B6D10"/>
    <w:rsid w:val="008B6F3D"/>
    <w:rsid w:val="008C040A"/>
    <w:rsid w:val="008C497D"/>
    <w:rsid w:val="008C4BF8"/>
    <w:rsid w:val="008C4DA8"/>
    <w:rsid w:val="008C6323"/>
    <w:rsid w:val="008C75CE"/>
    <w:rsid w:val="008D00A2"/>
    <w:rsid w:val="008D0873"/>
    <w:rsid w:val="008D24DE"/>
    <w:rsid w:val="008D31E4"/>
    <w:rsid w:val="008D4459"/>
    <w:rsid w:val="008D465C"/>
    <w:rsid w:val="008D4DB1"/>
    <w:rsid w:val="008D531E"/>
    <w:rsid w:val="008D5842"/>
    <w:rsid w:val="008D5E8E"/>
    <w:rsid w:val="008D6AEB"/>
    <w:rsid w:val="008D6E75"/>
    <w:rsid w:val="008D7476"/>
    <w:rsid w:val="008E07E8"/>
    <w:rsid w:val="008E0BB1"/>
    <w:rsid w:val="008E0D73"/>
    <w:rsid w:val="008E1686"/>
    <w:rsid w:val="008E220A"/>
    <w:rsid w:val="008E2F74"/>
    <w:rsid w:val="008E347E"/>
    <w:rsid w:val="008E3B87"/>
    <w:rsid w:val="008E488A"/>
    <w:rsid w:val="008E74EA"/>
    <w:rsid w:val="008E7AEC"/>
    <w:rsid w:val="008F0067"/>
    <w:rsid w:val="008F095F"/>
    <w:rsid w:val="008F0EE0"/>
    <w:rsid w:val="008F1D48"/>
    <w:rsid w:val="008F232A"/>
    <w:rsid w:val="008F2EF5"/>
    <w:rsid w:val="008F39CB"/>
    <w:rsid w:val="008F51FA"/>
    <w:rsid w:val="008F5277"/>
    <w:rsid w:val="008F6E35"/>
    <w:rsid w:val="008F785F"/>
    <w:rsid w:val="00901AE2"/>
    <w:rsid w:val="00901B50"/>
    <w:rsid w:val="0090370F"/>
    <w:rsid w:val="00904CB5"/>
    <w:rsid w:val="009051C2"/>
    <w:rsid w:val="0090654A"/>
    <w:rsid w:val="00907C16"/>
    <w:rsid w:val="009100C3"/>
    <w:rsid w:val="00910917"/>
    <w:rsid w:val="00911954"/>
    <w:rsid w:val="00912674"/>
    <w:rsid w:val="009132EA"/>
    <w:rsid w:val="0091352F"/>
    <w:rsid w:val="00913907"/>
    <w:rsid w:val="00913D4E"/>
    <w:rsid w:val="009144AA"/>
    <w:rsid w:val="00915BB1"/>
    <w:rsid w:val="00915F27"/>
    <w:rsid w:val="0092021B"/>
    <w:rsid w:val="00920A7B"/>
    <w:rsid w:val="00921D4C"/>
    <w:rsid w:val="00923B73"/>
    <w:rsid w:val="00923F38"/>
    <w:rsid w:val="0092412A"/>
    <w:rsid w:val="00924696"/>
    <w:rsid w:val="00925336"/>
    <w:rsid w:val="00925391"/>
    <w:rsid w:val="00927CE7"/>
    <w:rsid w:val="009305AF"/>
    <w:rsid w:val="009307C7"/>
    <w:rsid w:val="00930FE8"/>
    <w:rsid w:val="00930FF5"/>
    <w:rsid w:val="00932EC2"/>
    <w:rsid w:val="00934377"/>
    <w:rsid w:val="0093488A"/>
    <w:rsid w:val="00935568"/>
    <w:rsid w:val="00935BED"/>
    <w:rsid w:val="00936A46"/>
    <w:rsid w:val="0093798D"/>
    <w:rsid w:val="009405D1"/>
    <w:rsid w:val="00940BF2"/>
    <w:rsid w:val="00941B3A"/>
    <w:rsid w:val="0094241C"/>
    <w:rsid w:val="009439AD"/>
    <w:rsid w:val="00943C66"/>
    <w:rsid w:val="00945A5F"/>
    <w:rsid w:val="009469ED"/>
    <w:rsid w:val="0094794A"/>
    <w:rsid w:val="00947CC0"/>
    <w:rsid w:val="009526D8"/>
    <w:rsid w:val="00952A7B"/>
    <w:rsid w:val="009539AB"/>
    <w:rsid w:val="00953E01"/>
    <w:rsid w:val="0095529A"/>
    <w:rsid w:val="00955DC6"/>
    <w:rsid w:val="00957824"/>
    <w:rsid w:val="00957B82"/>
    <w:rsid w:val="0096282A"/>
    <w:rsid w:val="00962E2F"/>
    <w:rsid w:val="0096590B"/>
    <w:rsid w:val="009660CE"/>
    <w:rsid w:val="00966729"/>
    <w:rsid w:val="009669A6"/>
    <w:rsid w:val="00966EFE"/>
    <w:rsid w:val="009676B0"/>
    <w:rsid w:val="00967AFA"/>
    <w:rsid w:val="00972CAE"/>
    <w:rsid w:val="00972FCE"/>
    <w:rsid w:val="00972FD3"/>
    <w:rsid w:val="0097369A"/>
    <w:rsid w:val="00973870"/>
    <w:rsid w:val="00974A49"/>
    <w:rsid w:val="00975821"/>
    <w:rsid w:val="00977973"/>
    <w:rsid w:val="00977C37"/>
    <w:rsid w:val="00980EFB"/>
    <w:rsid w:val="0098172C"/>
    <w:rsid w:val="009831B8"/>
    <w:rsid w:val="00983FF7"/>
    <w:rsid w:val="00984847"/>
    <w:rsid w:val="00985418"/>
    <w:rsid w:val="00986849"/>
    <w:rsid w:val="00986B6E"/>
    <w:rsid w:val="00986D95"/>
    <w:rsid w:val="00986F3D"/>
    <w:rsid w:val="00987CB0"/>
    <w:rsid w:val="0099033E"/>
    <w:rsid w:val="00991AF2"/>
    <w:rsid w:val="00991E9F"/>
    <w:rsid w:val="00992B01"/>
    <w:rsid w:val="00993097"/>
    <w:rsid w:val="00993C73"/>
    <w:rsid w:val="00994FDE"/>
    <w:rsid w:val="009956FF"/>
    <w:rsid w:val="009959A9"/>
    <w:rsid w:val="00995E7A"/>
    <w:rsid w:val="009A195F"/>
    <w:rsid w:val="009A1C1B"/>
    <w:rsid w:val="009A26E9"/>
    <w:rsid w:val="009A351A"/>
    <w:rsid w:val="009A38FA"/>
    <w:rsid w:val="009A39A0"/>
    <w:rsid w:val="009A46C4"/>
    <w:rsid w:val="009A4974"/>
    <w:rsid w:val="009A5A1F"/>
    <w:rsid w:val="009A685A"/>
    <w:rsid w:val="009A6B5F"/>
    <w:rsid w:val="009A6D95"/>
    <w:rsid w:val="009A7111"/>
    <w:rsid w:val="009A7CDE"/>
    <w:rsid w:val="009B02FD"/>
    <w:rsid w:val="009B06B7"/>
    <w:rsid w:val="009B120D"/>
    <w:rsid w:val="009B12FD"/>
    <w:rsid w:val="009B23DA"/>
    <w:rsid w:val="009B4C5E"/>
    <w:rsid w:val="009B5360"/>
    <w:rsid w:val="009B61CC"/>
    <w:rsid w:val="009B77E3"/>
    <w:rsid w:val="009B7B2C"/>
    <w:rsid w:val="009B7E4A"/>
    <w:rsid w:val="009C384B"/>
    <w:rsid w:val="009C3D7F"/>
    <w:rsid w:val="009C5930"/>
    <w:rsid w:val="009C5A27"/>
    <w:rsid w:val="009C5B7C"/>
    <w:rsid w:val="009D126C"/>
    <w:rsid w:val="009D1D20"/>
    <w:rsid w:val="009D1EF5"/>
    <w:rsid w:val="009D2378"/>
    <w:rsid w:val="009D2465"/>
    <w:rsid w:val="009D2F0D"/>
    <w:rsid w:val="009D3886"/>
    <w:rsid w:val="009D6D38"/>
    <w:rsid w:val="009E18A2"/>
    <w:rsid w:val="009E24B8"/>
    <w:rsid w:val="009E3581"/>
    <w:rsid w:val="009E5329"/>
    <w:rsid w:val="009E65EE"/>
    <w:rsid w:val="009E7B04"/>
    <w:rsid w:val="009E7E25"/>
    <w:rsid w:val="009F04E4"/>
    <w:rsid w:val="009F0987"/>
    <w:rsid w:val="009F0C81"/>
    <w:rsid w:val="009F16A3"/>
    <w:rsid w:val="009F1E06"/>
    <w:rsid w:val="009F23F9"/>
    <w:rsid w:val="009F4190"/>
    <w:rsid w:val="009F468F"/>
    <w:rsid w:val="009F4832"/>
    <w:rsid w:val="009F59CD"/>
    <w:rsid w:val="00A0019F"/>
    <w:rsid w:val="00A002FF"/>
    <w:rsid w:val="00A01724"/>
    <w:rsid w:val="00A01BAB"/>
    <w:rsid w:val="00A020B1"/>
    <w:rsid w:val="00A022CE"/>
    <w:rsid w:val="00A02349"/>
    <w:rsid w:val="00A035FF"/>
    <w:rsid w:val="00A039E5"/>
    <w:rsid w:val="00A04140"/>
    <w:rsid w:val="00A0573C"/>
    <w:rsid w:val="00A05C72"/>
    <w:rsid w:val="00A06BA6"/>
    <w:rsid w:val="00A07E5B"/>
    <w:rsid w:val="00A12309"/>
    <w:rsid w:val="00A12E1A"/>
    <w:rsid w:val="00A12EC4"/>
    <w:rsid w:val="00A1302E"/>
    <w:rsid w:val="00A15A1B"/>
    <w:rsid w:val="00A164C1"/>
    <w:rsid w:val="00A17897"/>
    <w:rsid w:val="00A205D8"/>
    <w:rsid w:val="00A21A8E"/>
    <w:rsid w:val="00A22E39"/>
    <w:rsid w:val="00A22FD7"/>
    <w:rsid w:val="00A2479E"/>
    <w:rsid w:val="00A24916"/>
    <w:rsid w:val="00A26310"/>
    <w:rsid w:val="00A26B4E"/>
    <w:rsid w:val="00A3006C"/>
    <w:rsid w:val="00A30079"/>
    <w:rsid w:val="00A315C8"/>
    <w:rsid w:val="00A32E68"/>
    <w:rsid w:val="00A334B5"/>
    <w:rsid w:val="00A3674D"/>
    <w:rsid w:val="00A4064A"/>
    <w:rsid w:val="00A4126D"/>
    <w:rsid w:val="00A4166A"/>
    <w:rsid w:val="00A42537"/>
    <w:rsid w:val="00A43542"/>
    <w:rsid w:val="00A435DE"/>
    <w:rsid w:val="00A448C0"/>
    <w:rsid w:val="00A454F7"/>
    <w:rsid w:val="00A456D9"/>
    <w:rsid w:val="00A45928"/>
    <w:rsid w:val="00A45A0B"/>
    <w:rsid w:val="00A462CD"/>
    <w:rsid w:val="00A46FAE"/>
    <w:rsid w:val="00A47F97"/>
    <w:rsid w:val="00A5012D"/>
    <w:rsid w:val="00A50188"/>
    <w:rsid w:val="00A501EE"/>
    <w:rsid w:val="00A502F1"/>
    <w:rsid w:val="00A50D64"/>
    <w:rsid w:val="00A51BB1"/>
    <w:rsid w:val="00A51F01"/>
    <w:rsid w:val="00A54A8F"/>
    <w:rsid w:val="00A555A0"/>
    <w:rsid w:val="00A5659C"/>
    <w:rsid w:val="00A572DA"/>
    <w:rsid w:val="00A5735F"/>
    <w:rsid w:val="00A57632"/>
    <w:rsid w:val="00A60029"/>
    <w:rsid w:val="00A601D7"/>
    <w:rsid w:val="00A61087"/>
    <w:rsid w:val="00A614B2"/>
    <w:rsid w:val="00A6207A"/>
    <w:rsid w:val="00A62E66"/>
    <w:rsid w:val="00A63DCD"/>
    <w:rsid w:val="00A64A9F"/>
    <w:rsid w:val="00A65141"/>
    <w:rsid w:val="00A65AF3"/>
    <w:rsid w:val="00A668A6"/>
    <w:rsid w:val="00A67B1A"/>
    <w:rsid w:val="00A71255"/>
    <w:rsid w:val="00A71660"/>
    <w:rsid w:val="00A735E8"/>
    <w:rsid w:val="00A7518C"/>
    <w:rsid w:val="00A751EB"/>
    <w:rsid w:val="00A75646"/>
    <w:rsid w:val="00A75F86"/>
    <w:rsid w:val="00A768FB"/>
    <w:rsid w:val="00A77007"/>
    <w:rsid w:val="00A7773B"/>
    <w:rsid w:val="00A8041B"/>
    <w:rsid w:val="00A80A91"/>
    <w:rsid w:val="00A81692"/>
    <w:rsid w:val="00A81D1C"/>
    <w:rsid w:val="00A8333E"/>
    <w:rsid w:val="00A83375"/>
    <w:rsid w:val="00A838C6"/>
    <w:rsid w:val="00A83B50"/>
    <w:rsid w:val="00A874B7"/>
    <w:rsid w:val="00A91CDC"/>
    <w:rsid w:val="00A92CCE"/>
    <w:rsid w:val="00A93162"/>
    <w:rsid w:val="00A93563"/>
    <w:rsid w:val="00A94FD6"/>
    <w:rsid w:val="00A958A0"/>
    <w:rsid w:val="00AA1726"/>
    <w:rsid w:val="00AA1C20"/>
    <w:rsid w:val="00AA2ECF"/>
    <w:rsid w:val="00AA32FA"/>
    <w:rsid w:val="00AA5211"/>
    <w:rsid w:val="00AA58EC"/>
    <w:rsid w:val="00AA5D8F"/>
    <w:rsid w:val="00AA663C"/>
    <w:rsid w:val="00AA71A0"/>
    <w:rsid w:val="00AA7D3F"/>
    <w:rsid w:val="00AB10DA"/>
    <w:rsid w:val="00AB36E6"/>
    <w:rsid w:val="00AB57BD"/>
    <w:rsid w:val="00AB5955"/>
    <w:rsid w:val="00AB6C53"/>
    <w:rsid w:val="00AC05B6"/>
    <w:rsid w:val="00AC0D81"/>
    <w:rsid w:val="00AC0EBE"/>
    <w:rsid w:val="00AC1848"/>
    <w:rsid w:val="00AC2085"/>
    <w:rsid w:val="00AC2BC9"/>
    <w:rsid w:val="00AC44B4"/>
    <w:rsid w:val="00AC489B"/>
    <w:rsid w:val="00AC4BD7"/>
    <w:rsid w:val="00AC63EB"/>
    <w:rsid w:val="00AC64C6"/>
    <w:rsid w:val="00AC666A"/>
    <w:rsid w:val="00AC66DD"/>
    <w:rsid w:val="00AC7C83"/>
    <w:rsid w:val="00AD0242"/>
    <w:rsid w:val="00AD11B0"/>
    <w:rsid w:val="00AD208F"/>
    <w:rsid w:val="00AD76D7"/>
    <w:rsid w:val="00AD7867"/>
    <w:rsid w:val="00AD7F56"/>
    <w:rsid w:val="00AE0782"/>
    <w:rsid w:val="00AE0C03"/>
    <w:rsid w:val="00AE0F44"/>
    <w:rsid w:val="00AE14A6"/>
    <w:rsid w:val="00AE1B0C"/>
    <w:rsid w:val="00AE25A3"/>
    <w:rsid w:val="00AE411F"/>
    <w:rsid w:val="00AE4238"/>
    <w:rsid w:val="00AE449C"/>
    <w:rsid w:val="00AE5222"/>
    <w:rsid w:val="00AE52E1"/>
    <w:rsid w:val="00AE57A7"/>
    <w:rsid w:val="00AE62F2"/>
    <w:rsid w:val="00AF0745"/>
    <w:rsid w:val="00AF07BB"/>
    <w:rsid w:val="00AF212E"/>
    <w:rsid w:val="00AF29DB"/>
    <w:rsid w:val="00AF3229"/>
    <w:rsid w:val="00AF37EA"/>
    <w:rsid w:val="00B02EAF"/>
    <w:rsid w:val="00B079DE"/>
    <w:rsid w:val="00B07D76"/>
    <w:rsid w:val="00B101A5"/>
    <w:rsid w:val="00B1086E"/>
    <w:rsid w:val="00B113B1"/>
    <w:rsid w:val="00B13A97"/>
    <w:rsid w:val="00B13C1F"/>
    <w:rsid w:val="00B1429D"/>
    <w:rsid w:val="00B15535"/>
    <w:rsid w:val="00B16393"/>
    <w:rsid w:val="00B16E42"/>
    <w:rsid w:val="00B16F57"/>
    <w:rsid w:val="00B23FC4"/>
    <w:rsid w:val="00B2419A"/>
    <w:rsid w:val="00B24FA9"/>
    <w:rsid w:val="00B24FD7"/>
    <w:rsid w:val="00B3073A"/>
    <w:rsid w:val="00B312B1"/>
    <w:rsid w:val="00B3241A"/>
    <w:rsid w:val="00B3252F"/>
    <w:rsid w:val="00B339A5"/>
    <w:rsid w:val="00B3535F"/>
    <w:rsid w:val="00B3657A"/>
    <w:rsid w:val="00B37E9C"/>
    <w:rsid w:val="00B41E9A"/>
    <w:rsid w:val="00B4213E"/>
    <w:rsid w:val="00B42BCA"/>
    <w:rsid w:val="00B42C42"/>
    <w:rsid w:val="00B4341E"/>
    <w:rsid w:val="00B46E8B"/>
    <w:rsid w:val="00B46FFC"/>
    <w:rsid w:val="00B50393"/>
    <w:rsid w:val="00B506ED"/>
    <w:rsid w:val="00B51074"/>
    <w:rsid w:val="00B52A4D"/>
    <w:rsid w:val="00B52B85"/>
    <w:rsid w:val="00B52CBD"/>
    <w:rsid w:val="00B52F0C"/>
    <w:rsid w:val="00B5353D"/>
    <w:rsid w:val="00B53699"/>
    <w:rsid w:val="00B5523D"/>
    <w:rsid w:val="00B56C51"/>
    <w:rsid w:val="00B5758B"/>
    <w:rsid w:val="00B60BF1"/>
    <w:rsid w:val="00B61F69"/>
    <w:rsid w:val="00B62423"/>
    <w:rsid w:val="00B627AA"/>
    <w:rsid w:val="00B66844"/>
    <w:rsid w:val="00B66DE7"/>
    <w:rsid w:val="00B677F3"/>
    <w:rsid w:val="00B67A4A"/>
    <w:rsid w:val="00B67AB4"/>
    <w:rsid w:val="00B701AA"/>
    <w:rsid w:val="00B712EB"/>
    <w:rsid w:val="00B714EE"/>
    <w:rsid w:val="00B7276D"/>
    <w:rsid w:val="00B727E2"/>
    <w:rsid w:val="00B729E4"/>
    <w:rsid w:val="00B72B8A"/>
    <w:rsid w:val="00B731A4"/>
    <w:rsid w:val="00B73548"/>
    <w:rsid w:val="00B73CF4"/>
    <w:rsid w:val="00B742C6"/>
    <w:rsid w:val="00B74B03"/>
    <w:rsid w:val="00B76A1B"/>
    <w:rsid w:val="00B77493"/>
    <w:rsid w:val="00B779D3"/>
    <w:rsid w:val="00B77AF9"/>
    <w:rsid w:val="00B77AFE"/>
    <w:rsid w:val="00B82BF0"/>
    <w:rsid w:val="00B8302B"/>
    <w:rsid w:val="00B832CC"/>
    <w:rsid w:val="00B83F0D"/>
    <w:rsid w:val="00B84255"/>
    <w:rsid w:val="00B8429F"/>
    <w:rsid w:val="00B846F9"/>
    <w:rsid w:val="00B86088"/>
    <w:rsid w:val="00B87554"/>
    <w:rsid w:val="00B8780A"/>
    <w:rsid w:val="00B879E5"/>
    <w:rsid w:val="00B919A4"/>
    <w:rsid w:val="00B9228E"/>
    <w:rsid w:val="00B93CB1"/>
    <w:rsid w:val="00B93D44"/>
    <w:rsid w:val="00B93F6B"/>
    <w:rsid w:val="00B9460A"/>
    <w:rsid w:val="00B9464E"/>
    <w:rsid w:val="00B94B27"/>
    <w:rsid w:val="00B94C66"/>
    <w:rsid w:val="00B94C76"/>
    <w:rsid w:val="00B95342"/>
    <w:rsid w:val="00B965C2"/>
    <w:rsid w:val="00BA1072"/>
    <w:rsid w:val="00BA163C"/>
    <w:rsid w:val="00BA1756"/>
    <w:rsid w:val="00BA26DE"/>
    <w:rsid w:val="00BA2DE9"/>
    <w:rsid w:val="00BA317C"/>
    <w:rsid w:val="00BA3239"/>
    <w:rsid w:val="00BA4431"/>
    <w:rsid w:val="00BA48B0"/>
    <w:rsid w:val="00BA5915"/>
    <w:rsid w:val="00BA5B3D"/>
    <w:rsid w:val="00BA6AC0"/>
    <w:rsid w:val="00BB03EE"/>
    <w:rsid w:val="00BB0BD6"/>
    <w:rsid w:val="00BB0F64"/>
    <w:rsid w:val="00BB14F9"/>
    <w:rsid w:val="00BB166B"/>
    <w:rsid w:val="00BB1D29"/>
    <w:rsid w:val="00BB2891"/>
    <w:rsid w:val="00BB38CA"/>
    <w:rsid w:val="00BB3E4C"/>
    <w:rsid w:val="00BB5284"/>
    <w:rsid w:val="00BB6267"/>
    <w:rsid w:val="00BB759B"/>
    <w:rsid w:val="00BC08FF"/>
    <w:rsid w:val="00BC3402"/>
    <w:rsid w:val="00BC4038"/>
    <w:rsid w:val="00BC4C56"/>
    <w:rsid w:val="00BC4FEA"/>
    <w:rsid w:val="00BC587F"/>
    <w:rsid w:val="00BC5B33"/>
    <w:rsid w:val="00BC6770"/>
    <w:rsid w:val="00BC6A4E"/>
    <w:rsid w:val="00BC6BFC"/>
    <w:rsid w:val="00BC711A"/>
    <w:rsid w:val="00BC74E3"/>
    <w:rsid w:val="00BC7520"/>
    <w:rsid w:val="00BD096F"/>
    <w:rsid w:val="00BD127A"/>
    <w:rsid w:val="00BD1960"/>
    <w:rsid w:val="00BD2657"/>
    <w:rsid w:val="00BD4E90"/>
    <w:rsid w:val="00BD55F8"/>
    <w:rsid w:val="00BD5ACC"/>
    <w:rsid w:val="00BD6A2D"/>
    <w:rsid w:val="00BD7102"/>
    <w:rsid w:val="00BD7331"/>
    <w:rsid w:val="00BD77D0"/>
    <w:rsid w:val="00BE166E"/>
    <w:rsid w:val="00BE1F70"/>
    <w:rsid w:val="00BE2D3A"/>
    <w:rsid w:val="00BE30DE"/>
    <w:rsid w:val="00BE3913"/>
    <w:rsid w:val="00BE7268"/>
    <w:rsid w:val="00BE7D35"/>
    <w:rsid w:val="00BF17EF"/>
    <w:rsid w:val="00BF3972"/>
    <w:rsid w:val="00BF6249"/>
    <w:rsid w:val="00BF6F0D"/>
    <w:rsid w:val="00BF71A5"/>
    <w:rsid w:val="00BF72E6"/>
    <w:rsid w:val="00BF7AA6"/>
    <w:rsid w:val="00C01449"/>
    <w:rsid w:val="00C01B3B"/>
    <w:rsid w:val="00C021F8"/>
    <w:rsid w:val="00C022ED"/>
    <w:rsid w:val="00C051CA"/>
    <w:rsid w:val="00C10A73"/>
    <w:rsid w:val="00C10BF4"/>
    <w:rsid w:val="00C11237"/>
    <w:rsid w:val="00C114C1"/>
    <w:rsid w:val="00C1159D"/>
    <w:rsid w:val="00C118C8"/>
    <w:rsid w:val="00C12589"/>
    <w:rsid w:val="00C14862"/>
    <w:rsid w:val="00C1517E"/>
    <w:rsid w:val="00C16694"/>
    <w:rsid w:val="00C16E9D"/>
    <w:rsid w:val="00C17FF4"/>
    <w:rsid w:val="00C2066F"/>
    <w:rsid w:val="00C234E9"/>
    <w:rsid w:val="00C23D5F"/>
    <w:rsid w:val="00C25516"/>
    <w:rsid w:val="00C32D10"/>
    <w:rsid w:val="00C33745"/>
    <w:rsid w:val="00C34167"/>
    <w:rsid w:val="00C34C3E"/>
    <w:rsid w:val="00C34E8B"/>
    <w:rsid w:val="00C40815"/>
    <w:rsid w:val="00C41520"/>
    <w:rsid w:val="00C417B4"/>
    <w:rsid w:val="00C41B27"/>
    <w:rsid w:val="00C42636"/>
    <w:rsid w:val="00C4292F"/>
    <w:rsid w:val="00C42B8A"/>
    <w:rsid w:val="00C43B65"/>
    <w:rsid w:val="00C45702"/>
    <w:rsid w:val="00C47484"/>
    <w:rsid w:val="00C47DE9"/>
    <w:rsid w:val="00C50FD0"/>
    <w:rsid w:val="00C5123B"/>
    <w:rsid w:val="00C522A6"/>
    <w:rsid w:val="00C53475"/>
    <w:rsid w:val="00C53F01"/>
    <w:rsid w:val="00C55029"/>
    <w:rsid w:val="00C55D0B"/>
    <w:rsid w:val="00C55FA1"/>
    <w:rsid w:val="00C573B6"/>
    <w:rsid w:val="00C577E6"/>
    <w:rsid w:val="00C60677"/>
    <w:rsid w:val="00C6147E"/>
    <w:rsid w:val="00C618BC"/>
    <w:rsid w:val="00C61DC2"/>
    <w:rsid w:val="00C64E83"/>
    <w:rsid w:val="00C65F56"/>
    <w:rsid w:val="00C660A9"/>
    <w:rsid w:val="00C664F6"/>
    <w:rsid w:val="00C665DA"/>
    <w:rsid w:val="00C6720A"/>
    <w:rsid w:val="00C6791B"/>
    <w:rsid w:val="00C67B70"/>
    <w:rsid w:val="00C702C3"/>
    <w:rsid w:val="00C70EEA"/>
    <w:rsid w:val="00C71620"/>
    <w:rsid w:val="00C72E81"/>
    <w:rsid w:val="00C73423"/>
    <w:rsid w:val="00C73699"/>
    <w:rsid w:val="00C73971"/>
    <w:rsid w:val="00C74E9F"/>
    <w:rsid w:val="00C759C3"/>
    <w:rsid w:val="00C75BAC"/>
    <w:rsid w:val="00C76977"/>
    <w:rsid w:val="00C76AFF"/>
    <w:rsid w:val="00C77BC1"/>
    <w:rsid w:val="00C77DF2"/>
    <w:rsid w:val="00C81021"/>
    <w:rsid w:val="00C8149F"/>
    <w:rsid w:val="00C827BA"/>
    <w:rsid w:val="00C85C8A"/>
    <w:rsid w:val="00C85F3A"/>
    <w:rsid w:val="00C87402"/>
    <w:rsid w:val="00C87718"/>
    <w:rsid w:val="00C919E3"/>
    <w:rsid w:val="00C91C97"/>
    <w:rsid w:val="00C92D6C"/>
    <w:rsid w:val="00C936AD"/>
    <w:rsid w:val="00C94080"/>
    <w:rsid w:val="00C944D4"/>
    <w:rsid w:val="00C960EE"/>
    <w:rsid w:val="00C96A57"/>
    <w:rsid w:val="00CA08E0"/>
    <w:rsid w:val="00CA2BA2"/>
    <w:rsid w:val="00CA427E"/>
    <w:rsid w:val="00CA461B"/>
    <w:rsid w:val="00CA462A"/>
    <w:rsid w:val="00CA525E"/>
    <w:rsid w:val="00CA541B"/>
    <w:rsid w:val="00CA6ACD"/>
    <w:rsid w:val="00CA6FAC"/>
    <w:rsid w:val="00CA7E53"/>
    <w:rsid w:val="00CB03C3"/>
    <w:rsid w:val="00CB410A"/>
    <w:rsid w:val="00CB53A6"/>
    <w:rsid w:val="00CB746E"/>
    <w:rsid w:val="00CC1157"/>
    <w:rsid w:val="00CC2B6E"/>
    <w:rsid w:val="00CC437C"/>
    <w:rsid w:val="00CC5532"/>
    <w:rsid w:val="00CC65BC"/>
    <w:rsid w:val="00CD025E"/>
    <w:rsid w:val="00CD03EE"/>
    <w:rsid w:val="00CD0C56"/>
    <w:rsid w:val="00CD20CA"/>
    <w:rsid w:val="00CD27F2"/>
    <w:rsid w:val="00CD2817"/>
    <w:rsid w:val="00CD6DD1"/>
    <w:rsid w:val="00CD6FEA"/>
    <w:rsid w:val="00CE0F96"/>
    <w:rsid w:val="00CE158A"/>
    <w:rsid w:val="00CE3735"/>
    <w:rsid w:val="00CE3D96"/>
    <w:rsid w:val="00CE3E1B"/>
    <w:rsid w:val="00CE525C"/>
    <w:rsid w:val="00CE554D"/>
    <w:rsid w:val="00CF0EC6"/>
    <w:rsid w:val="00CF32ED"/>
    <w:rsid w:val="00CF3BAB"/>
    <w:rsid w:val="00CF5492"/>
    <w:rsid w:val="00CF74E8"/>
    <w:rsid w:val="00CF7F55"/>
    <w:rsid w:val="00D003EB"/>
    <w:rsid w:val="00D00E05"/>
    <w:rsid w:val="00D01DCD"/>
    <w:rsid w:val="00D02C10"/>
    <w:rsid w:val="00D037C6"/>
    <w:rsid w:val="00D05F61"/>
    <w:rsid w:val="00D06044"/>
    <w:rsid w:val="00D06454"/>
    <w:rsid w:val="00D06C62"/>
    <w:rsid w:val="00D06D3B"/>
    <w:rsid w:val="00D07014"/>
    <w:rsid w:val="00D07900"/>
    <w:rsid w:val="00D07AA8"/>
    <w:rsid w:val="00D10AB3"/>
    <w:rsid w:val="00D11230"/>
    <w:rsid w:val="00D11F53"/>
    <w:rsid w:val="00D1261B"/>
    <w:rsid w:val="00D14F36"/>
    <w:rsid w:val="00D1579C"/>
    <w:rsid w:val="00D15985"/>
    <w:rsid w:val="00D163FB"/>
    <w:rsid w:val="00D16C60"/>
    <w:rsid w:val="00D17D58"/>
    <w:rsid w:val="00D2116E"/>
    <w:rsid w:val="00D22B1A"/>
    <w:rsid w:val="00D234D1"/>
    <w:rsid w:val="00D2370B"/>
    <w:rsid w:val="00D2392D"/>
    <w:rsid w:val="00D2491A"/>
    <w:rsid w:val="00D2583F"/>
    <w:rsid w:val="00D268B3"/>
    <w:rsid w:val="00D27121"/>
    <w:rsid w:val="00D273D2"/>
    <w:rsid w:val="00D27639"/>
    <w:rsid w:val="00D32223"/>
    <w:rsid w:val="00D32F14"/>
    <w:rsid w:val="00D33001"/>
    <w:rsid w:val="00D3567B"/>
    <w:rsid w:val="00D35B6E"/>
    <w:rsid w:val="00D35EE7"/>
    <w:rsid w:val="00D37CF0"/>
    <w:rsid w:val="00D41400"/>
    <w:rsid w:val="00D42538"/>
    <w:rsid w:val="00D42CC6"/>
    <w:rsid w:val="00D43559"/>
    <w:rsid w:val="00D447AD"/>
    <w:rsid w:val="00D44C86"/>
    <w:rsid w:val="00D4550B"/>
    <w:rsid w:val="00D459D4"/>
    <w:rsid w:val="00D469B3"/>
    <w:rsid w:val="00D4789D"/>
    <w:rsid w:val="00D514C6"/>
    <w:rsid w:val="00D534BC"/>
    <w:rsid w:val="00D552A2"/>
    <w:rsid w:val="00D55A06"/>
    <w:rsid w:val="00D56779"/>
    <w:rsid w:val="00D6073D"/>
    <w:rsid w:val="00D61E56"/>
    <w:rsid w:val="00D62DAD"/>
    <w:rsid w:val="00D6374E"/>
    <w:rsid w:val="00D63C4E"/>
    <w:rsid w:val="00D67DC5"/>
    <w:rsid w:val="00D67ED4"/>
    <w:rsid w:val="00D700AF"/>
    <w:rsid w:val="00D70328"/>
    <w:rsid w:val="00D70739"/>
    <w:rsid w:val="00D70924"/>
    <w:rsid w:val="00D72743"/>
    <w:rsid w:val="00D738EC"/>
    <w:rsid w:val="00D747B0"/>
    <w:rsid w:val="00D770B7"/>
    <w:rsid w:val="00D77A36"/>
    <w:rsid w:val="00D81969"/>
    <w:rsid w:val="00D82B81"/>
    <w:rsid w:val="00D853B3"/>
    <w:rsid w:val="00D85598"/>
    <w:rsid w:val="00D85C1D"/>
    <w:rsid w:val="00D8687F"/>
    <w:rsid w:val="00D86FF0"/>
    <w:rsid w:val="00D932D9"/>
    <w:rsid w:val="00D934A6"/>
    <w:rsid w:val="00D940F3"/>
    <w:rsid w:val="00D94DB0"/>
    <w:rsid w:val="00D94F31"/>
    <w:rsid w:val="00D96E12"/>
    <w:rsid w:val="00D9767A"/>
    <w:rsid w:val="00D97B73"/>
    <w:rsid w:val="00DA038F"/>
    <w:rsid w:val="00DA0D2C"/>
    <w:rsid w:val="00DA0E02"/>
    <w:rsid w:val="00DA14E2"/>
    <w:rsid w:val="00DA1557"/>
    <w:rsid w:val="00DA1A50"/>
    <w:rsid w:val="00DA1EDF"/>
    <w:rsid w:val="00DA23B5"/>
    <w:rsid w:val="00DA2E19"/>
    <w:rsid w:val="00DA31B0"/>
    <w:rsid w:val="00DA35E7"/>
    <w:rsid w:val="00DA3805"/>
    <w:rsid w:val="00DA4699"/>
    <w:rsid w:val="00DA49E1"/>
    <w:rsid w:val="00DA5107"/>
    <w:rsid w:val="00DA7761"/>
    <w:rsid w:val="00DA7C59"/>
    <w:rsid w:val="00DB0E3A"/>
    <w:rsid w:val="00DB19DC"/>
    <w:rsid w:val="00DB20D2"/>
    <w:rsid w:val="00DB2D2C"/>
    <w:rsid w:val="00DB362A"/>
    <w:rsid w:val="00DB3BAE"/>
    <w:rsid w:val="00DB4CB5"/>
    <w:rsid w:val="00DB5098"/>
    <w:rsid w:val="00DB7F82"/>
    <w:rsid w:val="00DC1712"/>
    <w:rsid w:val="00DC2FB2"/>
    <w:rsid w:val="00DC380E"/>
    <w:rsid w:val="00DC478B"/>
    <w:rsid w:val="00DC501D"/>
    <w:rsid w:val="00DC5BB3"/>
    <w:rsid w:val="00DC5CD6"/>
    <w:rsid w:val="00DC5F68"/>
    <w:rsid w:val="00DC618A"/>
    <w:rsid w:val="00DC6A74"/>
    <w:rsid w:val="00DC6F06"/>
    <w:rsid w:val="00DC797E"/>
    <w:rsid w:val="00DC7C4C"/>
    <w:rsid w:val="00DD1761"/>
    <w:rsid w:val="00DD5784"/>
    <w:rsid w:val="00DD5A57"/>
    <w:rsid w:val="00DD5DF1"/>
    <w:rsid w:val="00DD77E5"/>
    <w:rsid w:val="00DD7971"/>
    <w:rsid w:val="00DE1DDB"/>
    <w:rsid w:val="00DE4B91"/>
    <w:rsid w:val="00DE5C53"/>
    <w:rsid w:val="00DE630C"/>
    <w:rsid w:val="00DE65D7"/>
    <w:rsid w:val="00DE7693"/>
    <w:rsid w:val="00DF1332"/>
    <w:rsid w:val="00DF1487"/>
    <w:rsid w:val="00DF3571"/>
    <w:rsid w:val="00DF65AB"/>
    <w:rsid w:val="00DF6613"/>
    <w:rsid w:val="00E014D7"/>
    <w:rsid w:val="00E01A9F"/>
    <w:rsid w:val="00E025C2"/>
    <w:rsid w:val="00E02881"/>
    <w:rsid w:val="00E02964"/>
    <w:rsid w:val="00E034B1"/>
    <w:rsid w:val="00E034C9"/>
    <w:rsid w:val="00E03C05"/>
    <w:rsid w:val="00E03D6F"/>
    <w:rsid w:val="00E05717"/>
    <w:rsid w:val="00E06B1A"/>
    <w:rsid w:val="00E07044"/>
    <w:rsid w:val="00E0741F"/>
    <w:rsid w:val="00E076E0"/>
    <w:rsid w:val="00E0776A"/>
    <w:rsid w:val="00E10295"/>
    <w:rsid w:val="00E10FF9"/>
    <w:rsid w:val="00E111B2"/>
    <w:rsid w:val="00E115CB"/>
    <w:rsid w:val="00E13E08"/>
    <w:rsid w:val="00E15945"/>
    <w:rsid w:val="00E15A72"/>
    <w:rsid w:val="00E16B66"/>
    <w:rsid w:val="00E170D4"/>
    <w:rsid w:val="00E17764"/>
    <w:rsid w:val="00E201D3"/>
    <w:rsid w:val="00E20BC6"/>
    <w:rsid w:val="00E21EC8"/>
    <w:rsid w:val="00E2241F"/>
    <w:rsid w:val="00E22E25"/>
    <w:rsid w:val="00E23B52"/>
    <w:rsid w:val="00E24500"/>
    <w:rsid w:val="00E26347"/>
    <w:rsid w:val="00E2751E"/>
    <w:rsid w:val="00E27653"/>
    <w:rsid w:val="00E276CB"/>
    <w:rsid w:val="00E27BEE"/>
    <w:rsid w:val="00E31349"/>
    <w:rsid w:val="00E31902"/>
    <w:rsid w:val="00E323EA"/>
    <w:rsid w:val="00E33058"/>
    <w:rsid w:val="00E33628"/>
    <w:rsid w:val="00E33896"/>
    <w:rsid w:val="00E33FFA"/>
    <w:rsid w:val="00E34F9C"/>
    <w:rsid w:val="00E35168"/>
    <w:rsid w:val="00E3534A"/>
    <w:rsid w:val="00E40D0C"/>
    <w:rsid w:val="00E41170"/>
    <w:rsid w:val="00E4183B"/>
    <w:rsid w:val="00E41B4D"/>
    <w:rsid w:val="00E426E1"/>
    <w:rsid w:val="00E42D5D"/>
    <w:rsid w:val="00E44802"/>
    <w:rsid w:val="00E454E4"/>
    <w:rsid w:val="00E467B8"/>
    <w:rsid w:val="00E47073"/>
    <w:rsid w:val="00E47D0F"/>
    <w:rsid w:val="00E50E80"/>
    <w:rsid w:val="00E5152C"/>
    <w:rsid w:val="00E52E96"/>
    <w:rsid w:val="00E54773"/>
    <w:rsid w:val="00E6025E"/>
    <w:rsid w:val="00E60E07"/>
    <w:rsid w:val="00E61D39"/>
    <w:rsid w:val="00E64585"/>
    <w:rsid w:val="00E64BCC"/>
    <w:rsid w:val="00E6516F"/>
    <w:rsid w:val="00E673A0"/>
    <w:rsid w:val="00E7053E"/>
    <w:rsid w:val="00E70A89"/>
    <w:rsid w:val="00E7168B"/>
    <w:rsid w:val="00E72424"/>
    <w:rsid w:val="00E7441E"/>
    <w:rsid w:val="00E75A9A"/>
    <w:rsid w:val="00E75E89"/>
    <w:rsid w:val="00E76F0B"/>
    <w:rsid w:val="00E77EF2"/>
    <w:rsid w:val="00E807A7"/>
    <w:rsid w:val="00E8177A"/>
    <w:rsid w:val="00E82176"/>
    <w:rsid w:val="00E83321"/>
    <w:rsid w:val="00E83F86"/>
    <w:rsid w:val="00E846FB"/>
    <w:rsid w:val="00E84F38"/>
    <w:rsid w:val="00E85329"/>
    <w:rsid w:val="00E854DC"/>
    <w:rsid w:val="00E86808"/>
    <w:rsid w:val="00E90C12"/>
    <w:rsid w:val="00E90CFA"/>
    <w:rsid w:val="00E9130C"/>
    <w:rsid w:val="00E923F5"/>
    <w:rsid w:val="00E92B60"/>
    <w:rsid w:val="00E959C0"/>
    <w:rsid w:val="00E97005"/>
    <w:rsid w:val="00E97193"/>
    <w:rsid w:val="00E97A37"/>
    <w:rsid w:val="00EA101F"/>
    <w:rsid w:val="00EA1397"/>
    <w:rsid w:val="00EA2284"/>
    <w:rsid w:val="00EA2482"/>
    <w:rsid w:val="00EA2C02"/>
    <w:rsid w:val="00EA2CF7"/>
    <w:rsid w:val="00EA438B"/>
    <w:rsid w:val="00EA4729"/>
    <w:rsid w:val="00EA4D42"/>
    <w:rsid w:val="00EA51C5"/>
    <w:rsid w:val="00EA54A9"/>
    <w:rsid w:val="00EA5B00"/>
    <w:rsid w:val="00EA5BCB"/>
    <w:rsid w:val="00EA6972"/>
    <w:rsid w:val="00EA699F"/>
    <w:rsid w:val="00EA6C75"/>
    <w:rsid w:val="00EA719B"/>
    <w:rsid w:val="00EA7AB6"/>
    <w:rsid w:val="00EA7D29"/>
    <w:rsid w:val="00EA7D96"/>
    <w:rsid w:val="00EB0B18"/>
    <w:rsid w:val="00EB29C8"/>
    <w:rsid w:val="00EB3732"/>
    <w:rsid w:val="00EB4E1E"/>
    <w:rsid w:val="00EB5065"/>
    <w:rsid w:val="00EB5212"/>
    <w:rsid w:val="00EB5C50"/>
    <w:rsid w:val="00EB5CF9"/>
    <w:rsid w:val="00EB6486"/>
    <w:rsid w:val="00EB670D"/>
    <w:rsid w:val="00EB6A3C"/>
    <w:rsid w:val="00EC11D6"/>
    <w:rsid w:val="00EC3057"/>
    <w:rsid w:val="00EC3334"/>
    <w:rsid w:val="00EC3C7C"/>
    <w:rsid w:val="00EC43FE"/>
    <w:rsid w:val="00EC6CE3"/>
    <w:rsid w:val="00EC6ECB"/>
    <w:rsid w:val="00EC73EF"/>
    <w:rsid w:val="00EC75D6"/>
    <w:rsid w:val="00EC76BA"/>
    <w:rsid w:val="00EC7E20"/>
    <w:rsid w:val="00ED018C"/>
    <w:rsid w:val="00ED16DB"/>
    <w:rsid w:val="00ED1A15"/>
    <w:rsid w:val="00ED2599"/>
    <w:rsid w:val="00ED2C72"/>
    <w:rsid w:val="00ED2D43"/>
    <w:rsid w:val="00ED3F43"/>
    <w:rsid w:val="00ED4EF2"/>
    <w:rsid w:val="00ED5479"/>
    <w:rsid w:val="00ED591D"/>
    <w:rsid w:val="00EE069A"/>
    <w:rsid w:val="00EE0949"/>
    <w:rsid w:val="00EE190D"/>
    <w:rsid w:val="00EE1AB4"/>
    <w:rsid w:val="00EE32A8"/>
    <w:rsid w:val="00EE3877"/>
    <w:rsid w:val="00EE40B4"/>
    <w:rsid w:val="00EE4506"/>
    <w:rsid w:val="00EE4C33"/>
    <w:rsid w:val="00EE63CC"/>
    <w:rsid w:val="00EE6DAA"/>
    <w:rsid w:val="00EF07C7"/>
    <w:rsid w:val="00EF0E61"/>
    <w:rsid w:val="00EF186F"/>
    <w:rsid w:val="00EF6433"/>
    <w:rsid w:val="00EF7192"/>
    <w:rsid w:val="00EF770B"/>
    <w:rsid w:val="00F00D0B"/>
    <w:rsid w:val="00F01F54"/>
    <w:rsid w:val="00F03B9F"/>
    <w:rsid w:val="00F06912"/>
    <w:rsid w:val="00F0750C"/>
    <w:rsid w:val="00F11FAB"/>
    <w:rsid w:val="00F14098"/>
    <w:rsid w:val="00F14A77"/>
    <w:rsid w:val="00F1572C"/>
    <w:rsid w:val="00F15BB8"/>
    <w:rsid w:val="00F1632F"/>
    <w:rsid w:val="00F1717E"/>
    <w:rsid w:val="00F17A17"/>
    <w:rsid w:val="00F17A9A"/>
    <w:rsid w:val="00F205B2"/>
    <w:rsid w:val="00F209BD"/>
    <w:rsid w:val="00F20E8C"/>
    <w:rsid w:val="00F22F7E"/>
    <w:rsid w:val="00F22F9D"/>
    <w:rsid w:val="00F2375B"/>
    <w:rsid w:val="00F25AC2"/>
    <w:rsid w:val="00F2694E"/>
    <w:rsid w:val="00F26A1D"/>
    <w:rsid w:val="00F30279"/>
    <w:rsid w:val="00F31E3F"/>
    <w:rsid w:val="00F33E13"/>
    <w:rsid w:val="00F34C69"/>
    <w:rsid w:val="00F36B5F"/>
    <w:rsid w:val="00F37BE6"/>
    <w:rsid w:val="00F404D0"/>
    <w:rsid w:val="00F40E71"/>
    <w:rsid w:val="00F4213A"/>
    <w:rsid w:val="00F4308E"/>
    <w:rsid w:val="00F47FF6"/>
    <w:rsid w:val="00F5028C"/>
    <w:rsid w:val="00F51B66"/>
    <w:rsid w:val="00F523F6"/>
    <w:rsid w:val="00F5246F"/>
    <w:rsid w:val="00F53A90"/>
    <w:rsid w:val="00F54B2B"/>
    <w:rsid w:val="00F55068"/>
    <w:rsid w:val="00F5765B"/>
    <w:rsid w:val="00F57BFA"/>
    <w:rsid w:val="00F57D5D"/>
    <w:rsid w:val="00F6037F"/>
    <w:rsid w:val="00F61409"/>
    <w:rsid w:val="00F629A7"/>
    <w:rsid w:val="00F63C51"/>
    <w:rsid w:val="00F6572D"/>
    <w:rsid w:val="00F65D5A"/>
    <w:rsid w:val="00F66F76"/>
    <w:rsid w:val="00F67281"/>
    <w:rsid w:val="00F70BEA"/>
    <w:rsid w:val="00F70D1A"/>
    <w:rsid w:val="00F70FFA"/>
    <w:rsid w:val="00F71396"/>
    <w:rsid w:val="00F71C64"/>
    <w:rsid w:val="00F72664"/>
    <w:rsid w:val="00F726A8"/>
    <w:rsid w:val="00F7279C"/>
    <w:rsid w:val="00F73E32"/>
    <w:rsid w:val="00F7401C"/>
    <w:rsid w:val="00F754F1"/>
    <w:rsid w:val="00F757FD"/>
    <w:rsid w:val="00F75883"/>
    <w:rsid w:val="00F76EEE"/>
    <w:rsid w:val="00F7720A"/>
    <w:rsid w:val="00F7769C"/>
    <w:rsid w:val="00F80BB2"/>
    <w:rsid w:val="00F8135F"/>
    <w:rsid w:val="00F81C57"/>
    <w:rsid w:val="00F81ED6"/>
    <w:rsid w:val="00F827D8"/>
    <w:rsid w:val="00F82B6E"/>
    <w:rsid w:val="00F86A7A"/>
    <w:rsid w:val="00F90585"/>
    <w:rsid w:val="00F90B98"/>
    <w:rsid w:val="00F915FB"/>
    <w:rsid w:val="00F92FE7"/>
    <w:rsid w:val="00F9349B"/>
    <w:rsid w:val="00F94550"/>
    <w:rsid w:val="00F95A40"/>
    <w:rsid w:val="00F9610E"/>
    <w:rsid w:val="00F9741C"/>
    <w:rsid w:val="00F97742"/>
    <w:rsid w:val="00FA061D"/>
    <w:rsid w:val="00FA59F1"/>
    <w:rsid w:val="00FA62CA"/>
    <w:rsid w:val="00FA7268"/>
    <w:rsid w:val="00FA7CD4"/>
    <w:rsid w:val="00FB1E96"/>
    <w:rsid w:val="00FB210A"/>
    <w:rsid w:val="00FB25D1"/>
    <w:rsid w:val="00FB4095"/>
    <w:rsid w:val="00FB4DF0"/>
    <w:rsid w:val="00FB564E"/>
    <w:rsid w:val="00FB5A89"/>
    <w:rsid w:val="00FB65F6"/>
    <w:rsid w:val="00FB7234"/>
    <w:rsid w:val="00FB7DC9"/>
    <w:rsid w:val="00FC012D"/>
    <w:rsid w:val="00FC0A12"/>
    <w:rsid w:val="00FC117D"/>
    <w:rsid w:val="00FC15D0"/>
    <w:rsid w:val="00FC1E57"/>
    <w:rsid w:val="00FC28FE"/>
    <w:rsid w:val="00FC29C7"/>
    <w:rsid w:val="00FC47A6"/>
    <w:rsid w:val="00FC5EA4"/>
    <w:rsid w:val="00FC7458"/>
    <w:rsid w:val="00FC754C"/>
    <w:rsid w:val="00FD01ED"/>
    <w:rsid w:val="00FD0244"/>
    <w:rsid w:val="00FD08A5"/>
    <w:rsid w:val="00FD1882"/>
    <w:rsid w:val="00FD1D36"/>
    <w:rsid w:val="00FD3074"/>
    <w:rsid w:val="00FD5F51"/>
    <w:rsid w:val="00FD6168"/>
    <w:rsid w:val="00FD7B6E"/>
    <w:rsid w:val="00FE069F"/>
    <w:rsid w:val="00FE0861"/>
    <w:rsid w:val="00FE0B24"/>
    <w:rsid w:val="00FE2C69"/>
    <w:rsid w:val="00FE3BEB"/>
    <w:rsid w:val="00FE5EFB"/>
    <w:rsid w:val="00FE6DA0"/>
    <w:rsid w:val="00FF038A"/>
    <w:rsid w:val="00FF047F"/>
    <w:rsid w:val="00FF1833"/>
    <w:rsid w:val="00FF194A"/>
    <w:rsid w:val="00FF21E1"/>
    <w:rsid w:val="00FF233B"/>
    <w:rsid w:val="00FF304C"/>
    <w:rsid w:val="00FF3536"/>
    <w:rsid w:val="00FF4E37"/>
    <w:rsid w:val="00FF5D20"/>
    <w:rsid w:val="00FF6155"/>
    <w:rsid w:val="00FF61D6"/>
    <w:rsid w:val="00FF6F7F"/>
    <w:rsid w:val="00FF7372"/>
    <w:rsid w:val="00FF740A"/>
    <w:rsid w:val="00FF79EB"/>
    <w:rsid w:val="01042DF1"/>
    <w:rsid w:val="010A478A"/>
    <w:rsid w:val="01210C8F"/>
    <w:rsid w:val="013D23C6"/>
    <w:rsid w:val="01502144"/>
    <w:rsid w:val="016A1DA5"/>
    <w:rsid w:val="01790897"/>
    <w:rsid w:val="017E6B98"/>
    <w:rsid w:val="01B76183"/>
    <w:rsid w:val="01CC41C7"/>
    <w:rsid w:val="020E1DAC"/>
    <w:rsid w:val="022C5441"/>
    <w:rsid w:val="024046B2"/>
    <w:rsid w:val="028F158B"/>
    <w:rsid w:val="029E32FE"/>
    <w:rsid w:val="02D56F95"/>
    <w:rsid w:val="02FD311A"/>
    <w:rsid w:val="031130BA"/>
    <w:rsid w:val="03200DFA"/>
    <w:rsid w:val="0333780B"/>
    <w:rsid w:val="036A1F1E"/>
    <w:rsid w:val="036B4D2C"/>
    <w:rsid w:val="038C5821"/>
    <w:rsid w:val="03E35C8D"/>
    <w:rsid w:val="04245B63"/>
    <w:rsid w:val="043B3DDE"/>
    <w:rsid w:val="0488299A"/>
    <w:rsid w:val="04977BF0"/>
    <w:rsid w:val="04F97EC5"/>
    <w:rsid w:val="05004038"/>
    <w:rsid w:val="053577A0"/>
    <w:rsid w:val="05444DBA"/>
    <w:rsid w:val="057E2C27"/>
    <w:rsid w:val="05AF2776"/>
    <w:rsid w:val="05BD49B5"/>
    <w:rsid w:val="05CB708D"/>
    <w:rsid w:val="05F619E4"/>
    <w:rsid w:val="06004A04"/>
    <w:rsid w:val="060C6079"/>
    <w:rsid w:val="06660D68"/>
    <w:rsid w:val="06692FFB"/>
    <w:rsid w:val="06795041"/>
    <w:rsid w:val="06B30EA6"/>
    <w:rsid w:val="06D53047"/>
    <w:rsid w:val="06DD649D"/>
    <w:rsid w:val="06F61B2A"/>
    <w:rsid w:val="076646E5"/>
    <w:rsid w:val="07815BB5"/>
    <w:rsid w:val="07852416"/>
    <w:rsid w:val="07854CF1"/>
    <w:rsid w:val="07AB58DD"/>
    <w:rsid w:val="07C531B9"/>
    <w:rsid w:val="07C6614D"/>
    <w:rsid w:val="07E85B4A"/>
    <w:rsid w:val="083A0EF5"/>
    <w:rsid w:val="083E200B"/>
    <w:rsid w:val="086C5D2B"/>
    <w:rsid w:val="086F3B95"/>
    <w:rsid w:val="088C635A"/>
    <w:rsid w:val="08EE04EE"/>
    <w:rsid w:val="08F301FA"/>
    <w:rsid w:val="091A21D6"/>
    <w:rsid w:val="0938274D"/>
    <w:rsid w:val="093949A0"/>
    <w:rsid w:val="096C24A0"/>
    <w:rsid w:val="09731D52"/>
    <w:rsid w:val="099D1FF5"/>
    <w:rsid w:val="09AB5C8A"/>
    <w:rsid w:val="09BF4501"/>
    <w:rsid w:val="09C124EC"/>
    <w:rsid w:val="0A125989"/>
    <w:rsid w:val="0A791FCE"/>
    <w:rsid w:val="0AA82C3B"/>
    <w:rsid w:val="0AAA48E8"/>
    <w:rsid w:val="0AE10DE6"/>
    <w:rsid w:val="0AEA2F37"/>
    <w:rsid w:val="0AEE6170"/>
    <w:rsid w:val="0B133596"/>
    <w:rsid w:val="0B182520"/>
    <w:rsid w:val="0B385747"/>
    <w:rsid w:val="0B6D27F2"/>
    <w:rsid w:val="0B845139"/>
    <w:rsid w:val="0BA26862"/>
    <w:rsid w:val="0BB15676"/>
    <w:rsid w:val="0BE21593"/>
    <w:rsid w:val="0BE8449F"/>
    <w:rsid w:val="0BEC71CC"/>
    <w:rsid w:val="0C371E33"/>
    <w:rsid w:val="0C5B70E3"/>
    <w:rsid w:val="0C6D3E1F"/>
    <w:rsid w:val="0CE73FFE"/>
    <w:rsid w:val="0CF96FC8"/>
    <w:rsid w:val="0D0F2642"/>
    <w:rsid w:val="0D1A387B"/>
    <w:rsid w:val="0D2D5470"/>
    <w:rsid w:val="0D5F19BA"/>
    <w:rsid w:val="0D735465"/>
    <w:rsid w:val="0D922038"/>
    <w:rsid w:val="0D937CC4"/>
    <w:rsid w:val="0DA675E9"/>
    <w:rsid w:val="0DBD44E6"/>
    <w:rsid w:val="0DC126EF"/>
    <w:rsid w:val="0DCB53AA"/>
    <w:rsid w:val="0DE04A0B"/>
    <w:rsid w:val="0E0A301E"/>
    <w:rsid w:val="0E262587"/>
    <w:rsid w:val="0E364E11"/>
    <w:rsid w:val="0E56607D"/>
    <w:rsid w:val="0E716306"/>
    <w:rsid w:val="0E7D396C"/>
    <w:rsid w:val="0E953034"/>
    <w:rsid w:val="0EB43F87"/>
    <w:rsid w:val="0EE02A09"/>
    <w:rsid w:val="0EE505E5"/>
    <w:rsid w:val="0EE7610B"/>
    <w:rsid w:val="0EEB4F26"/>
    <w:rsid w:val="0EF373EC"/>
    <w:rsid w:val="0F0B750B"/>
    <w:rsid w:val="0F175C6E"/>
    <w:rsid w:val="0F2B6888"/>
    <w:rsid w:val="0F7550BA"/>
    <w:rsid w:val="0FD348E1"/>
    <w:rsid w:val="0FE43DD2"/>
    <w:rsid w:val="0FED5740"/>
    <w:rsid w:val="10233787"/>
    <w:rsid w:val="10607B05"/>
    <w:rsid w:val="10674EA0"/>
    <w:rsid w:val="10704E41"/>
    <w:rsid w:val="108E3647"/>
    <w:rsid w:val="10A70AA8"/>
    <w:rsid w:val="10A71E6B"/>
    <w:rsid w:val="10DA661F"/>
    <w:rsid w:val="110E3E6E"/>
    <w:rsid w:val="111156C1"/>
    <w:rsid w:val="115E4E0F"/>
    <w:rsid w:val="1166448C"/>
    <w:rsid w:val="1190296F"/>
    <w:rsid w:val="11D24E50"/>
    <w:rsid w:val="12010863"/>
    <w:rsid w:val="12227CAD"/>
    <w:rsid w:val="122B06D5"/>
    <w:rsid w:val="123218C6"/>
    <w:rsid w:val="12B652F8"/>
    <w:rsid w:val="12C33F7E"/>
    <w:rsid w:val="12E27315"/>
    <w:rsid w:val="133E220C"/>
    <w:rsid w:val="13474307"/>
    <w:rsid w:val="138064EC"/>
    <w:rsid w:val="138F3A20"/>
    <w:rsid w:val="13946135"/>
    <w:rsid w:val="13AF2F6F"/>
    <w:rsid w:val="13B86493"/>
    <w:rsid w:val="13BE5F5E"/>
    <w:rsid w:val="13E241CA"/>
    <w:rsid w:val="13E90267"/>
    <w:rsid w:val="1416784A"/>
    <w:rsid w:val="141960BB"/>
    <w:rsid w:val="142F26C2"/>
    <w:rsid w:val="143C4803"/>
    <w:rsid w:val="14586A10"/>
    <w:rsid w:val="145A7A21"/>
    <w:rsid w:val="14626A6B"/>
    <w:rsid w:val="14773A8D"/>
    <w:rsid w:val="14940B00"/>
    <w:rsid w:val="14941B8A"/>
    <w:rsid w:val="14984A52"/>
    <w:rsid w:val="14A42594"/>
    <w:rsid w:val="14CA06C4"/>
    <w:rsid w:val="14D738D5"/>
    <w:rsid w:val="14E53E05"/>
    <w:rsid w:val="14EB36EF"/>
    <w:rsid w:val="15250A01"/>
    <w:rsid w:val="153150FF"/>
    <w:rsid w:val="153C4810"/>
    <w:rsid w:val="1542366B"/>
    <w:rsid w:val="155A753A"/>
    <w:rsid w:val="15E55FAB"/>
    <w:rsid w:val="15FD447B"/>
    <w:rsid w:val="16017EA2"/>
    <w:rsid w:val="1630278C"/>
    <w:rsid w:val="16467FF6"/>
    <w:rsid w:val="165300CF"/>
    <w:rsid w:val="1685692D"/>
    <w:rsid w:val="168D24F0"/>
    <w:rsid w:val="16985F3D"/>
    <w:rsid w:val="16AA4468"/>
    <w:rsid w:val="16DA6745"/>
    <w:rsid w:val="16F37D5D"/>
    <w:rsid w:val="16F62FE8"/>
    <w:rsid w:val="17587AE5"/>
    <w:rsid w:val="176059C1"/>
    <w:rsid w:val="17885FC9"/>
    <w:rsid w:val="178F193E"/>
    <w:rsid w:val="17BC20A3"/>
    <w:rsid w:val="17D62D51"/>
    <w:rsid w:val="17DF7F42"/>
    <w:rsid w:val="182A7068"/>
    <w:rsid w:val="18312D6B"/>
    <w:rsid w:val="18891286"/>
    <w:rsid w:val="18BA663E"/>
    <w:rsid w:val="19365C5A"/>
    <w:rsid w:val="194A0084"/>
    <w:rsid w:val="198C68F8"/>
    <w:rsid w:val="198D49B1"/>
    <w:rsid w:val="19A31C84"/>
    <w:rsid w:val="19BD3D93"/>
    <w:rsid w:val="19C204DA"/>
    <w:rsid w:val="19F7744E"/>
    <w:rsid w:val="19FD0474"/>
    <w:rsid w:val="1A0D0011"/>
    <w:rsid w:val="1A110606"/>
    <w:rsid w:val="1A3A61B3"/>
    <w:rsid w:val="1A705206"/>
    <w:rsid w:val="1AC20303"/>
    <w:rsid w:val="1B161A00"/>
    <w:rsid w:val="1B2266F9"/>
    <w:rsid w:val="1B385CB2"/>
    <w:rsid w:val="1B3D43E8"/>
    <w:rsid w:val="1B454A09"/>
    <w:rsid w:val="1B515DBD"/>
    <w:rsid w:val="1B6362A7"/>
    <w:rsid w:val="1B6A434C"/>
    <w:rsid w:val="1B8365D7"/>
    <w:rsid w:val="1B8F54DD"/>
    <w:rsid w:val="1B924AAA"/>
    <w:rsid w:val="1BB51622"/>
    <w:rsid w:val="1BBF4E65"/>
    <w:rsid w:val="1C0E4E27"/>
    <w:rsid w:val="1C1E6222"/>
    <w:rsid w:val="1C273924"/>
    <w:rsid w:val="1C2B23BE"/>
    <w:rsid w:val="1C462E19"/>
    <w:rsid w:val="1C4A202F"/>
    <w:rsid w:val="1C4C391F"/>
    <w:rsid w:val="1C5B1EE6"/>
    <w:rsid w:val="1C701FA9"/>
    <w:rsid w:val="1C7F2142"/>
    <w:rsid w:val="1C9E6881"/>
    <w:rsid w:val="1CC41F1E"/>
    <w:rsid w:val="1CC57A76"/>
    <w:rsid w:val="1CE0777A"/>
    <w:rsid w:val="1D0F7AD5"/>
    <w:rsid w:val="1D10672A"/>
    <w:rsid w:val="1D3D6C9D"/>
    <w:rsid w:val="1D4666F2"/>
    <w:rsid w:val="1D484219"/>
    <w:rsid w:val="1D553BB3"/>
    <w:rsid w:val="1D750002"/>
    <w:rsid w:val="1DD316B1"/>
    <w:rsid w:val="1DFA49D8"/>
    <w:rsid w:val="1E46184B"/>
    <w:rsid w:val="1E5D6163"/>
    <w:rsid w:val="1E6B3737"/>
    <w:rsid w:val="1E6C0A54"/>
    <w:rsid w:val="1EBB271C"/>
    <w:rsid w:val="1ECB5101"/>
    <w:rsid w:val="1ED25ADE"/>
    <w:rsid w:val="1EDB29BD"/>
    <w:rsid w:val="1EE92BB4"/>
    <w:rsid w:val="1F404339"/>
    <w:rsid w:val="1F582E64"/>
    <w:rsid w:val="1F6D7F66"/>
    <w:rsid w:val="1F780BE5"/>
    <w:rsid w:val="1FA22D7B"/>
    <w:rsid w:val="1FB83E68"/>
    <w:rsid w:val="1FD21E08"/>
    <w:rsid w:val="1FFE6279"/>
    <w:rsid w:val="20146634"/>
    <w:rsid w:val="203F1701"/>
    <w:rsid w:val="204131A1"/>
    <w:rsid w:val="205B150B"/>
    <w:rsid w:val="20756690"/>
    <w:rsid w:val="2086342A"/>
    <w:rsid w:val="209854B7"/>
    <w:rsid w:val="21184190"/>
    <w:rsid w:val="215E411B"/>
    <w:rsid w:val="216B0B49"/>
    <w:rsid w:val="219C359D"/>
    <w:rsid w:val="21B60FE3"/>
    <w:rsid w:val="21C108CE"/>
    <w:rsid w:val="21F41166"/>
    <w:rsid w:val="21F547F6"/>
    <w:rsid w:val="223A3537"/>
    <w:rsid w:val="22666DB2"/>
    <w:rsid w:val="227B3C92"/>
    <w:rsid w:val="22CC2B82"/>
    <w:rsid w:val="22DF73CD"/>
    <w:rsid w:val="22E13F29"/>
    <w:rsid w:val="22F7138C"/>
    <w:rsid w:val="23392005"/>
    <w:rsid w:val="239A32F4"/>
    <w:rsid w:val="23A351B6"/>
    <w:rsid w:val="23BB7BDB"/>
    <w:rsid w:val="23DA5DE6"/>
    <w:rsid w:val="23FC6642"/>
    <w:rsid w:val="24106E6A"/>
    <w:rsid w:val="24267527"/>
    <w:rsid w:val="24840D3D"/>
    <w:rsid w:val="24887177"/>
    <w:rsid w:val="24A70EA5"/>
    <w:rsid w:val="24B54A97"/>
    <w:rsid w:val="24B70486"/>
    <w:rsid w:val="24D622CC"/>
    <w:rsid w:val="24D84C48"/>
    <w:rsid w:val="24EF4261"/>
    <w:rsid w:val="254E5511"/>
    <w:rsid w:val="25806D3E"/>
    <w:rsid w:val="258418B6"/>
    <w:rsid w:val="259A4DA3"/>
    <w:rsid w:val="25C956E1"/>
    <w:rsid w:val="25E52428"/>
    <w:rsid w:val="25F33B9F"/>
    <w:rsid w:val="25F86847"/>
    <w:rsid w:val="25FA451E"/>
    <w:rsid w:val="261554D3"/>
    <w:rsid w:val="261A4350"/>
    <w:rsid w:val="261B1CCE"/>
    <w:rsid w:val="26672DCB"/>
    <w:rsid w:val="266B541C"/>
    <w:rsid w:val="26AF4526"/>
    <w:rsid w:val="26C84711"/>
    <w:rsid w:val="26FC6074"/>
    <w:rsid w:val="270A1EC8"/>
    <w:rsid w:val="27120125"/>
    <w:rsid w:val="274613A1"/>
    <w:rsid w:val="2795561F"/>
    <w:rsid w:val="27BC49D1"/>
    <w:rsid w:val="27CB2730"/>
    <w:rsid w:val="27F208C6"/>
    <w:rsid w:val="281407A0"/>
    <w:rsid w:val="281F7F7D"/>
    <w:rsid w:val="284877C3"/>
    <w:rsid w:val="28696AAF"/>
    <w:rsid w:val="28893937"/>
    <w:rsid w:val="2893075D"/>
    <w:rsid w:val="29101DAB"/>
    <w:rsid w:val="29436C16"/>
    <w:rsid w:val="29560BDE"/>
    <w:rsid w:val="29592AEB"/>
    <w:rsid w:val="29976ABA"/>
    <w:rsid w:val="29A46C7B"/>
    <w:rsid w:val="29C2554C"/>
    <w:rsid w:val="29CA3F1F"/>
    <w:rsid w:val="29F55B86"/>
    <w:rsid w:val="29F605E7"/>
    <w:rsid w:val="2A117789"/>
    <w:rsid w:val="2A4C138E"/>
    <w:rsid w:val="2A507A24"/>
    <w:rsid w:val="2A513D86"/>
    <w:rsid w:val="2A8708BD"/>
    <w:rsid w:val="2AB66461"/>
    <w:rsid w:val="2AC9437B"/>
    <w:rsid w:val="2AC943CA"/>
    <w:rsid w:val="2AD5121C"/>
    <w:rsid w:val="2AE9716F"/>
    <w:rsid w:val="2AFE060C"/>
    <w:rsid w:val="2B062415"/>
    <w:rsid w:val="2B0D12E1"/>
    <w:rsid w:val="2B131725"/>
    <w:rsid w:val="2B1C4B39"/>
    <w:rsid w:val="2B3B1E4A"/>
    <w:rsid w:val="2B7D46AD"/>
    <w:rsid w:val="2B8A2710"/>
    <w:rsid w:val="2B8F7E9E"/>
    <w:rsid w:val="2BCD329D"/>
    <w:rsid w:val="2BDA140B"/>
    <w:rsid w:val="2C025EDA"/>
    <w:rsid w:val="2C1F74D3"/>
    <w:rsid w:val="2C306DF7"/>
    <w:rsid w:val="2C4A6DA9"/>
    <w:rsid w:val="2C50344E"/>
    <w:rsid w:val="2C622E1D"/>
    <w:rsid w:val="2C6438F8"/>
    <w:rsid w:val="2CA37007"/>
    <w:rsid w:val="2CB96CF9"/>
    <w:rsid w:val="2CBF201D"/>
    <w:rsid w:val="2CC62FEC"/>
    <w:rsid w:val="2CC90D1D"/>
    <w:rsid w:val="2CEB2E12"/>
    <w:rsid w:val="2D233DAE"/>
    <w:rsid w:val="2D28192A"/>
    <w:rsid w:val="2D5676CF"/>
    <w:rsid w:val="2D72425D"/>
    <w:rsid w:val="2D960FD0"/>
    <w:rsid w:val="2DA336ED"/>
    <w:rsid w:val="2DA81EC4"/>
    <w:rsid w:val="2DB54EAE"/>
    <w:rsid w:val="2DD9458A"/>
    <w:rsid w:val="2DE15FF3"/>
    <w:rsid w:val="2DF06932"/>
    <w:rsid w:val="2DF34DEC"/>
    <w:rsid w:val="2DFA7B75"/>
    <w:rsid w:val="2E1925C0"/>
    <w:rsid w:val="2E201ADB"/>
    <w:rsid w:val="2E3A7BAD"/>
    <w:rsid w:val="2E706A6A"/>
    <w:rsid w:val="2E817246"/>
    <w:rsid w:val="2E8605E2"/>
    <w:rsid w:val="2E921798"/>
    <w:rsid w:val="2E9E4055"/>
    <w:rsid w:val="2EED39B3"/>
    <w:rsid w:val="2F0D091D"/>
    <w:rsid w:val="2F172987"/>
    <w:rsid w:val="2F2506C6"/>
    <w:rsid w:val="2F62197F"/>
    <w:rsid w:val="2F644E6D"/>
    <w:rsid w:val="2F720B8B"/>
    <w:rsid w:val="2FB227EF"/>
    <w:rsid w:val="2FC83D88"/>
    <w:rsid w:val="2FF868F0"/>
    <w:rsid w:val="2FFD3DE3"/>
    <w:rsid w:val="301A7F17"/>
    <w:rsid w:val="303837B5"/>
    <w:rsid w:val="307954A4"/>
    <w:rsid w:val="308657AA"/>
    <w:rsid w:val="30AE18C7"/>
    <w:rsid w:val="30BF6A5E"/>
    <w:rsid w:val="30C97B8C"/>
    <w:rsid w:val="30F2692D"/>
    <w:rsid w:val="31073098"/>
    <w:rsid w:val="311418CC"/>
    <w:rsid w:val="313E4B95"/>
    <w:rsid w:val="316F2704"/>
    <w:rsid w:val="31C0264A"/>
    <w:rsid w:val="31C9376C"/>
    <w:rsid w:val="31E17C2C"/>
    <w:rsid w:val="31E52C84"/>
    <w:rsid w:val="31E656C6"/>
    <w:rsid w:val="31F10FD5"/>
    <w:rsid w:val="321012AF"/>
    <w:rsid w:val="321D4A3A"/>
    <w:rsid w:val="322F554F"/>
    <w:rsid w:val="325058C6"/>
    <w:rsid w:val="326C1722"/>
    <w:rsid w:val="32864623"/>
    <w:rsid w:val="32A370F4"/>
    <w:rsid w:val="32C673E3"/>
    <w:rsid w:val="33250FB9"/>
    <w:rsid w:val="334818E3"/>
    <w:rsid w:val="337B0A34"/>
    <w:rsid w:val="33910172"/>
    <w:rsid w:val="33B43E14"/>
    <w:rsid w:val="33DC38CD"/>
    <w:rsid w:val="33E52EEF"/>
    <w:rsid w:val="33F22642"/>
    <w:rsid w:val="33F94554"/>
    <w:rsid w:val="34820AFF"/>
    <w:rsid w:val="3489163B"/>
    <w:rsid w:val="348A1FCF"/>
    <w:rsid w:val="34AC6C82"/>
    <w:rsid w:val="34BD1A7A"/>
    <w:rsid w:val="34BF5723"/>
    <w:rsid w:val="34E95C43"/>
    <w:rsid w:val="34EE34A0"/>
    <w:rsid w:val="35085083"/>
    <w:rsid w:val="352E73B1"/>
    <w:rsid w:val="35394976"/>
    <w:rsid w:val="35426077"/>
    <w:rsid w:val="354373D8"/>
    <w:rsid w:val="356E2833"/>
    <w:rsid w:val="3575596F"/>
    <w:rsid w:val="357A6974"/>
    <w:rsid w:val="35953A61"/>
    <w:rsid w:val="35C917D4"/>
    <w:rsid w:val="35D703D8"/>
    <w:rsid w:val="3611540F"/>
    <w:rsid w:val="36296503"/>
    <w:rsid w:val="36316207"/>
    <w:rsid w:val="364768F5"/>
    <w:rsid w:val="36666A34"/>
    <w:rsid w:val="366A18DB"/>
    <w:rsid w:val="36CA1CDB"/>
    <w:rsid w:val="36D8125D"/>
    <w:rsid w:val="37102198"/>
    <w:rsid w:val="376B527C"/>
    <w:rsid w:val="376B6E33"/>
    <w:rsid w:val="37AE07D7"/>
    <w:rsid w:val="37BB0F66"/>
    <w:rsid w:val="37C35DB4"/>
    <w:rsid w:val="37C95B4B"/>
    <w:rsid w:val="3815583F"/>
    <w:rsid w:val="38211BBC"/>
    <w:rsid w:val="386722CE"/>
    <w:rsid w:val="388E24C1"/>
    <w:rsid w:val="38A70BAB"/>
    <w:rsid w:val="38C711B8"/>
    <w:rsid w:val="38E946AF"/>
    <w:rsid w:val="38FE492A"/>
    <w:rsid w:val="390114DF"/>
    <w:rsid w:val="39103A72"/>
    <w:rsid w:val="39152437"/>
    <w:rsid w:val="391C3F24"/>
    <w:rsid w:val="392736E3"/>
    <w:rsid w:val="394C69E7"/>
    <w:rsid w:val="39855F6B"/>
    <w:rsid w:val="39880431"/>
    <w:rsid w:val="399777D0"/>
    <w:rsid w:val="399F56D1"/>
    <w:rsid w:val="39AB598E"/>
    <w:rsid w:val="39E23288"/>
    <w:rsid w:val="39F140DD"/>
    <w:rsid w:val="3A040319"/>
    <w:rsid w:val="3A1856D1"/>
    <w:rsid w:val="3A1941C1"/>
    <w:rsid w:val="3A2A3C74"/>
    <w:rsid w:val="3A691554"/>
    <w:rsid w:val="3A836A53"/>
    <w:rsid w:val="3AAA60BB"/>
    <w:rsid w:val="3AAC3C71"/>
    <w:rsid w:val="3AB13CD6"/>
    <w:rsid w:val="3AC8232B"/>
    <w:rsid w:val="3ADE6A73"/>
    <w:rsid w:val="3AE17670"/>
    <w:rsid w:val="3B0010A1"/>
    <w:rsid w:val="3B50415F"/>
    <w:rsid w:val="3B6A17AC"/>
    <w:rsid w:val="3B9C7ECD"/>
    <w:rsid w:val="3BDE3DFD"/>
    <w:rsid w:val="3C591B47"/>
    <w:rsid w:val="3C8A7F52"/>
    <w:rsid w:val="3C961A56"/>
    <w:rsid w:val="3CA36E5C"/>
    <w:rsid w:val="3CAE4420"/>
    <w:rsid w:val="3CB22139"/>
    <w:rsid w:val="3CB7696E"/>
    <w:rsid w:val="3CBB0135"/>
    <w:rsid w:val="3CDE3C87"/>
    <w:rsid w:val="3CE77152"/>
    <w:rsid w:val="3D91634A"/>
    <w:rsid w:val="3D995F73"/>
    <w:rsid w:val="3DA90B53"/>
    <w:rsid w:val="3DF97E15"/>
    <w:rsid w:val="3E100A42"/>
    <w:rsid w:val="3E372FCB"/>
    <w:rsid w:val="3E3A7756"/>
    <w:rsid w:val="3E4068FB"/>
    <w:rsid w:val="3E761C8C"/>
    <w:rsid w:val="3E9039B8"/>
    <w:rsid w:val="3EAC232A"/>
    <w:rsid w:val="3EBE2A01"/>
    <w:rsid w:val="3ED27C43"/>
    <w:rsid w:val="3EE0173B"/>
    <w:rsid w:val="3EE81300"/>
    <w:rsid w:val="3EEF1D47"/>
    <w:rsid w:val="3EF21FA7"/>
    <w:rsid w:val="3F120A59"/>
    <w:rsid w:val="3F2C0871"/>
    <w:rsid w:val="3F2D0E5C"/>
    <w:rsid w:val="3F5372FF"/>
    <w:rsid w:val="3F67457A"/>
    <w:rsid w:val="3F7D661D"/>
    <w:rsid w:val="3F86692F"/>
    <w:rsid w:val="3F8A0269"/>
    <w:rsid w:val="3F932B54"/>
    <w:rsid w:val="4001029C"/>
    <w:rsid w:val="40061FE5"/>
    <w:rsid w:val="4033075A"/>
    <w:rsid w:val="40430B10"/>
    <w:rsid w:val="40441827"/>
    <w:rsid w:val="40D2424F"/>
    <w:rsid w:val="40D6028C"/>
    <w:rsid w:val="40F25278"/>
    <w:rsid w:val="410855C5"/>
    <w:rsid w:val="411424E0"/>
    <w:rsid w:val="411A529B"/>
    <w:rsid w:val="41597EF3"/>
    <w:rsid w:val="4184683D"/>
    <w:rsid w:val="41A30C47"/>
    <w:rsid w:val="41BD3F9A"/>
    <w:rsid w:val="41DB779F"/>
    <w:rsid w:val="41E00614"/>
    <w:rsid w:val="41E56CB7"/>
    <w:rsid w:val="420267DC"/>
    <w:rsid w:val="421E500D"/>
    <w:rsid w:val="42455F3F"/>
    <w:rsid w:val="424D50C0"/>
    <w:rsid w:val="427C1CF4"/>
    <w:rsid w:val="42855C17"/>
    <w:rsid w:val="42A258ED"/>
    <w:rsid w:val="42B20149"/>
    <w:rsid w:val="42B51AA1"/>
    <w:rsid w:val="42C910A8"/>
    <w:rsid w:val="42CA1F80"/>
    <w:rsid w:val="42F205FF"/>
    <w:rsid w:val="43680AD3"/>
    <w:rsid w:val="437B23A2"/>
    <w:rsid w:val="43AD4526"/>
    <w:rsid w:val="43B1733C"/>
    <w:rsid w:val="43B242B5"/>
    <w:rsid w:val="43B66526"/>
    <w:rsid w:val="43FF28CB"/>
    <w:rsid w:val="44064873"/>
    <w:rsid w:val="44102B5C"/>
    <w:rsid w:val="442A5B49"/>
    <w:rsid w:val="44311F4B"/>
    <w:rsid w:val="443C5979"/>
    <w:rsid w:val="443E5EFF"/>
    <w:rsid w:val="44BA0327"/>
    <w:rsid w:val="44BD4C3D"/>
    <w:rsid w:val="44CD509A"/>
    <w:rsid w:val="44D04970"/>
    <w:rsid w:val="44DF3DC1"/>
    <w:rsid w:val="450B1E4C"/>
    <w:rsid w:val="450D689A"/>
    <w:rsid w:val="45166109"/>
    <w:rsid w:val="452A3CE9"/>
    <w:rsid w:val="458839FB"/>
    <w:rsid w:val="458A0DC2"/>
    <w:rsid w:val="458B6AE9"/>
    <w:rsid w:val="459C7810"/>
    <w:rsid w:val="45A2650B"/>
    <w:rsid w:val="45A940B4"/>
    <w:rsid w:val="45C21C2C"/>
    <w:rsid w:val="46157F7A"/>
    <w:rsid w:val="46244F73"/>
    <w:rsid w:val="462C2166"/>
    <w:rsid w:val="46344B83"/>
    <w:rsid w:val="46997B8D"/>
    <w:rsid w:val="46D874C0"/>
    <w:rsid w:val="46DE7D37"/>
    <w:rsid w:val="470C33D7"/>
    <w:rsid w:val="4729461F"/>
    <w:rsid w:val="47573126"/>
    <w:rsid w:val="4788434A"/>
    <w:rsid w:val="47AD0357"/>
    <w:rsid w:val="47C22CDF"/>
    <w:rsid w:val="4843019F"/>
    <w:rsid w:val="489A4124"/>
    <w:rsid w:val="489D2E29"/>
    <w:rsid w:val="48BF7EDF"/>
    <w:rsid w:val="48C6675C"/>
    <w:rsid w:val="48C97D8A"/>
    <w:rsid w:val="48E21116"/>
    <w:rsid w:val="48F002E5"/>
    <w:rsid w:val="48F409FE"/>
    <w:rsid w:val="48FF1980"/>
    <w:rsid w:val="49313973"/>
    <w:rsid w:val="49470F79"/>
    <w:rsid w:val="49643073"/>
    <w:rsid w:val="496C707B"/>
    <w:rsid w:val="496D0AE1"/>
    <w:rsid w:val="49F165A7"/>
    <w:rsid w:val="49F25388"/>
    <w:rsid w:val="4A2040D7"/>
    <w:rsid w:val="4A6F5702"/>
    <w:rsid w:val="4AC079A4"/>
    <w:rsid w:val="4AC61968"/>
    <w:rsid w:val="4B1E3227"/>
    <w:rsid w:val="4B662798"/>
    <w:rsid w:val="4B6840DD"/>
    <w:rsid w:val="4B9B41C1"/>
    <w:rsid w:val="4BD37E2C"/>
    <w:rsid w:val="4BE3142D"/>
    <w:rsid w:val="4C43011D"/>
    <w:rsid w:val="4C62086E"/>
    <w:rsid w:val="4CD41611"/>
    <w:rsid w:val="4CF62217"/>
    <w:rsid w:val="4CF93412"/>
    <w:rsid w:val="4CFE4400"/>
    <w:rsid w:val="4D031B4B"/>
    <w:rsid w:val="4D237297"/>
    <w:rsid w:val="4D285251"/>
    <w:rsid w:val="4D42495C"/>
    <w:rsid w:val="4D7612BF"/>
    <w:rsid w:val="4D82276C"/>
    <w:rsid w:val="4DE735A7"/>
    <w:rsid w:val="4E0631B0"/>
    <w:rsid w:val="4E127B26"/>
    <w:rsid w:val="4E652B29"/>
    <w:rsid w:val="4E6E66DD"/>
    <w:rsid w:val="4E7D7917"/>
    <w:rsid w:val="4EAA4484"/>
    <w:rsid w:val="4EB726FD"/>
    <w:rsid w:val="4EFC6DF8"/>
    <w:rsid w:val="4F0276F9"/>
    <w:rsid w:val="4F3A0EE3"/>
    <w:rsid w:val="4F4436FE"/>
    <w:rsid w:val="4F73453B"/>
    <w:rsid w:val="4F810BFD"/>
    <w:rsid w:val="4F8D108F"/>
    <w:rsid w:val="4F974A08"/>
    <w:rsid w:val="4FA3385B"/>
    <w:rsid w:val="4FBF090F"/>
    <w:rsid w:val="4FCF69C4"/>
    <w:rsid w:val="4FD319E2"/>
    <w:rsid w:val="4FE570FB"/>
    <w:rsid w:val="4FF1781F"/>
    <w:rsid w:val="50064DCF"/>
    <w:rsid w:val="504918E3"/>
    <w:rsid w:val="505C7C0A"/>
    <w:rsid w:val="507913DD"/>
    <w:rsid w:val="50812FC2"/>
    <w:rsid w:val="50830589"/>
    <w:rsid w:val="508A4F2E"/>
    <w:rsid w:val="50BB5FF5"/>
    <w:rsid w:val="50C01D3C"/>
    <w:rsid w:val="50C14393"/>
    <w:rsid w:val="50C823FB"/>
    <w:rsid w:val="50E2455C"/>
    <w:rsid w:val="50E36692"/>
    <w:rsid w:val="50ED5DDF"/>
    <w:rsid w:val="511404AA"/>
    <w:rsid w:val="511D7FCE"/>
    <w:rsid w:val="5124786B"/>
    <w:rsid w:val="513F4A64"/>
    <w:rsid w:val="51481FA0"/>
    <w:rsid w:val="514D1417"/>
    <w:rsid w:val="51AC7B9A"/>
    <w:rsid w:val="51C83C36"/>
    <w:rsid w:val="51CD22F3"/>
    <w:rsid w:val="51DA654B"/>
    <w:rsid w:val="520317FC"/>
    <w:rsid w:val="52113B19"/>
    <w:rsid w:val="522559EA"/>
    <w:rsid w:val="52E77A54"/>
    <w:rsid w:val="52F209B6"/>
    <w:rsid w:val="53256845"/>
    <w:rsid w:val="53315CC5"/>
    <w:rsid w:val="53347AAB"/>
    <w:rsid w:val="53394A64"/>
    <w:rsid w:val="533F3899"/>
    <w:rsid w:val="535B0CBD"/>
    <w:rsid w:val="53996089"/>
    <w:rsid w:val="53A55B3E"/>
    <w:rsid w:val="53DF757D"/>
    <w:rsid w:val="53F356FA"/>
    <w:rsid w:val="54041F40"/>
    <w:rsid w:val="5429409D"/>
    <w:rsid w:val="542A1C14"/>
    <w:rsid w:val="54434465"/>
    <w:rsid w:val="545A055B"/>
    <w:rsid w:val="545F186C"/>
    <w:rsid w:val="546423B9"/>
    <w:rsid w:val="54971819"/>
    <w:rsid w:val="54A65FD8"/>
    <w:rsid w:val="54C00253"/>
    <w:rsid w:val="54E57D14"/>
    <w:rsid w:val="54ED3D96"/>
    <w:rsid w:val="550161D7"/>
    <w:rsid w:val="5556578F"/>
    <w:rsid w:val="555B0286"/>
    <w:rsid w:val="55732575"/>
    <w:rsid w:val="55827FD8"/>
    <w:rsid w:val="55982B31"/>
    <w:rsid w:val="55A30CE4"/>
    <w:rsid w:val="55EF1406"/>
    <w:rsid w:val="55FF62DD"/>
    <w:rsid w:val="56044345"/>
    <w:rsid w:val="56066992"/>
    <w:rsid w:val="564C0C63"/>
    <w:rsid w:val="56761631"/>
    <w:rsid w:val="567C4958"/>
    <w:rsid w:val="56925F29"/>
    <w:rsid w:val="56B509D3"/>
    <w:rsid w:val="56BF5BBE"/>
    <w:rsid w:val="570142FD"/>
    <w:rsid w:val="57036561"/>
    <w:rsid w:val="573213BC"/>
    <w:rsid w:val="57987997"/>
    <w:rsid w:val="57A53A3A"/>
    <w:rsid w:val="57BD6FD6"/>
    <w:rsid w:val="57D1482F"/>
    <w:rsid w:val="57E00827"/>
    <w:rsid w:val="57E15D0C"/>
    <w:rsid w:val="57F52DC2"/>
    <w:rsid w:val="58057D89"/>
    <w:rsid w:val="58170805"/>
    <w:rsid w:val="58286B77"/>
    <w:rsid w:val="5892268E"/>
    <w:rsid w:val="58C548C2"/>
    <w:rsid w:val="58C70FC9"/>
    <w:rsid w:val="58E80082"/>
    <w:rsid w:val="59391853"/>
    <w:rsid w:val="594834AD"/>
    <w:rsid w:val="59527FF8"/>
    <w:rsid w:val="59A11B02"/>
    <w:rsid w:val="59BA7911"/>
    <w:rsid w:val="59E92A18"/>
    <w:rsid w:val="5A036C5F"/>
    <w:rsid w:val="5A33114B"/>
    <w:rsid w:val="5A5751DB"/>
    <w:rsid w:val="5A8932B9"/>
    <w:rsid w:val="5A997904"/>
    <w:rsid w:val="5AA601F5"/>
    <w:rsid w:val="5AB10754"/>
    <w:rsid w:val="5AE633BA"/>
    <w:rsid w:val="5AF91C9B"/>
    <w:rsid w:val="5B057D73"/>
    <w:rsid w:val="5B392E17"/>
    <w:rsid w:val="5B765F3E"/>
    <w:rsid w:val="5B873636"/>
    <w:rsid w:val="5B9F6766"/>
    <w:rsid w:val="5BCB16AF"/>
    <w:rsid w:val="5BDC2C3B"/>
    <w:rsid w:val="5BE27815"/>
    <w:rsid w:val="5BE84D72"/>
    <w:rsid w:val="5BFF41E2"/>
    <w:rsid w:val="5C0C2B12"/>
    <w:rsid w:val="5C5B163A"/>
    <w:rsid w:val="5C5D1A46"/>
    <w:rsid w:val="5C6F239D"/>
    <w:rsid w:val="5C8417CC"/>
    <w:rsid w:val="5CB12E81"/>
    <w:rsid w:val="5D170886"/>
    <w:rsid w:val="5D331AE8"/>
    <w:rsid w:val="5D4A6496"/>
    <w:rsid w:val="5D587F36"/>
    <w:rsid w:val="5D5F468B"/>
    <w:rsid w:val="5D6323CD"/>
    <w:rsid w:val="5D6C4AA9"/>
    <w:rsid w:val="5D8E7CF4"/>
    <w:rsid w:val="5DB65482"/>
    <w:rsid w:val="5DE45E8C"/>
    <w:rsid w:val="5DEA4C1F"/>
    <w:rsid w:val="5E2A5D19"/>
    <w:rsid w:val="5E2F1D96"/>
    <w:rsid w:val="5E364E5D"/>
    <w:rsid w:val="5E42501D"/>
    <w:rsid w:val="5E5066EB"/>
    <w:rsid w:val="5E9465B6"/>
    <w:rsid w:val="5EAD37F5"/>
    <w:rsid w:val="5EB74F81"/>
    <w:rsid w:val="5ECE6A5E"/>
    <w:rsid w:val="5ED246DF"/>
    <w:rsid w:val="5ED8301D"/>
    <w:rsid w:val="5EFA617C"/>
    <w:rsid w:val="5F277ED9"/>
    <w:rsid w:val="5F84250C"/>
    <w:rsid w:val="5F866DD1"/>
    <w:rsid w:val="5FF975A6"/>
    <w:rsid w:val="6003333F"/>
    <w:rsid w:val="600357A2"/>
    <w:rsid w:val="606001A1"/>
    <w:rsid w:val="60910EEB"/>
    <w:rsid w:val="609F24F2"/>
    <w:rsid w:val="60C01F2F"/>
    <w:rsid w:val="60C07B37"/>
    <w:rsid w:val="60CC2C58"/>
    <w:rsid w:val="60DE00E6"/>
    <w:rsid w:val="60F82E2D"/>
    <w:rsid w:val="61100446"/>
    <w:rsid w:val="61194893"/>
    <w:rsid w:val="611F633B"/>
    <w:rsid w:val="6122119C"/>
    <w:rsid w:val="61663F76"/>
    <w:rsid w:val="617443BD"/>
    <w:rsid w:val="618C736A"/>
    <w:rsid w:val="61D415F5"/>
    <w:rsid w:val="61E91018"/>
    <w:rsid w:val="61EA40EF"/>
    <w:rsid w:val="61F80AB5"/>
    <w:rsid w:val="62041C7A"/>
    <w:rsid w:val="62127F1E"/>
    <w:rsid w:val="621B04E1"/>
    <w:rsid w:val="621F104C"/>
    <w:rsid w:val="62373658"/>
    <w:rsid w:val="629858AC"/>
    <w:rsid w:val="629B43B7"/>
    <w:rsid w:val="62E01C64"/>
    <w:rsid w:val="62E11E19"/>
    <w:rsid w:val="62E278F0"/>
    <w:rsid w:val="62ED4146"/>
    <w:rsid w:val="631A52DC"/>
    <w:rsid w:val="63260179"/>
    <w:rsid w:val="632D70E9"/>
    <w:rsid w:val="63397886"/>
    <w:rsid w:val="63420185"/>
    <w:rsid w:val="63786F38"/>
    <w:rsid w:val="63A24316"/>
    <w:rsid w:val="63A454EE"/>
    <w:rsid w:val="63B219B9"/>
    <w:rsid w:val="63CF4368"/>
    <w:rsid w:val="644346AA"/>
    <w:rsid w:val="646861EC"/>
    <w:rsid w:val="648A341D"/>
    <w:rsid w:val="648A7566"/>
    <w:rsid w:val="649C0B5C"/>
    <w:rsid w:val="64A77044"/>
    <w:rsid w:val="64B84872"/>
    <w:rsid w:val="65086B73"/>
    <w:rsid w:val="650F6F16"/>
    <w:rsid w:val="652956AC"/>
    <w:rsid w:val="657809E0"/>
    <w:rsid w:val="65A96DEB"/>
    <w:rsid w:val="65AB66C0"/>
    <w:rsid w:val="65B12894"/>
    <w:rsid w:val="661926DC"/>
    <w:rsid w:val="66651F2D"/>
    <w:rsid w:val="666A6D74"/>
    <w:rsid w:val="66B35E10"/>
    <w:rsid w:val="66C10016"/>
    <w:rsid w:val="66E134EF"/>
    <w:rsid w:val="66F209FF"/>
    <w:rsid w:val="6722385E"/>
    <w:rsid w:val="674374B9"/>
    <w:rsid w:val="674B7315"/>
    <w:rsid w:val="674F3A38"/>
    <w:rsid w:val="67690B86"/>
    <w:rsid w:val="67715DAD"/>
    <w:rsid w:val="679879D6"/>
    <w:rsid w:val="679D1AA4"/>
    <w:rsid w:val="67AC4702"/>
    <w:rsid w:val="67DB59B1"/>
    <w:rsid w:val="67FB441A"/>
    <w:rsid w:val="682734AE"/>
    <w:rsid w:val="68514045"/>
    <w:rsid w:val="685C0145"/>
    <w:rsid w:val="685D3925"/>
    <w:rsid w:val="689C3504"/>
    <w:rsid w:val="68B03FED"/>
    <w:rsid w:val="68C857DA"/>
    <w:rsid w:val="68D66492"/>
    <w:rsid w:val="692002AE"/>
    <w:rsid w:val="69232A11"/>
    <w:rsid w:val="69435522"/>
    <w:rsid w:val="69642C57"/>
    <w:rsid w:val="699102C2"/>
    <w:rsid w:val="69913782"/>
    <w:rsid w:val="699F645D"/>
    <w:rsid w:val="69B67D29"/>
    <w:rsid w:val="6ACA1832"/>
    <w:rsid w:val="6AD22940"/>
    <w:rsid w:val="6ADA2EB5"/>
    <w:rsid w:val="6B05613A"/>
    <w:rsid w:val="6B0E6486"/>
    <w:rsid w:val="6B5F704D"/>
    <w:rsid w:val="6BDD3F9F"/>
    <w:rsid w:val="6C093189"/>
    <w:rsid w:val="6C384A25"/>
    <w:rsid w:val="6C3B18C4"/>
    <w:rsid w:val="6C584663"/>
    <w:rsid w:val="6C6D307B"/>
    <w:rsid w:val="6CCE66BA"/>
    <w:rsid w:val="6D282CEC"/>
    <w:rsid w:val="6D34295D"/>
    <w:rsid w:val="6D352454"/>
    <w:rsid w:val="6D3C765A"/>
    <w:rsid w:val="6D5279EB"/>
    <w:rsid w:val="6D677C19"/>
    <w:rsid w:val="6D8C353C"/>
    <w:rsid w:val="6DE3109F"/>
    <w:rsid w:val="6E0F2EBB"/>
    <w:rsid w:val="6E5D3A33"/>
    <w:rsid w:val="6E6B06FC"/>
    <w:rsid w:val="6E6C09B6"/>
    <w:rsid w:val="6E72293D"/>
    <w:rsid w:val="6E85479A"/>
    <w:rsid w:val="6E9A3775"/>
    <w:rsid w:val="6EB02521"/>
    <w:rsid w:val="6EC66066"/>
    <w:rsid w:val="6ECE3109"/>
    <w:rsid w:val="6ED15CF9"/>
    <w:rsid w:val="6EDE0753"/>
    <w:rsid w:val="6EE623A6"/>
    <w:rsid w:val="6F290631"/>
    <w:rsid w:val="6F5B37F2"/>
    <w:rsid w:val="6F8A291E"/>
    <w:rsid w:val="6FB95AB0"/>
    <w:rsid w:val="6FCD39E3"/>
    <w:rsid w:val="70097503"/>
    <w:rsid w:val="702C763B"/>
    <w:rsid w:val="703260B1"/>
    <w:rsid w:val="70D949C9"/>
    <w:rsid w:val="70E17439"/>
    <w:rsid w:val="711B6F76"/>
    <w:rsid w:val="717D73D5"/>
    <w:rsid w:val="71A80602"/>
    <w:rsid w:val="71AC1ECE"/>
    <w:rsid w:val="71D95A6F"/>
    <w:rsid w:val="71ED26D4"/>
    <w:rsid w:val="71FF0167"/>
    <w:rsid w:val="72193C81"/>
    <w:rsid w:val="724816A8"/>
    <w:rsid w:val="726C1A04"/>
    <w:rsid w:val="7271496A"/>
    <w:rsid w:val="732219EF"/>
    <w:rsid w:val="73656362"/>
    <w:rsid w:val="73755ECB"/>
    <w:rsid w:val="73A37DC4"/>
    <w:rsid w:val="73BF0A74"/>
    <w:rsid w:val="73CA0659"/>
    <w:rsid w:val="73FE34D8"/>
    <w:rsid w:val="74042C71"/>
    <w:rsid w:val="741B441B"/>
    <w:rsid w:val="74414A6D"/>
    <w:rsid w:val="745D70B1"/>
    <w:rsid w:val="74623AEA"/>
    <w:rsid w:val="746944B1"/>
    <w:rsid w:val="746F0C0E"/>
    <w:rsid w:val="74AA5EB1"/>
    <w:rsid w:val="74CA4688"/>
    <w:rsid w:val="7522216D"/>
    <w:rsid w:val="753073EB"/>
    <w:rsid w:val="758A255C"/>
    <w:rsid w:val="75931CFF"/>
    <w:rsid w:val="75F84CD5"/>
    <w:rsid w:val="760D6F22"/>
    <w:rsid w:val="760E2315"/>
    <w:rsid w:val="76130968"/>
    <w:rsid w:val="761E6BD5"/>
    <w:rsid w:val="76667DF9"/>
    <w:rsid w:val="76674D66"/>
    <w:rsid w:val="768C79E5"/>
    <w:rsid w:val="769413F2"/>
    <w:rsid w:val="7698572B"/>
    <w:rsid w:val="76A809F9"/>
    <w:rsid w:val="76AF2588"/>
    <w:rsid w:val="76C34DC9"/>
    <w:rsid w:val="77155B1A"/>
    <w:rsid w:val="7744127C"/>
    <w:rsid w:val="77442D99"/>
    <w:rsid w:val="774C75D7"/>
    <w:rsid w:val="775A74A7"/>
    <w:rsid w:val="77632E27"/>
    <w:rsid w:val="77AE3DED"/>
    <w:rsid w:val="77B41832"/>
    <w:rsid w:val="77B63407"/>
    <w:rsid w:val="77DC095A"/>
    <w:rsid w:val="77DC2D78"/>
    <w:rsid w:val="77DC6750"/>
    <w:rsid w:val="77F72C44"/>
    <w:rsid w:val="77F832F3"/>
    <w:rsid w:val="78390846"/>
    <w:rsid w:val="788255AE"/>
    <w:rsid w:val="78A877A3"/>
    <w:rsid w:val="78CE0BEB"/>
    <w:rsid w:val="78CF033D"/>
    <w:rsid w:val="78D136A5"/>
    <w:rsid w:val="78DA7590"/>
    <w:rsid w:val="78EA7655"/>
    <w:rsid w:val="78F01264"/>
    <w:rsid w:val="79021C8A"/>
    <w:rsid w:val="79246A5D"/>
    <w:rsid w:val="79897203"/>
    <w:rsid w:val="798A3F79"/>
    <w:rsid w:val="79DC389E"/>
    <w:rsid w:val="7A0F1D0F"/>
    <w:rsid w:val="7A195E96"/>
    <w:rsid w:val="7A4D70FD"/>
    <w:rsid w:val="7A5851E9"/>
    <w:rsid w:val="7A803B37"/>
    <w:rsid w:val="7A813A3B"/>
    <w:rsid w:val="7A890082"/>
    <w:rsid w:val="7A97500D"/>
    <w:rsid w:val="7AB52E24"/>
    <w:rsid w:val="7AC50FDE"/>
    <w:rsid w:val="7ACD0C8E"/>
    <w:rsid w:val="7ADE49EA"/>
    <w:rsid w:val="7AF36F6C"/>
    <w:rsid w:val="7AFB75EA"/>
    <w:rsid w:val="7B29035B"/>
    <w:rsid w:val="7B694C88"/>
    <w:rsid w:val="7B772484"/>
    <w:rsid w:val="7BA2010D"/>
    <w:rsid w:val="7BB00AD3"/>
    <w:rsid w:val="7BD63079"/>
    <w:rsid w:val="7BD822D8"/>
    <w:rsid w:val="7BE20509"/>
    <w:rsid w:val="7BF442B2"/>
    <w:rsid w:val="7C442F72"/>
    <w:rsid w:val="7C5A4544"/>
    <w:rsid w:val="7C703223"/>
    <w:rsid w:val="7C737796"/>
    <w:rsid w:val="7CAC3BEC"/>
    <w:rsid w:val="7CB84C7B"/>
    <w:rsid w:val="7CEF1F22"/>
    <w:rsid w:val="7CF36E72"/>
    <w:rsid w:val="7D2971FE"/>
    <w:rsid w:val="7D3D4EEF"/>
    <w:rsid w:val="7D641BB5"/>
    <w:rsid w:val="7D80116B"/>
    <w:rsid w:val="7DC822FE"/>
    <w:rsid w:val="7DEB7B49"/>
    <w:rsid w:val="7E08388C"/>
    <w:rsid w:val="7E0A7EE2"/>
    <w:rsid w:val="7E107745"/>
    <w:rsid w:val="7E1A215C"/>
    <w:rsid w:val="7E364C80"/>
    <w:rsid w:val="7E394D59"/>
    <w:rsid w:val="7E3D1DBB"/>
    <w:rsid w:val="7E49586F"/>
    <w:rsid w:val="7E5971A9"/>
    <w:rsid w:val="7E8853C3"/>
    <w:rsid w:val="7E9E2E0E"/>
    <w:rsid w:val="7EA321D2"/>
    <w:rsid w:val="7EB919F5"/>
    <w:rsid w:val="7EC11505"/>
    <w:rsid w:val="7ECA59B1"/>
    <w:rsid w:val="7ECB13E0"/>
    <w:rsid w:val="7EF23159"/>
    <w:rsid w:val="7F0C5D3F"/>
    <w:rsid w:val="7F123EA2"/>
    <w:rsid w:val="7F7D1C7C"/>
    <w:rsid w:val="7F984F54"/>
    <w:rsid w:val="7FAE439F"/>
    <w:rsid w:val="7FB4040F"/>
    <w:rsid w:val="7FE151C6"/>
    <w:rsid w:val="7FF57318"/>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6"/>
    <w:next w:val="1"/>
    <w:link w:val="72"/>
    <w:qFormat/>
    <w:uiPriority w:val="0"/>
    <w:pPr>
      <w:keepNext/>
      <w:keepLines/>
      <w:spacing w:before="260" w:after="260" w:line="416" w:lineRule="auto"/>
      <w:outlineLvl w:val="2"/>
    </w:pPr>
    <w:rPr>
      <w:b/>
      <w:bCs/>
      <w:sz w:val="32"/>
      <w:szCs w:val="32"/>
    </w:rPr>
  </w:style>
  <w:style w:type="paragraph" w:styleId="7">
    <w:name w:val="heading 4"/>
    <w:basedOn w:val="1"/>
    <w:next w:val="1"/>
    <w:link w:val="74"/>
    <w:qFormat/>
    <w:uiPriority w:val="0"/>
    <w:pPr>
      <w:keepNext/>
      <w:keepLines/>
      <w:spacing w:before="280" w:after="290" w:line="374" w:lineRule="auto"/>
      <w:outlineLvl w:val="3"/>
    </w:pPr>
    <w:rPr>
      <w:rFonts w:ascii="Arial" w:hAnsi="Arial" w:eastAsia="黑体"/>
      <w:b/>
      <w:sz w:val="28"/>
      <w:szCs w:val="20"/>
    </w:rPr>
  </w:style>
  <w:style w:type="paragraph" w:styleId="8">
    <w:name w:val="heading 5"/>
    <w:basedOn w:val="1"/>
    <w:next w:val="1"/>
    <w:link w:val="75"/>
    <w:qFormat/>
    <w:uiPriority w:val="0"/>
    <w:pPr>
      <w:keepNext/>
      <w:keepLines/>
      <w:adjustRightInd w:val="0"/>
      <w:spacing w:before="280" w:after="290" w:line="376" w:lineRule="atLeast"/>
      <w:ind w:left="2125" w:hanging="425"/>
      <w:textAlignment w:val="baseline"/>
      <w:outlineLvl w:val="4"/>
    </w:pPr>
    <w:rPr>
      <w:b/>
      <w:kern w:val="0"/>
      <w:sz w:val="28"/>
      <w:szCs w:val="20"/>
    </w:rPr>
  </w:style>
  <w:style w:type="paragraph" w:styleId="9">
    <w:name w:val="heading 6"/>
    <w:basedOn w:val="1"/>
    <w:next w:val="1"/>
    <w:link w:val="76"/>
    <w:qFormat/>
    <w:uiPriority w:val="0"/>
    <w:pPr>
      <w:keepNext/>
      <w:keepLines/>
      <w:widowControl/>
      <w:tabs>
        <w:tab w:val="left" w:pos="1440"/>
      </w:tabs>
      <w:spacing w:before="240" w:after="64" w:line="319" w:lineRule="auto"/>
      <w:ind w:left="1152" w:hanging="1152"/>
      <w:jc w:val="left"/>
      <w:outlineLvl w:val="5"/>
    </w:pPr>
    <w:rPr>
      <w:rFonts w:ascii="Arial" w:hAnsi="Arial" w:eastAsia="黑体"/>
      <w:b/>
      <w:kern w:val="0"/>
      <w:sz w:val="24"/>
      <w:szCs w:val="20"/>
    </w:rPr>
  </w:style>
  <w:style w:type="paragraph" w:styleId="10">
    <w:name w:val="heading 7"/>
    <w:basedOn w:val="1"/>
    <w:next w:val="1"/>
    <w:link w:val="77"/>
    <w:qFormat/>
    <w:uiPriority w:val="0"/>
    <w:pPr>
      <w:keepNext/>
      <w:keepLines/>
      <w:widowControl/>
      <w:tabs>
        <w:tab w:val="left" w:pos="2520"/>
      </w:tabs>
      <w:spacing w:before="240" w:after="64" w:line="319" w:lineRule="auto"/>
      <w:ind w:left="1296" w:hanging="1296"/>
      <w:jc w:val="left"/>
      <w:outlineLvl w:val="6"/>
    </w:pPr>
    <w:rPr>
      <w:b/>
      <w:kern w:val="0"/>
      <w:sz w:val="24"/>
      <w:szCs w:val="20"/>
    </w:rPr>
  </w:style>
  <w:style w:type="paragraph" w:styleId="11">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2">
    <w:name w:val="heading 9"/>
    <w:basedOn w:val="1"/>
    <w:next w:val="1"/>
    <w:link w:val="7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6">
    <w:name w:val="索引 11"/>
    <w:basedOn w:val="1"/>
    <w:next w:val="1"/>
    <w:qFormat/>
    <w:uiPriority w:val="0"/>
    <w:pPr>
      <w:spacing w:line="360" w:lineRule="auto"/>
    </w:pPr>
    <w:rPr>
      <w:rFonts w:ascii="仿宋_GB2312" w:eastAsia="仿宋_GB2312"/>
      <w:sz w:val="24"/>
      <w:szCs w:val="20"/>
    </w:rPr>
  </w:style>
  <w:style w:type="paragraph" w:styleId="13">
    <w:name w:val="toc 7"/>
    <w:basedOn w:val="1"/>
    <w:next w:val="1"/>
    <w:qFormat/>
    <w:uiPriority w:val="39"/>
    <w:pPr>
      <w:ind w:left="2520" w:leftChars="1200"/>
    </w:pPr>
  </w:style>
  <w:style w:type="paragraph" w:styleId="14">
    <w:name w:val="Normal Indent"/>
    <w:basedOn w:val="1"/>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List Bullet"/>
    <w:basedOn w:val="1"/>
    <w:qFormat/>
    <w:uiPriority w:val="0"/>
    <w:pPr>
      <w:ind w:left="384" w:hanging="384" w:hangingChars="160"/>
    </w:pPr>
    <w:rPr>
      <w:sz w:val="24"/>
    </w:rPr>
  </w:style>
  <w:style w:type="paragraph" w:styleId="17">
    <w:name w:val="Document Map"/>
    <w:basedOn w:val="1"/>
    <w:link w:val="80"/>
    <w:qFormat/>
    <w:uiPriority w:val="0"/>
    <w:pPr>
      <w:shd w:val="clear" w:color="auto" w:fill="000080"/>
    </w:pPr>
    <w:rPr>
      <w:szCs w:val="20"/>
      <w:shd w:val="clear" w:color="auto" w:fill="000080"/>
    </w:r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81"/>
    <w:semiHidden/>
    <w:qFormat/>
    <w:uiPriority w:val="0"/>
    <w:pPr>
      <w:jc w:val="left"/>
    </w:pPr>
  </w:style>
  <w:style w:type="paragraph" w:styleId="20">
    <w:name w:val="Body Text 3"/>
    <w:basedOn w:val="1"/>
    <w:qFormat/>
    <w:uiPriority w:val="0"/>
    <w:rPr>
      <w:rFonts w:ascii="宋体"/>
      <w:sz w:val="24"/>
      <w:szCs w:val="20"/>
    </w:rPr>
  </w:style>
  <w:style w:type="paragraph" w:styleId="21">
    <w:name w:val="Body Text"/>
    <w:basedOn w:val="1"/>
    <w:next w:val="22"/>
    <w:link w:val="82"/>
    <w:qFormat/>
    <w:uiPriority w:val="0"/>
    <w:pPr>
      <w:spacing w:after="120"/>
    </w:pPr>
    <w:rPr>
      <w:szCs w:val="20"/>
    </w:rPr>
  </w:style>
  <w:style w:type="paragraph" w:styleId="22">
    <w:name w:val="Body Text 2"/>
    <w:basedOn w:val="1"/>
    <w:next w:val="1"/>
    <w:link w:val="91"/>
    <w:qFormat/>
    <w:uiPriority w:val="0"/>
    <w:pPr>
      <w:spacing w:after="120" w:line="480" w:lineRule="auto"/>
    </w:pPr>
    <w:rPr>
      <w:szCs w:val="20"/>
    </w:rPr>
  </w:style>
  <w:style w:type="paragraph" w:styleId="23">
    <w:name w:val="Body Text Indent"/>
    <w:basedOn w:val="1"/>
    <w:next w:val="24"/>
    <w:link w:val="83"/>
    <w:qFormat/>
    <w:uiPriority w:val="0"/>
    <w:pPr>
      <w:spacing w:after="120"/>
      <w:ind w:left="420" w:leftChars="200"/>
    </w:pPr>
    <w:rPr>
      <w:szCs w:val="20"/>
    </w:rPr>
  </w:style>
  <w:style w:type="paragraph" w:styleId="24">
    <w:name w:val="envelope return"/>
    <w:basedOn w:val="1"/>
    <w:qFormat/>
    <w:uiPriority w:val="0"/>
    <w:pPr>
      <w:snapToGrid w:val="0"/>
    </w:pPr>
    <w:rPr>
      <w:rFonts w:ascii="Arial" w:hAnsi="Arial"/>
    </w:rPr>
  </w:style>
  <w:style w:type="paragraph" w:styleId="25">
    <w:name w:val="index 4"/>
    <w:basedOn w:val="1"/>
    <w:next w:val="1"/>
    <w:qFormat/>
    <w:uiPriority w:val="0"/>
    <w:pPr>
      <w:ind w:left="600" w:leftChars="600"/>
    </w:pPr>
  </w:style>
  <w:style w:type="paragraph" w:styleId="26">
    <w:name w:val="toc 5"/>
    <w:basedOn w:val="1"/>
    <w:next w:val="1"/>
    <w:qFormat/>
    <w:uiPriority w:val="39"/>
    <w:pPr>
      <w:ind w:left="1680" w:leftChars="800"/>
    </w:pPr>
  </w:style>
  <w:style w:type="paragraph" w:styleId="27">
    <w:name w:val="toc 3"/>
    <w:basedOn w:val="1"/>
    <w:next w:val="1"/>
    <w:qFormat/>
    <w:uiPriority w:val="39"/>
    <w:pPr>
      <w:tabs>
        <w:tab w:val="right" w:leader="dot" w:pos="8315"/>
      </w:tabs>
      <w:spacing w:line="360" w:lineRule="auto"/>
      <w:ind w:left="840" w:leftChars="400"/>
    </w:pPr>
    <w:rPr>
      <w:sz w:val="24"/>
    </w:rPr>
  </w:style>
  <w:style w:type="paragraph" w:styleId="28">
    <w:name w:val="Plain Text"/>
    <w:basedOn w:val="1"/>
    <w:next w:val="1"/>
    <w:link w:val="84"/>
    <w:qFormat/>
    <w:uiPriority w:val="0"/>
    <w:rPr>
      <w:rFonts w:ascii="宋体" w:hAnsi="Courier New"/>
      <w:szCs w:val="20"/>
    </w:rPr>
  </w:style>
  <w:style w:type="paragraph" w:styleId="29">
    <w:name w:val="toc 8"/>
    <w:basedOn w:val="1"/>
    <w:next w:val="1"/>
    <w:qFormat/>
    <w:uiPriority w:val="39"/>
    <w:pPr>
      <w:ind w:left="2940" w:leftChars="1400"/>
    </w:pPr>
  </w:style>
  <w:style w:type="paragraph" w:styleId="30">
    <w:name w:val="Date"/>
    <w:basedOn w:val="1"/>
    <w:next w:val="1"/>
    <w:link w:val="85"/>
    <w:qFormat/>
    <w:uiPriority w:val="0"/>
    <w:rPr>
      <w:sz w:val="24"/>
      <w:szCs w:val="20"/>
    </w:rPr>
  </w:style>
  <w:style w:type="paragraph" w:styleId="31">
    <w:name w:val="Body Text Indent 2"/>
    <w:basedOn w:val="1"/>
    <w:link w:val="86"/>
    <w:qFormat/>
    <w:uiPriority w:val="0"/>
    <w:pPr>
      <w:adjustRightInd w:val="0"/>
      <w:snapToGrid w:val="0"/>
      <w:spacing w:line="420" w:lineRule="auto"/>
      <w:ind w:firstLine="577"/>
      <w:textAlignment w:val="baseline"/>
    </w:pPr>
    <w:rPr>
      <w:spacing w:val="4"/>
      <w:kern w:val="0"/>
      <w:sz w:val="28"/>
      <w:szCs w:val="20"/>
    </w:rPr>
  </w:style>
  <w:style w:type="paragraph" w:styleId="32">
    <w:name w:val="Balloon Text"/>
    <w:basedOn w:val="1"/>
    <w:link w:val="87"/>
    <w:qFormat/>
    <w:uiPriority w:val="0"/>
    <w:rPr>
      <w:sz w:val="18"/>
      <w:szCs w:val="20"/>
    </w:rPr>
  </w:style>
  <w:style w:type="paragraph" w:styleId="33">
    <w:name w:val="footer"/>
    <w:basedOn w:val="1"/>
    <w:link w:val="88"/>
    <w:qFormat/>
    <w:uiPriority w:val="0"/>
    <w:pPr>
      <w:tabs>
        <w:tab w:val="center" w:pos="4153"/>
        <w:tab w:val="right" w:pos="8306"/>
      </w:tabs>
      <w:snapToGrid w:val="0"/>
      <w:jc w:val="left"/>
    </w:pPr>
    <w:rPr>
      <w:sz w:val="18"/>
      <w:szCs w:val="18"/>
    </w:rPr>
  </w:style>
  <w:style w:type="paragraph" w:styleId="34">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296"/>
      </w:tabs>
      <w:spacing w:line="360" w:lineRule="auto"/>
      <w:ind w:right="733" w:rightChars="349"/>
      <w:jc w:val="center"/>
    </w:pPr>
    <w:rPr>
      <w:sz w:val="28"/>
    </w:rPr>
  </w:style>
  <w:style w:type="paragraph" w:styleId="36">
    <w:name w:val="toc 4"/>
    <w:basedOn w:val="1"/>
    <w:next w:val="1"/>
    <w:qFormat/>
    <w:uiPriority w:val="39"/>
    <w:pPr>
      <w:ind w:left="1260" w:leftChars="600"/>
    </w:pPr>
  </w:style>
  <w:style w:type="paragraph" w:styleId="37">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8">
    <w:name w:val="toc 6"/>
    <w:basedOn w:val="1"/>
    <w:next w:val="1"/>
    <w:qFormat/>
    <w:uiPriority w:val="39"/>
    <w:pPr>
      <w:ind w:left="2100" w:leftChars="1000"/>
    </w:pPr>
  </w:style>
  <w:style w:type="paragraph" w:styleId="39">
    <w:name w:val="Body Text Indent 3"/>
    <w:basedOn w:val="1"/>
    <w:qFormat/>
    <w:uiPriority w:val="0"/>
    <w:pPr>
      <w:spacing w:after="120"/>
      <w:ind w:left="420" w:leftChars="200"/>
    </w:pPr>
    <w:rPr>
      <w:sz w:val="16"/>
      <w:szCs w:val="20"/>
    </w:rPr>
  </w:style>
  <w:style w:type="paragraph" w:styleId="40">
    <w:name w:val="toc 2"/>
    <w:basedOn w:val="1"/>
    <w:next w:val="1"/>
    <w:qFormat/>
    <w:uiPriority w:val="39"/>
    <w:pPr>
      <w:tabs>
        <w:tab w:val="right" w:leader="dot" w:pos="8301"/>
      </w:tabs>
      <w:spacing w:line="360" w:lineRule="auto"/>
      <w:ind w:left="420" w:leftChars="200"/>
    </w:pPr>
    <w:rPr>
      <w:sz w:val="24"/>
    </w:rPr>
  </w:style>
  <w:style w:type="paragraph" w:styleId="41">
    <w:name w:val="toc 9"/>
    <w:basedOn w:val="1"/>
    <w:next w:val="1"/>
    <w:qFormat/>
    <w:uiPriority w:val="39"/>
    <w:pPr>
      <w:ind w:left="3360" w:leftChars="1600"/>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0"/>
    </w:rPr>
  </w:style>
  <w:style w:type="paragraph" w:styleId="4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44">
    <w:name w:val="index 1"/>
    <w:basedOn w:val="1"/>
    <w:next w:val="1"/>
    <w:qFormat/>
    <w:uiPriority w:val="0"/>
    <w:pPr>
      <w:spacing w:line="220" w:lineRule="exact"/>
      <w:jc w:val="center"/>
    </w:pPr>
    <w:rPr>
      <w:rFonts w:ascii="仿宋_GB2312" w:eastAsia="仿宋_GB2312"/>
      <w:szCs w:val="20"/>
    </w:rPr>
  </w:style>
  <w:style w:type="paragraph" w:styleId="45">
    <w:name w:val="Title"/>
    <w:basedOn w:val="1"/>
    <w:link w:val="9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6">
    <w:name w:val="annotation subject"/>
    <w:basedOn w:val="19"/>
    <w:next w:val="19"/>
    <w:link w:val="93"/>
    <w:qFormat/>
    <w:uiPriority w:val="0"/>
    <w:rPr>
      <w:b/>
      <w:bCs/>
      <w:szCs w:val="20"/>
    </w:rPr>
  </w:style>
  <w:style w:type="paragraph" w:styleId="47">
    <w:name w:val="Body Text First Indent"/>
    <w:basedOn w:val="21"/>
    <w:next w:val="48"/>
    <w:qFormat/>
    <w:uiPriority w:val="0"/>
    <w:pPr>
      <w:widowControl/>
      <w:spacing w:after="160"/>
      <w:ind w:firstLine="420" w:firstLineChars="100"/>
      <w:jc w:val="left"/>
    </w:pPr>
    <w:rPr>
      <w:rFonts w:ascii="仿宋体" w:eastAsia="仿宋体"/>
      <w:kern w:val="0"/>
      <w:sz w:val="20"/>
      <w:lang w:eastAsia="en-US"/>
    </w:rPr>
  </w:style>
  <w:style w:type="paragraph" w:styleId="48">
    <w:name w:val="Body Text First Indent 2"/>
    <w:basedOn w:val="23"/>
    <w:next w:val="47"/>
    <w:qFormat/>
    <w:uiPriority w:val="0"/>
    <w:pPr>
      <w:ind w:firstLine="420" w:firstLineChars="200"/>
    </w:pPr>
    <w:rPr>
      <w:szCs w:val="21"/>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000000"/>
      <w:u w:val="none"/>
    </w:rPr>
  </w:style>
  <w:style w:type="character" w:styleId="55">
    <w:name w:val="Emphasis"/>
    <w:qFormat/>
    <w:uiPriority w:val="0"/>
    <w:rPr>
      <w:i/>
      <w:iCs/>
    </w:rPr>
  </w:style>
  <w:style w:type="character" w:styleId="56">
    <w:name w:val="HTML Definition"/>
    <w:qFormat/>
    <w:uiPriority w:val="0"/>
  </w:style>
  <w:style w:type="character" w:styleId="57">
    <w:name w:val="HTML Typewriter"/>
    <w:qFormat/>
    <w:uiPriority w:val="0"/>
    <w:rPr>
      <w:rFonts w:ascii="monospace" w:hAnsi="monospace" w:eastAsia="monospace" w:cs="monospace"/>
      <w:sz w:val="20"/>
    </w:rPr>
  </w:style>
  <w:style w:type="character" w:styleId="58">
    <w:name w:val="HTML Acronym"/>
    <w:qFormat/>
    <w:uiPriority w:val="0"/>
    <w:rPr>
      <w:color w:val="5C5C5C"/>
      <w:sz w:val="21"/>
      <w:szCs w:val="21"/>
    </w:rPr>
  </w:style>
  <w:style w:type="character" w:styleId="59">
    <w:name w:val="HTML Variable"/>
    <w:qFormat/>
    <w:uiPriority w:val="0"/>
  </w:style>
  <w:style w:type="character" w:styleId="60">
    <w:name w:val="Hyperlink"/>
    <w:qFormat/>
    <w:uiPriority w:val="99"/>
    <w:rPr>
      <w:color w:val="000000"/>
      <w:u w:val="none"/>
    </w:rPr>
  </w:style>
  <w:style w:type="character" w:styleId="61">
    <w:name w:val="HTML Code"/>
    <w:qFormat/>
    <w:uiPriority w:val="0"/>
    <w:rPr>
      <w:rFonts w:hint="default" w:ascii="monospace" w:hAnsi="monospace" w:eastAsia="monospace" w:cs="monospace"/>
      <w:sz w:val="20"/>
    </w:rPr>
  </w:style>
  <w:style w:type="character" w:styleId="62">
    <w:name w:val="annotation reference"/>
    <w:basedOn w:val="51"/>
    <w:qFormat/>
    <w:uiPriority w:val="0"/>
    <w:rPr>
      <w:sz w:val="21"/>
    </w:rPr>
  </w:style>
  <w:style w:type="character" w:styleId="63">
    <w:name w:val="HTML Cite"/>
    <w:qFormat/>
    <w:uiPriority w:val="0"/>
  </w:style>
  <w:style w:type="character" w:styleId="64">
    <w:name w:val="HTML Keyboard"/>
    <w:qFormat/>
    <w:uiPriority w:val="0"/>
    <w:rPr>
      <w:rFonts w:hint="default" w:ascii="monospace" w:hAnsi="monospace" w:eastAsia="monospace" w:cs="monospace"/>
      <w:sz w:val="20"/>
    </w:rPr>
  </w:style>
  <w:style w:type="character" w:styleId="65">
    <w:name w:val="HTML Sample"/>
    <w:qFormat/>
    <w:uiPriority w:val="0"/>
    <w:rPr>
      <w:rFonts w:hint="default" w:ascii="monospace" w:hAnsi="monospace" w:eastAsia="monospace" w:cs="monospace"/>
    </w:rPr>
  </w:style>
  <w:style w:type="paragraph" w:customStyle="1" w:styleId="66">
    <w:name w:val="style4"/>
    <w:basedOn w:val="1"/>
    <w:next w:val="67"/>
    <w:qFormat/>
    <w:uiPriority w:val="0"/>
    <w:pPr>
      <w:widowControl/>
      <w:spacing w:before="280" w:after="280"/>
    </w:pPr>
    <w:rPr>
      <w:sz w:val="18"/>
    </w:rPr>
  </w:style>
  <w:style w:type="paragraph" w:customStyle="1" w:styleId="67">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68">
    <w:name w:val="正文缩进1"/>
    <w:basedOn w:val="1"/>
    <w:link w:val="73"/>
    <w:qFormat/>
    <w:uiPriority w:val="0"/>
    <w:pPr>
      <w:autoSpaceDE w:val="0"/>
      <w:autoSpaceDN w:val="0"/>
      <w:adjustRightInd w:val="0"/>
      <w:ind w:firstLine="420"/>
      <w:jc w:val="left"/>
    </w:pPr>
    <w:rPr>
      <w:rFonts w:ascii="宋体"/>
      <w:kern w:val="0"/>
      <w:sz w:val="24"/>
      <w:szCs w:val="20"/>
    </w:rPr>
  </w:style>
  <w:style w:type="paragraph" w:customStyle="1" w:styleId="69">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character" w:customStyle="1" w:styleId="70">
    <w:name w:val="标题 1 Char1"/>
    <w:link w:val="3"/>
    <w:qFormat/>
    <w:uiPriority w:val="0"/>
    <w:rPr>
      <w:rFonts w:eastAsia="宋体"/>
      <w:b/>
      <w:bCs/>
      <w:kern w:val="44"/>
      <w:sz w:val="44"/>
      <w:szCs w:val="44"/>
      <w:lang w:val="en-US" w:eastAsia="zh-CN" w:bidi="ar-SA"/>
    </w:rPr>
  </w:style>
  <w:style w:type="character" w:customStyle="1" w:styleId="71">
    <w:name w:val="标题 2 Char1"/>
    <w:link w:val="4"/>
    <w:qFormat/>
    <w:uiPriority w:val="0"/>
    <w:rPr>
      <w:rFonts w:ascii="Arial" w:hAnsi="Arial" w:eastAsia="黑体"/>
      <w:b/>
      <w:bCs/>
      <w:kern w:val="2"/>
      <w:sz w:val="32"/>
      <w:szCs w:val="32"/>
      <w:lang w:val="en-US" w:eastAsia="zh-CN" w:bidi="ar-SA"/>
    </w:rPr>
  </w:style>
  <w:style w:type="character" w:customStyle="1" w:styleId="72">
    <w:name w:val="标题 3 Char1"/>
    <w:link w:val="5"/>
    <w:qFormat/>
    <w:uiPriority w:val="0"/>
    <w:rPr>
      <w:rFonts w:eastAsia="宋体"/>
      <w:b/>
      <w:bCs/>
      <w:kern w:val="2"/>
      <w:sz w:val="32"/>
      <w:szCs w:val="32"/>
      <w:lang w:val="en-US" w:eastAsia="zh-CN" w:bidi="ar-SA"/>
    </w:rPr>
  </w:style>
  <w:style w:type="character" w:customStyle="1" w:styleId="73">
    <w:name w:val="正文缩进 Char1"/>
    <w:link w:val="68"/>
    <w:qFormat/>
    <w:uiPriority w:val="0"/>
    <w:rPr>
      <w:rFonts w:ascii="宋体"/>
      <w:sz w:val="24"/>
      <w:lang w:bidi="ar-SA"/>
    </w:rPr>
  </w:style>
  <w:style w:type="character" w:customStyle="1" w:styleId="74">
    <w:name w:val="标题 4 Char1"/>
    <w:link w:val="7"/>
    <w:qFormat/>
    <w:uiPriority w:val="0"/>
    <w:rPr>
      <w:rFonts w:ascii="Arial" w:hAnsi="Arial" w:eastAsia="黑体"/>
      <w:b/>
      <w:kern w:val="2"/>
      <w:sz w:val="28"/>
      <w:lang w:val="en-US" w:eastAsia="zh-CN" w:bidi="ar-SA"/>
    </w:rPr>
  </w:style>
  <w:style w:type="character" w:customStyle="1" w:styleId="75">
    <w:name w:val="标题 5 Char1"/>
    <w:link w:val="8"/>
    <w:qFormat/>
    <w:uiPriority w:val="0"/>
    <w:rPr>
      <w:rFonts w:eastAsia="宋体"/>
      <w:b/>
      <w:sz w:val="28"/>
      <w:lang w:val="en-US" w:eastAsia="zh-CN" w:bidi="ar-SA"/>
    </w:rPr>
  </w:style>
  <w:style w:type="character" w:customStyle="1" w:styleId="76">
    <w:name w:val="标题 6 Char"/>
    <w:link w:val="9"/>
    <w:qFormat/>
    <w:uiPriority w:val="0"/>
    <w:rPr>
      <w:rFonts w:ascii="Arial" w:hAnsi="Arial" w:eastAsia="黑体"/>
      <w:b/>
      <w:sz w:val="24"/>
      <w:lang w:val="en-US" w:eastAsia="zh-CN" w:bidi="ar-SA"/>
    </w:rPr>
  </w:style>
  <w:style w:type="character" w:customStyle="1" w:styleId="77">
    <w:name w:val="标题 7 Char"/>
    <w:link w:val="10"/>
    <w:qFormat/>
    <w:uiPriority w:val="0"/>
    <w:rPr>
      <w:rFonts w:eastAsia="宋体"/>
      <w:b/>
      <w:sz w:val="24"/>
      <w:lang w:val="en-US" w:eastAsia="zh-CN" w:bidi="ar-SA"/>
    </w:rPr>
  </w:style>
  <w:style w:type="character" w:customStyle="1" w:styleId="78">
    <w:name w:val="标题 8 Char"/>
    <w:link w:val="11"/>
    <w:qFormat/>
    <w:uiPriority w:val="0"/>
    <w:rPr>
      <w:rFonts w:ascii="Arial" w:hAnsi="Arial" w:eastAsia="黑体"/>
      <w:sz w:val="24"/>
      <w:lang w:val="en-US" w:eastAsia="zh-CN" w:bidi="ar-SA"/>
    </w:rPr>
  </w:style>
  <w:style w:type="character" w:customStyle="1" w:styleId="79">
    <w:name w:val="标题 9 Char"/>
    <w:link w:val="12"/>
    <w:qFormat/>
    <w:uiPriority w:val="0"/>
    <w:rPr>
      <w:rFonts w:ascii="Arial" w:hAnsi="Arial" w:eastAsia="黑体"/>
      <w:sz w:val="21"/>
      <w:lang w:val="en-US" w:eastAsia="zh-CN" w:bidi="ar-SA"/>
    </w:rPr>
  </w:style>
  <w:style w:type="character" w:customStyle="1" w:styleId="80">
    <w:name w:val="文档结构图 Char"/>
    <w:link w:val="17"/>
    <w:qFormat/>
    <w:uiPriority w:val="0"/>
    <w:rPr>
      <w:kern w:val="2"/>
      <w:sz w:val="21"/>
      <w:shd w:val="clear" w:color="auto" w:fill="000080"/>
      <w:lang w:bidi="ar-SA"/>
    </w:rPr>
  </w:style>
  <w:style w:type="character" w:customStyle="1" w:styleId="81">
    <w:name w:val="批注文字 Char2"/>
    <w:link w:val="19"/>
    <w:qFormat/>
    <w:uiPriority w:val="0"/>
    <w:rPr>
      <w:rFonts w:eastAsia="宋体"/>
      <w:kern w:val="2"/>
      <w:sz w:val="21"/>
      <w:szCs w:val="24"/>
      <w:lang w:val="en-US" w:eastAsia="zh-CN" w:bidi="ar-SA"/>
    </w:rPr>
  </w:style>
  <w:style w:type="character" w:customStyle="1" w:styleId="82">
    <w:name w:val="正文文本 Char2"/>
    <w:link w:val="21"/>
    <w:qFormat/>
    <w:uiPriority w:val="0"/>
    <w:rPr>
      <w:kern w:val="2"/>
      <w:sz w:val="21"/>
      <w:lang w:bidi="ar-SA"/>
    </w:rPr>
  </w:style>
  <w:style w:type="character" w:customStyle="1" w:styleId="83">
    <w:name w:val="正文文本缩进 Char"/>
    <w:link w:val="23"/>
    <w:qFormat/>
    <w:uiPriority w:val="0"/>
    <w:rPr>
      <w:rFonts w:eastAsia="宋体"/>
      <w:kern w:val="2"/>
      <w:sz w:val="21"/>
      <w:lang w:val="en-US" w:eastAsia="zh-CN" w:bidi="ar-SA"/>
    </w:rPr>
  </w:style>
  <w:style w:type="character" w:customStyle="1" w:styleId="84">
    <w:name w:val="纯文本 Char2"/>
    <w:link w:val="28"/>
    <w:qFormat/>
    <w:uiPriority w:val="0"/>
    <w:rPr>
      <w:rFonts w:ascii="宋体" w:hAnsi="Courier New" w:eastAsia="宋体"/>
      <w:kern w:val="2"/>
      <w:sz w:val="21"/>
      <w:lang w:val="en-US" w:eastAsia="zh-CN" w:bidi="ar-SA"/>
    </w:rPr>
  </w:style>
  <w:style w:type="character" w:customStyle="1" w:styleId="85">
    <w:name w:val="日期 Char2"/>
    <w:link w:val="30"/>
    <w:qFormat/>
    <w:uiPriority w:val="0"/>
    <w:rPr>
      <w:kern w:val="2"/>
      <w:sz w:val="24"/>
      <w:lang w:bidi="ar-SA"/>
    </w:rPr>
  </w:style>
  <w:style w:type="character" w:customStyle="1" w:styleId="86">
    <w:name w:val="正文文本缩进 2 Char"/>
    <w:link w:val="31"/>
    <w:semiHidden/>
    <w:qFormat/>
    <w:locked/>
    <w:uiPriority w:val="0"/>
    <w:rPr>
      <w:rFonts w:eastAsia="宋体"/>
      <w:spacing w:val="4"/>
      <w:sz w:val="28"/>
      <w:lang w:val="en-US" w:eastAsia="zh-CN" w:bidi="ar-SA"/>
    </w:rPr>
  </w:style>
  <w:style w:type="character" w:customStyle="1" w:styleId="87">
    <w:name w:val="批注框文本 Char2"/>
    <w:link w:val="32"/>
    <w:qFormat/>
    <w:uiPriority w:val="0"/>
    <w:rPr>
      <w:kern w:val="2"/>
      <w:sz w:val="18"/>
      <w:lang w:bidi="ar-SA"/>
    </w:rPr>
  </w:style>
  <w:style w:type="character" w:customStyle="1" w:styleId="88">
    <w:name w:val="页脚 Char1"/>
    <w:link w:val="33"/>
    <w:qFormat/>
    <w:uiPriority w:val="0"/>
    <w:rPr>
      <w:rFonts w:eastAsia="宋体"/>
      <w:kern w:val="2"/>
      <w:sz w:val="18"/>
      <w:szCs w:val="18"/>
      <w:lang w:val="en-US" w:eastAsia="zh-CN" w:bidi="ar-SA"/>
    </w:rPr>
  </w:style>
  <w:style w:type="character" w:customStyle="1" w:styleId="89">
    <w:name w:val="页眉 Char1"/>
    <w:link w:val="34"/>
    <w:qFormat/>
    <w:uiPriority w:val="0"/>
    <w:rPr>
      <w:rFonts w:eastAsia="宋体"/>
      <w:kern w:val="2"/>
      <w:sz w:val="18"/>
      <w:szCs w:val="18"/>
      <w:lang w:val="en-US" w:eastAsia="zh-CN" w:bidi="ar-SA"/>
    </w:rPr>
  </w:style>
  <w:style w:type="character" w:customStyle="1" w:styleId="90">
    <w:name w:val="副标题 Char"/>
    <w:link w:val="37"/>
    <w:qFormat/>
    <w:uiPriority w:val="0"/>
    <w:rPr>
      <w:rFonts w:ascii="Cambria" w:hAnsi="Cambria"/>
      <w:b/>
      <w:bCs/>
      <w:kern w:val="28"/>
      <w:sz w:val="32"/>
      <w:szCs w:val="32"/>
      <w:lang w:bidi="ar-SA"/>
    </w:rPr>
  </w:style>
  <w:style w:type="character" w:customStyle="1" w:styleId="91">
    <w:name w:val="正文文本 2 Char"/>
    <w:link w:val="22"/>
    <w:qFormat/>
    <w:uiPriority w:val="0"/>
    <w:rPr>
      <w:kern w:val="2"/>
      <w:sz w:val="21"/>
      <w:lang w:bidi="ar-SA"/>
    </w:rPr>
  </w:style>
  <w:style w:type="character" w:customStyle="1" w:styleId="92">
    <w:name w:val="标题 Char"/>
    <w:link w:val="45"/>
    <w:qFormat/>
    <w:uiPriority w:val="0"/>
    <w:rPr>
      <w:rFonts w:ascii="Arial" w:hAnsi="Arial"/>
      <w:b/>
      <w:sz w:val="32"/>
      <w:lang w:bidi="ar-SA"/>
    </w:rPr>
  </w:style>
  <w:style w:type="character" w:customStyle="1" w:styleId="93">
    <w:name w:val="批注主题 Char2"/>
    <w:link w:val="46"/>
    <w:qFormat/>
    <w:uiPriority w:val="0"/>
    <w:rPr>
      <w:b/>
      <w:bCs/>
      <w:kern w:val="2"/>
      <w:sz w:val="21"/>
      <w:lang w:bidi="ar-SA"/>
    </w:rPr>
  </w:style>
  <w:style w:type="paragraph" w:customStyle="1" w:styleId="94">
    <w:name w:val="Heading2"/>
    <w:basedOn w:val="1"/>
    <w:next w:val="1"/>
    <w:qFormat/>
    <w:uiPriority w:val="0"/>
    <w:pPr>
      <w:keepNext/>
      <w:keepLines/>
      <w:spacing w:before="260" w:after="260" w:line="412" w:lineRule="auto"/>
    </w:pPr>
    <w:rPr>
      <w:rFonts w:ascii="Arial" w:hAnsi="Arial" w:eastAsia="黑体"/>
      <w:kern w:val="0"/>
      <w:sz w:val="32"/>
      <w:szCs w:val="32"/>
    </w:rPr>
  </w:style>
  <w:style w:type="character" w:customStyle="1" w:styleId="95">
    <w:name w:val="标题 5 Char"/>
    <w:qFormat/>
    <w:uiPriority w:val="0"/>
    <w:rPr>
      <w:rFonts w:ascii="Calibri" w:hAnsi="Calibri" w:eastAsia="宋体"/>
      <w:b/>
      <w:kern w:val="2"/>
      <w:sz w:val="28"/>
      <w:szCs w:val="20"/>
    </w:rPr>
  </w:style>
  <w:style w:type="character" w:customStyle="1" w:styleId="96">
    <w:name w:val="样式 标题 4 + 四号 Char Char"/>
    <w:link w:val="97"/>
    <w:qFormat/>
    <w:uiPriority w:val="0"/>
    <w:rPr>
      <w:rFonts w:ascii="Arial" w:hAnsi="Arial" w:eastAsia="宋体"/>
      <w:b/>
      <w:bCs/>
      <w:kern w:val="2"/>
      <w:sz w:val="24"/>
      <w:szCs w:val="28"/>
      <w:lang w:val="en-US" w:eastAsia="zh-CN" w:bidi="ar-SA"/>
    </w:rPr>
  </w:style>
  <w:style w:type="paragraph" w:customStyle="1" w:styleId="97">
    <w:name w:val="样式 标题 4 + 四号"/>
    <w:basedOn w:val="7"/>
    <w:link w:val="96"/>
    <w:qFormat/>
    <w:uiPriority w:val="0"/>
    <w:pPr>
      <w:spacing w:before="0" w:after="0" w:line="360" w:lineRule="auto"/>
    </w:pPr>
    <w:rPr>
      <w:rFonts w:eastAsia="宋体"/>
      <w:bCs/>
      <w:sz w:val="24"/>
      <w:szCs w:val="28"/>
    </w:rPr>
  </w:style>
  <w:style w:type="character" w:customStyle="1" w:styleId="98">
    <w:name w:val="font01"/>
    <w:qFormat/>
    <w:uiPriority w:val="0"/>
    <w:rPr>
      <w:rFonts w:hint="eastAsia" w:ascii="宋体" w:hAnsi="宋体" w:eastAsia="宋体" w:cs="宋体"/>
      <w:color w:val="000000"/>
      <w:sz w:val="24"/>
      <w:szCs w:val="24"/>
    </w:rPr>
  </w:style>
  <w:style w:type="character" w:customStyle="1" w:styleId="99">
    <w:name w:val="Char Char6"/>
    <w:qFormat/>
    <w:uiPriority w:val="0"/>
    <w:rPr>
      <w:kern w:val="2"/>
      <w:sz w:val="18"/>
      <w:szCs w:val="18"/>
    </w:rPr>
  </w:style>
  <w:style w:type="character" w:customStyle="1" w:styleId="100">
    <w:name w:val="副标题 Char2"/>
    <w:qFormat/>
    <w:uiPriority w:val="0"/>
    <w:rPr>
      <w:rFonts w:ascii="Cambria" w:hAnsi="Cambria" w:cs="Times New Roman"/>
      <w:b/>
      <w:bCs/>
      <w:kern w:val="28"/>
      <w:sz w:val="32"/>
      <w:szCs w:val="32"/>
    </w:rPr>
  </w:style>
  <w:style w:type="character" w:customStyle="1" w:styleId="101">
    <w:name w:val="中等深浅列表 2 - 强调文字颜色 61"/>
    <w:qFormat/>
    <w:uiPriority w:val="0"/>
    <w:rPr>
      <w:b/>
      <w:bCs/>
      <w:i/>
      <w:iCs/>
      <w:color w:val="4F81BD"/>
    </w:rPr>
  </w:style>
  <w:style w:type="character" w:customStyle="1" w:styleId="102">
    <w:name w:val="Char Char27"/>
    <w:qFormat/>
    <w:uiPriority w:val="0"/>
    <w:rPr>
      <w:rFonts w:ascii="Arial" w:hAnsi="Arial" w:eastAsia="黑体"/>
      <w:b/>
      <w:kern w:val="2"/>
      <w:sz w:val="32"/>
      <w:lang w:val="en-US" w:eastAsia="zh-CN" w:bidi="ar-SA"/>
    </w:rPr>
  </w:style>
  <w:style w:type="character" w:customStyle="1" w:styleId="103">
    <w:name w:val="font1"/>
    <w:qFormat/>
    <w:uiPriority w:val="0"/>
    <w:rPr>
      <w:sz w:val="18"/>
      <w:szCs w:val="18"/>
    </w:rPr>
  </w:style>
  <w:style w:type="character" w:customStyle="1" w:styleId="104">
    <w:name w:val="pubdate-year"/>
    <w:qFormat/>
    <w:uiPriority w:val="0"/>
    <w:rPr>
      <w:vanish/>
    </w:rPr>
  </w:style>
  <w:style w:type="character" w:customStyle="1" w:styleId="105">
    <w:name w:val="普通文字1 Char"/>
    <w:qFormat/>
    <w:uiPriority w:val="0"/>
    <w:rPr>
      <w:rFonts w:ascii="宋体" w:hAnsi="Courier New" w:eastAsia="宋体" w:cs="Courier New"/>
      <w:kern w:val="2"/>
      <w:sz w:val="21"/>
      <w:szCs w:val="21"/>
      <w:lang w:val="en-US" w:eastAsia="zh-CN" w:bidi="ar-SA"/>
    </w:rPr>
  </w:style>
  <w:style w:type="character" w:customStyle="1" w:styleId="106">
    <w:name w:val="apple-converted-space"/>
    <w:qFormat/>
    <w:uiPriority w:val="0"/>
  </w:style>
  <w:style w:type="character" w:customStyle="1" w:styleId="107">
    <w:name w:val="标题 Char2"/>
    <w:qFormat/>
    <w:uiPriority w:val="0"/>
    <w:rPr>
      <w:rFonts w:ascii="Cambria" w:hAnsi="Cambria" w:cs="Times New Roman"/>
      <w:b/>
      <w:bCs/>
      <w:kern w:val="2"/>
      <w:sz w:val="32"/>
      <w:szCs w:val="32"/>
    </w:rPr>
  </w:style>
  <w:style w:type="character" w:customStyle="1" w:styleId="108">
    <w:name w:val="浅色底纹 - 强调文字颜色 1字符"/>
    <w:link w:val="109"/>
    <w:qFormat/>
    <w:uiPriority w:val="0"/>
    <w:rPr>
      <w:b/>
      <w:bCs/>
      <w:i/>
      <w:iCs/>
      <w:color w:val="4F81BD"/>
      <w:kern w:val="2"/>
      <w:sz w:val="21"/>
      <w:szCs w:val="22"/>
      <w:lang w:bidi="ar-SA"/>
    </w:rPr>
  </w:style>
  <w:style w:type="paragraph" w:customStyle="1" w:styleId="109">
    <w:name w:val="浅色底纹 - 强调文字颜色 11"/>
    <w:basedOn w:val="1"/>
    <w:next w:val="1"/>
    <w:link w:val="108"/>
    <w:qFormat/>
    <w:uiPriority w:val="0"/>
    <w:pPr>
      <w:pBdr>
        <w:bottom w:val="single" w:color="4F81BD" w:sz="4" w:space="4"/>
      </w:pBdr>
      <w:spacing w:before="200" w:after="280"/>
      <w:ind w:left="936" w:right="936"/>
    </w:pPr>
    <w:rPr>
      <w:b/>
      <w:bCs/>
      <w:i/>
      <w:iCs/>
      <w:color w:val="4F81BD"/>
      <w:szCs w:val="22"/>
    </w:rPr>
  </w:style>
  <w:style w:type="character" w:customStyle="1" w:styleId="110">
    <w:name w:val="纯文本 Char1"/>
    <w:link w:val="111"/>
    <w:qFormat/>
    <w:uiPriority w:val="0"/>
    <w:rPr>
      <w:rFonts w:ascii="宋体" w:hAnsi="Courier New"/>
      <w:lang w:bidi="ar-SA"/>
    </w:rPr>
  </w:style>
  <w:style w:type="paragraph" w:customStyle="1" w:styleId="111">
    <w:name w:val="纯文本1"/>
    <w:basedOn w:val="1"/>
    <w:link w:val="110"/>
    <w:qFormat/>
    <w:uiPriority w:val="0"/>
    <w:rPr>
      <w:rFonts w:ascii="宋体" w:hAnsi="Courier New"/>
      <w:kern w:val="0"/>
      <w:sz w:val="20"/>
      <w:szCs w:val="20"/>
    </w:rPr>
  </w:style>
  <w:style w:type="character" w:customStyle="1" w:styleId="112">
    <w:name w:val="文档结构图 Char1"/>
    <w:qFormat/>
    <w:uiPriority w:val="0"/>
    <w:rPr>
      <w:rFonts w:ascii="宋体"/>
      <w:kern w:val="2"/>
      <w:sz w:val="18"/>
      <w:szCs w:val="18"/>
    </w:rPr>
  </w:style>
  <w:style w:type="character" w:customStyle="1" w:styleId="113">
    <w:name w:val="btn-task-gray"/>
    <w:qFormat/>
    <w:uiPriority w:val="0"/>
  </w:style>
  <w:style w:type="character" w:customStyle="1" w:styleId="114">
    <w:name w:val="中等深浅网格 3 - 强调文字颜色 61"/>
    <w:qFormat/>
    <w:uiPriority w:val="0"/>
    <w:rPr>
      <w:b/>
      <w:bCs/>
      <w:smallCaps/>
      <w:spacing w:val="5"/>
    </w:rPr>
  </w:style>
  <w:style w:type="character" w:customStyle="1" w:styleId="115">
    <w:name w:val="批注主题 Char1"/>
    <w:qFormat/>
    <w:uiPriority w:val="0"/>
    <w:rPr>
      <w:b/>
      <w:bCs/>
      <w:kern w:val="2"/>
      <w:sz w:val="21"/>
      <w:szCs w:val="22"/>
    </w:rPr>
  </w:style>
  <w:style w:type="character" w:customStyle="1" w:styleId="116">
    <w:name w:val="Hyperlink.5"/>
    <w:qFormat/>
    <w:uiPriority w:val="0"/>
    <w:rPr>
      <w:rFonts w:ascii="苹方 常规" w:hAnsi="苹方 常规" w:eastAsia="苹方 常规" w:cs="苹方 常规"/>
      <w:shd w:val="clear" w:color="auto" w:fill="auto"/>
      <w:lang w:val="ja-JP" w:eastAsia="ja-JP"/>
    </w:rPr>
  </w:style>
  <w:style w:type="character" w:customStyle="1" w:styleId="117">
    <w:name w:val="引用 Char2"/>
    <w:qFormat/>
    <w:uiPriority w:val="0"/>
    <w:rPr>
      <w:i/>
      <w:iCs/>
      <w:color w:val="000000"/>
      <w:kern w:val="2"/>
      <w:sz w:val="21"/>
      <w:szCs w:val="24"/>
    </w:rPr>
  </w:style>
  <w:style w:type="character" w:customStyle="1" w:styleId="118">
    <w:name w:val="普通文字1 Char1"/>
    <w:qFormat/>
    <w:uiPriority w:val="0"/>
    <w:rPr>
      <w:rFonts w:ascii="宋体" w:hAnsi="Courier New" w:eastAsia="宋体"/>
      <w:kern w:val="11"/>
      <w:sz w:val="21"/>
      <w:lang w:val="en-US" w:eastAsia="zh-CN" w:bidi="ar-SA"/>
    </w:rPr>
  </w:style>
  <w:style w:type="character" w:customStyle="1" w:styleId="119">
    <w:name w:val="Char Char33"/>
    <w:qFormat/>
    <w:uiPriority w:val="0"/>
    <w:rPr>
      <w:rFonts w:eastAsia="宋体"/>
      <w:b/>
      <w:bCs/>
      <w:kern w:val="44"/>
      <w:sz w:val="32"/>
      <w:szCs w:val="44"/>
      <w:lang w:val="en-US" w:eastAsia="zh-CN" w:bidi="ar-SA"/>
    </w:rPr>
  </w:style>
  <w:style w:type="character" w:customStyle="1" w:styleId="120">
    <w:name w:val="中等深浅网格 1 - 强调文字颜色 61"/>
    <w:qFormat/>
    <w:uiPriority w:val="0"/>
    <w:rPr>
      <w:smallCaps/>
      <w:color w:val="C0504D"/>
      <w:u w:val="single"/>
    </w:rPr>
  </w:style>
  <w:style w:type="character" w:customStyle="1" w:styleId="121">
    <w:name w:val="副标题 Char1"/>
    <w:qFormat/>
    <w:uiPriority w:val="0"/>
    <w:rPr>
      <w:rFonts w:ascii="Cambria" w:hAnsi="Cambria" w:cs="Times New Roman"/>
      <w:b/>
      <w:bCs/>
      <w:kern w:val="28"/>
      <w:sz w:val="32"/>
      <w:szCs w:val="32"/>
    </w:rPr>
  </w:style>
  <w:style w:type="character" w:customStyle="1" w:styleId="122">
    <w:name w:val="textcontents"/>
    <w:qFormat/>
    <w:uiPriority w:val="0"/>
    <w:rPr>
      <w:rFonts w:cs="Times New Roman"/>
    </w:rPr>
  </w:style>
  <w:style w:type="character" w:customStyle="1" w:styleId="123">
    <w:name w:val="hover18"/>
    <w:qFormat/>
    <w:uiPriority w:val="0"/>
  </w:style>
  <w:style w:type="character" w:customStyle="1" w:styleId="124">
    <w:name w:val="btn-auto-1"/>
    <w:qFormat/>
    <w:uiPriority w:val="0"/>
  </w:style>
  <w:style w:type="character" w:customStyle="1" w:styleId="125">
    <w:name w:val="z-窗体顶端 字符"/>
    <w:link w:val="126"/>
    <w:qFormat/>
    <w:uiPriority w:val="0"/>
    <w:rPr>
      <w:rFonts w:ascii="Arial" w:hAnsi="Arial"/>
      <w:vanish/>
      <w:sz w:val="16"/>
      <w:szCs w:val="16"/>
      <w:lang w:bidi="ar-SA"/>
    </w:rPr>
  </w:style>
  <w:style w:type="paragraph" w:customStyle="1" w:styleId="126">
    <w:name w:val="z-窗体顶端1"/>
    <w:basedOn w:val="1"/>
    <w:next w:val="1"/>
    <w:link w:val="125"/>
    <w:qFormat/>
    <w:uiPriority w:val="0"/>
    <w:pPr>
      <w:widowControl/>
      <w:pBdr>
        <w:bottom w:val="single" w:color="auto" w:sz="6" w:space="1"/>
      </w:pBdr>
      <w:jc w:val="center"/>
    </w:pPr>
    <w:rPr>
      <w:rFonts w:ascii="Arial" w:hAnsi="Arial"/>
      <w:vanish/>
      <w:kern w:val="0"/>
      <w:sz w:val="16"/>
      <w:szCs w:val="16"/>
    </w:rPr>
  </w:style>
  <w:style w:type="character" w:customStyle="1" w:styleId="127">
    <w:name w:val="正文文本 Char1"/>
    <w:qFormat/>
    <w:uiPriority w:val="0"/>
    <w:rPr>
      <w:kern w:val="2"/>
      <w:sz w:val="21"/>
      <w:szCs w:val="22"/>
    </w:rPr>
  </w:style>
  <w:style w:type="character" w:customStyle="1" w:styleId="128">
    <w:name w:val="批注主题 Char3"/>
    <w:qFormat/>
    <w:uiPriority w:val="0"/>
    <w:rPr>
      <w:rFonts w:ascii="Arial" w:hAnsi="Arial" w:eastAsia="宋体"/>
      <w:b/>
      <w:bCs/>
      <w:kern w:val="2"/>
      <w:sz w:val="21"/>
      <w:szCs w:val="24"/>
      <w:lang w:val="en-US" w:eastAsia="zh-CN" w:bidi="ar-SA"/>
    </w:rPr>
  </w:style>
  <w:style w:type="character" w:customStyle="1" w:styleId="129">
    <w:name w:val="中等深浅网格 2 - 强调文字颜色 61"/>
    <w:qFormat/>
    <w:uiPriority w:val="0"/>
    <w:rPr>
      <w:b/>
      <w:bCs/>
      <w:smallCaps/>
      <w:color w:val="C0504D"/>
      <w:spacing w:val="5"/>
      <w:u w:val="single"/>
    </w:rPr>
  </w:style>
  <w:style w:type="character" w:customStyle="1" w:styleId="130">
    <w:name w:val="标题 2 Char Char Char Char"/>
    <w:qFormat/>
    <w:uiPriority w:val="0"/>
    <w:rPr>
      <w:rFonts w:ascii="Arial" w:hAnsi="Arial" w:eastAsia="黑体"/>
      <w:b/>
      <w:bCs/>
      <w:kern w:val="2"/>
      <w:sz w:val="32"/>
      <w:szCs w:val="32"/>
      <w:lang w:val="en-US" w:eastAsia="zh-CN" w:bidi="ar-SA"/>
    </w:rPr>
  </w:style>
  <w:style w:type="character" w:customStyle="1" w:styleId="131">
    <w:name w:val="页眉 Char"/>
    <w:qFormat/>
    <w:uiPriority w:val="0"/>
    <w:rPr>
      <w:rFonts w:eastAsia="宋体"/>
      <w:kern w:val="2"/>
      <w:sz w:val="18"/>
      <w:szCs w:val="18"/>
      <w:lang w:val="en-US" w:eastAsia="zh-CN" w:bidi="ar-SA"/>
    </w:rPr>
  </w:style>
  <w:style w:type="character" w:customStyle="1" w:styleId="132">
    <w:name w:val="Char Char32"/>
    <w:qFormat/>
    <w:uiPriority w:val="0"/>
    <w:rPr>
      <w:rFonts w:ascii="Arial" w:hAnsi="Arial" w:eastAsia="黑体"/>
      <w:b/>
      <w:bCs/>
      <w:kern w:val="2"/>
      <w:sz w:val="32"/>
      <w:szCs w:val="32"/>
      <w:lang w:val="en-US" w:eastAsia="zh-CN" w:bidi="ar-SA"/>
    </w:rPr>
  </w:style>
  <w:style w:type="character" w:customStyle="1" w:styleId="133">
    <w:name w:val="明显引用 Char1"/>
    <w:qFormat/>
    <w:uiPriority w:val="0"/>
    <w:rPr>
      <w:b/>
      <w:bCs/>
      <w:i/>
      <w:iCs/>
      <w:color w:val="4F81BD"/>
      <w:kern w:val="2"/>
      <w:sz w:val="21"/>
    </w:rPr>
  </w:style>
  <w:style w:type="character" w:customStyle="1" w:styleId="134">
    <w:name w:val="标题 3 Char"/>
    <w:qFormat/>
    <w:uiPriority w:val="0"/>
    <w:rPr>
      <w:rFonts w:eastAsia="宋体"/>
      <w:b/>
      <w:kern w:val="2"/>
      <w:sz w:val="24"/>
      <w:lang w:val="en-US" w:eastAsia="zh-CN" w:bidi="ar-SA"/>
    </w:rPr>
  </w:style>
  <w:style w:type="character" w:customStyle="1" w:styleId="135">
    <w:name w:val="标题5 Char Char"/>
    <w:link w:val="136"/>
    <w:qFormat/>
    <w:uiPriority w:val="0"/>
    <w:rPr>
      <w:rFonts w:ascii="Arial" w:hAnsi="Arial"/>
      <w:b/>
      <w:bCs/>
      <w:sz w:val="24"/>
      <w:szCs w:val="32"/>
      <w:lang w:bidi="ar-SA"/>
    </w:rPr>
  </w:style>
  <w:style w:type="paragraph" w:customStyle="1" w:styleId="136">
    <w:name w:val="标题5"/>
    <w:basedOn w:val="5"/>
    <w:link w:val="135"/>
    <w:qFormat/>
    <w:uiPriority w:val="0"/>
    <w:pPr>
      <w:spacing w:line="413" w:lineRule="auto"/>
    </w:pPr>
    <w:rPr>
      <w:rFonts w:ascii="Arial" w:hAnsi="Arial"/>
      <w:kern w:val="0"/>
      <w:sz w:val="24"/>
    </w:rPr>
  </w:style>
  <w:style w:type="character" w:customStyle="1" w:styleId="137">
    <w:name w:val="z-窗体顶端 Char1"/>
    <w:link w:val="138"/>
    <w:qFormat/>
    <w:locked/>
    <w:uiPriority w:val="0"/>
    <w:rPr>
      <w:rFonts w:ascii="Arial" w:hAnsi="Arial" w:eastAsia="宋体"/>
      <w:vanish/>
      <w:kern w:val="2"/>
      <w:sz w:val="16"/>
      <w:szCs w:val="16"/>
      <w:lang w:val="en-US" w:eastAsia="zh-CN" w:bidi="ar-SA"/>
    </w:rPr>
  </w:style>
  <w:style w:type="paragraph" w:customStyle="1" w:styleId="138">
    <w:name w:val="z-窗体顶端2"/>
    <w:basedOn w:val="1"/>
    <w:next w:val="1"/>
    <w:link w:val="137"/>
    <w:qFormat/>
    <w:uiPriority w:val="0"/>
    <w:pPr>
      <w:widowControl/>
      <w:pBdr>
        <w:bottom w:val="single" w:color="auto" w:sz="6" w:space="1"/>
      </w:pBdr>
      <w:jc w:val="center"/>
    </w:pPr>
    <w:rPr>
      <w:rFonts w:ascii="Arial" w:hAnsi="Arial"/>
      <w:vanish/>
      <w:sz w:val="16"/>
      <w:szCs w:val="16"/>
    </w:rPr>
  </w:style>
  <w:style w:type="character" w:customStyle="1" w:styleId="139">
    <w:name w:val="layui-layer-tabnow"/>
    <w:qFormat/>
    <w:uiPriority w:val="0"/>
    <w:rPr>
      <w:bdr w:val="single" w:color="CCCCCC" w:sz="6" w:space="0"/>
      <w:shd w:val="clear" w:color="auto" w:fill="FFFFFF"/>
    </w:rPr>
  </w:style>
  <w:style w:type="character" w:customStyle="1" w:styleId="140">
    <w:name w:val="nth-child(3)"/>
    <w:qFormat/>
    <w:uiPriority w:val="0"/>
  </w:style>
  <w:style w:type="character" w:customStyle="1" w:styleId="141">
    <w:name w:val="Char Char16"/>
    <w:qFormat/>
    <w:uiPriority w:val="0"/>
    <w:rPr>
      <w:rFonts w:ascii="Arial" w:hAnsi="Arial" w:eastAsia="黑体"/>
      <w:b/>
      <w:bCs/>
      <w:kern w:val="2"/>
      <w:sz w:val="32"/>
      <w:szCs w:val="32"/>
      <w:lang w:val="en-US" w:eastAsia="zh-CN" w:bidi="ar-SA"/>
    </w:rPr>
  </w:style>
  <w:style w:type="character" w:customStyle="1" w:styleId="142">
    <w:name w:val="Date Char"/>
    <w:qFormat/>
    <w:locked/>
    <w:uiPriority w:val="0"/>
    <w:rPr>
      <w:sz w:val="28"/>
    </w:rPr>
  </w:style>
  <w:style w:type="character" w:customStyle="1" w:styleId="143">
    <w:name w:val="mini-outputtext1"/>
    <w:qFormat/>
    <w:uiPriority w:val="0"/>
  </w:style>
  <w:style w:type="character" w:customStyle="1" w:styleId="144">
    <w:name w:val="批注文字 Char"/>
    <w:qFormat/>
    <w:uiPriority w:val="0"/>
    <w:rPr>
      <w:kern w:val="2"/>
      <w:sz w:val="21"/>
      <w:szCs w:val="24"/>
      <w:lang w:bidi="ar-SA"/>
    </w:rPr>
  </w:style>
  <w:style w:type="character" w:customStyle="1" w:styleId="145">
    <w:name w:val="Char Char29"/>
    <w:qFormat/>
    <w:uiPriority w:val="0"/>
    <w:rPr>
      <w:rFonts w:ascii="Calibri" w:hAnsi="Calibri" w:eastAsia="宋体"/>
      <w:b/>
      <w:kern w:val="2"/>
      <w:sz w:val="28"/>
      <w:szCs w:val="20"/>
      <w:lang w:val="en-US" w:eastAsia="zh-CN" w:bidi="ar-SA"/>
    </w:rPr>
  </w:style>
  <w:style w:type="character" w:customStyle="1" w:styleId="146">
    <w:name w:val="批注主题 Char"/>
    <w:qFormat/>
    <w:uiPriority w:val="0"/>
    <w:rPr>
      <w:b/>
      <w:bCs/>
      <w:kern w:val="2"/>
      <w:sz w:val="21"/>
      <w:szCs w:val="24"/>
      <w:lang w:bidi="ar-SA"/>
    </w:rPr>
  </w:style>
  <w:style w:type="character" w:customStyle="1" w:styleId="147">
    <w:name w:val="style1"/>
    <w:qFormat/>
    <w:uiPriority w:val="0"/>
    <w:rPr>
      <w:szCs w:val="20"/>
    </w:rPr>
  </w:style>
  <w:style w:type="character" w:customStyle="1" w:styleId="148">
    <w:name w:val="Char Char30"/>
    <w:qFormat/>
    <w:uiPriority w:val="0"/>
    <w:rPr>
      <w:rFonts w:ascii="Arial" w:hAnsi="Arial" w:eastAsia="宋体"/>
      <w:b/>
      <w:bCs/>
      <w:kern w:val="2"/>
      <w:sz w:val="21"/>
      <w:szCs w:val="28"/>
      <w:lang w:val="en-US" w:eastAsia="zh-CN" w:bidi="ar-SA"/>
    </w:rPr>
  </w:style>
  <w:style w:type="character" w:customStyle="1" w:styleId="149">
    <w:name w:val="p21"/>
    <w:qFormat/>
    <w:uiPriority w:val="0"/>
    <w:rPr>
      <w:color w:val="000000"/>
      <w:sz w:val="24"/>
      <w:szCs w:val="24"/>
    </w:rPr>
  </w:style>
  <w:style w:type="character" w:customStyle="1" w:styleId="150">
    <w:name w:val="hover1"/>
    <w:qFormat/>
    <w:uiPriority w:val="0"/>
    <w:rPr>
      <w:color w:val="2590EB"/>
    </w:rPr>
  </w:style>
  <w:style w:type="character" w:customStyle="1" w:styleId="151">
    <w:name w:val="引用 Char1"/>
    <w:qFormat/>
    <w:uiPriority w:val="0"/>
    <w:rPr>
      <w:i/>
      <w:iCs/>
      <w:color w:val="000000"/>
      <w:kern w:val="2"/>
      <w:sz w:val="21"/>
    </w:rPr>
  </w:style>
  <w:style w:type="character" w:customStyle="1" w:styleId="152">
    <w:name w:val="Char Char8"/>
    <w:qFormat/>
    <w:uiPriority w:val="0"/>
    <w:rPr>
      <w:rFonts w:eastAsia="宋体"/>
      <w:kern w:val="2"/>
      <w:sz w:val="21"/>
      <w:lang w:val="en-US" w:eastAsia="zh-CN" w:bidi="ar-SA"/>
    </w:rPr>
  </w:style>
  <w:style w:type="character" w:customStyle="1" w:styleId="153">
    <w:name w:val="item-name1"/>
    <w:qFormat/>
    <w:uiPriority w:val="0"/>
  </w:style>
  <w:style w:type="character" w:customStyle="1" w:styleId="154">
    <w:name w:val="引用 Char3"/>
    <w:qFormat/>
    <w:uiPriority w:val="0"/>
    <w:rPr>
      <w:i/>
      <w:color w:val="000000"/>
      <w:kern w:val="2"/>
      <w:sz w:val="21"/>
      <w:lang w:bidi="ar-SA"/>
    </w:rPr>
  </w:style>
  <w:style w:type="character" w:customStyle="1" w:styleId="155">
    <w:name w:val="first-child"/>
    <w:qFormat/>
    <w:uiPriority w:val="0"/>
  </w:style>
  <w:style w:type="character" w:customStyle="1" w:styleId="156">
    <w:name w:val="标题 4 Char"/>
    <w:qFormat/>
    <w:uiPriority w:val="0"/>
    <w:rPr>
      <w:rFonts w:ascii="Arial" w:hAnsi="Arial" w:eastAsia="宋体"/>
      <w:b/>
      <w:kern w:val="2"/>
      <w:sz w:val="21"/>
      <w:lang w:val="en-US" w:eastAsia="zh-CN" w:bidi="ar-SA"/>
    </w:rPr>
  </w:style>
  <w:style w:type="character" w:customStyle="1" w:styleId="157">
    <w:name w:val="明显引用 Char2"/>
    <w:qFormat/>
    <w:uiPriority w:val="0"/>
    <w:rPr>
      <w:b/>
      <w:bCs/>
      <w:i/>
      <w:iCs/>
      <w:color w:val="4F81BD"/>
      <w:kern w:val="2"/>
      <w:sz w:val="21"/>
      <w:szCs w:val="24"/>
    </w:rPr>
  </w:style>
  <w:style w:type="character" w:customStyle="1" w:styleId="158">
    <w:name w:val="正文文本 Char3"/>
    <w:qFormat/>
    <w:uiPriority w:val="0"/>
    <w:rPr>
      <w:kern w:val="2"/>
      <w:sz w:val="21"/>
      <w:szCs w:val="24"/>
    </w:rPr>
  </w:style>
  <w:style w:type="character" w:customStyle="1" w:styleId="159">
    <w:name w:val="Hyperlink.3"/>
    <w:qFormat/>
    <w:uiPriority w:val="0"/>
    <w:rPr>
      <w:rFonts w:ascii="苹方 常规" w:hAnsi="苹方 常规" w:eastAsia="苹方 常规" w:cs="苹方 常规"/>
      <w:shd w:val="clear" w:color="auto" w:fill="auto"/>
      <w:lang w:val="en-US"/>
    </w:rPr>
  </w:style>
  <w:style w:type="character" w:customStyle="1" w:styleId="160">
    <w:name w:val="pubdate-month"/>
    <w:qFormat/>
    <w:uiPriority w:val="0"/>
    <w:rPr>
      <w:color w:val="FFFFFF"/>
      <w:sz w:val="21"/>
      <w:szCs w:val="21"/>
      <w:shd w:val="clear" w:color="auto" w:fill="607697"/>
    </w:rPr>
  </w:style>
  <w:style w:type="character" w:customStyle="1" w:styleId="161">
    <w:name w:val="无"/>
    <w:qFormat/>
    <w:uiPriority w:val="0"/>
  </w:style>
  <w:style w:type="character" w:customStyle="1" w:styleId="162">
    <w:name w:val="s1"/>
    <w:qFormat/>
    <w:uiPriority w:val="0"/>
    <w:rPr>
      <w:color w:val="DDDDDD"/>
      <w:sz w:val="18"/>
      <w:szCs w:val="18"/>
    </w:rPr>
  </w:style>
  <w:style w:type="character" w:customStyle="1" w:styleId="163">
    <w:name w:val="Hyperlink.4"/>
    <w:qFormat/>
    <w:uiPriority w:val="0"/>
    <w:rPr>
      <w:rFonts w:ascii="苹方 常规" w:hAnsi="苹方 常规" w:eastAsia="苹方 常规" w:cs="苹方 常规"/>
      <w:shd w:val="clear" w:color="auto" w:fill="auto"/>
      <w:lang w:val="zh-TW" w:eastAsia="zh-TW"/>
    </w:rPr>
  </w:style>
  <w:style w:type="character" w:customStyle="1" w:styleId="164">
    <w:name w:val="纯文本 Char"/>
    <w:qFormat/>
    <w:uiPriority w:val="0"/>
    <w:rPr>
      <w:rFonts w:ascii="宋体" w:hAnsi="Courier New" w:eastAsia="宋体" w:cs="Courier New"/>
      <w:kern w:val="2"/>
      <w:sz w:val="21"/>
      <w:szCs w:val="21"/>
      <w:lang w:val="en-US" w:eastAsia="zh-CN" w:bidi="ar-SA"/>
    </w:rPr>
  </w:style>
  <w:style w:type="character" w:customStyle="1" w:styleId="165">
    <w:name w:val="标题 2 Char"/>
    <w:qFormat/>
    <w:uiPriority w:val="0"/>
    <w:rPr>
      <w:rFonts w:ascii="Arial" w:hAnsi="Arial" w:eastAsia="黑体"/>
      <w:b/>
      <w:kern w:val="2"/>
      <w:sz w:val="32"/>
      <w:lang w:val="en-US" w:eastAsia="zh-CN" w:bidi="ar-SA"/>
    </w:rPr>
  </w:style>
  <w:style w:type="character" w:customStyle="1" w:styleId="166">
    <w:name w:val="样式 标书正文 + 下划线 Char"/>
    <w:qFormat/>
    <w:uiPriority w:val="0"/>
    <w:rPr>
      <w:rFonts w:eastAsia="楷体_GB2312"/>
      <w:kern w:val="2"/>
      <w:sz w:val="28"/>
      <w:u w:val="single"/>
      <w:lang w:val="en-US" w:eastAsia="zh-CN"/>
    </w:rPr>
  </w:style>
  <w:style w:type="character" w:customStyle="1" w:styleId="167">
    <w:name w:val="批注框文本 Char1"/>
    <w:qFormat/>
    <w:uiPriority w:val="0"/>
    <w:rPr>
      <w:kern w:val="2"/>
      <w:sz w:val="18"/>
      <w:szCs w:val="18"/>
    </w:rPr>
  </w:style>
  <w:style w:type="character" w:customStyle="1" w:styleId="168">
    <w:name w:val="批注文字 Char Char"/>
    <w:qFormat/>
    <w:uiPriority w:val="0"/>
    <w:rPr>
      <w:rFonts w:ascii="宋体" w:hAnsi="Times New Roman" w:eastAsia="宋体" w:cs="Times New Roman"/>
      <w:sz w:val="28"/>
      <w:szCs w:val="20"/>
    </w:rPr>
  </w:style>
  <w:style w:type="character" w:customStyle="1" w:styleId="169">
    <w:name w:val="hover4"/>
    <w:qFormat/>
    <w:uiPriority w:val="0"/>
    <w:rPr>
      <w:color w:val="2590EB"/>
      <w:shd w:val="clear" w:color="auto" w:fill="E9F4FD"/>
    </w:rPr>
  </w:style>
  <w:style w:type="character" w:customStyle="1" w:styleId="170">
    <w:name w:val="标题 1 Char"/>
    <w:qFormat/>
    <w:uiPriority w:val="0"/>
    <w:rPr>
      <w:rFonts w:ascii="宋体" w:eastAsia="宋体"/>
      <w:b/>
      <w:kern w:val="44"/>
      <w:sz w:val="32"/>
      <w:lang w:val="en-US" w:eastAsia="zh-CN" w:bidi="ar-SA"/>
    </w:rPr>
  </w:style>
  <w:style w:type="character" w:customStyle="1" w:styleId="171">
    <w:name w:val="明显引用 Char3"/>
    <w:qFormat/>
    <w:uiPriority w:val="0"/>
    <w:rPr>
      <w:b/>
      <w:i/>
      <w:color w:val="4F81BD"/>
      <w:kern w:val="2"/>
      <w:sz w:val="21"/>
      <w:lang w:bidi="ar-SA"/>
    </w:rPr>
  </w:style>
  <w:style w:type="character" w:customStyle="1" w:styleId="172">
    <w:name w:val="日期 Char1"/>
    <w:qFormat/>
    <w:uiPriority w:val="0"/>
    <w:rPr>
      <w:kern w:val="2"/>
      <w:sz w:val="21"/>
      <w:szCs w:val="22"/>
    </w:rPr>
  </w:style>
  <w:style w:type="character" w:customStyle="1" w:styleId="173">
    <w:name w:val="批注文字 Char1"/>
    <w:qFormat/>
    <w:uiPriority w:val="0"/>
    <w:rPr>
      <w:kern w:val="2"/>
      <w:sz w:val="21"/>
      <w:szCs w:val="24"/>
    </w:rPr>
  </w:style>
  <w:style w:type="character" w:customStyle="1" w:styleId="174">
    <w:name w:val="item-name"/>
    <w:qFormat/>
    <w:uiPriority w:val="0"/>
  </w:style>
  <w:style w:type="character" w:customStyle="1" w:styleId="175">
    <w:name w:val="Blockquote Char Char"/>
    <w:link w:val="176"/>
    <w:qFormat/>
    <w:uiPriority w:val="0"/>
    <w:rPr>
      <w:rFonts w:eastAsia="宋体"/>
      <w:sz w:val="24"/>
      <w:lang w:val="en-US" w:eastAsia="zh-CN" w:bidi="ar-SA"/>
    </w:rPr>
  </w:style>
  <w:style w:type="paragraph" w:customStyle="1" w:styleId="176">
    <w:name w:val="Blockquote"/>
    <w:basedOn w:val="1"/>
    <w:link w:val="175"/>
    <w:qFormat/>
    <w:uiPriority w:val="0"/>
    <w:pPr>
      <w:autoSpaceDE w:val="0"/>
      <w:autoSpaceDN w:val="0"/>
      <w:adjustRightInd w:val="0"/>
      <w:spacing w:before="100" w:after="100"/>
      <w:ind w:left="360" w:right="360"/>
      <w:jc w:val="left"/>
    </w:pPr>
    <w:rPr>
      <w:kern w:val="0"/>
      <w:sz w:val="24"/>
      <w:szCs w:val="20"/>
    </w:rPr>
  </w:style>
  <w:style w:type="character" w:customStyle="1" w:styleId="177">
    <w:name w:val="NormalCharacter"/>
    <w:semiHidden/>
    <w:qFormat/>
    <w:uiPriority w:val="0"/>
  </w:style>
  <w:style w:type="character" w:customStyle="1" w:styleId="178">
    <w:name w:val="Char Char22"/>
    <w:qFormat/>
    <w:uiPriority w:val="0"/>
    <w:rPr>
      <w:rFonts w:eastAsia="宋体"/>
      <w:kern w:val="2"/>
      <w:sz w:val="18"/>
      <w:szCs w:val="18"/>
      <w:lang w:val="en-US" w:eastAsia="zh-CN" w:bidi="ar-SA"/>
    </w:rPr>
  </w:style>
  <w:style w:type="character" w:customStyle="1" w:styleId="179">
    <w:name w:val="nth-child(2)"/>
    <w:qFormat/>
    <w:uiPriority w:val="0"/>
  </w:style>
  <w:style w:type="character" w:customStyle="1" w:styleId="180">
    <w:name w:val="font161"/>
    <w:qFormat/>
    <w:uiPriority w:val="0"/>
    <w:rPr>
      <w:b/>
      <w:sz w:val="32"/>
    </w:rPr>
  </w:style>
  <w:style w:type="character" w:customStyle="1" w:styleId="181">
    <w:name w:val="设计-二级标题 Char Char"/>
    <w:link w:val="182"/>
    <w:qFormat/>
    <w:uiPriority w:val="0"/>
    <w:rPr>
      <w:rFonts w:eastAsia="黑体"/>
      <w:sz w:val="28"/>
      <w:szCs w:val="24"/>
      <w:lang w:bidi="ar-SA"/>
    </w:rPr>
  </w:style>
  <w:style w:type="paragraph" w:customStyle="1" w:styleId="182">
    <w:name w:val="设计-二级标题"/>
    <w:basedOn w:val="1"/>
    <w:next w:val="1"/>
    <w:link w:val="181"/>
    <w:qFormat/>
    <w:uiPriority w:val="0"/>
    <w:pPr>
      <w:spacing w:line="360" w:lineRule="auto"/>
      <w:outlineLvl w:val="1"/>
    </w:pPr>
    <w:rPr>
      <w:rFonts w:eastAsia="黑体"/>
      <w:kern w:val="0"/>
      <w:sz w:val="28"/>
    </w:rPr>
  </w:style>
  <w:style w:type="character" w:customStyle="1" w:styleId="183">
    <w:name w:val="hover"/>
    <w:qFormat/>
    <w:uiPriority w:val="0"/>
    <w:rPr>
      <w:color w:val="2590EB"/>
    </w:rPr>
  </w:style>
  <w:style w:type="character" w:customStyle="1" w:styleId="184">
    <w:name w:val="彩色网格字符"/>
    <w:link w:val="185"/>
    <w:qFormat/>
    <w:uiPriority w:val="0"/>
    <w:rPr>
      <w:i/>
      <w:iCs/>
      <w:color w:val="000000"/>
      <w:kern w:val="2"/>
      <w:sz w:val="21"/>
      <w:szCs w:val="22"/>
      <w:lang w:bidi="ar-SA"/>
    </w:rPr>
  </w:style>
  <w:style w:type="paragraph" w:customStyle="1" w:styleId="185">
    <w:name w:val="彩色网格1"/>
    <w:basedOn w:val="1"/>
    <w:next w:val="1"/>
    <w:link w:val="184"/>
    <w:qFormat/>
    <w:uiPriority w:val="0"/>
    <w:rPr>
      <w:i/>
      <w:iCs/>
      <w:color w:val="000000"/>
      <w:szCs w:val="22"/>
    </w:rPr>
  </w:style>
  <w:style w:type="character" w:customStyle="1" w:styleId="186">
    <w:name w:val="正文文本 Char"/>
    <w:qFormat/>
    <w:uiPriority w:val="0"/>
    <w:rPr>
      <w:rFonts w:ascii="宋体" w:hAnsi="宋体"/>
      <w:kern w:val="2"/>
      <w:sz w:val="24"/>
      <w:szCs w:val="24"/>
      <w:lang w:bidi="ar-SA"/>
    </w:rPr>
  </w:style>
  <w:style w:type="character" w:customStyle="1" w:styleId="187">
    <w:name w:val="批注文字 Char Char Char"/>
    <w:qFormat/>
    <w:uiPriority w:val="0"/>
    <w:rPr>
      <w:kern w:val="2"/>
      <w:sz w:val="21"/>
    </w:rPr>
  </w:style>
  <w:style w:type="character" w:customStyle="1" w:styleId="188">
    <w:name w:val="(F4) Char Char"/>
    <w:qFormat/>
    <w:uiPriority w:val="0"/>
    <w:rPr>
      <w:rFonts w:eastAsia="宋体"/>
      <w:b/>
      <w:bCs/>
      <w:kern w:val="2"/>
      <w:sz w:val="24"/>
      <w:szCs w:val="32"/>
      <w:lang w:val="en-US" w:eastAsia="zh-CN" w:bidi="ar-SA"/>
    </w:rPr>
  </w:style>
  <w:style w:type="character" w:customStyle="1" w:styleId="189">
    <w:name w:val="pubdate-day"/>
    <w:qFormat/>
    <w:uiPriority w:val="0"/>
    <w:rPr>
      <w:color w:val="FFFFFF"/>
      <w:sz w:val="31"/>
      <w:szCs w:val="31"/>
      <w:shd w:val="clear" w:color="auto" w:fill="5B7091"/>
    </w:rPr>
  </w:style>
  <w:style w:type="character" w:customStyle="1" w:styleId="190">
    <w:name w:val="页脚 Char"/>
    <w:qFormat/>
    <w:uiPriority w:val="0"/>
    <w:rPr>
      <w:rFonts w:eastAsia="宋体"/>
      <w:kern w:val="2"/>
      <w:sz w:val="18"/>
      <w:szCs w:val="18"/>
      <w:lang w:val="en-US" w:eastAsia="zh-CN" w:bidi="ar-SA"/>
    </w:rPr>
  </w:style>
  <w:style w:type="character" w:customStyle="1" w:styleId="191">
    <w:name w:val="Char Char1"/>
    <w:qFormat/>
    <w:uiPriority w:val="0"/>
    <w:rPr>
      <w:rFonts w:ascii="宋体" w:hAnsi="Courier New" w:eastAsia="宋体"/>
      <w:kern w:val="2"/>
      <w:sz w:val="21"/>
      <w:lang w:val="en-US" w:eastAsia="zh-CN" w:bidi="ar-SA"/>
    </w:rPr>
  </w:style>
  <w:style w:type="character" w:customStyle="1" w:styleId="192">
    <w:name w:val="列表 2 - 强调文字颜色 6"/>
    <w:unhideWhenUsed/>
    <w:qFormat/>
    <w:uiPriority w:val="99"/>
    <w:rPr>
      <w:color w:val="605E5C"/>
      <w:shd w:val="clear" w:color="auto" w:fill="E1DFDD"/>
    </w:rPr>
  </w:style>
  <w:style w:type="character" w:customStyle="1" w:styleId="193">
    <w:name w:val="hover2"/>
    <w:qFormat/>
    <w:uiPriority w:val="0"/>
  </w:style>
  <w:style w:type="character" w:customStyle="1" w:styleId="194">
    <w:name w:val="Char Char17"/>
    <w:qFormat/>
    <w:uiPriority w:val="0"/>
    <w:rPr>
      <w:rFonts w:ascii="Arial" w:hAnsi="Arial" w:eastAsia="黑体"/>
      <w:b/>
      <w:bCs/>
      <w:kern w:val="2"/>
      <w:sz w:val="32"/>
      <w:szCs w:val="32"/>
      <w:lang w:val="en-US" w:eastAsia="zh-CN" w:bidi="ar-SA"/>
    </w:rPr>
  </w:style>
  <w:style w:type="character" w:customStyle="1" w:styleId="195">
    <w:name w:val="批注框文本 Char"/>
    <w:qFormat/>
    <w:uiPriority w:val="0"/>
    <w:rPr>
      <w:kern w:val="2"/>
      <w:sz w:val="18"/>
      <w:szCs w:val="18"/>
      <w:lang w:bidi="ar-SA"/>
    </w:rPr>
  </w:style>
  <w:style w:type="character" w:customStyle="1" w:styleId="196">
    <w:name w:val="Hyperlink.1"/>
    <w:qFormat/>
    <w:uiPriority w:val="0"/>
    <w:rPr>
      <w:lang w:val="en-US"/>
    </w:rPr>
  </w:style>
  <w:style w:type="character" w:customStyle="1" w:styleId="197">
    <w:name w:val="标题4 Char Char"/>
    <w:link w:val="198"/>
    <w:qFormat/>
    <w:uiPriority w:val="0"/>
    <w:rPr>
      <w:rFonts w:ascii="Arial" w:hAnsi="Arial"/>
      <w:b/>
      <w:bCs/>
      <w:sz w:val="24"/>
      <w:szCs w:val="32"/>
      <w:lang w:bidi="ar-SA"/>
    </w:rPr>
  </w:style>
  <w:style w:type="paragraph" w:customStyle="1" w:styleId="198">
    <w:name w:val="标题4"/>
    <w:basedOn w:val="4"/>
    <w:next w:val="25"/>
    <w:link w:val="197"/>
    <w:qFormat/>
    <w:uiPriority w:val="0"/>
    <w:pPr>
      <w:spacing w:line="413" w:lineRule="auto"/>
    </w:pPr>
    <w:rPr>
      <w:rFonts w:eastAsia="宋体"/>
      <w:kern w:val="0"/>
      <w:sz w:val="24"/>
    </w:rPr>
  </w:style>
  <w:style w:type="character" w:customStyle="1" w:styleId="199">
    <w:name w:val="中等深浅列表 1 - 强调文字颜色 61"/>
    <w:qFormat/>
    <w:uiPriority w:val="0"/>
    <w:rPr>
      <w:i/>
      <w:iCs/>
      <w:color w:val="808080"/>
    </w:rPr>
  </w:style>
  <w:style w:type="character" w:customStyle="1" w:styleId="200">
    <w:name w:val="Char Char3"/>
    <w:qFormat/>
    <w:uiPriority w:val="0"/>
    <w:rPr>
      <w:rFonts w:ascii="宋体" w:hAnsi="Courier New" w:eastAsia="幼圆"/>
      <w:kern w:val="2"/>
      <w:sz w:val="21"/>
    </w:rPr>
  </w:style>
  <w:style w:type="character" w:customStyle="1" w:styleId="201">
    <w:name w:val="btn-task-gray1"/>
    <w:qFormat/>
    <w:uiPriority w:val="0"/>
    <w:rPr>
      <w:color w:val="FFFFFF"/>
      <w:u w:val="none"/>
      <w:shd w:val="clear" w:color="auto" w:fill="CCCCCC"/>
    </w:rPr>
  </w:style>
  <w:style w:type="character" w:customStyle="1" w:styleId="202">
    <w:name w:val="Hyperlink.2"/>
    <w:qFormat/>
    <w:uiPriority w:val="0"/>
    <w:rPr>
      <w:shd w:val="clear" w:color="auto" w:fill="auto"/>
      <w:lang w:val="en-US"/>
    </w:rPr>
  </w:style>
  <w:style w:type="character" w:customStyle="1" w:styleId="203">
    <w:name w:val="Char Char31"/>
    <w:qFormat/>
    <w:uiPriority w:val="0"/>
    <w:rPr>
      <w:rFonts w:eastAsia="宋体"/>
      <w:b/>
      <w:bCs/>
      <w:kern w:val="2"/>
      <w:sz w:val="24"/>
      <w:szCs w:val="32"/>
      <w:lang w:val="en-US" w:eastAsia="zh-CN" w:bidi="ar-SA"/>
    </w:rPr>
  </w:style>
  <w:style w:type="character" w:customStyle="1" w:styleId="204">
    <w:name w:val="日期 Char"/>
    <w:qFormat/>
    <w:uiPriority w:val="0"/>
    <w:rPr>
      <w:rFonts w:ascii="仿宋_GB2312" w:hAnsi="宋体" w:eastAsia="仿宋_GB2312"/>
      <w:color w:val="000000"/>
      <w:kern w:val="2"/>
      <w:sz w:val="24"/>
      <w:szCs w:val="24"/>
      <w:lang w:bidi="ar-SA"/>
    </w:rPr>
  </w:style>
  <w:style w:type="character" w:customStyle="1" w:styleId="205">
    <w:name w:val="hover17"/>
    <w:qFormat/>
    <w:uiPriority w:val="0"/>
  </w:style>
  <w:style w:type="character" w:customStyle="1" w:styleId="206">
    <w:name w:val="hover3"/>
    <w:qFormat/>
    <w:uiPriority w:val="0"/>
    <w:rPr>
      <w:color w:val="2590EB"/>
      <w:shd w:val="clear" w:color="auto" w:fill="E9F4FD"/>
    </w:rPr>
  </w:style>
  <w:style w:type="paragraph" w:customStyle="1" w:styleId="207">
    <w:name w:val="Other|1"/>
    <w:basedOn w:val="1"/>
    <w:qFormat/>
    <w:uiPriority w:val="0"/>
    <w:pPr>
      <w:spacing w:line="444" w:lineRule="auto"/>
      <w:ind w:firstLine="400"/>
    </w:pPr>
    <w:rPr>
      <w:rFonts w:ascii="宋体" w:hAnsi="宋体" w:cs="宋体"/>
      <w:sz w:val="22"/>
      <w:szCs w:val="22"/>
      <w:lang w:val="zh-TW" w:eastAsia="zh-TW" w:bidi="zh-TW"/>
    </w:rPr>
  </w:style>
  <w:style w:type="paragraph" w:customStyle="1" w:styleId="208">
    <w:name w:val="Table Contents"/>
    <w:basedOn w:val="21"/>
    <w:qFormat/>
    <w:uiPriority w:val="0"/>
    <w:pPr>
      <w:suppressLineNumbers/>
      <w:suppressAutoHyphens/>
      <w:jc w:val="left"/>
    </w:pPr>
    <w:rPr>
      <w:rFonts w:eastAsia="PMingLiU"/>
      <w:kern w:val="0"/>
      <w:sz w:val="24"/>
      <w:szCs w:val="24"/>
    </w:rPr>
  </w:style>
  <w:style w:type="paragraph" w:customStyle="1" w:styleId="209">
    <w:name w:val="0- 正文"/>
    <w:basedOn w:val="1"/>
    <w:qFormat/>
    <w:uiPriority w:val="0"/>
    <w:pPr>
      <w:spacing w:line="360" w:lineRule="auto"/>
      <w:ind w:firstLine="482"/>
    </w:pPr>
    <w:rPr>
      <w:rFonts w:ascii="仿宋_GB2312" w:eastAsia="仿宋_GB2312"/>
      <w:kern w:val="0"/>
      <w:sz w:val="24"/>
      <w:szCs w:val="20"/>
    </w:rPr>
  </w:style>
  <w:style w:type="paragraph" w:customStyle="1" w:styleId="210">
    <w:name w:val="eng"/>
    <w:basedOn w:val="1"/>
    <w:qFormat/>
    <w:uiPriority w:val="0"/>
    <w:pPr>
      <w:widowControl/>
      <w:spacing w:before="100" w:beforeAutospacing="1" w:after="100" w:afterAutospacing="1"/>
      <w:jc w:val="left"/>
    </w:pPr>
    <w:rPr>
      <w:rFonts w:ascii="Verdana" w:hAnsi="Verdana"/>
      <w:color w:val="FFFFFF"/>
      <w:kern w:val="0"/>
      <w:sz w:val="18"/>
      <w:szCs w:val="20"/>
    </w:rPr>
  </w:style>
  <w:style w:type="paragraph" w:customStyle="1" w:styleId="211">
    <w:name w:val="xl87"/>
    <w:basedOn w:val="1"/>
    <w:next w:val="212"/>
    <w:qFormat/>
    <w:uiPriority w:val="0"/>
    <w:pPr>
      <w:widowControl/>
      <w:shd w:val="clear" w:color="FFFFFF" w:fill="FFFFFF"/>
      <w:spacing w:before="280" w:after="280"/>
      <w:jc w:val="right"/>
    </w:pPr>
    <w:rPr>
      <w:rFonts w:ascii="宋体" w:hAnsi="Calibri"/>
      <w:kern w:val="0"/>
      <w:sz w:val="24"/>
    </w:rPr>
  </w:style>
  <w:style w:type="paragraph" w:customStyle="1" w:styleId="212">
    <w:name w:val="xl72"/>
    <w:basedOn w:val="1"/>
    <w:next w:val="30"/>
    <w:qFormat/>
    <w:uiPriority w:val="0"/>
    <w:pPr>
      <w:widowControl/>
      <w:shd w:val="clear" w:color="FFFFFF" w:fill="FFFFFF"/>
      <w:spacing w:before="280" w:after="280"/>
      <w:jc w:val="right"/>
    </w:pPr>
    <w:rPr>
      <w:rFonts w:ascii="宋体" w:hAnsi="Calibri"/>
      <w:kern w:val="0"/>
      <w:sz w:val="24"/>
    </w:rPr>
  </w:style>
  <w:style w:type="paragraph" w:customStyle="1" w:styleId="213">
    <w:name w:val="Char1 Char Char Char Char Char Char"/>
    <w:basedOn w:val="1"/>
    <w:qFormat/>
    <w:uiPriority w:val="0"/>
    <w:rPr>
      <w:rFonts w:ascii="Tahoma" w:hAnsi="Tahoma"/>
      <w:sz w:val="24"/>
      <w:szCs w:val="20"/>
    </w:rPr>
  </w:style>
  <w:style w:type="paragraph" w:customStyle="1" w:styleId="214">
    <w:name w:val="正文 B"/>
    <w:qFormat/>
    <w:uiPriority w:val="0"/>
    <w:rPr>
      <w:rFonts w:hint="eastAsia" w:ascii="Arial Unicode MS" w:hAnsi="Arial Unicode MS" w:eastAsia="Arial Unicode MS" w:cs="Arial Unicode MS"/>
      <w:color w:val="000000"/>
      <w:sz w:val="22"/>
      <w:szCs w:val="22"/>
      <w:u w:color="000000"/>
      <w:lang w:val="zh-TW" w:eastAsia="zh-TW" w:bidi="ar-SA"/>
    </w:rPr>
  </w:style>
  <w:style w:type="paragraph" w:customStyle="1" w:styleId="215">
    <w:name w:val="彩色底纹 - 强调文字颜色 61"/>
    <w:basedOn w:val="3"/>
    <w:next w:val="1"/>
    <w:qFormat/>
    <w:uiPriority w:val="0"/>
    <w:pPr>
      <w:spacing w:line="576" w:lineRule="auto"/>
      <w:outlineLvl w:val="9"/>
    </w:pPr>
    <w:rPr>
      <w:rFonts w:ascii="Calibri" w:hAnsi="Calibri"/>
    </w:rPr>
  </w:style>
  <w:style w:type="paragraph" w:customStyle="1" w:styleId="216">
    <w:name w:val="Char Char Char Char Char Char Char Char Char Char"/>
    <w:basedOn w:val="1"/>
    <w:qFormat/>
    <w:uiPriority w:val="0"/>
    <w:pPr>
      <w:widowControl/>
      <w:spacing w:after="160" w:line="240" w:lineRule="exact"/>
      <w:jc w:val="left"/>
    </w:pPr>
    <w:rPr>
      <w:szCs w:val="20"/>
    </w:rPr>
  </w:style>
  <w:style w:type="paragraph" w:customStyle="1" w:styleId="217">
    <w:name w:val="1 Char"/>
    <w:basedOn w:val="1"/>
    <w:qFormat/>
    <w:uiPriority w:val="0"/>
    <w:rPr>
      <w:rFonts w:ascii="Tahoma" w:hAnsi="Tahoma"/>
      <w:sz w:val="24"/>
      <w:szCs w:val="20"/>
    </w:rPr>
  </w:style>
  <w:style w:type="paragraph" w:customStyle="1" w:styleId="218">
    <w:name w:val="表格文字"/>
    <w:basedOn w:val="1"/>
    <w:qFormat/>
    <w:uiPriority w:val="0"/>
    <w:pPr>
      <w:adjustRightInd w:val="0"/>
      <w:spacing w:line="420" w:lineRule="atLeast"/>
      <w:jc w:val="left"/>
      <w:textAlignment w:val="baseline"/>
    </w:pPr>
    <w:rPr>
      <w:kern w:val="0"/>
      <w:szCs w:val="20"/>
    </w:rPr>
  </w:style>
  <w:style w:type="paragraph" w:customStyle="1" w:styleId="219">
    <w:name w:val="标题3"/>
    <w:basedOn w:val="35"/>
    <w:qFormat/>
    <w:uiPriority w:val="0"/>
    <w:pPr>
      <w:tabs>
        <w:tab w:val="clear" w:pos="8296"/>
      </w:tabs>
      <w:ind w:right="0" w:rightChars="0"/>
      <w:jc w:val="both"/>
    </w:pPr>
    <w:rPr>
      <w:rFonts w:ascii="Tahoma" w:hAnsi="Tahoma" w:eastAsia="黑体"/>
      <w:b/>
      <w:sz w:val="24"/>
    </w:rPr>
  </w:style>
  <w:style w:type="paragraph" w:customStyle="1" w:styleId="220">
    <w:name w:val="xl25"/>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6"/>
      <w:szCs w:val="36"/>
    </w:rPr>
  </w:style>
  <w:style w:type="paragraph" w:customStyle="1" w:styleId="2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22">
    <w:name w:val="1"/>
    <w:basedOn w:val="1"/>
    <w:next w:val="1"/>
    <w:qFormat/>
    <w:uiPriority w:val="0"/>
    <w:rPr>
      <w:szCs w:val="20"/>
    </w:rPr>
  </w:style>
  <w:style w:type="paragraph" w:customStyle="1" w:styleId="223">
    <w:name w:val="Textbaustein"/>
    <w:basedOn w:val="1"/>
    <w:qFormat/>
    <w:uiPriority w:val="0"/>
    <w:pPr>
      <w:widowControl/>
      <w:tabs>
        <w:tab w:val="left" w:pos="1134"/>
        <w:tab w:val="left" w:pos="1701"/>
        <w:tab w:val="left" w:pos="1985"/>
        <w:tab w:val="left" w:pos="2268"/>
        <w:tab w:val="left" w:pos="6804"/>
      </w:tabs>
      <w:jc w:val="left"/>
    </w:pPr>
    <w:rPr>
      <w:rFonts w:ascii="Arial" w:hAnsi="Arial"/>
      <w:kern w:val="0"/>
      <w:sz w:val="22"/>
      <w:szCs w:val="20"/>
      <w:lang w:val="de-DE" w:eastAsia="de-DE"/>
    </w:rPr>
  </w:style>
  <w:style w:type="paragraph" w:customStyle="1" w:styleId="224">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25">
    <w:name w:val="font6"/>
    <w:basedOn w:val="1"/>
    <w:qFormat/>
    <w:uiPriority w:val="0"/>
    <w:pPr>
      <w:widowControl/>
      <w:spacing w:before="100" w:beforeAutospacing="1" w:after="100" w:afterAutospacing="1"/>
      <w:jc w:val="left"/>
    </w:pPr>
    <w:rPr>
      <w:rFonts w:hint="eastAsia" w:ascii="宋体" w:hAnsi="宋体"/>
      <w:b/>
      <w:bCs/>
      <w:kern w:val="0"/>
      <w:sz w:val="36"/>
      <w:szCs w:val="36"/>
    </w:rPr>
  </w:style>
  <w:style w:type="paragraph" w:customStyle="1" w:styleId="226">
    <w:name w:val="样式 Arial 左侧:  2 字符 行距: 固定值 29 磅"/>
    <w:basedOn w:val="1"/>
    <w:qFormat/>
    <w:uiPriority w:val="0"/>
    <w:pPr>
      <w:adjustRightInd w:val="0"/>
      <w:spacing w:line="580" w:lineRule="exact"/>
      <w:textAlignment w:val="baseline"/>
    </w:pPr>
    <w:rPr>
      <w:rFonts w:ascii="Arial" w:hAnsi="Arial"/>
      <w:kern w:val="0"/>
      <w:sz w:val="24"/>
      <w:szCs w:val="20"/>
    </w:rPr>
  </w:style>
  <w:style w:type="paragraph" w:customStyle="1" w:styleId="227">
    <w:name w:val="Default"/>
    <w:basedOn w:val="28"/>
    <w:next w:val="1"/>
    <w:qFormat/>
    <w:uiPriority w:val="0"/>
    <w:pPr>
      <w:autoSpaceDE w:val="0"/>
      <w:autoSpaceDN w:val="0"/>
      <w:adjustRightInd w:val="0"/>
    </w:pPr>
    <w:rPr>
      <w:color w:val="000000"/>
      <w:sz w:val="24"/>
    </w:rPr>
  </w:style>
  <w:style w:type="paragraph" w:customStyle="1" w:styleId="228">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szCs w:val="20"/>
    </w:rPr>
  </w:style>
  <w:style w:type="paragraph" w:customStyle="1" w:styleId="229">
    <w:name w:val="Body Text First Indent1"/>
    <w:basedOn w:val="21"/>
    <w:qFormat/>
    <w:uiPriority w:val="99"/>
    <w:pPr>
      <w:ind w:firstLine="420"/>
    </w:pPr>
    <w:rPr>
      <w:sz w:val="32"/>
    </w:rPr>
  </w:style>
  <w:style w:type="paragraph" w:customStyle="1" w:styleId="230">
    <w:name w:val="表格"/>
    <w:basedOn w:val="1"/>
    <w:qFormat/>
    <w:uiPriority w:val="0"/>
    <w:pPr>
      <w:jc w:val="center"/>
      <w:textAlignment w:val="center"/>
    </w:pPr>
    <w:rPr>
      <w:rFonts w:ascii="华文细黑" w:hAnsi="华文细黑"/>
      <w:kern w:val="0"/>
      <w:szCs w:val="20"/>
    </w:rPr>
  </w:style>
  <w:style w:type="paragraph" w:customStyle="1" w:styleId="231">
    <w:name w:val="样式 小四"/>
    <w:basedOn w:val="1"/>
    <w:qFormat/>
    <w:uiPriority w:val="0"/>
    <w:pPr>
      <w:ind w:firstLine="480" w:firstLineChars="200"/>
    </w:pPr>
    <w:rPr>
      <w:sz w:val="24"/>
      <w:szCs w:val="20"/>
    </w:rPr>
  </w:style>
  <w:style w:type="paragraph" w:customStyle="1" w:styleId="232">
    <w:name w:val="Char Char Char Char"/>
    <w:basedOn w:val="1"/>
    <w:qFormat/>
    <w:uiPriority w:val="0"/>
    <w:rPr>
      <w:rFonts w:ascii="Tahoma" w:hAnsi="Tahoma"/>
      <w:sz w:val="24"/>
      <w:szCs w:val="20"/>
    </w:rPr>
  </w:style>
  <w:style w:type="paragraph" w:customStyle="1" w:styleId="233">
    <w:name w:val="Char1 Char Char Char"/>
    <w:basedOn w:val="1"/>
    <w:qFormat/>
    <w:uiPriority w:val="0"/>
    <w:rPr>
      <w:szCs w:val="20"/>
    </w:rPr>
  </w:style>
  <w:style w:type="paragraph" w:customStyle="1" w:styleId="234">
    <w:name w:val="lift"/>
    <w:basedOn w:val="1"/>
    <w:qFormat/>
    <w:uiPriority w:val="0"/>
    <w:pPr>
      <w:widowControl/>
      <w:spacing w:before="100" w:beforeAutospacing="1" w:after="100" w:afterAutospacing="1"/>
      <w:jc w:val="left"/>
    </w:pPr>
    <w:rPr>
      <w:rFonts w:ascii="ˎ̥" w:hAnsi="ˎ̥"/>
      <w:color w:val="000099"/>
      <w:kern w:val="0"/>
      <w:sz w:val="9"/>
      <w:szCs w:val="20"/>
    </w:rPr>
  </w:style>
  <w:style w:type="paragraph" w:customStyle="1" w:styleId="235">
    <w:name w:val="r_title"/>
    <w:basedOn w:val="1"/>
    <w:qFormat/>
    <w:uiPriority w:val="0"/>
    <w:pPr>
      <w:widowControl/>
      <w:spacing w:before="100" w:beforeAutospacing="1" w:after="100" w:afterAutospacing="1"/>
      <w:jc w:val="left"/>
    </w:pPr>
    <w:rPr>
      <w:rFonts w:ascii="ˎ̥" w:hAnsi="ˎ̥"/>
      <w:color w:val="000000"/>
      <w:kern w:val="0"/>
      <w:sz w:val="18"/>
      <w:szCs w:val="20"/>
    </w:rPr>
  </w:style>
  <w:style w:type="paragraph" w:customStyle="1" w:styleId="23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b w:val="0"/>
      <w:bCs w:val="0"/>
      <w:sz w:val="32"/>
      <w:szCs w:val="20"/>
    </w:rPr>
  </w:style>
  <w:style w:type="paragraph" w:customStyle="1" w:styleId="237">
    <w:name w:val="top"/>
    <w:basedOn w:val="1"/>
    <w:qFormat/>
    <w:uiPriority w:val="0"/>
    <w:pPr>
      <w:widowControl/>
      <w:spacing w:before="100" w:beforeAutospacing="1" w:after="100" w:afterAutospacing="1"/>
      <w:jc w:val="left"/>
    </w:pPr>
    <w:rPr>
      <w:rFonts w:ascii="ˎ̥" w:hAnsi="ˎ̥"/>
      <w:color w:val="FFFFFF"/>
      <w:kern w:val="0"/>
      <w:sz w:val="18"/>
      <w:szCs w:val="20"/>
    </w:rPr>
  </w:style>
  <w:style w:type="paragraph" w:customStyle="1" w:styleId="238">
    <w:name w:val="Char Char Char Char Char Char Char"/>
    <w:basedOn w:val="1"/>
    <w:qFormat/>
    <w:uiPriority w:val="0"/>
  </w:style>
  <w:style w:type="paragraph" w:customStyle="1" w:styleId="239">
    <w:name w:val="信息标题1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240">
    <w:name w:val="标书正文"/>
    <w:basedOn w:val="1"/>
    <w:qFormat/>
    <w:uiPriority w:val="0"/>
    <w:pPr>
      <w:snapToGrid w:val="0"/>
      <w:spacing w:line="360" w:lineRule="auto"/>
      <w:ind w:firstLine="560" w:firstLineChars="200"/>
    </w:pPr>
    <w:rPr>
      <w:rFonts w:ascii="宋体" w:hAnsi="宋体"/>
      <w:color w:val="000000"/>
      <w:sz w:val="24"/>
      <w:szCs w:val="20"/>
    </w:rPr>
  </w:style>
  <w:style w:type="paragraph" w:customStyle="1" w:styleId="241">
    <w:name w:val="样式2"/>
    <w:basedOn w:val="1"/>
    <w:qFormat/>
    <w:uiPriority w:val="0"/>
    <w:pPr>
      <w:ind w:firstLine="540" w:firstLineChars="225"/>
    </w:pPr>
    <w:rPr>
      <w:sz w:val="24"/>
      <w:szCs w:val="20"/>
    </w:rPr>
  </w:style>
  <w:style w:type="paragraph" w:customStyle="1" w:styleId="242">
    <w:name w:val="bottom"/>
    <w:basedOn w:val="1"/>
    <w:qFormat/>
    <w:uiPriority w:val="0"/>
    <w:pPr>
      <w:widowControl/>
      <w:spacing w:before="100" w:beforeAutospacing="1" w:after="100" w:afterAutospacing="1"/>
      <w:jc w:val="left"/>
    </w:pPr>
    <w:rPr>
      <w:rFonts w:ascii="ˎ̥" w:hAnsi="ˎ̥"/>
      <w:color w:val="333333"/>
      <w:kern w:val="0"/>
      <w:sz w:val="18"/>
      <w:szCs w:val="20"/>
    </w:rPr>
  </w:style>
  <w:style w:type="paragraph" w:customStyle="1" w:styleId="243">
    <w:name w:val="class"/>
    <w:basedOn w:val="1"/>
    <w:qFormat/>
    <w:uiPriority w:val="0"/>
    <w:pPr>
      <w:widowControl/>
      <w:spacing w:before="100" w:beforeAutospacing="1" w:after="100" w:afterAutospacing="1"/>
      <w:jc w:val="left"/>
    </w:pPr>
    <w:rPr>
      <w:rFonts w:ascii="ˎ̥" w:hAnsi="ˎ̥"/>
      <w:color w:val="000099"/>
      <w:kern w:val="0"/>
      <w:sz w:val="18"/>
      <w:szCs w:val="20"/>
    </w:rPr>
  </w:style>
  <w:style w:type="paragraph" w:customStyle="1" w:styleId="244">
    <w:name w:val="link"/>
    <w:basedOn w:val="1"/>
    <w:qFormat/>
    <w:uiPriority w:val="0"/>
    <w:pPr>
      <w:widowControl/>
      <w:spacing w:before="100" w:beforeAutospacing="1" w:after="100" w:afterAutospacing="1"/>
      <w:jc w:val="left"/>
    </w:pPr>
    <w:rPr>
      <w:rFonts w:ascii="ˎ̥" w:hAnsi="ˎ̥"/>
      <w:color w:val="336699"/>
      <w:kern w:val="0"/>
      <w:sz w:val="18"/>
      <w:szCs w:val="20"/>
    </w:rPr>
  </w:style>
  <w:style w:type="paragraph" w:styleId="24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paragraph" w:customStyle="1" w:styleId="24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49">
    <w:name w:val="Char Char1 Char Char"/>
    <w:basedOn w:val="1"/>
    <w:qFormat/>
    <w:uiPriority w:val="0"/>
    <w:rPr>
      <w:rFonts w:ascii="Tahoma" w:hAnsi="Tahoma"/>
      <w:sz w:val="24"/>
      <w:szCs w:val="20"/>
    </w:rPr>
  </w:style>
  <w:style w:type="paragraph" w:customStyle="1" w:styleId="250">
    <w:name w:val="black"/>
    <w:basedOn w:val="1"/>
    <w:qFormat/>
    <w:uiPriority w:val="0"/>
    <w:pPr>
      <w:widowControl/>
      <w:spacing w:before="100" w:beforeAutospacing="1" w:after="100" w:afterAutospacing="1"/>
      <w:jc w:val="left"/>
    </w:pPr>
    <w:rPr>
      <w:rFonts w:ascii="ˎ̥" w:hAnsi="ˎ̥"/>
      <w:color w:val="000066"/>
      <w:kern w:val="0"/>
      <w:sz w:val="18"/>
      <w:szCs w:val="20"/>
    </w:rPr>
  </w:style>
  <w:style w:type="paragraph" w:customStyle="1" w:styleId="251">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52">
    <w:name w:val="p0"/>
    <w:basedOn w:val="1"/>
    <w:qFormat/>
    <w:uiPriority w:val="0"/>
    <w:pPr>
      <w:widowControl/>
    </w:pPr>
    <w:rPr>
      <w:kern w:val="0"/>
      <w:szCs w:val="21"/>
    </w:rPr>
  </w:style>
  <w:style w:type="paragraph" w:customStyle="1" w:styleId="253">
    <w:name w:val="m_title"/>
    <w:basedOn w:val="1"/>
    <w:qFormat/>
    <w:uiPriority w:val="0"/>
    <w:pPr>
      <w:widowControl/>
      <w:spacing w:before="100" w:beforeAutospacing="1" w:after="100" w:afterAutospacing="1"/>
      <w:jc w:val="left"/>
    </w:pPr>
    <w:rPr>
      <w:rFonts w:ascii="ˎ̥" w:hAnsi="ˎ̥"/>
      <w:color w:val="FFFFFF"/>
      <w:kern w:val="0"/>
      <w:sz w:val="18"/>
      <w:szCs w:val="20"/>
    </w:rPr>
  </w:style>
  <w:style w:type="paragraph" w:customStyle="1" w:styleId="254">
    <w:name w:val="top1"/>
    <w:basedOn w:val="1"/>
    <w:qFormat/>
    <w:uiPriority w:val="0"/>
    <w:pPr>
      <w:widowControl/>
      <w:spacing w:before="100" w:beforeAutospacing="1" w:after="100" w:afterAutospacing="1"/>
      <w:jc w:val="left"/>
    </w:pPr>
    <w:rPr>
      <w:rFonts w:ascii="ˎ̥" w:hAnsi="ˎ̥"/>
      <w:color w:val="000066"/>
      <w:kern w:val="0"/>
      <w:sz w:val="18"/>
      <w:szCs w:val="20"/>
    </w:rPr>
  </w:style>
  <w:style w:type="paragraph" w:customStyle="1" w:styleId="25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6">
    <w:name w:val="Char1"/>
    <w:basedOn w:val="1"/>
    <w:qFormat/>
    <w:uiPriority w:val="0"/>
    <w:pPr>
      <w:widowControl/>
      <w:spacing w:after="160" w:line="240" w:lineRule="exact"/>
      <w:jc w:val="left"/>
    </w:pPr>
  </w:style>
  <w:style w:type="paragraph" w:customStyle="1" w:styleId="257">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xl24"/>
    <w:basedOn w:val="1"/>
    <w:qFormat/>
    <w:uiPriority w:val="0"/>
    <w:pPr>
      <w:widowControl/>
      <w:spacing w:before="100" w:beforeAutospacing="1" w:after="100" w:afterAutospacing="1"/>
      <w:jc w:val="left"/>
      <w:textAlignment w:val="center"/>
    </w:pPr>
    <w:rPr>
      <w:kern w:val="0"/>
      <w:sz w:val="24"/>
    </w:rPr>
  </w:style>
  <w:style w:type="paragraph" w:customStyle="1" w:styleId="25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60">
    <w:name w:val="noline"/>
    <w:basedOn w:val="1"/>
    <w:qFormat/>
    <w:uiPriority w:val="0"/>
    <w:pPr>
      <w:widowControl/>
      <w:spacing w:before="100" w:beforeAutospacing="1" w:after="100" w:afterAutospacing="1"/>
      <w:jc w:val="left"/>
    </w:pPr>
    <w:rPr>
      <w:rFonts w:ascii="ˎ̥" w:hAnsi="ˎ̥"/>
      <w:color w:val="000000"/>
      <w:kern w:val="0"/>
      <w:sz w:val="18"/>
      <w:szCs w:val="20"/>
    </w:rPr>
  </w:style>
  <w:style w:type="paragraph" w:customStyle="1" w:styleId="26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62">
    <w:name w:val="right"/>
    <w:basedOn w:val="1"/>
    <w:qFormat/>
    <w:uiPriority w:val="0"/>
    <w:pPr>
      <w:widowControl/>
      <w:spacing w:before="100" w:beforeAutospacing="1" w:after="100" w:afterAutospacing="1"/>
      <w:jc w:val="left"/>
    </w:pPr>
    <w:rPr>
      <w:rFonts w:ascii="ˎ̥" w:hAnsi="ˎ̥"/>
      <w:color w:val="000099"/>
      <w:kern w:val="0"/>
      <w:sz w:val="18"/>
      <w:szCs w:val="20"/>
    </w:rPr>
  </w:style>
  <w:style w:type="paragraph" w:customStyle="1" w:styleId="263">
    <w:name w:val="Char Char10 Char Char Char Char"/>
    <w:basedOn w:val="1"/>
    <w:next w:val="211"/>
    <w:qFormat/>
    <w:uiPriority w:val="0"/>
    <w:rPr>
      <w:rFonts w:ascii="Calibri" w:hAnsi="Calibri"/>
      <w:kern w:val="0"/>
    </w:rPr>
  </w:style>
  <w:style w:type="paragraph" w:customStyle="1" w:styleId="264">
    <w:name w:val="默认段落字体 Para Char Char Char Char"/>
    <w:basedOn w:val="1"/>
    <w:qFormat/>
    <w:uiPriority w:val="0"/>
    <w:pPr>
      <w:snapToGrid w:val="0"/>
      <w:spacing w:line="360" w:lineRule="auto"/>
      <w:ind w:firstLine="200" w:firstLineChars="200"/>
    </w:pPr>
    <w:rPr>
      <w:rFonts w:ascii="Calibri" w:hAnsi="Calibri"/>
      <w:szCs w:val="20"/>
    </w:rPr>
  </w:style>
  <w:style w:type="paragraph" w:customStyle="1" w:styleId="265">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266">
    <w:name w:val="Char"/>
    <w:basedOn w:val="1"/>
    <w:qFormat/>
    <w:uiPriority w:val="0"/>
    <w:rPr>
      <w:rFonts w:ascii="Tahoma" w:hAnsi="Tahoma"/>
      <w:sz w:val="24"/>
      <w:szCs w:val="20"/>
    </w:rPr>
  </w:style>
  <w:style w:type="paragraph" w:customStyle="1" w:styleId="267">
    <w:name w:val="p15"/>
    <w:basedOn w:val="1"/>
    <w:qFormat/>
    <w:uiPriority w:val="0"/>
    <w:pPr>
      <w:widowControl/>
      <w:snapToGrid w:val="0"/>
      <w:jc w:val="left"/>
    </w:pPr>
    <w:rPr>
      <w:rFonts w:hint="eastAsia" w:ascii="宋体" w:hAnsi="宋体"/>
      <w:color w:val="000000"/>
      <w:sz w:val="24"/>
      <w:szCs w:val="20"/>
    </w:rPr>
  </w:style>
  <w:style w:type="paragraph" w:customStyle="1" w:styleId="268">
    <w:name w:val="p17"/>
    <w:basedOn w:val="1"/>
    <w:qFormat/>
    <w:uiPriority w:val="0"/>
    <w:pPr>
      <w:widowControl/>
      <w:snapToGrid w:val="0"/>
      <w:jc w:val="left"/>
    </w:pPr>
    <w:rPr>
      <w:rFonts w:ascii="宋体" w:hAnsi="宋体"/>
      <w:color w:val="000000"/>
      <w:kern w:val="0"/>
      <w:sz w:val="24"/>
      <w:szCs w:val="20"/>
    </w:rPr>
  </w:style>
  <w:style w:type="paragraph" w:customStyle="1" w:styleId="269">
    <w:name w:val="Char Char19 Char Char"/>
    <w:basedOn w:val="1"/>
    <w:qFormat/>
    <w:uiPriority w:val="0"/>
    <w:rPr>
      <w:rFonts w:ascii="Tahoma" w:hAnsi="Tahoma"/>
      <w:sz w:val="24"/>
      <w:szCs w:val="20"/>
    </w:rPr>
  </w:style>
  <w:style w:type="paragraph" w:customStyle="1" w:styleId="270">
    <w:name w:val="Table Paragraph"/>
    <w:basedOn w:val="1"/>
    <w:qFormat/>
    <w:uiPriority w:val="1"/>
  </w:style>
  <w:style w:type="paragraph" w:customStyle="1" w:styleId="271">
    <w:name w:val="Char Char Char"/>
    <w:basedOn w:val="1"/>
    <w:qFormat/>
    <w:uiPriority w:val="0"/>
    <w:rPr>
      <w:rFonts w:ascii="Tahoma" w:hAnsi="Tahoma"/>
      <w:sz w:val="24"/>
      <w:szCs w:val="20"/>
    </w:rPr>
  </w:style>
  <w:style w:type="paragraph" w:customStyle="1" w:styleId="272">
    <w:name w:val="样式1"/>
    <w:basedOn w:val="1"/>
    <w:qFormat/>
    <w:uiPriority w:val="0"/>
    <w:pPr>
      <w:spacing w:before="120" w:after="120" w:line="300" w:lineRule="auto"/>
    </w:pPr>
    <w:rPr>
      <w:rFonts w:ascii="宋体" w:hAnsi="宋体"/>
      <w:b/>
      <w:sz w:val="24"/>
      <w:szCs w:val="20"/>
    </w:rPr>
  </w:style>
  <w:style w:type="paragraph" w:customStyle="1" w:styleId="273">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4">
    <w:name w:val="lift_top"/>
    <w:basedOn w:val="1"/>
    <w:qFormat/>
    <w:uiPriority w:val="0"/>
    <w:pPr>
      <w:widowControl/>
      <w:spacing w:before="100" w:beforeAutospacing="1" w:after="100" w:afterAutospacing="1"/>
      <w:jc w:val="left"/>
    </w:pPr>
    <w:rPr>
      <w:rFonts w:ascii="ˎ̥" w:hAnsi="ˎ̥"/>
      <w:color w:val="000099"/>
      <w:kern w:val="0"/>
      <w:sz w:val="9"/>
      <w:szCs w:val="20"/>
    </w:rPr>
  </w:style>
  <w:style w:type="paragraph" w:customStyle="1" w:styleId="275">
    <w:name w:val="middle"/>
    <w:basedOn w:val="1"/>
    <w:qFormat/>
    <w:uiPriority w:val="0"/>
    <w:pPr>
      <w:widowControl/>
      <w:spacing w:before="100" w:beforeAutospacing="1" w:after="100" w:afterAutospacing="1"/>
      <w:jc w:val="left"/>
    </w:pPr>
    <w:rPr>
      <w:rFonts w:ascii="ˎ̥" w:hAnsi="ˎ̥"/>
      <w:color w:val="666666"/>
      <w:kern w:val="0"/>
      <w:sz w:val="18"/>
      <w:szCs w:val="20"/>
    </w:rPr>
  </w:style>
  <w:style w:type="paragraph" w:customStyle="1" w:styleId="276">
    <w:name w:val="font7"/>
    <w:basedOn w:val="1"/>
    <w:qFormat/>
    <w:uiPriority w:val="0"/>
    <w:pPr>
      <w:widowControl/>
      <w:spacing w:before="100" w:beforeAutospacing="1" w:after="100" w:afterAutospacing="1"/>
      <w:jc w:val="left"/>
    </w:pPr>
    <w:rPr>
      <w:b/>
      <w:bCs/>
      <w:kern w:val="0"/>
      <w:sz w:val="36"/>
      <w:szCs w:val="36"/>
    </w:rPr>
  </w:style>
  <w:style w:type="paragraph" w:customStyle="1" w:styleId="277">
    <w:name w:val="l_title"/>
    <w:basedOn w:val="1"/>
    <w:qFormat/>
    <w:uiPriority w:val="0"/>
    <w:pPr>
      <w:widowControl/>
      <w:spacing w:before="100" w:beforeAutospacing="1" w:after="100" w:afterAutospacing="1"/>
      <w:jc w:val="left"/>
    </w:pPr>
    <w:rPr>
      <w:rFonts w:ascii="ˎ̥" w:hAnsi="ˎ̥"/>
      <w:color w:val="000000"/>
      <w:kern w:val="0"/>
      <w:sz w:val="18"/>
      <w:szCs w:val="20"/>
    </w:rPr>
  </w:style>
  <w:style w:type="paragraph" w:customStyle="1" w:styleId="278">
    <w:name w:val="正文1"/>
    <w:qFormat/>
    <w:uiPriority w:val="0"/>
    <w:rPr>
      <w:rFonts w:ascii="Helvetica" w:hAnsi="Helvetica" w:eastAsia="ヒラギノ角ゴ Pro W3" w:cs="Times New Roman"/>
      <w:color w:val="000000"/>
      <w:sz w:val="24"/>
      <w:lang w:val="en-US" w:eastAsia="zh-CN" w:bidi="ar-SA"/>
    </w:rPr>
  </w:style>
  <w:style w:type="paragraph" w:customStyle="1" w:styleId="27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80">
    <w:name w:val="彩色底纹1"/>
    <w:qFormat/>
    <w:uiPriority w:val="0"/>
    <w:rPr>
      <w:rFonts w:ascii="Times New Roman" w:hAnsi="Times New Roman" w:eastAsia="宋体" w:cs="Times New Roman"/>
      <w:kern w:val="2"/>
      <w:sz w:val="21"/>
      <w:szCs w:val="24"/>
      <w:lang w:val="en-US" w:eastAsia="zh-CN" w:bidi="ar-SA"/>
    </w:rPr>
  </w:style>
  <w:style w:type="paragraph" w:customStyle="1" w:styleId="281">
    <w:name w:val="WPS Plain"/>
    <w:qFormat/>
    <w:uiPriority w:val="0"/>
    <w:rPr>
      <w:rFonts w:ascii="Times New Roman" w:hAnsi="Times New Roman" w:eastAsia="宋体" w:cs="Times New Roman"/>
      <w:lang w:val="en-US" w:eastAsia="zh-CN" w:bidi="ar-SA"/>
    </w:rPr>
  </w:style>
  <w:style w:type="paragraph" w:customStyle="1" w:styleId="282">
    <w:name w:val="Char2"/>
    <w:basedOn w:val="1"/>
    <w:qFormat/>
    <w:uiPriority w:val="0"/>
    <w:pPr>
      <w:adjustRightInd w:val="0"/>
      <w:snapToGrid w:val="0"/>
    </w:pPr>
    <w:rPr>
      <w:rFonts w:ascii="Arial" w:hAnsi="Arial" w:eastAsia="黑体"/>
      <w:b/>
      <w:sz w:val="32"/>
      <w:szCs w:val="20"/>
    </w:rPr>
  </w:style>
  <w:style w:type="paragraph" w:customStyle="1" w:styleId="283">
    <w:name w:val="Table Heading"/>
    <w:basedOn w:val="208"/>
    <w:qFormat/>
    <w:uiPriority w:val="0"/>
    <w:pPr>
      <w:jc w:val="center"/>
    </w:pPr>
    <w:rPr>
      <w:b/>
      <w:bCs/>
      <w:i/>
      <w:iCs/>
    </w:rPr>
  </w:style>
  <w:style w:type="paragraph" w:customStyle="1" w:styleId="284">
    <w:name w:val="彩色列表1"/>
    <w:basedOn w:val="1"/>
    <w:qFormat/>
    <w:uiPriority w:val="0"/>
    <w:pPr>
      <w:ind w:firstLine="420" w:firstLineChars="200"/>
    </w:pPr>
    <w:rPr>
      <w:rFonts w:ascii="Calibri" w:hAnsi="Calibri"/>
      <w:szCs w:val="22"/>
    </w:rPr>
  </w:style>
  <w:style w:type="paragraph" w:customStyle="1" w:styleId="285">
    <w:name w:val="Char11"/>
    <w:basedOn w:val="1"/>
    <w:qFormat/>
    <w:uiPriority w:val="0"/>
    <w:rPr>
      <w:szCs w:val="20"/>
    </w:rPr>
  </w:style>
  <w:style w:type="paragraph" w:customStyle="1" w:styleId="286">
    <w:name w:val="简单回函地址"/>
    <w:basedOn w:val="1"/>
    <w:qFormat/>
    <w:uiPriority w:val="0"/>
  </w:style>
  <w:style w:type="paragraph" w:customStyle="1" w:styleId="28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288">
    <w:name w:val="Char Char Char1"/>
    <w:basedOn w:val="1"/>
    <w:qFormat/>
    <w:uiPriority w:val="0"/>
    <w:pPr>
      <w:adjustRightInd w:val="0"/>
      <w:spacing w:line="360" w:lineRule="atLeast"/>
    </w:pPr>
  </w:style>
  <w:style w:type="paragraph" w:customStyle="1" w:styleId="289">
    <w:name w:val="Char Char10 Char"/>
    <w:basedOn w:val="1"/>
    <w:qFormat/>
    <w:uiPriority w:val="0"/>
  </w:style>
  <w:style w:type="paragraph" w:customStyle="1" w:styleId="290">
    <w:name w:val="p16"/>
    <w:basedOn w:val="1"/>
    <w:qFormat/>
    <w:uiPriority w:val="0"/>
    <w:pPr>
      <w:widowControl/>
      <w:spacing w:before="100" w:line="400" w:lineRule="atLeast"/>
    </w:pPr>
    <w:rPr>
      <w:kern w:val="0"/>
      <w:sz w:val="28"/>
      <w:szCs w:val="20"/>
    </w:rPr>
  </w:style>
  <w:style w:type="paragraph" w:customStyle="1" w:styleId="291">
    <w:name w:val="列表段落1"/>
    <w:basedOn w:val="1"/>
    <w:qFormat/>
    <w:uiPriority w:val="0"/>
    <w:pPr>
      <w:ind w:firstLine="420" w:firstLineChars="200"/>
    </w:pPr>
    <w:rPr>
      <w:rFonts w:ascii="Calibri" w:hAnsi="Calibri"/>
      <w:szCs w:val="22"/>
    </w:rPr>
  </w:style>
  <w:style w:type="paragraph" w:customStyle="1" w:styleId="292">
    <w:name w:val="news"/>
    <w:basedOn w:val="1"/>
    <w:qFormat/>
    <w:uiPriority w:val="0"/>
    <w:pPr>
      <w:widowControl/>
      <w:spacing w:before="100" w:beforeAutospacing="1" w:after="100" w:afterAutospacing="1" w:line="165" w:lineRule="atLeast"/>
      <w:jc w:val="left"/>
    </w:pPr>
    <w:rPr>
      <w:rFonts w:ascii="ˎ̥" w:hAnsi="ˎ̥"/>
      <w:color w:val="000000"/>
      <w:kern w:val="0"/>
      <w:sz w:val="11"/>
      <w:szCs w:val="20"/>
    </w:rPr>
  </w:style>
  <w:style w:type="paragraph" w:customStyle="1" w:styleId="293">
    <w:name w:val="z-窗体底端1"/>
    <w:basedOn w:val="1"/>
    <w:next w:val="1"/>
    <w:qFormat/>
    <w:uiPriority w:val="0"/>
    <w:pPr>
      <w:widowControl/>
      <w:pBdr>
        <w:top w:val="single" w:color="auto" w:sz="6" w:space="1"/>
      </w:pBdr>
      <w:jc w:val="center"/>
    </w:pPr>
    <w:rPr>
      <w:rFonts w:ascii="Arial" w:hAnsi="Arial" w:eastAsia="Times New Roman"/>
      <w:vanish/>
      <w:kern w:val="0"/>
      <w:sz w:val="16"/>
      <w:szCs w:val="16"/>
    </w:rPr>
  </w:style>
  <w:style w:type="table" w:customStyle="1" w:styleId="294">
    <w:name w:val="Table Normal"/>
    <w:unhideWhenUsed/>
    <w:qFormat/>
    <w:uiPriority w:val="0"/>
    <w:tblPr>
      <w:tblCellMar>
        <w:top w:w="0" w:type="dxa"/>
        <w:left w:w="0" w:type="dxa"/>
        <w:bottom w:w="0" w:type="dxa"/>
        <w:right w:w="0" w:type="dxa"/>
      </w:tblCellMar>
    </w:tblPr>
  </w:style>
  <w:style w:type="paragraph" w:customStyle="1" w:styleId="295">
    <w:name w:val="正文_3"/>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列出段落5"/>
    <w:basedOn w:val="295"/>
    <w:qFormat/>
    <w:uiPriority w:val="0"/>
    <w:pPr>
      <w:ind w:firstLine="420" w:firstLineChars="200"/>
    </w:pPr>
    <w:rPr>
      <w:sz w:val="24"/>
    </w:rPr>
  </w:style>
  <w:style w:type="paragraph" w:customStyle="1" w:styleId="297">
    <w:name w:val="BodyText"/>
    <w:basedOn w:val="1"/>
    <w:next w:val="298"/>
    <w:qFormat/>
    <w:uiPriority w:val="0"/>
    <w:pPr>
      <w:spacing w:after="120"/>
    </w:pPr>
  </w:style>
  <w:style w:type="paragraph" w:customStyle="1" w:styleId="298">
    <w:name w:val="BodyText2"/>
    <w:basedOn w:val="1"/>
    <w:next w:val="297"/>
    <w:qFormat/>
    <w:uiPriority w:val="0"/>
    <w:pPr>
      <w:spacing w:after="120" w:line="480" w:lineRule="auto"/>
    </w:pPr>
  </w:style>
  <w:style w:type="paragraph" w:customStyle="1" w:styleId="299">
    <w:name w:val="列出段落1"/>
    <w:basedOn w:val="1"/>
    <w:qFormat/>
    <w:uiPriority w:val="34"/>
    <w:pPr>
      <w:ind w:firstLine="420" w:firstLineChars="200"/>
    </w:pPr>
    <w:rPr>
      <w:rFonts w:ascii="等线" w:hAnsi="等线" w:eastAsia="等线"/>
      <w:szCs w:val="22"/>
    </w:rPr>
  </w:style>
  <w:style w:type="paragraph" w:customStyle="1" w:styleId="300">
    <w:name w:val="1正文"/>
    <w:basedOn w:val="1"/>
    <w:qFormat/>
    <w:uiPriority w:val="0"/>
    <w:pPr>
      <w:spacing w:line="360" w:lineRule="auto"/>
      <w:ind w:firstLine="200" w:firstLineChars="200"/>
    </w:pPr>
    <w:rPr>
      <w:rFonts w:ascii="Calibri" w:hAnsi="Calibri"/>
      <w:sz w:val="24"/>
      <w:szCs w:val="22"/>
    </w:rPr>
  </w:style>
  <w:style w:type="paragraph" w:customStyle="1" w:styleId="30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02">
    <w:name w:val="xiadan"/>
    <w:basedOn w:val="51"/>
    <w:qFormat/>
    <w:uiPriority w:val="0"/>
    <w:rPr>
      <w:shd w:val="clear" w:fill="E4393C"/>
    </w:rPr>
  </w:style>
  <w:style w:type="character" w:customStyle="1" w:styleId="303">
    <w:name w:val="fr"/>
    <w:basedOn w:val="51"/>
    <w:qFormat/>
    <w:uiPriority w:val="0"/>
  </w:style>
  <w:style w:type="character" w:customStyle="1" w:styleId="304">
    <w:name w:val="icon_ds"/>
    <w:basedOn w:val="51"/>
    <w:qFormat/>
    <w:uiPriority w:val="0"/>
  </w:style>
  <w:style w:type="character" w:customStyle="1" w:styleId="305">
    <w:name w:val="icon_ds1"/>
    <w:basedOn w:val="51"/>
    <w:qFormat/>
    <w:uiPriority w:val="0"/>
    <w:rPr>
      <w:sz w:val="21"/>
      <w:szCs w:val="21"/>
    </w:rPr>
  </w:style>
  <w:style w:type="character" w:customStyle="1" w:styleId="306">
    <w:name w:val="icon_gys"/>
    <w:basedOn w:val="51"/>
    <w:qFormat/>
    <w:uiPriority w:val="0"/>
    <w:rPr>
      <w:sz w:val="21"/>
      <w:szCs w:val="21"/>
    </w:rPr>
  </w:style>
  <w:style w:type="character" w:customStyle="1" w:styleId="307">
    <w:name w:val="first-child1"/>
    <w:basedOn w:val="51"/>
    <w:qFormat/>
    <w:uiPriority w:val="0"/>
    <w:rPr>
      <w:color w:val="1F3149"/>
      <w:sz w:val="24"/>
      <w:szCs w:val="24"/>
    </w:rPr>
  </w:style>
  <w:style w:type="character" w:customStyle="1" w:styleId="308">
    <w:name w:val="first-child2"/>
    <w:basedOn w:val="51"/>
    <w:qFormat/>
    <w:uiPriority w:val="0"/>
    <w:rPr>
      <w:color w:val="1F3149"/>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河南招标采购服务有限公司</Company>
  <Pages>125</Pages>
  <Words>59590</Words>
  <Characters>64826</Characters>
  <Lines>516</Lines>
  <Paragraphs>145</Paragraphs>
  <TotalTime>2</TotalTime>
  <ScaleCrop>false</ScaleCrop>
  <LinksUpToDate>false</LinksUpToDate>
  <CharactersWithSpaces>66975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2023-05-26T00:49:00Z</dcterms:created>
  <dc:creator>刘阳</dc:creator>
  <cp:lastModifiedBy>代理机构</cp:lastModifiedBy>
  <cp:lastPrinted>2023-02-27T01:11:00Z</cp:lastPrinted>
  <dcterms:modified xsi:type="dcterms:W3CDTF">2023-08-07T06:18:20Z</dcterms:modified>
  <dc:title>（填写招标项目名称）</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4827653CAD5D43F893DCB66D9F816C8A_13</vt:lpwstr>
  </property>
</Properties>
</file>