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D8FC3">
      <w:pPr>
        <w:spacing w:line="360" w:lineRule="auto"/>
        <w:rPr>
          <w:rFonts w:hint="eastAsia" w:ascii="宋体" w:hAnsi="宋体"/>
          <w:b/>
          <w:color w:val="auto"/>
          <w:sz w:val="44"/>
          <w:szCs w:val="44"/>
          <w:highlight w:val="none"/>
        </w:rPr>
      </w:pPr>
      <w:bookmarkStart w:id="0" w:name="_Toc152042286"/>
      <w:bookmarkEnd w:id="0"/>
      <w:bookmarkStart w:id="1" w:name="_Toc144974478"/>
      <w:bookmarkEnd w:id="1"/>
    </w:p>
    <w:p w14:paraId="4D76A24B">
      <w:pPr>
        <w:spacing w:line="480" w:lineRule="auto"/>
        <w:jc w:val="center"/>
        <w:rPr>
          <w:rFonts w:hint="eastAsia" w:ascii="宋体" w:hAnsi="宋体"/>
          <w:b/>
          <w:color w:val="auto"/>
          <w:sz w:val="44"/>
          <w:szCs w:val="44"/>
          <w:highlight w:val="none"/>
          <w:lang w:eastAsia="zh-CN"/>
        </w:rPr>
      </w:pPr>
      <w:r>
        <w:rPr>
          <w:rFonts w:hint="eastAsia" w:ascii="宋体" w:hAnsi="宋体"/>
          <w:b/>
          <w:color w:val="auto"/>
          <w:sz w:val="44"/>
          <w:szCs w:val="44"/>
          <w:highlight w:val="none"/>
          <w:lang w:eastAsia="zh-CN"/>
        </w:rPr>
        <w:t>河南省科学院激光制造研究所</w:t>
      </w:r>
    </w:p>
    <w:p w14:paraId="4ECF62AE">
      <w:pPr>
        <w:spacing w:line="480" w:lineRule="auto"/>
        <w:jc w:val="center"/>
        <w:rPr>
          <w:rFonts w:hint="eastAsia" w:ascii="宋体" w:hAnsi="宋体"/>
          <w:b/>
          <w:color w:val="auto"/>
          <w:sz w:val="44"/>
          <w:szCs w:val="44"/>
          <w:highlight w:val="none"/>
          <w:lang w:eastAsia="zh-CN"/>
        </w:rPr>
      </w:pPr>
      <w:r>
        <w:rPr>
          <w:rFonts w:hint="eastAsia" w:ascii="宋体" w:hAnsi="宋体"/>
          <w:b/>
          <w:color w:val="auto"/>
          <w:sz w:val="44"/>
          <w:szCs w:val="44"/>
          <w:highlight w:val="none"/>
          <w:lang w:eastAsia="zh-CN"/>
        </w:rPr>
        <w:t>先进激光医疗系统及关键技术研究平台</w:t>
      </w:r>
    </w:p>
    <w:p w14:paraId="681EA1DE">
      <w:pPr>
        <w:spacing w:line="480" w:lineRule="auto"/>
        <w:jc w:val="center"/>
        <w:rPr>
          <w:rFonts w:hint="eastAsia" w:ascii="宋体" w:hAnsi="宋体" w:eastAsia="宋体"/>
          <w:b/>
          <w:color w:val="auto"/>
          <w:sz w:val="20"/>
          <w:szCs w:val="20"/>
          <w:highlight w:val="none"/>
          <w:lang w:eastAsia="zh-CN"/>
        </w:rPr>
      </w:pPr>
      <w:r>
        <w:rPr>
          <w:rFonts w:hint="eastAsia" w:ascii="宋体" w:hAnsi="宋体"/>
          <w:b/>
          <w:color w:val="auto"/>
          <w:sz w:val="44"/>
          <w:szCs w:val="44"/>
          <w:highlight w:val="none"/>
          <w:lang w:eastAsia="zh-CN"/>
        </w:rPr>
        <w:t>建设一期项目</w:t>
      </w:r>
    </w:p>
    <w:p w14:paraId="18F6E986">
      <w:pPr>
        <w:adjustRightInd w:val="0"/>
        <w:snapToGrid w:val="0"/>
        <w:spacing w:before="477" w:beforeLines="150"/>
        <w:jc w:val="center"/>
        <w:rPr>
          <w:rFonts w:hint="eastAsia" w:ascii="宋体" w:hAnsi="宋体"/>
          <w:b/>
          <w:color w:val="auto"/>
          <w:sz w:val="84"/>
          <w:szCs w:val="84"/>
          <w:highlight w:val="none"/>
        </w:rPr>
      </w:pPr>
      <w:r>
        <w:rPr>
          <w:rFonts w:hint="eastAsia" w:ascii="宋体" w:hAnsi="宋体"/>
          <w:b/>
          <w:color w:val="auto"/>
          <w:sz w:val="84"/>
          <w:szCs w:val="84"/>
          <w:highlight w:val="none"/>
        </w:rPr>
        <w:t>竞争性磋商文件</w:t>
      </w:r>
    </w:p>
    <w:p w14:paraId="0A8938EB">
      <w:pPr>
        <w:jc w:val="center"/>
        <w:rPr>
          <w:rFonts w:hint="eastAsia" w:ascii="宋体" w:hAnsi="宋体"/>
          <w:b/>
          <w:color w:val="auto"/>
          <w:sz w:val="32"/>
          <w:szCs w:val="32"/>
          <w:highlight w:val="none"/>
        </w:rPr>
      </w:pPr>
    </w:p>
    <w:p w14:paraId="77D895D0">
      <w:pPr>
        <w:jc w:val="center"/>
        <w:rPr>
          <w:rFonts w:hint="eastAsia" w:ascii="宋体" w:hAnsi="宋体" w:eastAsia="宋体"/>
          <w:b/>
          <w:color w:val="auto"/>
          <w:sz w:val="28"/>
          <w:szCs w:val="28"/>
          <w:highlight w:val="none"/>
          <w:u w:val="single"/>
          <w:lang w:eastAsia="zh-CN"/>
        </w:rPr>
      </w:pPr>
      <w:r>
        <w:rPr>
          <w:rFonts w:hint="eastAsia" w:ascii="宋体" w:hAnsi="宋体"/>
          <w:b/>
          <w:color w:val="auto"/>
          <w:sz w:val="28"/>
          <w:szCs w:val="28"/>
          <w:highlight w:val="none"/>
        </w:rPr>
        <w:t>项目编号：</w:t>
      </w:r>
      <w:r>
        <w:rPr>
          <w:rFonts w:hint="eastAsia" w:ascii="宋体" w:hAnsi="宋体"/>
          <w:b/>
          <w:color w:val="auto"/>
          <w:sz w:val="28"/>
          <w:szCs w:val="28"/>
          <w:highlight w:val="none"/>
          <w:lang w:eastAsia="zh-CN"/>
        </w:rPr>
        <w:t>豫财磋商采购-2025-59</w:t>
      </w:r>
    </w:p>
    <w:p w14:paraId="75C93E7C">
      <w:pPr>
        <w:ind w:firstLine="3534" w:firstLineChars="1100"/>
        <w:rPr>
          <w:rFonts w:hint="eastAsia" w:ascii="宋体" w:hAnsi="宋体"/>
          <w:b/>
          <w:color w:val="auto"/>
          <w:sz w:val="32"/>
          <w:szCs w:val="32"/>
          <w:highlight w:val="none"/>
          <w:u w:val="single"/>
        </w:rPr>
      </w:pPr>
    </w:p>
    <w:p w14:paraId="0847D843">
      <w:pPr>
        <w:adjustRightInd w:val="0"/>
        <w:snapToGrid w:val="0"/>
        <w:jc w:val="center"/>
        <w:rPr>
          <w:rFonts w:hint="eastAsia" w:ascii="宋体" w:hAnsi="宋体"/>
          <w:b/>
          <w:color w:val="auto"/>
          <w:sz w:val="36"/>
          <w:szCs w:val="36"/>
          <w:highlight w:val="none"/>
        </w:rPr>
      </w:pPr>
      <w:r>
        <w:rPr>
          <w:rFonts w:hint="eastAsia" w:ascii="宋体" w:hAnsi="宋体" w:eastAsia="宋体" w:cs="宋体"/>
          <w:color w:val="auto"/>
          <w:highlight w:val="none"/>
        </w:rPr>
        <w:drawing>
          <wp:inline distT="0" distB="0" distL="114300" distR="114300">
            <wp:extent cx="2171700" cy="2733675"/>
            <wp:effectExtent l="0" t="0" r="0" b="9525"/>
            <wp:docPr id="1" name="图片 1" descr="微信图片_202110210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1094822"/>
                    <pic:cNvPicPr>
                      <a:picLocks noChangeAspect="1"/>
                    </pic:cNvPicPr>
                  </pic:nvPicPr>
                  <pic:blipFill>
                    <a:blip r:embed="rId19"/>
                    <a:stretch>
                      <a:fillRect/>
                    </a:stretch>
                  </pic:blipFill>
                  <pic:spPr>
                    <a:xfrm>
                      <a:off x="0" y="0"/>
                      <a:ext cx="2171700" cy="2733675"/>
                    </a:xfrm>
                    <a:prstGeom prst="rect">
                      <a:avLst/>
                    </a:prstGeom>
                    <a:noFill/>
                    <a:ln>
                      <a:noFill/>
                    </a:ln>
                  </pic:spPr>
                </pic:pic>
              </a:graphicData>
            </a:graphic>
          </wp:inline>
        </w:drawing>
      </w:r>
    </w:p>
    <w:p w14:paraId="3925C63D">
      <w:pPr>
        <w:jc w:val="center"/>
        <w:rPr>
          <w:rFonts w:hint="eastAsia" w:ascii="宋体" w:hAnsi="宋体"/>
          <w:b/>
          <w:color w:val="auto"/>
          <w:sz w:val="32"/>
          <w:szCs w:val="32"/>
          <w:highlight w:val="none"/>
        </w:rPr>
      </w:pPr>
    </w:p>
    <w:p w14:paraId="086035B1">
      <w:pPr>
        <w:jc w:val="center"/>
        <w:rPr>
          <w:rFonts w:hint="eastAsia" w:ascii="宋体" w:hAnsi="宋体"/>
          <w:b/>
          <w:color w:val="auto"/>
          <w:sz w:val="32"/>
          <w:szCs w:val="32"/>
          <w:highlight w:val="none"/>
        </w:rPr>
      </w:pPr>
    </w:p>
    <w:p w14:paraId="2B4F8446">
      <w:pPr>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采</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购</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 人：</w:t>
      </w:r>
      <w:r>
        <w:rPr>
          <w:rFonts w:hint="eastAsia" w:ascii="宋体" w:hAnsi="宋体" w:eastAsia="宋体" w:cs="宋体"/>
          <w:b/>
          <w:color w:val="auto"/>
          <w:sz w:val="32"/>
          <w:szCs w:val="32"/>
          <w:highlight w:val="none"/>
          <w:lang w:eastAsia="zh-CN"/>
        </w:rPr>
        <w:t>河南省科学院激光制造研究所</w:t>
      </w:r>
    </w:p>
    <w:p w14:paraId="37EB2BF3">
      <w:pPr>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采购代理机构：中建山河建设管理集团有限公司</w:t>
      </w:r>
    </w:p>
    <w:p w14:paraId="1B7D843D">
      <w:pPr>
        <w:spacing w:line="360" w:lineRule="auto"/>
        <w:ind w:firstLine="643" w:firstLineChars="200"/>
        <w:rPr>
          <w:rFonts w:hint="eastAsia" w:ascii="宋体" w:hAnsi="宋体" w:eastAsia="宋体" w:cs="宋体"/>
          <w:b/>
          <w:bCs/>
          <w:color w:val="auto"/>
          <w:sz w:val="24"/>
          <w:szCs w:val="24"/>
          <w:highlight w:val="none"/>
        </w:rPr>
        <w:sectPr>
          <w:headerReference r:id="rId4" w:type="first"/>
          <w:footerReference r:id="rId5" w:type="first"/>
          <w:headerReference r:id="rId3" w:type="default"/>
          <w:pgSz w:w="11905" w:h="16838"/>
          <w:pgMar w:top="1440" w:right="1800" w:bottom="1440" w:left="1800" w:header="794" w:footer="794" w:gutter="0"/>
          <w:pgNumType w:fmt="decimal"/>
          <w:cols w:space="720" w:num="1"/>
          <w:docGrid w:type="lines" w:linePitch="318" w:charSpace="0"/>
        </w:sectPr>
      </w:pPr>
      <w:bookmarkStart w:id="2" w:name="_Toc16328"/>
      <w:r>
        <w:rPr>
          <w:rFonts w:hint="eastAsia" w:ascii="宋体" w:hAnsi="宋体" w:eastAsia="宋体" w:cs="宋体"/>
          <w:b/>
          <w:color w:val="auto"/>
          <w:sz w:val="32"/>
          <w:szCs w:val="32"/>
          <w:highlight w:val="none"/>
        </w:rPr>
        <w:t>日        期：二〇二</w:t>
      </w:r>
      <w:r>
        <w:rPr>
          <w:rFonts w:hint="eastAsia" w:ascii="宋体" w:hAnsi="宋体" w:cs="宋体"/>
          <w:b/>
          <w:color w:val="auto"/>
          <w:sz w:val="32"/>
          <w:szCs w:val="32"/>
          <w:highlight w:val="none"/>
          <w:lang w:eastAsia="zh-CN"/>
        </w:rPr>
        <w:t>五</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二</w:t>
      </w:r>
      <w:r>
        <w:rPr>
          <w:rFonts w:hint="eastAsia" w:ascii="宋体" w:hAnsi="宋体" w:eastAsia="宋体" w:cs="宋体"/>
          <w:b/>
          <w:color w:val="auto"/>
          <w:sz w:val="32"/>
          <w:szCs w:val="32"/>
          <w:highlight w:val="none"/>
        </w:rPr>
        <w:t>月</w:t>
      </w:r>
      <w:bookmarkEnd w:id="2"/>
    </w:p>
    <w:p w14:paraId="5ACA2432">
      <w:pPr>
        <w:pStyle w:val="24"/>
        <w:tabs>
          <w:tab w:val="right" w:leader="dot" w:pos="9014"/>
        </w:tabs>
        <w:spacing w:before="318" w:beforeLines="100" w:beforeAutospacing="0" w:after="20" w:line="240" w:lineRule="auto"/>
        <w:rPr>
          <w:b/>
          <w:bCs/>
          <w:color w:val="auto"/>
          <w:sz w:val="32"/>
          <w:szCs w:val="32"/>
          <w:highlight w:val="none"/>
        </w:rPr>
      </w:pPr>
      <w:bookmarkStart w:id="3" w:name="_Toc509667258"/>
      <w:bookmarkEnd w:id="3"/>
      <w:bookmarkStart w:id="4" w:name="_Toc144974495"/>
      <w:bookmarkEnd w:id="4"/>
      <w:bookmarkStart w:id="5" w:name="_Toc152042303"/>
      <w:bookmarkEnd w:id="5"/>
      <w:bookmarkStart w:id="6" w:name="_Toc1838"/>
      <w:bookmarkEnd w:id="6"/>
      <w:bookmarkStart w:id="7" w:name="_Toc152045527"/>
      <w:bookmarkEnd w:id="7"/>
      <w:r>
        <w:rPr>
          <w:rFonts w:hint="eastAsia"/>
          <w:b/>
          <w:bCs/>
          <w:color w:val="auto"/>
          <w:sz w:val="32"/>
          <w:szCs w:val="32"/>
          <w:highlight w:val="none"/>
        </w:rPr>
        <w:t>目  录</w:t>
      </w:r>
    </w:p>
    <w:p w14:paraId="3597CF09">
      <w:pPr>
        <w:pStyle w:val="24"/>
        <w:tabs>
          <w:tab w:val="right" w:leader="dot" w:pos="8305"/>
        </w:tabs>
        <w:rPr>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_Toc24105 </w:instrText>
      </w:r>
      <w:r>
        <w:rPr>
          <w:rFonts w:hint="eastAsia" w:ascii="宋体" w:hAnsi="宋体" w:cs="宋体"/>
          <w:szCs w:val="24"/>
          <w:highlight w:val="none"/>
        </w:rPr>
        <w:fldChar w:fldCharType="separate"/>
      </w:r>
      <w:r>
        <w:rPr>
          <w:rFonts w:hint="eastAsia" w:ascii="宋体" w:hAnsi="宋体"/>
          <w:bCs/>
          <w:kern w:val="44"/>
          <w:szCs w:val="32"/>
          <w:highlight w:val="none"/>
        </w:rPr>
        <w:t>第一章 竞争性磋商公告</w:t>
      </w:r>
      <w:r>
        <w:rPr>
          <w:highlight w:val="none"/>
        </w:rPr>
        <w:tab/>
      </w:r>
      <w:r>
        <w:rPr>
          <w:highlight w:val="none"/>
        </w:rPr>
        <w:fldChar w:fldCharType="begin"/>
      </w:r>
      <w:r>
        <w:rPr>
          <w:highlight w:val="none"/>
        </w:rPr>
        <w:instrText xml:space="preserve"> PAGEREF _Toc24105 \h </w:instrText>
      </w:r>
      <w:r>
        <w:rPr>
          <w:highlight w:val="none"/>
        </w:rPr>
        <w:fldChar w:fldCharType="separate"/>
      </w:r>
      <w:r>
        <w:rPr>
          <w:highlight w:val="none"/>
        </w:rPr>
        <w:t>5</w:t>
      </w:r>
      <w:r>
        <w:rPr>
          <w:highlight w:val="none"/>
        </w:rPr>
        <w:fldChar w:fldCharType="end"/>
      </w:r>
      <w:r>
        <w:rPr>
          <w:rFonts w:hint="eastAsia" w:ascii="宋体" w:hAnsi="宋体" w:cs="宋体"/>
          <w:color w:val="auto"/>
          <w:szCs w:val="24"/>
          <w:highlight w:val="none"/>
        </w:rPr>
        <w:fldChar w:fldCharType="end"/>
      </w:r>
    </w:p>
    <w:p w14:paraId="014F5ED5">
      <w:pPr>
        <w:pStyle w:val="24"/>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_Toc4107 </w:instrText>
      </w:r>
      <w:r>
        <w:rPr>
          <w:rFonts w:hint="eastAsia" w:ascii="宋体" w:hAnsi="宋体" w:cs="宋体"/>
          <w:szCs w:val="24"/>
          <w:highlight w:val="none"/>
        </w:rPr>
        <w:fldChar w:fldCharType="separate"/>
      </w:r>
      <w:r>
        <w:rPr>
          <w:rFonts w:hint="eastAsia" w:ascii="宋体" w:hAnsi="宋体"/>
          <w:bCs w:val="0"/>
          <w:szCs w:val="32"/>
          <w:highlight w:val="none"/>
        </w:rPr>
        <w:t>第二章  供应商须知</w:t>
      </w:r>
      <w:r>
        <w:rPr>
          <w:highlight w:val="none"/>
        </w:rPr>
        <w:tab/>
      </w:r>
      <w:r>
        <w:rPr>
          <w:highlight w:val="none"/>
        </w:rPr>
        <w:fldChar w:fldCharType="begin"/>
      </w:r>
      <w:r>
        <w:rPr>
          <w:highlight w:val="none"/>
        </w:rPr>
        <w:instrText xml:space="preserve"> PAGEREF _Toc4107 \h </w:instrText>
      </w:r>
      <w:r>
        <w:rPr>
          <w:highlight w:val="none"/>
        </w:rPr>
        <w:fldChar w:fldCharType="separate"/>
      </w:r>
      <w:r>
        <w:rPr>
          <w:highlight w:val="none"/>
        </w:rPr>
        <w:t>8</w:t>
      </w:r>
      <w:r>
        <w:rPr>
          <w:highlight w:val="none"/>
        </w:rPr>
        <w:fldChar w:fldCharType="end"/>
      </w:r>
      <w:r>
        <w:rPr>
          <w:rFonts w:hint="eastAsia" w:ascii="宋体" w:hAnsi="宋体" w:cs="宋体"/>
          <w:color w:val="auto"/>
          <w:szCs w:val="24"/>
          <w:highlight w:val="none"/>
        </w:rPr>
        <w:fldChar w:fldCharType="end"/>
      </w:r>
    </w:p>
    <w:p w14:paraId="4A2E446B">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_Toc2452 </w:instrText>
      </w:r>
      <w:r>
        <w:rPr>
          <w:rFonts w:hint="eastAsia" w:ascii="宋体" w:hAnsi="宋体" w:cs="宋体"/>
          <w:szCs w:val="24"/>
          <w:highlight w:val="none"/>
        </w:rPr>
        <w:fldChar w:fldCharType="separate"/>
      </w:r>
      <w:r>
        <w:rPr>
          <w:rFonts w:hint="eastAsia" w:ascii="宋体" w:hAnsi="宋体" w:eastAsia="宋体"/>
          <w:bCs w:val="0"/>
          <w:highlight w:val="none"/>
        </w:rPr>
        <w:t>供应商须知前附表</w:t>
      </w:r>
      <w:r>
        <w:rPr>
          <w:highlight w:val="none"/>
        </w:rPr>
        <w:tab/>
      </w:r>
      <w:r>
        <w:rPr>
          <w:highlight w:val="none"/>
        </w:rPr>
        <w:fldChar w:fldCharType="begin"/>
      </w:r>
      <w:r>
        <w:rPr>
          <w:highlight w:val="none"/>
        </w:rPr>
        <w:instrText xml:space="preserve"> PAGEREF _Toc2452 \h </w:instrText>
      </w:r>
      <w:r>
        <w:rPr>
          <w:highlight w:val="none"/>
        </w:rPr>
        <w:fldChar w:fldCharType="separate"/>
      </w:r>
      <w:r>
        <w:rPr>
          <w:highlight w:val="none"/>
        </w:rPr>
        <w:t>8</w:t>
      </w:r>
      <w:r>
        <w:rPr>
          <w:highlight w:val="none"/>
        </w:rPr>
        <w:fldChar w:fldCharType="end"/>
      </w:r>
      <w:r>
        <w:rPr>
          <w:rFonts w:hint="eastAsia" w:ascii="宋体" w:hAnsi="宋体" w:cs="宋体"/>
          <w:color w:val="auto"/>
          <w:szCs w:val="24"/>
          <w:highlight w:val="none"/>
        </w:rPr>
        <w:fldChar w:fldCharType="end"/>
      </w:r>
    </w:p>
    <w:p w14:paraId="10658E00">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_Toc28830 </w:instrText>
      </w:r>
      <w:r>
        <w:rPr>
          <w:rFonts w:hint="eastAsia" w:ascii="宋体" w:hAnsi="宋体" w:cs="宋体"/>
          <w:szCs w:val="24"/>
          <w:highlight w:val="none"/>
        </w:rPr>
        <w:fldChar w:fldCharType="separate"/>
      </w:r>
      <w:r>
        <w:rPr>
          <w:rFonts w:hint="eastAsia" w:ascii="宋体" w:hAnsi="宋体" w:eastAsia="宋体"/>
          <w:bCs w:val="0"/>
          <w:szCs w:val="21"/>
          <w:highlight w:val="none"/>
        </w:rPr>
        <w:t>1. 总则</w:t>
      </w:r>
      <w:r>
        <w:rPr>
          <w:highlight w:val="none"/>
        </w:rPr>
        <w:tab/>
      </w:r>
      <w:r>
        <w:rPr>
          <w:highlight w:val="none"/>
        </w:rPr>
        <w:fldChar w:fldCharType="begin"/>
      </w:r>
      <w:r>
        <w:rPr>
          <w:highlight w:val="none"/>
        </w:rPr>
        <w:instrText xml:space="preserve"> PAGEREF _Toc28830 \h </w:instrText>
      </w:r>
      <w:r>
        <w:rPr>
          <w:highlight w:val="none"/>
        </w:rPr>
        <w:fldChar w:fldCharType="separate"/>
      </w:r>
      <w:r>
        <w:rPr>
          <w:highlight w:val="none"/>
        </w:rPr>
        <w:t>17</w:t>
      </w:r>
      <w:r>
        <w:rPr>
          <w:highlight w:val="none"/>
        </w:rPr>
        <w:fldChar w:fldCharType="end"/>
      </w:r>
      <w:r>
        <w:rPr>
          <w:rFonts w:hint="eastAsia" w:ascii="宋体" w:hAnsi="宋体" w:cs="宋体"/>
          <w:color w:val="auto"/>
          <w:szCs w:val="24"/>
          <w:highlight w:val="none"/>
        </w:rPr>
        <w:fldChar w:fldCharType="end"/>
      </w:r>
    </w:p>
    <w:p w14:paraId="1E5ABA22">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_Toc32001 </w:instrText>
      </w:r>
      <w:r>
        <w:rPr>
          <w:rFonts w:hint="eastAsia" w:ascii="宋体" w:hAnsi="宋体" w:cs="宋体"/>
          <w:szCs w:val="24"/>
          <w:highlight w:val="none"/>
        </w:rPr>
        <w:fldChar w:fldCharType="separate"/>
      </w:r>
      <w:r>
        <w:rPr>
          <w:rFonts w:hint="eastAsia" w:ascii="宋体" w:hAnsi="宋体" w:eastAsia="宋体"/>
          <w:bCs w:val="0"/>
          <w:szCs w:val="21"/>
          <w:highlight w:val="none"/>
        </w:rPr>
        <w:t>2. 磋商文件</w:t>
      </w:r>
      <w:r>
        <w:rPr>
          <w:highlight w:val="none"/>
        </w:rPr>
        <w:tab/>
      </w:r>
      <w:r>
        <w:rPr>
          <w:highlight w:val="none"/>
        </w:rPr>
        <w:fldChar w:fldCharType="begin"/>
      </w:r>
      <w:r>
        <w:rPr>
          <w:highlight w:val="none"/>
        </w:rPr>
        <w:instrText xml:space="preserve"> PAGEREF _Toc32001 \h </w:instrText>
      </w:r>
      <w:r>
        <w:rPr>
          <w:highlight w:val="none"/>
        </w:rPr>
        <w:fldChar w:fldCharType="separate"/>
      </w:r>
      <w:r>
        <w:rPr>
          <w:highlight w:val="none"/>
        </w:rPr>
        <w:t>18</w:t>
      </w:r>
      <w:r>
        <w:rPr>
          <w:highlight w:val="none"/>
        </w:rPr>
        <w:fldChar w:fldCharType="end"/>
      </w:r>
      <w:r>
        <w:rPr>
          <w:rFonts w:hint="eastAsia" w:ascii="宋体" w:hAnsi="宋体" w:cs="宋体"/>
          <w:color w:val="auto"/>
          <w:szCs w:val="24"/>
          <w:highlight w:val="none"/>
        </w:rPr>
        <w:fldChar w:fldCharType="end"/>
      </w:r>
    </w:p>
    <w:p w14:paraId="5861CAE4">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_Toc7681 </w:instrText>
      </w:r>
      <w:r>
        <w:rPr>
          <w:rFonts w:hint="eastAsia" w:ascii="宋体" w:hAnsi="宋体" w:cs="宋体"/>
          <w:szCs w:val="24"/>
          <w:highlight w:val="none"/>
        </w:rPr>
        <w:fldChar w:fldCharType="separate"/>
      </w:r>
      <w:r>
        <w:rPr>
          <w:rFonts w:hint="eastAsia" w:ascii="宋体" w:hAnsi="宋体" w:eastAsia="宋体"/>
          <w:bCs w:val="0"/>
          <w:szCs w:val="21"/>
          <w:highlight w:val="none"/>
        </w:rPr>
        <w:t>3. 响应文件</w:t>
      </w:r>
      <w:r>
        <w:rPr>
          <w:highlight w:val="none"/>
        </w:rPr>
        <w:tab/>
      </w:r>
      <w:r>
        <w:rPr>
          <w:highlight w:val="none"/>
        </w:rPr>
        <w:fldChar w:fldCharType="begin"/>
      </w:r>
      <w:r>
        <w:rPr>
          <w:highlight w:val="none"/>
        </w:rPr>
        <w:instrText xml:space="preserve"> PAGEREF _Toc7681 \h </w:instrText>
      </w:r>
      <w:r>
        <w:rPr>
          <w:highlight w:val="none"/>
        </w:rPr>
        <w:fldChar w:fldCharType="separate"/>
      </w:r>
      <w:r>
        <w:rPr>
          <w:highlight w:val="none"/>
        </w:rPr>
        <w:t>19</w:t>
      </w:r>
      <w:r>
        <w:rPr>
          <w:highlight w:val="none"/>
        </w:rPr>
        <w:fldChar w:fldCharType="end"/>
      </w:r>
      <w:r>
        <w:rPr>
          <w:rFonts w:hint="eastAsia" w:ascii="宋体" w:hAnsi="宋体" w:cs="宋体"/>
          <w:color w:val="auto"/>
          <w:szCs w:val="24"/>
          <w:highlight w:val="none"/>
        </w:rPr>
        <w:fldChar w:fldCharType="end"/>
      </w:r>
    </w:p>
    <w:p w14:paraId="7A8D926E">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_Toc2172 </w:instrText>
      </w:r>
      <w:r>
        <w:rPr>
          <w:rFonts w:hint="eastAsia" w:ascii="宋体" w:hAnsi="宋体" w:cs="宋体"/>
          <w:szCs w:val="24"/>
          <w:highlight w:val="none"/>
        </w:rPr>
        <w:fldChar w:fldCharType="separate"/>
      </w:r>
      <w:r>
        <w:rPr>
          <w:rFonts w:hint="eastAsia" w:ascii="宋体" w:hAnsi="宋体" w:eastAsia="宋体"/>
          <w:bCs w:val="0"/>
          <w:szCs w:val="21"/>
          <w:highlight w:val="none"/>
        </w:rPr>
        <w:t>4. 响应文件递交</w:t>
      </w:r>
      <w:r>
        <w:rPr>
          <w:highlight w:val="none"/>
        </w:rPr>
        <w:tab/>
      </w:r>
      <w:r>
        <w:rPr>
          <w:highlight w:val="none"/>
        </w:rPr>
        <w:fldChar w:fldCharType="begin"/>
      </w:r>
      <w:r>
        <w:rPr>
          <w:highlight w:val="none"/>
        </w:rPr>
        <w:instrText xml:space="preserve"> PAGEREF _Toc2172 \h </w:instrText>
      </w:r>
      <w:r>
        <w:rPr>
          <w:highlight w:val="none"/>
        </w:rPr>
        <w:fldChar w:fldCharType="separate"/>
      </w:r>
      <w:r>
        <w:rPr>
          <w:highlight w:val="none"/>
        </w:rPr>
        <w:t>21</w:t>
      </w:r>
      <w:r>
        <w:rPr>
          <w:highlight w:val="none"/>
        </w:rPr>
        <w:fldChar w:fldCharType="end"/>
      </w:r>
      <w:r>
        <w:rPr>
          <w:rFonts w:hint="eastAsia" w:ascii="宋体" w:hAnsi="宋体" w:cs="宋体"/>
          <w:color w:val="auto"/>
          <w:szCs w:val="24"/>
          <w:highlight w:val="none"/>
        </w:rPr>
        <w:fldChar w:fldCharType="end"/>
      </w:r>
    </w:p>
    <w:p w14:paraId="45F7CAE4">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_Toc16587 </w:instrText>
      </w:r>
      <w:r>
        <w:rPr>
          <w:rFonts w:hint="eastAsia" w:ascii="宋体" w:hAnsi="宋体" w:cs="宋体"/>
          <w:szCs w:val="24"/>
          <w:highlight w:val="none"/>
        </w:rPr>
        <w:fldChar w:fldCharType="separate"/>
      </w:r>
      <w:r>
        <w:rPr>
          <w:rFonts w:hint="eastAsia" w:ascii="宋体" w:hAnsi="宋体" w:eastAsia="宋体"/>
          <w:bCs w:val="0"/>
          <w:szCs w:val="21"/>
          <w:highlight w:val="none"/>
        </w:rPr>
        <w:t>5. 磋商</w:t>
      </w:r>
      <w:r>
        <w:rPr>
          <w:highlight w:val="none"/>
        </w:rPr>
        <w:tab/>
      </w:r>
      <w:r>
        <w:rPr>
          <w:highlight w:val="none"/>
        </w:rPr>
        <w:fldChar w:fldCharType="begin"/>
      </w:r>
      <w:r>
        <w:rPr>
          <w:highlight w:val="none"/>
        </w:rPr>
        <w:instrText xml:space="preserve"> PAGEREF _Toc16587 \h </w:instrText>
      </w:r>
      <w:r>
        <w:rPr>
          <w:highlight w:val="none"/>
        </w:rPr>
        <w:fldChar w:fldCharType="separate"/>
      </w:r>
      <w:r>
        <w:rPr>
          <w:highlight w:val="none"/>
        </w:rPr>
        <w:t>21</w:t>
      </w:r>
      <w:r>
        <w:rPr>
          <w:highlight w:val="none"/>
        </w:rPr>
        <w:fldChar w:fldCharType="end"/>
      </w:r>
      <w:r>
        <w:rPr>
          <w:rFonts w:hint="eastAsia" w:ascii="宋体" w:hAnsi="宋体" w:cs="宋体"/>
          <w:color w:val="auto"/>
          <w:szCs w:val="24"/>
          <w:highlight w:val="none"/>
        </w:rPr>
        <w:fldChar w:fldCharType="end"/>
      </w:r>
    </w:p>
    <w:p w14:paraId="396D6BEC">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_Toc20491 </w:instrText>
      </w:r>
      <w:r>
        <w:rPr>
          <w:rFonts w:hint="eastAsia" w:ascii="宋体" w:hAnsi="宋体" w:cs="宋体"/>
          <w:szCs w:val="24"/>
          <w:highlight w:val="none"/>
        </w:rPr>
        <w:fldChar w:fldCharType="separate"/>
      </w:r>
      <w:r>
        <w:rPr>
          <w:rFonts w:hint="eastAsia" w:ascii="宋体" w:hAnsi="宋体" w:eastAsia="宋体"/>
          <w:bCs w:val="0"/>
          <w:szCs w:val="21"/>
          <w:highlight w:val="none"/>
        </w:rPr>
        <w:t>6. 磋商小组</w:t>
      </w:r>
      <w:r>
        <w:rPr>
          <w:highlight w:val="none"/>
        </w:rPr>
        <w:tab/>
      </w:r>
      <w:r>
        <w:rPr>
          <w:highlight w:val="none"/>
        </w:rPr>
        <w:fldChar w:fldCharType="begin"/>
      </w:r>
      <w:r>
        <w:rPr>
          <w:highlight w:val="none"/>
        </w:rPr>
        <w:instrText xml:space="preserve"> PAGEREF _Toc20491 \h </w:instrText>
      </w:r>
      <w:r>
        <w:rPr>
          <w:highlight w:val="none"/>
        </w:rPr>
        <w:fldChar w:fldCharType="separate"/>
      </w:r>
      <w:r>
        <w:rPr>
          <w:highlight w:val="none"/>
        </w:rPr>
        <w:t>22</w:t>
      </w:r>
      <w:r>
        <w:rPr>
          <w:highlight w:val="none"/>
        </w:rPr>
        <w:fldChar w:fldCharType="end"/>
      </w:r>
      <w:r>
        <w:rPr>
          <w:rFonts w:hint="eastAsia" w:ascii="宋体" w:hAnsi="宋体" w:cs="宋体"/>
          <w:color w:val="auto"/>
          <w:szCs w:val="24"/>
          <w:highlight w:val="none"/>
        </w:rPr>
        <w:fldChar w:fldCharType="end"/>
      </w:r>
    </w:p>
    <w:p w14:paraId="2B583806">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_Toc23413 </w:instrText>
      </w:r>
      <w:r>
        <w:rPr>
          <w:rFonts w:hint="eastAsia" w:ascii="宋体" w:hAnsi="宋体" w:cs="宋体"/>
          <w:szCs w:val="24"/>
          <w:highlight w:val="none"/>
        </w:rPr>
        <w:fldChar w:fldCharType="separate"/>
      </w:r>
      <w:r>
        <w:rPr>
          <w:rFonts w:hint="eastAsia" w:ascii="宋体" w:hAnsi="宋体" w:eastAsia="宋体"/>
          <w:bCs w:val="0"/>
          <w:szCs w:val="21"/>
          <w:highlight w:val="none"/>
        </w:rPr>
        <w:t>7. 合同授予</w:t>
      </w:r>
      <w:r>
        <w:rPr>
          <w:highlight w:val="none"/>
        </w:rPr>
        <w:tab/>
      </w:r>
      <w:r>
        <w:rPr>
          <w:highlight w:val="none"/>
        </w:rPr>
        <w:fldChar w:fldCharType="begin"/>
      </w:r>
      <w:r>
        <w:rPr>
          <w:highlight w:val="none"/>
        </w:rPr>
        <w:instrText xml:space="preserve"> PAGEREF _Toc23413 \h </w:instrText>
      </w:r>
      <w:r>
        <w:rPr>
          <w:highlight w:val="none"/>
        </w:rPr>
        <w:fldChar w:fldCharType="separate"/>
      </w:r>
      <w:r>
        <w:rPr>
          <w:highlight w:val="none"/>
        </w:rPr>
        <w:t>23</w:t>
      </w:r>
      <w:r>
        <w:rPr>
          <w:highlight w:val="none"/>
        </w:rPr>
        <w:fldChar w:fldCharType="end"/>
      </w:r>
      <w:r>
        <w:rPr>
          <w:rFonts w:hint="eastAsia" w:ascii="宋体" w:hAnsi="宋体" w:cs="宋体"/>
          <w:color w:val="auto"/>
          <w:szCs w:val="24"/>
          <w:highlight w:val="none"/>
        </w:rPr>
        <w:fldChar w:fldCharType="end"/>
      </w:r>
    </w:p>
    <w:p w14:paraId="43F75F76">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_Toc10408 </w:instrText>
      </w:r>
      <w:r>
        <w:rPr>
          <w:rFonts w:hint="eastAsia" w:ascii="宋体" w:hAnsi="宋体" w:cs="宋体"/>
          <w:szCs w:val="24"/>
          <w:highlight w:val="none"/>
        </w:rPr>
        <w:fldChar w:fldCharType="separate"/>
      </w:r>
      <w:r>
        <w:rPr>
          <w:rFonts w:hint="eastAsia" w:ascii="宋体" w:hAnsi="宋体" w:eastAsia="宋体"/>
          <w:bCs w:val="0"/>
          <w:szCs w:val="21"/>
          <w:highlight w:val="none"/>
        </w:rPr>
        <w:t>8. 重新招标</w:t>
      </w:r>
      <w:r>
        <w:rPr>
          <w:highlight w:val="none"/>
        </w:rPr>
        <w:tab/>
      </w:r>
      <w:r>
        <w:rPr>
          <w:highlight w:val="none"/>
        </w:rPr>
        <w:fldChar w:fldCharType="begin"/>
      </w:r>
      <w:r>
        <w:rPr>
          <w:highlight w:val="none"/>
        </w:rPr>
        <w:instrText xml:space="preserve"> PAGEREF _Toc10408 \h </w:instrText>
      </w:r>
      <w:r>
        <w:rPr>
          <w:highlight w:val="none"/>
        </w:rPr>
        <w:fldChar w:fldCharType="separate"/>
      </w:r>
      <w:r>
        <w:rPr>
          <w:highlight w:val="none"/>
        </w:rPr>
        <w:t>24</w:t>
      </w:r>
      <w:r>
        <w:rPr>
          <w:highlight w:val="none"/>
        </w:rPr>
        <w:fldChar w:fldCharType="end"/>
      </w:r>
      <w:r>
        <w:rPr>
          <w:rFonts w:hint="eastAsia" w:ascii="宋体" w:hAnsi="宋体" w:cs="宋体"/>
          <w:color w:val="auto"/>
          <w:szCs w:val="24"/>
          <w:highlight w:val="none"/>
        </w:rPr>
        <w:fldChar w:fldCharType="end"/>
      </w:r>
    </w:p>
    <w:p w14:paraId="7628F085">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_Toc25064 </w:instrText>
      </w:r>
      <w:r>
        <w:rPr>
          <w:rFonts w:hint="eastAsia" w:ascii="宋体" w:hAnsi="宋体" w:cs="宋体"/>
          <w:szCs w:val="24"/>
          <w:highlight w:val="none"/>
        </w:rPr>
        <w:fldChar w:fldCharType="separate"/>
      </w:r>
      <w:r>
        <w:rPr>
          <w:rFonts w:hint="eastAsia" w:ascii="宋体" w:hAnsi="宋体" w:eastAsia="宋体"/>
          <w:bCs w:val="0"/>
          <w:szCs w:val="21"/>
          <w:highlight w:val="none"/>
        </w:rPr>
        <w:t>9. 纪律和监督</w:t>
      </w:r>
      <w:r>
        <w:rPr>
          <w:highlight w:val="none"/>
        </w:rPr>
        <w:tab/>
      </w:r>
      <w:r>
        <w:rPr>
          <w:highlight w:val="none"/>
        </w:rPr>
        <w:fldChar w:fldCharType="begin"/>
      </w:r>
      <w:r>
        <w:rPr>
          <w:highlight w:val="none"/>
        </w:rPr>
        <w:instrText xml:space="preserve"> PAGEREF _Toc25064 \h </w:instrText>
      </w:r>
      <w:r>
        <w:rPr>
          <w:highlight w:val="none"/>
        </w:rPr>
        <w:fldChar w:fldCharType="separate"/>
      </w:r>
      <w:r>
        <w:rPr>
          <w:highlight w:val="none"/>
        </w:rPr>
        <w:t>24</w:t>
      </w:r>
      <w:r>
        <w:rPr>
          <w:highlight w:val="none"/>
        </w:rPr>
        <w:fldChar w:fldCharType="end"/>
      </w:r>
      <w:r>
        <w:rPr>
          <w:rFonts w:hint="eastAsia" w:ascii="宋体" w:hAnsi="宋体" w:cs="宋体"/>
          <w:color w:val="auto"/>
          <w:szCs w:val="24"/>
          <w:highlight w:val="none"/>
        </w:rPr>
        <w:fldChar w:fldCharType="end"/>
      </w:r>
    </w:p>
    <w:p w14:paraId="65F67B46">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_Toc17931 </w:instrText>
      </w:r>
      <w:r>
        <w:rPr>
          <w:rFonts w:hint="eastAsia" w:ascii="宋体" w:hAnsi="宋体" w:cs="宋体"/>
          <w:szCs w:val="24"/>
          <w:highlight w:val="none"/>
        </w:rPr>
        <w:fldChar w:fldCharType="separate"/>
      </w:r>
      <w:r>
        <w:rPr>
          <w:rFonts w:hint="eastAsia" w:ascii="宋体" w:hAnsi="宋体" w:eastAsia="宋体"/>
          <w:bCs w:val="0"/>
          <w:szCs w:val="21"/>
          <w:highlight w:val="none"/>
        </w:rPr>
        <w:t>10. 需要补充的其他内容</w:t>
      </w:r>
      <w:r>
        <w:rPr>
          <w:highlight w:val="none"/>
        </w:rPr>
        <w:tab/>
      </w:r>
      <w:r>
        <w:rPr>
          <w:highlight w:val="none"/>
        </w:rPr>
        <w:fldChar w:fldCharType="begin"/>
      </w:r>
      <w:r>
        <w:rPr>
          <w:highlight w:val="none"/>
        </w:rPr>
        <w:instrText xml:space="preserve"> PAGEREF _Toc17931 \h </w:instrText>
      </w:r>
      <w:r>
        <w:rPr>
          <w:highlight w:val="none"/>
        </w:rPr>
        <w:fldChar w:fldCharType="separate"/>
      </w:r>
      <w:r>
        <w:rPr>
          <w:highlight w:val="none"/>
        </w:rPr>
        <w:t>26</w:t>
      </w:r>
      <w:r>
        <w:rPr>
          <w:highlight w:val="none"/>
        </w:rPr>
        <w:fldChar w:fldCharType="end"/>
      </w:r>
      <w:r>
        <w:rPr>
          <w:rFonts w:hint="eastAsia" w:ascii="宋体" w:hAnsi="宋体" w:cs="宋体"/>
          <w:color w:val="auto"/>
          <w:szCs w:val="24"/>
          <w:highlight w:val="none"/>
        </w:rPr>
        <w:fldChar w:fldCharType="end"/>
      </w:r>
    </w:p>
    <w:p w14:paraId="32F85E8D">
      <w:pPr>
        <w:pStyle w:val="24"/>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_Toc21163 </w:instrText>
      </w:r>
      <w:r>
        <w:rPr>
          <w:rFonts w:hint="eastAsia" w:ascii="宋体" w:hAnsi="宋体" w:cs="宋体"/>
          <w:szCs w:val="24"/>
          <w:highlight w:val="none"/>
        </w:rPr>
        <w:fldChar w:fldCharType="separate"/>
      </w:r>
      <w:r>
        <w:rPr>
          <w:rFonts w:hint="eastAsia" w:ascii="宋体" w:hAnsi="宋体"/>
          <w:kern w:val="44"/>
          <w:szCs w:val="36"/>
          <w:highlight w:val="none"/>
        </w:rPr>
        <w:t>第三章  评标办法（综合评分法）</w:t>
      </w:r>
      <w:r>
        <w:rPr>
          <w:highlight w:val="none"/>
        </w:rPr>
        <w:tab/>
      </w:r>
      <w:r>
        <w:rPr>
          <w:highlight w:val="none"/>
        </w:rPr>
        <w:fldChar w:fldCharType="begin"/>
      </w:r>
      <w:r>
        <w:rPr>
          <w:highlight w:val="none"/>
        </w:rPr>
        <w:instrText xml:space="preserve"> PAGEREF _Toc21163 \h </w:instrText>
      </w:r>
      <w:r>
        <w:rPr>
          <w:highlight w:val="none"/>
        </w:rPr>
        <w:fldChar w:fldCharType="separate"/>
      </w:r>
      <w:r>
        <w:rPr>
          <w:highlight w:val="none"/>
        </w:rPr>
        <w:t>31</w:t>
      </w:r>
      <w:r>
        <w:rPr>
          <w:highlight w:val="none"/>
        </w:rPr>
        <w:fldChar w:fldCharType="end"/>
      </w:r>
      <w:r>
        <w:rPr>
          <w:rFonts w:hint="eastAsia" w:ascii="宋体" w:hAnsi="宋体" w:cs="宋体"/>
          <w:color w:val="auto"/>
          <w:szCs w:val="24"/>
          <w:highlight w:val="none"/>
        </w:rPr>
        <w:fldChar w:fldCharType="end"/>
      </w:r>
    </w:p>
    <w:p w14:paraId="277F3A8E">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_Toc1952 </w:instrText>
      </w:r>
      <w:r>
        <w:rPr>
          <w:rFonts w:hint="eastAsia" w:ascii="宋体" w:hAnsi="宋体" w:cs="宋体"/>
          <w:szCs w:val="24"/>
          <w:highlight w:val="none"/>
        </w:rPr>
        <w:fldChar w:fldCharType="separate"/>
      </w:r>
      <w:r>
        <w:rPr>
          <w:rFonts w:hint="eastAsia" w:ascii="宋体" w:hAnsi="宋体" w:eastAsia="宋体"/>
          <w:bCs w:val="0"/>
          <w:szCs w:val="21"/>
          <w:highlight w:val="none"/>
        </w:rPr>
        <w:t>1.评审方法</w:t>
      </w:r>
      <w:r>
        <w:rPr>
          <w:highlight w:val="none"/>
        </w:rPr>
        <w:tab/>
      </w:r>
      <w:r>
        <w:rPr>
          <w:highlight w:val="none"/>
        </w:rPr>
        <w:fldChar w:fldCharType="begin"/>
      </w:r>
      <w:r>
        <w:rPr>
          <w:highlight w:val="none"/>
        </w:rPr>
        <w:instrText xml:space="preserve"> PAGEREF _Toc1952 \h </w:instrText>
      </w:r>
      <w:r>
        <w:rPr>
          <w:highlight w:val="none"/>
        </w:rPr>
        <w:fldChar w:fldCharType="separate"/>
      </w:r>
      <w:r>
        <w:rPr>
          <w:highlight w:val="none"/>
        </w:rPr>
        <w:t>36</w:t>
      </w:r>
      <w:r>
        <w:rPr>
          <w:highlight w:val="none"/>
        </w:rPr>
        <w:fldChar w:fldCharType="end"/>
      </w:r>
      <w:r>
        <w:rPr>
          <w:rFonts w:hint="eastAsia" w:ascii="宋体" w:hAnsi="宋体" w:cs="宋体"/>
          <w:color w:val="auto"/>
          <w:szCs w:val="24"/>
          <w:highlight w:val="none"/>
        </w:rPr>
        <w:fldChar w:fldCharType="end"/>
      </w:r>
    </w:p>
    <w:p w14:paraId="51C9AF52">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_Toc1648 </w:instrText>
      </w:r>
      <w:r>
        <w:rPr>
          <w:rFonts w:hint="eastAsia" w:ascii="宋体" w:hAnsi="宋体" w:cs="宋体"/>
          <w:szCs w:val="24"/>
          <w:highlight w:val="none"/>
        </w:rPr>
        <w:fldChar w:fldCharType="separate"/>
      </w:r>
      <w:r>
        <w:rPr>
          <w:rFonts w:hint="eastAsia" w:ascii="宋体" w:hAnsi="宋体" w:eastAsia="宋体"/>
          <w:bCs w:val="0"/>
          <w:szCs w:val="21"/>
          <w:highlight w:val="none"/>
        </w:rPr>
        <w:t>2. 评审标准</w:t>
      </w:r>
      <w:r>
        <w:rPr>
          <w:highlight w:val="none"/>
        </w:rPr>
        <w:tab/>
      </w:r>
      <w:r>
        <w:rPr>
          <w:highlight w:val="none"/>
        </w:rPr>
        <w:fldChar w:fldCharType="begin"/>
      </w:r>
      <w:r>
        <w:rPr>
          <w:highlight w:val="none"/>
        </w:rPr>
        <w:instrText xml:space="preserve"> PAGEREF _Toc1648 \h </w:instrText>
      </w:r>
      <w:r>
        <w:rPr>
          <w:highlight w:val="none"/>
        </w:rPr>
        <w:fldChar w:fldCharType="separate"/>
      </w:r>
      <w:r>
        <w:rPr>
          <w:highlight w:val="none"/>
        </w:rPr>
        <w:t>36</w:t>
      </w:r>
      <w:r>
        <w:rPr>
          <w:highlight w:val="none"/>
        </w:rPr>
        <w:fldChar w:fldCharType="end"/>
      </w:r>
      <w:r>
        <w:rPr>
          <w:rFonts w:hint="eastAsia" w:ascii="宋体" w:hAnsi="宋体" w:cs="宋体"/>
          <w:color w:val="auto"/>
          <w:szCs w:val="24"/>
          <w:highlight w:val="none"/>
        </w:rPr>
        <w:fldChar w:fldCharType="end"/>
      </w:r>
    </w:p>
    <w:p w14:paraId="595C0C92">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_Toc26213 </w:instrText>
      </w:r>
      <w:r>
        <w:rPr>
          <w:rFonts w:hint="eastAsia" w:ascii="宋体" w:hAnsi="宋体" w:cs="宋体"/>
          <w:szCs w:val="24"/>
          <w:highlight w:val="none"/>
        </w:rPr>
        <w:fldChar w:fldCharType="separate"/>
      </w:r>
      <w:r>
        <w:rPr>
          <w:rFonts w:hint="eastAsia" w:ascii="宋体" w:hAnsi="宋体" w:eastAsia="宋体"/>
          <w:bCs w:val="0"/>
          <w:szCs w:val="21"/>
          <w:highlight w:val="none"/>
        </w:rPr>
        <w:t>3. 评审程序</w:t>
      </w:r>
      <w:r>
        <w:rPr>
          <w:highlight w:val="none"/>
        </w:rPr>
        <w:tab/>
      </w:r>
      <w:r>
        <w:rPr>
          <w:highlight w:val="none"/>
        </w:rPr>
        <w:fldChar w:fldCharType="begin"/>
      </w:r>
      <w:r>
        <w:rPr>
          <w:highlight w:val="none"/>
        </w:rPr>
        <w:instrText xml:space="preserve"> PAGEREF _Toc26213 \h </w:instrText>
      </w:r>
      <w:r>
        <w:rPr>
          <w:highlight w:val="none"/>
        </w:rPr>
        <w:fldChar w:fldCharType="separate"/>
      </w:r>
      <w:r>
        <w:rPr>
          <w:highlight w:val="none"/>
        </w:rPr>
        <w:t>36</w:t>
      </w:r>
      <w:r>
        <w:rPr>
          <w:highlight w:val="none"/>
        </w:rPr>
        <w:fldChar w:fldCharType="end"/>
      </w:r>
      <w:r>
        <w:rPr>
          <w:rFonts w:hint="eastAsia" w:ascii="宋体" w:hAnsi="宋体" w:cs="宋体"/>
          <w:color w:val="auto"/>
          <w:szCs w:val="24"/>
          <w:highlight w:val="none"/>
        </w:rPr>
        <w:fldChar w:fldCharType="end"/>
      </w:r>
    </w:p>
    <w:p w14:paraId="70143148">
      <w:pPr>
        <w:pStyle w:val="24"/>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_Toc20744 </w:instrText>
      </w:r>
      <w:r>
        <w:rPr>
          <w:rFonts w:hint="eastAsia" w:ascii="宋体" w:hAnsi="宋体" w:cs="宋体"/>
          <w:szCs w:val="24"/>
          <w:highlight w:val="none"/>
        </w:rPr>
        <w:fldChar w:fldCharType="separate"/>
      </w:r>
      <w:r>
        <w:rPr>
          <w:rFonts w:hint="eastAsia" w:ascii="宋体" w:hAnsi="宋体"/>
          <w:bCs w:val="0"/>
          <w:szCs w:val="28"/>
          <w:highlight w:val="none"/>
        </w:rPr>
        <w:t>第四章  合同条款及格式</w:t>
      </w:r>
      <w:r>
        <w:rPr>
          <w:highlight w:val="none"/>
        </w:rPr>
        <w:tab/>
      </w:r>
      <w:r>
        <w:rPr>
          <w:highlight w:val="none"/>
        </w:rPr>
        <w:fldChar w:fldCharType="begin"/>
      </w:r>
      <w:r>
        <w:rPr>
          <w:highlight w:val="none"/>
        </w:rPr>
        <w:instrText xml:space="preserve"> PAGEREF _Toc20744 \h </w:instrText>
      </w:r>
      <w:r>
        <w:rPr>
          <w:highlight w:val="none"/>
        </w:rPr>
        <w:fldChar w:fldCharType="separate"/>
      </w:r>
      <w:r>
        <w:rPr>
          <w:highlight w:val="none"/>
        </w:rPr>
        <w:t>38</w:t>
      </w:r>
      <w:r>
        <w:rPr>
          <w:highlight w:val="none"/>
        </w:rPr>
        <w:fldChar w:fldCharType="end"/>
      </w:r>
      <w:r>
        <w:rPr>
          <w:rFonts w:hint="eastAsia" w:ascii="宋体" w:hAnsi="宋体" w:cs="宋体"/>
          <w:color w:val="auto"/>
          <w:szCs w:val="24"/>
          <w:highlight w:val="none"/>
        </w:rPr>
        <w:fldChar w:fldCharType="end"/>
      </w:r>
    </w:p>
    <w:p w14:paraId="6EB1EDC5">
      <w:pPr>
        <w:pStyle w:val="24"/>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_Toc21125 </w:instrText>
      </w:r>
      <w:r>
        <w:rPr>
          <w:rFonts w:hint="eastAsia" w:ascii="宋体" w:hAnsi="宋体" w:cs="宋体"/>
          <w:szCs w:val="24"/>
          <w:highlight w:val="none"/>
        </w:rPr>
        <w:fldChar w:fldCharType="separate"/>
      </w:r>
      <w:r>
        <w:rPr>
          <w:rFonts w:hint="eastAsia" w:ascii="宋体" w:hAnsi="宋体"/>
          <w:bCs/>
          <w:szCs w:val="30"/>
          <w:highlight w:val="none"/>
        </w:rPr>
        <w:t>第五章 采购需求</w:t>
      </w:r>
      <w:r>
        <w:rPr>
          <w:highlight w:val="none"/>
        </w:rPr>
        <w:tab/>
      </w:r>
      <w:r>
        <w:rPr>
          <w:highlight w:val="none"/>
        </w:rPr>
        <w:fldChar w:fldCharType="begin"/>
      </w:r>
      <w:r>
        <w:rPr>
          <w:highlight w:val="none"/>
        </w:rPr>
        <w:instrText xml:space="preserve"> PAGEREF _Toc21125 \h </w:instrText>
      </w:r>
      <w:r>
        <w:rPr>
          <w:highlight w:val="none"/>
        </w:rPr>
        <w:fldChar w:fldCharType="separate"/>
      </w:r>
      <w:r>
        <w:rPr>
          <w:highlight w:val="none"/>
        </w:rPr>
        <w:t>52</w:t>
      </w:r>
      <w:r>
        <w:rPr>
          <w:highlight w:val="none"/>
        </w:rPr>
        <w:fldChar w:fldCharType="end"/>
      </w:r>
      <w:r>
        <w:rPr>
          <w:rFonts w:hint="eastAsia" w:ascii="宋体" w:hAnsi="宋体" w:cs="宋体"/>
          <w:color w:val="auto"/>
          <w:szCs w:val="24"/>
          <w:highlight w:val="none"/>
        </w:rPr>
        <w:fldChar w:fldCharType="end"/>
      </w:r>
    </w:p>
    <w:p w14:paraId="44876BD3">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_Toc10000 </w:instrText>
      </w:r>
      <w:r>
        <w:rPr>
          <w:rFonts w:hint="eastAsia" w:ascii="宋体" w:hAnsi="宋体" w:cs="宋体"/>
          <w:szCs w:val="24"/>
          <w:highlight w:val="none"/>
        </w:rPr>
        <w:fldChar w:fldCharType="separate"/>
      </w:r>
      <w:r>
        <w:rPr>
          <w:rFonts w:hint="eastAsia" w:ascii="宋体" w:hAnsi="宋体" w:eastAsia="宋体" w:cs="宋体"/>
          <w:szCs w:val="24"/>
          <w:highlight w:val="none"/>
          <w:lang w:val="en-US" w:eastAsia="zh-CN"/>
        </w:rPr>
        <w:t>1、设备采购配置及技术参数要求</w:t>
      </w:r>
      <w:r>
        <w:rPr>
          <w:highlight w:val="none"/>
        </w:rPr>
        <w:tab/>
      </w:r>
      <w:r>
        <w:rPr>
          <w:highlight w:val="none"/>
        </w:rPr>
        <w:fldChar w:fldCharType="begin"/>
      </w:r>
      <w:r>
        <w:rPr>
          <w:highlight w:val="none"/>
        </w:rPr>
        <w:instrText xml:space="preserve"> PAGEREF _Toc10000 \h </w:instrText>
      </w:r>
      <w:r>
        <w:rPr>
          <w:highlight w:val="none"/>
        </w:rPr>
        <w:fldChar w:fldCharType="separate"/>
      </w:r>
      <w:r>
        <w:rPr>
          <w:highlight w:val="none"/>
        </w:rPr>
        <w:t>52</w:t>
      </w:r>
      <w:r>
        <w:rPr>
          <w:highlight w:val="none"/>
        </w:rPr>
        <w:fldChar w:fldCharType="end"/>
      </w:r>
      <w:r>
        <w:rPr>
          <w:rFonts w:hint="eastAsia" w:ascii="宋体" w:hAnsi="宋体" w:cs="宋体"/>
          <w:color w:val="auto"/>
          <w:szCs w:val="24"/>
          <w:highlight w:val="none"/>
        </w:rPr>
        <w:fldChar w:fldCharType="end"/>
      </w:r>
    </w:p>
    <w:p w14:paraId="5E9C07AF">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_Toc1761 </w:instrText>
      </w:r>
      <w:r>
        <w:rPr>
          <w:rFonts w:hint="eastAsia" w:ascii="宋体" w:hAnsi="宋体" w:cs="宋体"/>
          <w:szCs w:val="24"/>
          <w:highlight w:val="none"/>
        </w:rPr>
        <w:fldChar w:fldCharType="separate"/>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商务</w:t>
      </w:r>
      <w:r>
        <w:rPr>
          <w:rFonts w:hint="eastAsia" w:ascii="宋体" w:hAnsi="宋体" w:eastAsia="宋体" w:cs="宋体"/>
          <w:szCs w:val="24"/>
          <w:highlight w:val="none"/>
          <w:lang w:eastAsia="zh-CN"/>
        </w:rPr>
        <w:t>服务</w:t>
      </w:r>
      <w:r>
        <w:rPr>
          <w:rFonts w:hint="eastAsia" w:ascii="宋体" w:hAnsi="宋体" w:eastAsia="宋体" w:cs="宋体"/>
          <w:szCs w:val="24"/>
          <w:highlight w:val="none"/>
        </w:rPr>
        <w:t>要求</w:t>
      </w:r>
      <w:r>
        <w:rPr>
          <w:highlight w:val="none"/>
        </w:rPr>
        <w:tab/>
      </w:r>
      <w:r>
        <w:rPr>
          <w:highlight w:val="none"/>
        </w:rPr>
        <w:fldChar w:fldCharType="begin"/>
      </w:r>
      <w:r>
        <w:rPr>
          <w:highlight w:val="none"/>
        </w:rPr>
        <w:instrText xml:space="preserve"> PAGEREF _Toc1761 \h </w:instrText>
      </w:r>
      <w:r>
        <w:rPr>
          <w:highlight w:val="none"/>
        </w:rPr>
        <w:fldChar w:fldCharType="separate"/>
      </w:r>
      <w:r>
        <w:rPr>
          <w:highlight w:val="none"/>
        </w:rPr>
        <w:t>54</w:t>
      </w:r>
      <w:r>
        <w:rPr>
          <w:highlight w:val="none"/>
        </w:rPr>
        <w:fldChar w:fldCharType="end"/>
      </w:r>
      <w:r>
        <w:rPr>
          <w:rFonts w:hint="eastAsia" w:ascii="宋体" w:hAnsi="宋体" w:cs="宋体"/>
          <w:color w:val="auto"/>
          <w:szCs w:val="24"/>
          <w:highlight w:val="none"/>
        </w:rPr>
        <w:fldChar w:fldCharType="end"/>
      </w:r>
    </w:p>
    <w:p w14:paraId="11ACF213">
      <w:pPr>
        <w:pStyle w:val="24"/>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_Toc21960 </w:instrText>
      </w:r>
      <w:r>
        <w:rPr>
          <w:rFonts w:hint="eastAsia" w:ascii="宋体" w:hAnsi="宋体" w:cs="宋体"/>
          <w:szCs w:val="24"/>
          <w:highlight w:val="none"/>
        </w:rPr>
        <w:fldChar w:fldCharType="separate"/>
      </w:r>
      <w:r>
        <w:rPr>
          <w:rFonts w:hint="eastAsia" w:ascii="宋体" w:hAnsi="宋体"/>
          <w:bCs w:val="0"/>
          <w:szCs w:val="36"/>
          <w:highlight w:val="none"/>
        </w:rPr>
        <w:t>第六章  响应文件格式</w:t>
      </w:r>
      <w:r>
        <w:rPr>
          <w:highlight w:val="none"/>
        </w:rPr>
        <w:tab/>
      </w:r>
      <w:r>
        <w:rPr>
          <w:highlight w:val="none"/>
        </w:rPr>
        <w:fldChar w:fldCharType="begin"/>
      </w:r>
      <w:r>
        <w:rPr>
          <w:highlight w:val="none"/>
        </w:rPr>
        <w:instrText xml:space="preserve"> PAGEREF _Toc21960 \h </w:instrText>
      </w:r>
      <w:r>
        <w:rPr>
          <w:highlight w:val="none"/>
        </w:rPr>
        <w:fldChar w:fldCharType="separate"/>
      </w:r>
      <w:r>
        <w:rPr>
          <w:highlight w:val="none"/>
        </w:rPr>
        <w:t>58</w:t>
      </w:r>
      <w:r>
        <w:rPr>
          <w:highlight w:val="none"/>
        </w:rPr>
        <w:fldChar w:fldCharType="end"/>
      </w:r>
      <w:r>
        <w:rPr>
          <w:rFonts w:hint="eastAsia" w:ascii="宋体" w:hAnsi="宋体" w:cs="宋体"/>
          <w:color w:val="auto"/>
          <w:szCs w:val="24"/>
          <w:highlight w:val="none"/>
        </w:rPr>
        <w:fldChar w:fldCharType="end"/>
      </w:r>
    </w:p>
    <w:p w14:paraId="1F27E885">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_Toc18931 </w:instrText>
      </w:r>
      <w:r>
        <w:rPr>
          <w:rFonts w:hint="eastAsia" w:ascii="宋体" w:hAnsi="宋体" w:cs="宋体"/>
          <w:szCs w:val="24"/>
          <w:highlight w:val="none"/>
        </w:rPr>
        <w:fldChar w:fldCharType="separate"/>
      </w:r>
      <w:r>
        <w:rPr>
          <w:rFonts w:hint="eastAsia" w:ascii="宋体" w:hAnsi="宋体" w:eastAsia="宋体" w:cs="宋体"/>
          <w:bCs w:val="0"/>
          <w:szCs w:val="28"/>
          <w:highlight w:val="none"/>
        </w:rPr>
        <w:t>一、磋商函及磋商函附录</w:t>
      </w:r>
      <w:r>
        <w:rPr>
          <w:highlight w:val="none"/>
        </w:rPr>
        <w:tab/>
      </w:r>
      <w:r>
        <w:rPr>
          <w:highlight w:val="none"/>
        </w:rPr>
        <w:fldChar w:fldCharType="begin"/>
      </w:r>
      <w:r>
        <w:rPr>
          <w:highlight w:val="none"/>
        </w:rPr>
        <w:instrText xml:space="preserve"> PAGEREF _Toc18931 \h </w:instrText>
      </w:r>
      <w:r>
        <w:rPr>
          <w:highlight w:val="none"/>
        </w:rPr>
        <w:fldChar w:fldCharType="separate"/>
      </w:r>
      <w:r>
        <w:rPr>
          <w:highlight w:val="none"/>
        </w:rPr>
        <w:t>60</w:t>
      </w:r>
      <w:r>
        <w:rPr>
          <w:highlight w:val="none"/>
        </w:rPr>
        <w:fldChar w:fldCharType="end"/>
      </w:r>
      <w:r>
        <w:rPr>
          <w:rFonts w:hint="eastAsia" w:ascii="宋体" w:hAnsi="宋体" w:cs="宋体"/>
          <w:color w:val="auto"/>
          <w:szCs w:val="24"/>
          <w:highlight w:val="none"/>
        </w:rPr>
        <w:fldChar w:fldCharType="end"/>
      </w:r>
    </w:p>
    <w:p w14:paraId="3B4540CA">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_Toc1789 </w:instrText>
      </w:r>
      <w:r>
        <w:rPr>
          <w:rFonts w:hint="eastAsia" w:ascii="宋体" w:hAnsi="宋体" w:cs="宋体"/>
          <w:szCs w:val="24"/>
          <w:highlight w:val="none"/>
        </w:rPr>
        <w:fldChar w:fldCharType="separate"/>
      </w:r>
      <w:r>
        <w:rPr>
          <w:rFonts w:hint="eastAsia" w:ascii="宋体" w:hAnsi="宋体" w:eastAsia="宋体" w:cs="宋体"/>
          <w:bCs w:val="0"/>
          <w:szCs w:val="28"/>
          <w:highlight w:val="none"/>
          <w:lang w:val="en-US" w:eastAsia="zh-CN"/>
        </w:rPr>
        <w:t>二、法定代表身份证明</w:t>
      </w:r>
      <w:r>
        <w:rPr>
          <w:highlight w:val="none"/>
        </w:rPr>
        <w:tab/>
      </w:r>
      <w:r>
        <w:rPr>
          <w:highlight w:val="none"/>
        </w:rPr>
        <w:fldChar w:fldCharType="begin"/>
      </w:r>
      <w:r>
        <w:rPr>
          <w:highlight w:val="none"/>
        </w:rPr>
        <w:instrText xml:space="preserve"> PAGEREF _Toc1789 \h </w:instrText>
      </w:r>
      <w:r>
        <w:rPr>
          <w:highlight w:val="none"/>
        </w:rPr>
        <w:fldChar w:fldCharType="separate"/>
      </w:r>
      <w:r>
        <w:rPr>
          <w:highlight w:val="none"/>
        </w:rPr>
        <w:t>62</w:t>
      </w:r>
      <w:r>
        <w:rPr>
          <w:highlight w:val="none"/>
        </w:rPr>
        <w:fldChar w:fldCharType="end"/>
      </w:r>
      <w:r>
        <w:rPr>
          <w:rFonts w:hint="eastAsia" w:ascii="宋体" w:hAnsi="宋体" w:cs="宋体"/>
          <w:color w:val="auto"/>
          <w:szCs w:val="24"/>
          <w:highlight w:val="none"/>
        </w:rPr>
        <w:fldChar w:fldCharType="end"/>
      </w:r>
    </w:p>
    <w:p w14:paraId="73261FB2">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_Toc3755 </w:instrText>
      </w:r>
      <w:r>
        <w:rPr>
          <w:rFonts w:hint="eastAsia" w:ascii="宋体" w:hAnsi="宋体" w:cs="宋体"/>
          <w:szCs w:val="24"/>
          <w:highlight w:val="none"/>
        </w:rPr>
        <w:fldChar w:fldCharType="separate"/>
      </w:r>
      <w:r>
        <w:rPr>
          <w:rFonts w:hint="eastAsia" w:ascii="宋体" w:hAnsi="宋体" w:eastAsia="宋体" w:cs="宋体"/>
          <w:bCs w:val="0"/>
          <w:szCs w:val="28"/>
          <w:highlight w:val="none"/>
          <w:lang w:val="en-US" w:eastAsia="zh-CN"/>
        </w:rPr>
        <w:t>三、授权委托书</w:t>
      </w:r>
      <w:r>
        <w:rPr>
          <w:highlight w:val="none"/>
        </w:rPr>
        <w:tab/>
      </w:r>
      <w:r>
        <w:rPr>
          <w:highlight w:val="none"/>
        </w:rPr>
        <w:fldChar w:fldCharType="begin"/>
      </w:r>
      <w:r>
        <w:rPr>
          <w:highlight w:val="none"/>
        </w:rPr>
        <w:instrText xml:space="preserve"> PAGEREF _Toc3755 \h </w:instrText>
      </w:r>
      <w:r>
        <w:rPr>
          <w:highlight w:val="none"/>
        </w:rPr>
        <w:fldChar w:fldCharType="separate"/>
      </w:r>
      <w:r>
        <w:rPr>
          <w:highlight w:val="none"/>
        </w:rPr>
        <w:t>63</w:t>
      </w:r>
      <w:r>
        <w:rPr>
          <w:highlight w:val="none"/>
        </w:rPr>
        <w:fldChar w:fldCharType="end"/>
      </w:r>
      <w:r>
        <w:rPr>
          <w:rFonts w:hint="eastAsia" w:ascii="宋体" w:hAnsi="宋体" w:cs="宋体"/>
          <w:color w:val="auto"/>
          <w:szCs w:val="24"/>
          <w:highlight w:val="none"/>
        </w:rPr>
        <w:fldChar w:fldCharType="end"/>
      </w:r>
    </w:p>
    <w:p w14:paraId="6B6ED5C5">
      <w:pPr>
        <w:pStyle w:val="28"/>
        <w:tabs>
          <w:tab w:val="right" w:leader="dot" w:pos="8305"/>
        </w:tabs>
        <w:rPr>
          <w:rFonts w:hint="eastAsia" w:eastAsia="宋体"/>
          <w:highlight w:val="none"/>
          <w:lang w:val="en-US" w:eastAsia="zh-CN"/>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_Toc22767 </w:instrText>
      </w:r>
      <w:r>
        <w:rPr>
          <w:rFonts w:hint="eastAsia" w:ascii="宋体" w:hAnsi="宋体" w:cs="宋体"/>
          <w:szCs w:val="24"/>
          <w:highlight w:val="none"/>
        </w:rPr>
        <w:fldChar w:fldCharType="separate"/>
      </w:r>
      <w:r>
        <w:rPr>
          <w:rFonts w:hint="eastAsia" w:ascii="宋体" w:hAnsi="宋体" w:eastAsia="宋体" w:cs="宋体"/>
          <w:szCs w:val="28"/>
          <w:highlight w:val="none"/>
          <w:lang w:val="en-US" w:eastAsia="zh-CN"/>
        </w:rPr>
        <w:t>四、</w:t>
      </w:r>
      <w:r>
        <w:rPr>
          <w:rFonts w:hint="eastAsia" w:ascii="宋体" w:hAnsi="宋体" w:cs="宋体"/>
          <w:szCs w:val="28"/>
          <w:highlight w:val="none"/>
          <w:lang w:eastAsia="zh-CN"/>
        </w:rPr>
        <w:t>投标报价表格</w:t>
      </w:r>
      <w:r>
        <w:rPr>
          <w:highlight w:val="none"/>
        </w:rPr>
        <w:tab/>
      </w:r>
      <w:r>
        <w:rPr>
          <w:rFonts w:hint="eastAsia"/>
          <w:highlight w:val="none"/>
          <w:lang w:val="en-US" w:eastAsia="zh-CN"/>
        </w:rPr>
        <w:t>6</w:t>
      </w:r>
      <w:r>
        <w:rPr>
          <w:rFonts w:hint="eastAsia" w:ascii="宋体" w:hAnsi="宋体" w:cs="宋体"/>
          <w:color w:val="auto"/>
          <w:szCs w:val="24"/>
          <w:highlight w:val="none"/>
        </w:rPr>
        <w:fldChar w:fldCharType="end"/>
      </w:r>
      <w:r>
        <w:rPr>
          <w:rFonts w:hint="eastAsia" w:ascii="宋体" w:hAnsi="宋体" w:cs="宋体"/>
          <w:color w:val="auto"/>
          <w:szCs w:val="24"/>
          <w:highlight w:val="none"/>
          <w:lang w:val="en-US" w:eastAsia="zh-CN"/>
        </w:rPr>
        <w:t>5</w:t>
      </w:r>
    </w:p>
    <w:p w14:paraId="44E7F96A">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_Toc15659 </w:instrText>
      </w:r>
      <w:r>
        <w:rPr>
          <w:rFonts w:hint="eastAsia" w:ascii="宋体" w:hAnsi="宋体" w:cs="宋体"/>
          <w:szCs w:val="24"/>
          <w:highlight w:val="none"/>
        </w:rPr>
        <w:fldChar w:fldCharType="separate"/>
      </w:r>
      <w:r>
        <w:rPr>
          <w:rFonts w:hint="eastAsia" w:ascii="宋体" w:hAnsi="宋体" w:eastAsia="宋体" w:cs="宋体"/>
          <w:szCs w:val="28"/>
          <w:highlight w:val="none"/>
        </w:rPr>
        <w:t>五、资格审查资料</w:t>
      </w:r>
      <w:r>
        <w:rPr>
          <w:highlight w:val="none"/>
        </w:rPr>
        <w:tab/>
      </w:r>
      <w:r>
        <w:rPr>
          <w:highlight w:val="none"/>
        </w:rPr>
        <w:fldChar w:fldCharType="begin"/>
      </w:r>
      <w:r>
        <w:rPr>
          <w:highlight w:val="none"/>
        </w:rPr>
        <w:instrText xml:space="preserve"> PAGEREF _Toc15659 \h </w:instrText>
      </w:r>
      <w:r>
        <w:rPr>
          <w:highlight w:val="none"/>
        </w:rPr>
        <w:fldChar w:fldCharType="separate"/>
      </w:r>
      <w:r>
        <w:rPr>
          <w:highlight w:val="none"/>
        </w:rPr>
        <w:t>66</w:t>
      </w:r>
      <w:r>
        <w:rPr>
          <w:highlight w:val="none"/>
        </w:rPr>
        <w:fldChar w:fldCharType="end"/>
      </w:r>
      <w:r>
        <w:rPr>
          <w:rFonts w:hint="eastAsia" w:ascii="宋体" w:hAnsi="宋体" w:cs="宋体"/>
          <w:color w:val="auto"/>
          <w:szCs w:val="24"/>
          <w:highlight w:val="none"/>
        </w:rPr>
        <w:fldChar w:fldCharType="end"/>
      </w:r>
    </w:p>
    <w:p w14:paraId="53CC8133">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_Toc21131 </w:instrText>
      </w:r>
      <w:r>
        <w:rPr>
          <w:rFonts w:hint="eastAsia" w:ascii="宋体" w:hAnsi="宋体" w:cs="宋体"/>
          <w:szCs w:val="24"/>
          <w:highlight w:val="none"/>
        </w:rPr>
        <w:fldChar w:fldCharType="separate"/>
      </w:r>
      <w:r>
        <w:rPr>
          <w:rFonts w:hint="eastAsia" w:ascii="宋体" w:hAnsi="宋体" w:eastAsia="宋体" w:cs="宋体"/>
          <w:szCs w:val="28"/>
          <w:highlight w:val="none"/>
        </w:rPr>
        <w:t>六、技术规格偏差表</w:t>
      </w:r>
      <w:r>
        <w:rPr>
          <w:highlight w:val="none"/>
        </w:rPr>
        <w:tab/>
      </w:r>
      <w:r>
        <w:rPr>
          <w:highlight w:val="none"/>
        </w:rPr>
        <w:fldChar w:fldCharType="begin"/>
      </w:r>
      <w:r>
        <w:rPr>
          <w:highlight w:val="none"/>
        </w:rPr>
        <w:instrText xml:space="preserve"> PAGEREF _Toc21131 \h </w:instrText>
      </w:r>
      <w:r>
        <w:rPr>
          <w:highlight w:val="none"/>
        </w:rPr>
        <w:fldChar w:fldCharType="separate"/>
      </w:r>
      <w:r>
        <w:rPr>
          <w:highlight w:val="none"/>
        </w:rPr>
        <w:t>75</w:t>
      </w:r>
      <w:r>
        <w:rPr>
          <w:highlight w:val="none"/>
        </w:rPr>
        <w:fldChar w:fldCharType="end"/>
      </w:r>
      <w:r>
        <w:rPr>
          <w:rFonts w:hint="eastAsia" w:ascii="宋体" w:hAnsi="宋体" w:cs="宋体"/>
          <w:color w:val="auto"/>
          <w:szCs w:val="24"/>
          <w:highlight w:val="none"/>
        </w:rPr>
        <w:fldChar w:fldCharType="end"/>
      </w:r>
    </w:p>
    <w:p w14:paraId="072B1913">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_Toc27294 </w:instrText>
      </w:r>
      <w:r>
        <w:rPr>
          <w:rFonts w:hint="eastAsia" w:ascii="宋体" w:hAnsi="宋体" w:cs="宋体"/>
          <w:szCs w:val="24"/>
          <w:highlight w:val="none"/>
        </w:rPr>
        <w:fldChar w:fldCharType="separate"/>
      </w:r>
      <w:r>
        <w:rPr>
          <w:rFonts w:hint="eastAsia" w:ascii="宋体" w:hAnsi="宋体" w:eastAsia="宋体" w:cs="宋体"/>
          <w:szCs w:val="28"/>
          <w:highlight w:val="none"/>
        </w:rPr>
        <w:t>七、商务条款偏离表</w:t>
      </w:r>
      <w:r>
        <w:rPr>
          <w:highlight w:val="none"/>
        </w:rPr>
        <w:tab/>
      </w:r>
      <w:r>
        <w:rPr>
          <w:highlight w:val="none"/>
        </w:rPr>
        <w:fldChar w:fldCharType="begin"/>
      </w:r>
      <w:r>
        <w:rPr>
          <w:highlight w:val="none"/>
        </w:rPr>
        <w:instrText xml:space="preserve"> PAGEREF _Toc27294 \h </w:instrText>
      </w:r>
      <w:r>
        <w:rPr>
          <w:highlight w:val="none"/>
        </w:rPr>
        <w:fldChar w:fldCharType="separate"/>
      </w:r>
      <w:r>
        <w:rPr>
          <w:highlight w:val="none"/>
        </w:rPr>
        <w:t>76</w:t>
      </w:r>
      <w:r>
        <w:rPr>
          <w:highlight w:val="none"/>
        </w:rPr>
        <w:fldChar w:fldCharType="end"/>
      </w:r>
      <w:r>
        <w:rPr>
          <w:rFonts w:hint="eastAsia" w:ascii="宋体" w:hAnsi="宋体" w:cs="宋体"/>
          <w:color w:val="auto"/>
          <w:szCs w:val="24"/>
          <w:highlight w:val="none"/>
        </w:rPr>
        <w:fldChar w:fldCharType="end"/>
      </w:r>
    </w:p>
    <w:p w14:paraId="54FF0AA6">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_Toc32386 </w:instrText>
      </w:r>
      <w:r>
        <w:rPr>
          <w:rFonts w:hint="eastAsia" w:ascii="宋体" w:hAnsi="宋体" w:cs="宋体"/>
          <w:szCs w:val="24"/>
          <w:highlight w:val="none"/>
        </w:rPr>
        <w:fldChar w:fldCharType="separate"/>
      </w:r>
      <w:r>
        <w:rPr>
          <w:rFonts w:hint="eastAsia" w:ascii="宋体" w:hAnsi="宋体" w:eastAsia="宋体" w:cs="宋体"/>
          <w:szCs w:val="28"/>
          <w:highlight w:val="none"/>
        </w:rPr>
        <w:t>八、技术部分评审资料</w:t>
      </w:r>
      <w:r>
        <w:rPr>
          <w:highlight w:val="none"/>
        </w:rPr>
        <w:tab/>
      </w:r>
      <w:r>
        <w:rPr>
          <w:highlight w:val="none"/>
        </w:rPr>
        <w:fldChar w:fldCharType="begin"/>
      </w:r>
      <w:r>
        <w:rPr>
          <w:highlight w:val="none"/>
        </w:rPr>
        <w:instrText xml:space="preserve"> PAGEREF _Toc32386 \h </w:instrText>
      </w:r>
      <w:r>
        <w:rPr>
          <w:highlight w:val="none"/>
        </w:rPr>
        <w:fldChar w:fldCharType="separate"/>
      </w:r>
      <w:r>
        <w:rPr>
          <w:highlight w:val="none"/>
        </w:rPr>
        <w:t>77</w:t>
      </w:r>
      <w:r>
        <w:rPr>
          <w:highlight w:val="none"/>
        </w:rPr>
        <w:fldChar w:fldCharType="end"/>
      </w:r>
      <w:r>
        <w:rPr>
          <w:rFonts w:hint="eastAsia" w:ascii="宋体" w:hAnsi="宋体" w:cs="宋体"/>
          <w:color w:val="auto"/>
          <w:szCs w:val="24"/>
          <w:highlight w:val="none"/>
        </w:rPr>
        <w:fldChar w:fldCharType="end"/>
      </w:r>
    </w:p>
    <w:p w14:paraId="6DEB31D8">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_Toc16498 </w:instrText>
      </w:r>
      <w:r>
        <w:rPr>
          <w:rFonts w:hint="eastAsia" w:ascii="宋体" w:hAnsi="宋体" w:cs="宋体"/>
          <w:szCs w:val="24"/>
          <w:highlight w:val="none"/>
        </w:rPr>
        <w:fldChar w:fldCharType="separate"/>
      </w:r>
      <w:r>
        <w:rPr>
          <w:rFonts w:hint="eastAsia" w:ascii="宋体" w:hAnsi="宋体" w:eastAsia="宋体" w:cs="宋体"/>
          <w:bCs/>
          <w:kern w:val="2"/>
          <w:szCs w:val="28"/>
          <w:highlight w:val="none"/>
        </w:rPr>
        <w:t>九、同类项目供货业绩</w:t>
      </w:r>
      <w:r>
        <w:rPr>
          <w:highlight w:val="none"/>
        </w:rPr>
        <w:tab/>
      </w:r>
      <w:r>
        <w:rPr>
          <w:highlight w:val="none"/>
        </w:rPr>
        <w:fldChar w:fldCharType="begin"/>
      </w:r>
      <w:r>
        <w:rPr>
          <w:highlight w:val="none"/>
        </w:rPr>
        <w:instrText xml:space="preserve"> PAGEREF _Toc16498 \h </w:instrText>
      </w:r>
      <w:r>
        <w:rPr>
          <w:highlight w:val="none"/>
        </w:rPr>
        <w:fldChar w:fldCharType="separate"/>
      </w:r>
      <w:r>
        <w:rPr>
          <w:highlight w:val="none"/>
        </w:rPr>
        <w:t>77</w:t>
      </w:r>
      <w:r>
        <w:rPr>
          <w:highlight w:val="none"/>
        </w:rPr>
        <w:fldChar w:fldCharType="end"/>
      </w:r>
      <w:r>
        <w:rPr>
          <w:rFonts w:hint="eastAsia" w:ascii="宋体" w:hAnsi="宋体" w:cs="宋体"/>
          <w:color w:val="auto"/>
          <w:szCs w:val="24"/>
          <w:highlight w:val="none"/>
        </w:rPr>
        <w:fldChar w:fldCharType="end"/>
      </w:r>
    </w:p>
    <w:p w14:paraId="73CE5224">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_Toc3068 </w:instrText>
      </w:r>
      <w:r>
        <w:rPr>
          <w:rFonts w:hint="eastAsia" w:ascii="宋体" w:hAnsi="宋体" w:cs="宋体"/>
          <w:szCs w:val="24"/>
          <w:highlight w:val="none"/>
        </w:rPr>
        <w:fldChar w:fldCharType="separate"/>
      </w:r>
      <w:r>
        <w:rPr>
          <w:rFonts w:hint="eastAsia" w:ascii="宋体" w:hAnsi="宋体" w:eastAsia="宋体" w:cs="宋体"/>
          <w:szCs w:val="28"/>
          <w:highlight w:val="none"/>
        </w:rPr>
        <w:t>十、商务部分评审资料</w:t>
      </w:r>
      <w:r>
        <w:rPr>
          <w:highlight w:val="none"/>
        </w:rPr>
        <w:tab/>
      </w:r>
      <w:r>
        <w:rPr>
          <w:highlight w:val="none"/>
        </w:rPr>
        <w:fldChar w:fldCharType="begin"/>
      </w:r>
      <w:r>
        <w:rPr>
          <w:highlight w:val="none"/>
        </w:rPr>
        <w:instrText xml:space="preserve"> PAGEREF _Toc3068 \h </w:instrText>
      </w:r>
      <w:r>
        <w:rPr>
          <w:highlight w:val="none"/>
        </w:rPr>
        <w:fldChar w:fldCharType="separate"/>
      </w:r>
      <w:r>
        <w:rPr>
          <w:highlight w:val="none"/>
        </w:rPr>
        <w:t>79</w:t>
      </w:r>
      <w:r>
        <w:rPr>
          <w:highlight w:val="none"/>
        </w:rPr>
        <w:fldChar w:fldCharType="end"/>
      </w:r>
      <w:r>
        <w:rPr>
          <w:rFonts w:hint="eastAsia" w:ascii="宋体" w:hAnsi="宋体" w:cs="宋体"/>
          <w:color w:val="auto"/>
          <w:szCs w:val="24"/>
          <w:highlight w:val="none"/>
        </w:rPr>
        <w:fldChar w:fldCharType="end"/>
      </w:r>
    </w:p>
    <w:p w14:paraId="614191C1">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_Toc5825 </w:instrText>
      </w:r>
      <w:r>
        <w:rPr>
          <w:rFonts w:hint="eastAsia" w:ascii="宋体" w:hAnsi="宋体" w:cs="宋体"/>
          <w:szCs w:val="24"/>
          <w:highlight w:val="none"/>
        </w:rPr>
        <w:fldChar w:fldCharType="separate"/>
      </w:r>
      <w:r>
        <w:rPr>
          <w:rFonts w:hint="eastAsia" w:ascii="宋体" w:hAnsi="宋体" w:eastAsia="宋体" w:cs="宋体"/>
          <w:bCs/>
          <w:szCs w:val="28"/>
          <w:highlight w:val="none"/>
        </w:rPr>
        <w:t>十一、反商业贿赂承诺书</w:t>
      </w:r>
      <w:r>
        <w:rPr>
          <w:highlight w:val="none"/>
        </w:rPr>
        <w:tab/>
      </w:r>
      <w:r>
        <w:rPr>
          <w:highlight w:val="none"/>
        </w:rPr>
        <w:fldChar w:fldCharType="begin"/>
      </w:r>
      <w:r>
        <w:rPr>
          <w:highlight w:val="none"/>
        </w:rPr>
        <w:instrText xml:space="preserve"> PAGEREF _Toc5825 \h </w:instrText>
      </w:r>
      <w:r>
        <w:rPr>
          <w:highlight w:val="none"/>
        </w:rPr>
        <w:fldChar w:fldCharType="separate"/>
      </w:r>
      <w:r>
        <w:rPr>
          <w:highlight w:val="none"/>
        </w:rPr>
        <w:t>80</w:t>
      </w:r>
      <w:r>
        <w:rPr>
          <w:highlight w:val="none"/>
        </w:rPr>
        <w:fldChar w:fldCharType="end"/>
      </w:r>
      <w:r>
        <w:rPr>
          <w:rFonts w:hint="eastAsia" w:ascii="宋体" w:hAnsi="宋体" w:cs="宋体"/>
          <w:color w:val="auto"/>
          <w:szCs w:val="24"/>
          <w:highlight w:val="none"/>
        </w:rPr>
        <w:fldChar w:fldCharType="end"/>
      </w:r>
    </w:p>
    <w:p w14:paraId="05AF5E44">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_Toc2550 </w:instrText>
      </w:r>
      <w:r>
        <w:rPr>
          <w:rFonts w:hint="eastAsia" w:ascii="宋体" w:hAnsi="宋体" w:cs="宋体"/>
          <w:szCs w:val="24"/>
          <w:highlight w:val="none"/>
        </w:rPr>
        <w:fldChar w:fldCharType="separate"/>
      </w:r>
      <w:r>
        <w:rPr>
          <w:rFonts w:hint="eastAsia" w:ascii="宋体" w:hAnsi="宋体" w:eastAsia="宋体" w:cs="Times New Roman"/>
          <w:bCs/>
          <w:kern w:val="2"/>
          <w:szCs w:val="28"/>
          <w:highlight w:val="none"/>
        </w:rPr>
        <w:t>十二、</w:t>
      </w:r>
      <w:r>
        <w:rPr>
          <w:rFonts w:hint="eastAsia" w:ascii="宋体" w:hAnsi="宋体" w:eastAsia="宋体" w:cs="Times New Roman"/>
          <w:bCs/>
          <w:szCs w:val="24"/>
          <w:highlight w:val="none"/>
        </w:rPr>
        <w:t>投标响应承诺函</w:t>
      </w:r>
      <w:r>
        <w:rPr>
          <w:highlight w:val="none"/>
        </w:rPr>
        <w:tab/>
      </w:r>
      <w:r>
        <w:rPr>
          <w:highlight w:val="none"/>
        </w:rPr>
        <w:fldChar w:fldCharType="begin"/>
      </w:r>
      <w:r>
        <w:rPr>
          <w:highlight w:val="none"/>
        </w:rPr>
        <w:instrText xml:space="preserve"> PAGEREF _Toc2550 \h </w:instrText>
      </w:r>
      <w:r>
        <w:rPr>
          <w:highlight w:val="none"/>
        </w:rPr>
        <w:fldChar w:fldCharType="separate"/>
      </w:r>
      <w:r>
        <w:rPr>
          <w:highlight w:val="none"/>
        </w:rPr>
        <w:t>81</w:t>
      </w:r>
      <w:r>
        <w:rPr>
          <w:highlight w:val="none"/>
        </w:rPr>
        <w:fldChar w:fldCharType="end"/>
      </w:r>
      <w:r>
        <w:rPr>
          <w:rFonts w:hint="eastAsia" w:ascii="宋体" w:hAnsi="宋体" w:cs="宋体"/>
          <w:color w:val="auto"/>
          <w:szCs w:val="24"/>
          <w:highlight w:val="none"/>
        </w:rPr>
        <w:fldChar w:fldCharType="end"/>
      </w:r>
    </w:p>
    <w:p w14:paraId="27990DDE">
      <w:pPr>
        <w:pStyle w:val="28"/>
        <w:tabs>
          <w:tab w:val="right" w:leader="dot" w:pos="8305"/>
        </w:tabs>
        <w:rPr>
          <w:highlight w:val="none"/>
        </w:rPr>
      </w:pP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_Toc8884 </w:instrText>
      </w:r>
      <w:r>
        <w:rPr>
          <w:rFonts w:hint="eastAsia" w:ascii="宋体" w:hAnsi="宋体" w:cs="宋体"/>
          <w:szCs w:val="24"/>
          <w:highlight w:val="none"/>
        </w:rPr>
        <w:fldChar w:fldCharType="separate"/>
      </w:r>
      <w:r>
        <w:rPr>
          <w:rFonts w:hint="eastAsia" w:ascii="宋体" w:hAnsi="宋体" w:eastAsia="宋体" w:cs="Times New Roman"/>
          <w:bCs/>
          <w:kern w:val="2"/>
          <w:szCs w:val="28"/>
          <w:highlight w:val="none"/>
        </w:rPr>
        <w:t>十三、本项目执行的政府采购政策</w:t>
      </w:r>
      <w:r>
        <w:rPr>
          <w:highlight w:val="none"/>
        </w:rPr>
        <w:tab/>
      </w:r>
      <w:r>
        <w:rPr>
          <w:highlight w:val="none"/>
        </w:rPr>
        <w:fldChar w:fldCharType="begin"/>
      </w:r>
      <w:r>
        <w:rPr>
          <w:highlight w:val="none"/>
        </w:rPr>
        <w:instrText xml:space="preserve"> PAGEREF _Toc8884 \h </w:instrText>
      </w:r>
      <w:r>
        <w:rPr>
          <w:highlight w:val="none"/>
        </w:rPr>
        <w:fldChar w:fldCharType="separate"/>
      </w:r>
      <w:r>
        <w:rPr>
          <w:highlight w:val="none"/>
        </w:rPr>
        <w:t>82</w:t>
      </w:r>
      <w:r>
        <w:rPr>
          <w:highlight w:val="none"/>
        </w:rPr>
        <w:fldChar w:fldCharType="end"/>
      </w:r>
      <w:r>
        <w:rPr>
          <w:rFonts w:hint="eastAsia" w:ascii="宋体" w:hAnsi="宋体" w:cs="宋体"/>
          <w:color w:val="auto"/>
          <w:szCs w:val="24"/>
          <w:highlight w:val="none"/>
        </w:rPr>
        <w:fldChar w:fldCharType="end"/>
      </w:r>
    </w:p>
    <w:p w14:paraId="3156BBA1">
      <w:pPr>
        <w:pStyle w:val="28"/>
        <w:widowControl w:val="0"/>
        <w:tabs>
          <w:tab w:val="right" w:leader="dot" w:pos="9133"/>
        </w:tabs>
        <w:spacing w:before="0" w:beforeAutospacing="0" w:after="0" w:line="240" w:lineRule="auto"/>
        <w:ind w:left="0" w:firstLine="418" w:firstLineChars="190"/>
        <w:rPr>
          <w:color w:val="auto"/>
          <w:highlight w:val="none"/>
        </w:rPr>
      </w:pPr>
      <w:r>
        <w:rPr>
          <w:rFonts w:hint="eastAsia" w:ascii="宋体" w:hAnsi="宋体" w:cs="宋体"/>
          <w:color w:val="auto"/>
          <w:szCs w:val="24"/>
          <w:highlight w:val="none"/>
        </w:rPr>
        <w:fldChar w:fldCharType="end"/>
      </w:r>
    </w:p>
    <w:p w14:paraId="0E3EF36B">
      <w:pPr>
        <w:snapToGrid w:val="0"/>
        <w:spacing w:before="159" w:beforeLines="50" w:line="240" w:lineRule="auto"/>
        <w:jc w:val="center"/>
        <w:rPr>
          <w:rFonts w:hint="eastAsia" w:ascii="宋体" w:hAnsi="宋体"/>
          <w:b/>
          <w:bCs/>
          <w:color w:val="auto"/>
          <w:sz w:val="32"/>
          <w:szCs w:val="32"/>
          <w:highlight w:val="none"/>
        </w:rPr>
        <w:sectPr>
          <w:footerReference r:id="rId8" w:type="first"/>
          <w:headerReference r:id="rId6" w:type="default"/>
          <w:footerReference r:id="rId7" w:type="default"/>
          <w:pgSz w:w="11905" w:h="16838"/>
          <w:pgMar w:top="1440" w:right="1800" w:bottom="1440" w:left="1800" w:header="794" w:footer="794" w:gutter="0"/>
          <w:pgNumType w:fmt="decimal" w:start="1"/>
          <w:cols w:space="720" w:num="1"/>
          <w:docGrid w:type="lines" w:linePitch="318" w:charSpace="0"/>
        </w:sectPr>
      </w:pPr>
    </w:p>
    <w:p w14:paraId="601226CA">
      <w:pPr>
        <w:snapToGrid w:val="0"/>
        <w:spacing w:before="159" w:beforeLines="50"/>
        <w:jc w:val="center"/>
        <w:rPr>
          <w:b/>
          <w:bCs/>
          <w:color w:val="auto"/>
          <w:sz w:val="32"/>
          <w:szCs w:val="32"/>
          <w:highlight w:val="none"/>
        </w:rPr>
      </w:pPr>
      <w:r>
        <w:rPr>
          <w:rFonts w:hint="eastAsia" w:ascii="宋体" w:hAnsi="宋体"/>
          <w:b/>
          <w:bCs/>
          <w:color w:val="auto"/>
          <w:sz w:val="32"/>
          <w:szCs w:val="32"/>
          <w:highlight w:val="none"/>
        </w:rPr>
        <w:t>特 别 提 示</w:t>
      </w:r>
    </w:p>
    <w:p w14:paraId="318D3837">
      <w:pPr>
        <w:spacing w:line="360" w:lineRule="auto"/>
        <w:ind w:firstLine="420" w:firstLineChars="200"/>
        <w:rPr>
          <w:rFonts w:hint="eastAsia" w:ascii="宋体" w:hAnsi="宋体"/>
          <w:color w:val="auto"/>
          <w:highlight w:val="none"/>
        </w:rPr>
      </w:pPr>
      <w:r>
        <w:rPr>
          <w:rFonts w:hint="eastAsia" w:ascii="宋体" w:hAnsi="宋体"/>
          <w:color w:val="auto"/>
          <w:highlight w:val="none"/>
        </w:rPr>
        <w:t>1、供应商首先通过“河南省公共资源交易中心（</w:t>
      </w:r>
      <w:r>
        <w:rPr>
          <w:rFonts w:hint="eastAsia" w:ascii="宋体" w:hAnsi="宋体" w:cs="宋体"/>
          <w:color w:val="auto"/>
          <w:szCs w:val="21"/>
          <w:highlight w:val="none"/>
          <w:lang w:eastAsia="zh-CN"/>
        </w:rPr>
        <w:t>http://hnsggzyjy.henan.gov.cn/</w:t>
      </w:r>
      <w:r>
        <w:rPr>
          <w:rFonts w:hint="eastAsia" w:ascii="宋体" w:hAnsi="宋体"/>
          <w:color w:val="auto"/>
          <w:highlight w:val="none"/>
        </w:rPr>
        <w:t>）”网站进行注册，然后按网站公共服务（办事指南及下载专区）公共资源项目CA办理流程准备齐注册资料，最后根据《河南省公共资源交易中心关于数字证书（CA）互认功能上线试运行的通知》办理CA密钥，完成注册。</w:t>
      </w:r>
    </w:p>
    <w:p w14:paraId="6E3EDD2E">
      <w:pPr>
        <w:spacing w:line="360" w:lineRule="auto"/>
        <w:ind w:firstLine="420" w:firstLineChars="200"/>
        <w:rPr>
          <w:rFonts w:hint="eastAsia" w:ascii="宋体" w:hAnsi="宋体"/>
          <w:color w:val="auto"/>
          <w:highlight w:val="none"/>
        </w:rPr>
      </w:pPr>
      <w:r>
        <w:rPr>
          <w:rFonts w:hint="eastAsia" w:ascii="宋体" w:hAnsi="宋体"/>
          <w:color w:val="auto"/>
          <w:highlight w:val="none"/>
        </w:rPr>
        <w:t>2、投标（响应）文件制作</w:t>
      </w:r>
    </w:p>
    <w:p w14:paraId="2100EAFB">
      <w:pPr>
        <w:spacing w:line="360" w:lineRule="auto"/>
        <w:ind w:firstLine="420" w:firstLineChars="200"/>
        <w:rPr>
          <w:rFonts w:hint="eastAsia" w:ascii="宋体" w:hAnsi="宋体"/>
          <w:color w:val="auto"/>
          <w:highlight w:val="none"/>
        </w:rPr>
      </w:pPr>
      <w:r>
        <w:rPr>
          <w:rFonts w:hint="eastAsia" w:ascii="宋体" w:hAnsi="宋体"/>
          <w:color w:val="auto"/>
          <w:highlight w:val="none"/>
        </w:rPr>
        <w:t>2.1供应商通过“河南省公共资源交易中心（</w:t>
      </w:r>
      <w:r>
        <w:rPr>
          <w:rFonts w:hint="eastAsia" w:ascii="宋体" w:hAnsi="宋体" w:cs="宋体"/>
          <w:bCs/>
          <w:color w:val="auto"/>
          <w:szCs w:val="21"/>
          <w:highlight w:val="none"/>
        </w:rPr>
        <w:t>www.hnggzy.net</w:t>
      </w:r>
      <w:r>
        <w:rPr>
          <w:rFonts w:hint="eastAsia" w:ascii="宋体" w:hAnsi="宋体"/>
          <w:color w:val="auto"/>
          <w:highlight w:val="none"/>
        </w:rPr>
        <w:t>）”网站公共服务（办事指南及下载专区）：下载“响应文件制作工具安装包压缩文件下载”等。</w:t>
      </w:r>
    </w:p>
    <w:p w14:paraId="7171B477">
      <w:pPr>
        <w:spacing w:line="360" w:lineRule="auto"/>
        <w:ind w:firstLine="420" w:firstLineChars="200"/>
        <w:rPr>
          <w:rFonts w:hint="eastAsia" w:ascii="宋体" w:hAnsi="宋体"/>
          <w:color w:val="auto"/>
          <w:highlight w:val="none"/>
        </w:rPr>
      </w:pPr>
      <w:r>
        <w:rPr>
          <w:rFonts w:hint="eastAsia" w:ascii="宋体" w:hAnsi="宋体"/>
          <w:color w:val="auto"/>
          <w:highlight w:val="none"/>
        </w:rPr>
        <w:t>2.2供应商凭CA密钥登陆并按网上提示自行下载每个项目所含格式(.hnzf)的竞争性磋商文件。</w:t>
      </w:r>
    </w:p>
    <w:p w14:paraId="61B3ABA5">
      <w:pPr>
        <w:spacing w:line="360" w:lineRule="auto"/>
        <w:ind w:firstLine="420" w:firstLineChars="200"/>
        <w:rPr>
          <w:rFonts w:hint="eastAsia" w:ascii="宋体" w:hAnsi="宋体"/>
          <w:color w:val="auto"/>
          <w:highlight w:val="none"/>
        </w:rPr>
      </w:pPr>
      <w:r>
        <w:rPr>
          <w:rFonts w:hint="eastAsia" w:ascii="宋体" w:hAnsi="宋体"/>
          <w:color w:val="auto"/>
          <w:highlight w:val="none"/>
        </w:rPr>
        <w:t>2.3供应商须在投标（响应）文件递交截止时间前制作并提交：（1）加密的电子投标（响应）文件（*.hntf格式）,应在投标（响应）文件截止时间前通过“河南省公共资源交易中心（</w:t>
      </w:r>
      <w:r>
        <w:rPr>
          <w:rFonts w:hint="eastAsia" w:ascii="宋体" w:hAnsi="宋体" w:cs="宋体"/>
          <w:bCs/>
          <w:color w:val="auto"/>
          <w:szCs w:val="21"/>
          <w:highlight w:val="none"/>
        </w:rPr>
        <w:t>www.hnggzy.net</w:t>
      </w:r>
      <w:r>
        <w:rPr>
          <w:rFonts w:hint="eastAsia" w:ascii="宋体" w:hAnsi="宋体"/>
          <w:color w:val="auto"/>
          <w:highlight w:val="none"/>
        </w:rPr>
        <w:t>）”电子交易平台内上传；</w:t>
      </w:r>
    </w:p>
    <w:p w14:paraId="06203EFC">
      <w:pPr>
        <w:spacing w:line="360" w:lineRule="auto"/>
        <w:ind w:firstLine="420" w:firstLineChars="200"/>
        <w:rPr>
          <w:rFonts w:hint="eastAsia" w:ascii="宋体" w:hAnsi="宋体"/>
          <w:color w:val="auto"/>
          <w:highlight w:val="none"/>
        </w:rPr>
      </w:pPr>
      <w:r>
        <w:rPr>
          <w:rFonts w:hint="eastAsia" w:ascii="宋体" w:hAnsi="宋体"/>
          <w:color w:val="auto"/>
          <w:highlight w:val="none"/>
        </w:rPr>
        <w:t>2.4加密的电子投标（响应）文件为“河南省公共资源交易中心（</w:t>
      </w:r>
      <w:r>
        <w:rPr>
          <w:rFonts w:hint="eastAsia" w:ascii="宋体" w:hAnsi="宋体" w:cs="宋体"/>
          <w:bCs/>
          <w:color w:val="auto"/>
          <w:szCs w:val="21"/>
          <w:highlight w:val="none"/>
        </w:rPr>
        <w:t>www.hnggzy.net</w:t>
      </w:r>
      <w:r>
        <w:rPr>
          <w:rFonts w:hint="eastAsia" w:ascii="宋体" w:hAnsi="宋体"/>
          <w:color w:val="auto"/>
          <w:highlight w:val="none"/>
        </w:rPr>
        <w:t>）”网站提供的“投标（响应）文件制作工具”软件制作生成的加密版投标（响应）文件。</w:t>
      </w:r>
    </w:p>
    <w:p w14:paraId="6EFC6215">
      <w:p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2.5供应商在制作电子投标（响应）文件时，“投标（响应）文件制作工具”左侧栏目“封面”、“报价一览表”制作完成后须加盖电子签章（包括企业电子签章、个人电子签章）。</w:t>
      </w:r>
    </w:p>
    <w:p w14:paraId="7FFAA5FD">
      <w:p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2.6竞争性磋商文件格式所要求包含的全部资料应全部制作在响应文件内，严格按照本项目竞争性磋商文件所有格式如实填写（不涉及的内容除外），不应存在漏项或缺项，否则将存在投标（响应）文件被拒绝的风险。报价一览表，须严格按照格式编辑，并作为电子开评标系统上传的依据。“投标（响应）文件制作工具”左侧栏目中“报价一览表”为公共资源交易中心系统默认设置，该“报价一览表”若与竞争性磋商文件中规定格式不一致，不作为实质性条款及废标条款。</w:t>
      </w:r>
    </w:p>
    <w:p w14:paraId="5092DB26">
      <w:pPr>
        <w:spacing w:line="360" w:lineRule="auto"/>
        <w:ind w:firstLine="420" w:firstLineChars="200"/>
        <w:rPr>
          <w:rFonts w:hint="eastAsia" w:ascii="宋体" w:hAnsi="宋体"/>
          <w:color w:val="auto"/>
          <w:highlight w:val="none"/>
        </w:rPr>
      </w:pPr>
      <w:r>
        <w:rPr>
          <w:rFonts w:hint="eastAsia" w:ascii="宋体" w:hAnsi="宋体"/>
          <w:color w:val="auto"/>
          <w:highlight w:val="none"/>
        </w:rPr>
        <w:t>2.7供应商（供应商）编制投标（响应）文件时，涉及营业执照、资质、业绩、获奖、人员、财务、社保、纳税、各类证书等内容，应及时对市场主体信息库的相关内容进行补充、更新。</w:t>
      </w:r>
    </w:p>
    <w:p w14:paraId="7B76D70A">
      <w:pPr>
        <w:spacing w:line="360" w:lineRule="auto"/>
        <w:ind w:firstLine="420" w:firstLineChars="200"/>
        <w:rPr>
          <w:rFonts w:hint="eastAsia" w:ascii="宋体" w:hAnsi="宋体"/>
          <w:color w:val="auto"/>
          <w:highlight w:val="none"/>
        </w:rPr>
      </w:pPr>
      <w:r>
        <w:rPr>
          <w:rFonts w:hint="eastAsia" w:ascii="宋体" w:hAnsi="宋体"/>
          <w:color w:val="auto"/>
          <w:highlight w:val="none"/>
        </w:rPr>
        <w:t>2.8供应商编辑电子投标（响应）文件时，根据竞争性磋商文件要求用法人CA密钥和企业CA密钥进行签章制作；最后一步生成电子响应文件（*.hntf格式和*.nhntf格式）时，只能用本单位的企业CA密钥。</w:t>
      </w:r>
    </w:p>
    <w:p w14:paraId="42CD305F">
      <w:pPr>
        <w:spacing w:line="360" w:lineRule="auto"/>
        <w:ind w:firstLine="420" w:firstLineChars="200"/>
        <w:rPr>
          <w:rFonts w:hint="eastAsia" w:ascii="宋体" w:hAnsi="宋体"/>
          <w:color w:val="auto"/>
          <w:highlight w:val="none"/>
        </w:rPr>
      </w:pPr>
      <w:r>
        <w:rPr>
          <w:rFonts w:hint="eastAsia" w:ascii="宋体" w:hAnsi="宋体"/>
          <w:color w:val="auto"/>
          <w:highlight w:val="none"/>
        </w:rPr>
        <w:t>3、澄清与变更</w:t>
      </w:r>
    </w:p>
    <w:p w14:paraId="7CDC924B">
      <w:pPr>
        <w:spacing w:line="360" w:lineRule="auto"/>
        <w:ind w:firstLine="420" w:firstLineChars="200"/>
        <w:rPr>
          <w:rFonts w:hint="eastAsia" w:ascii="宋体" w:hAnsi="宋体"/>
          <w:color w:val="auto"/>
          <w:highlight w:val="none"/>
        </w:rPr>
      </w:pPr>
      <w:r>
        <w:rPr>
          <w:rFonts w:hint="eastAsia" w:ascii="宋体" w:hAnsi="宋体"/>
          <w:color w:val="auto"/>
          <w:highlight w:val="none"/>
        </w:rPr>
        <w:t>采购人、采购代理机构对已发出的竞争性磋商文件进行的澄清、更正或更改，澄清、更正或更改的内容将作为竞争性磋商文件的组成部分。采购代理机构将通过网站“变更公告”和系统内部“答疑文件”告知供应商，对于各项目中已经成功报名并下载竞争性磋商文件的项目供应商，系统将通过第三方短信群发方式提醒供应商进行查询。各供应商须重新下载最新的竞争性磋商文件和答疑文件，以此编制响应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14:paraId="650FAB86">
      <w:pPr>
        <w:numPr>
          <w:ilvl w:val="0"/>
          <w:numId w:val="1"/>
        </w:numPr>
        <w:spacing w:line="360" w:lineRule="auto"/>
        <w:ind w:firstLine="420" w:firstLineChars="200"/>
        <w:rPr>
          <w:rFonts w:hint="eastAsia" w:ascii="宋体" w:hAnsi="宋体"/>
          <w:color w:val="auto"/>
          <w:highlight w:val="none"/>
        </w:rPr>
      </w:pPr>
      <w:r>
        <w:rPr>
          <w:rFonts w:hint="eastAsia" w:ascii="宋体" w:hAnsi="宋体"/>
          <w:color w:val="auto"/>
          <w:highlight w:val="none"/>
        </w:rPr>
        <w:t>因河南省公共资源交易中心平台在开标前具有保密性，供应商在响应文件递交截止时间前须自行查看项目进展、变更通知、澄清及回复，因供应商未及时查看而造成的后果自负。</w:t>
      </w:r>
    </w:p>
    <w:p w14:paraId="06A7EE16">
      <w:pPr>
        <w:numPr>
          <w:ilvl w:val="0"/>
          <w:numId w:val="1"/>
        </w:num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根据《河南省发展和改革委员会关于对〈关于认定供应商响应文件制作机器码一致视为串通投标行为的请示〉相关问题的批复》（豫发改公管〔2019〕198号的文件精神，如出现“响应文件制作机器码一致”的情形，响应文件制作机器码一致的响应文件均作无效标处理。</w:t>
      </w:r>
    </w:p>
    <w:p w14:paraId="30F29355">
      <w:pPr>
        <w:numPr>
          <w:ilvl w:val="0"/>
          <w:numId w:val="1"/>
        </w:num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投标保证金：本项目不收取投标保证金，若交易中心系统内开标一览表确需填写，保证金金额可以填写“0”。</w:t>
      </w:r>
    </w:p>
    <w:p w14:paraId="1C033E63">
      <w:pPr>
        <w:numPr>
          <w:ilvl w:val="0"/>
          <w:numId w:val="1"/>
        </w:num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请参照河南省公共资源交易中心首页-公共服务-办事指南-《河南省公共资源交易平台不见面服务系统使用指南》，本次项目实行远程不见面招标。</w:t>
      </w:r>
    </w:p>
    <w:p w14:paraId="45919AA5">
      <w:pPr>
        <w:numPr>
          <w:ilvl w:val="0"/>
          <w:numId w:val="1"/>
        </w:num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未到现场解密的供应商，请持编制响应文件的CA钥匙进行在线远程解密，逾期解密或超时解密将被拒绝。</w:t>
      </w:r>
    </w:p>
    <w:p w14:paraId="0F33EA06">
      <w:pPr>
        <w:numPr>
          <w:ilvl w:val="0"/>
          <w:numId w:val="1"/>
        </w:num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各供应商请注意根据竞争性磋商文件要求，在规定的时间内完成第二轮报价。</w:t>
      </w:r>
    </w:p>
    <w:p w14:paraId="5DF744C2">
      <w:pPr>
        <w:rPr>
          <w:rFonts w:hint="eastAsia" w:ascii="宋体" w:hAnsi="宋体"/>
          <w:b/>
          <w:bCs/>
          <w:color w:val="auto"/>
          <w:kern w:val="44"/>
          <w:sz w:val="32"/>
          <w:szCs w:val="32"/>
          <w:highlight w:val="none"/>
        </w:rPr>
      </w:pPr>
      <w:r>
        <w:rPr>
          <w:rFonts w:hint="eastAsia" w:ascii="宋体" w:hAnsi="宋体"/>
          <w:b/>
          <w:bCs/>
          <w:color w:val="auto"/>
          <w:kern w:val="44"/>
          <w:sz w:val="32"/>
          <w:szCs w:val="32"/>
          <w:highlight w:val="none"/>
        </w:rPr>
        <w:br w:type="page"/>
      </w:r>
      <w:bookmarkStart w:id="8" w:name="_Toc20327"/>
      <w:bookmarkEnd w:id="8"/>
      <w:bookmarkStart w:id="9" w:name="_Toc8947"/>
      <w:bookmarkStart w:id="10" w:name="_Toc14074"/>
      <w:bookmarkStart w:id="11" w:name="_Toc10589"/>
      <w:bookmarkStart w:id="12" w:name="_Toc24105"/>
      <w:r>
        <w:rPr>
          <w:rFonts w:hint="eastAsia" w:ascii="宋体" w:hAnsi="宋体"/>
          <w:b/>
          <w:bCs/>
          <w:color w:val="auto"/>
          <w:kern w:val="44"/>
          <w:sz w:val="32"/>
          <w:szCs w:val="32"/>
          <w:highlight w:val="none"/>
        </w:rPr>
        <w:t xml:space="preserve">第一章  </w:t>
      </w:r>
      <w:r>
        <w:rPr>
          <w:rFonts w:hint="eastAsia" w:ascii="宋体" w:hAnsi="宋体"/>
          <w:b/>
          <w:bCs/>
          <w:color w:val="auto"/>
          <w:kern w:val="44"/>
          <w:sz w:val="32"/>
          <w:szCs w:val="32"/>
          <w:highlight w:val="none"/>
          <w:lang w:eastAsia="zh-CN"/>
        </w:rPr>
        <w:t>河南省科学院激光制造研究所先进激光医疗系统及关键技术研究平台建设一期项目</w:t>
      </w:r>
      <w:r>
        <w:rPr>
          <w:rFonts w:hint="eastAsia" w:ascii="宋体" w:hAnsi="宋体"/>
          <w:b/>
          <w:bCs/>
          <w:color w:val="auto"/>
          <w:kern w:val="44"/>
          <w:sz w:val="32"/>
          <w:szCs w:val="32"/>
          <w:highlight w:val="none"/>
        </w:rPr>
        <w:t>-竞争性磋商公告</w:t>
      </w:r>
      <w:bookmarkEnd w:id="9"/>
      <w:bookmarkEnd w:id="10"/>
      <w:bookmarkEnd w:id="11"/>
      <w:bookmarkEnd w:id="12"/>
    </w:p>
    <w:p w14:paraId="32DA10A7">
      <w:pPr>
        <w:adjustRightInd w:val="0"/>
        <w:snapToGrid w:val="0"/>
        <w:spacing w:line="440" w:lineRule="exact"/>
        <w:ind w:firstLine="420" w:firstLineChars="200"/>
        <w:jc w:val="left"/>
        <w:rPr>
          <w:rFonts w:hint="eastAsia" w:ascii="宋体" w:hAnsi="宋体" w:cs="宋体"/>
          <w:color w:val="auto"/>
          <w:kern w:val="0"/>
          <w:highlight w:val="none"/>
        </w:rPr>
      </w:pPr>
      <w:bookmarkStart w:id="13" w:name="_Toc5536"/>
      <w:bookmarkEnd w:id="13"/>
      <w:bookmarkStart w:id="14" w:name="_Toc20071"/>
      <w:bookmarkEnd w:id="14"/>
      <w:r>
        <w:rPr>
          <w:rFonts w:hint="eastAsia" w:ascii="宋体" w:hAnsi="宋体" w:cs="宋体"/>
          <w:color w:val="auto"/>
          <w:kern w:val="0"/>
          <w:highlight w:val="none"/>
        </w:rPr>
        <w:t>项目概况</w:t>
      </w:r>
    </w:p>
    <w:p w14:paraId="520CD181">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eastAsia="zh-CN"/>
        </w:rPr>
        <w:t>河南省科学院激光制造研究所先进激光医疗系统及关键技术研究平台建设一期项目</w:t>
      </w:r>
      <w:r>
        <w:rPr>
          <w:rFonts w:hint="eastAsia" w:ascii="宋体" w:hAnsi="宋体" w:cs="宋体"/>
          <w:color w:val="auto"/>
          <w:kern w:val="0"/>
          <w:highlight w:val="none"/>
        </w:rPr>
        <w:t>的潜在</w:t>
      </w:r>
      <w:r>
        <w:rPr>
          <w:rFonts w:hint="eastAsia" w:ascii="宋体" w:hAnsi="宋体" w:cs="宋体"/>
          <w:color w:val="auto"/>
          <w:kern w:val="0"/>
          <w:highlight w:val="none"/>
          <w:lang w:eastAsia="zh-CN"/>
        </w:rPr>
        <w:t>供应商</w:t>
      </w:r>
      <w:r>
        <w:rPr>
          <w:rFonts w:hint="eastAsia" w:ascii="宋体" w:hAnsi="宋体" w:cs="宋体"/>
          <w:color w:val="auto"/>
          <w:kern w:val="0"/>
          <w:highlight w:val="none"/>
        </w:rPr>
        <w:t>应在河南省公共资源交易中心（</w:t>
      </w:r>
      <w:r>
        <w:rPr>
          <w:rFonts w:hint="eastAsia" w:ascii="宋体" w:hAnsi="宋体" w:cs="宋体"/>
          <w:color w:val="auto"/>
          <w:szCs w:val="21"/>
          <w:highlight w:val="none"/>
        </w:rPr>
        <w:t>http://hnsggzyjy.henan.gov.cn/</w:t>
      </w:r>
      <w:r>
        <w:rPr>
          <w:rFonts w:hint="eastAsia" w:ascii="宋体" w:hAnsi="宋体" w:cs="宋体"/>
          <w:color w:val="auto"/>
          <w:kern w:val="0"/>
          <w:highlight w:val="none"/>
        </w:rPr>
        <w:t>）获取招标文件，并于</w:t>
      </w:r>
      <w:r>
        <w:rPr>
          <w:rFonts w:hint="eastAsia" w:ascii="宋体" w:hAnsi="宋体" w:cs="宋体"/>
          <w:color w:val="auto"/>
          <w:kern w:val="0"/>
          <w:highlight w:val="none"/>
          <w:lang w:val="en-US" w:eastAsia="zh-CN"/>
        </w:rPr>
        <w:t>2025</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03</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03</w:t>
      </w:r>
      <w:r>
        <w:rPr>
          <w:rFonts w:hint="eastAsia" w:ascii="宋体" w:hAnsi="宋体" w:cs="宋体"/>
          <w:color w:val="auto"/>
          <w:kern w:val="0"/>
          <w:highlight w:val="none"/>
        </w:rPr>
        <w:t>日09时00分（北京时间）前提交响应文件。</w:t>
      </w:r>
    </w:p>
    <w:p w14:paraId="4D46725B">
      <w:pPr>
        <w:adjustRightInd w:val="0"/>
        <w:snapToGri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一、项目基本情况</w:t>
      </w:r>
    </w:p>
    <w:p w14:paraId="6E99E3FE">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1.项目编号：</w:t>
      </w:r>
      <w:r>
        <w:rPr>
          <w:rFonts w:hint="eastAsia" w:ascii="宋体" w:hAnsi="宋体" w:cs="宋体"/>
          <w:color w:val="auto"/>
          <w:kern w:val="0"/>
          <w:highlight w:val="none"/>
          <w:lang w:eastAsia="zh-CN"/>
        </w:rPr>
        <w:t>豫财磋商采购-2025-59</w:t>
      </w:r>
      <w:r>
        <w:rPr>
          <w:rFonts w:hint="eastAsia" w:ascii="宋体" w:hAnsi="宋体" w:cs="宋体"/>
          <w:color w:val="auto"/>
          <w:kern w:val="0"/>
          <w:highlight w:val="none"/>
          <w:lang w:val="en-US" w:eastAsia="zh-CN"/>
        </w:rPr>
        <w:t xml:space="preserve"> </w:t>
      </w:r>
    </w:p>
    <w:p w14:paraId="56F6A544">
      <w:pPr>
        <w:adjustRightInd w:val="0"/>
        <w:snapToGrid w:val="0"/>
        <w:spacing w:line="440" w:lineRule="exact"/>
        <w:ind w:firstLine="420" w:firstLineChars="200"/>
        <w:jc w:val="left"/>
        <w:rPr>
          <w:rFonts w:hint="eastAsia" w:ascii="宋体" w:hAnsi="宋体" w:cs="宋体"/>
          <w:color w:val="auto"/>
          <w:kern w:val="0"/>
          <w:highlight w:val="none"/>
          <w:lang w:eastAsia="zh-CN"/>
        </w:rPr>
      </w:pPr>
      <w:r>
        <w:rPr>
          <w:rFonts w:hint="eastAsia" w:ascii="宋体" w:hAnsi="宋体" w:cs="宋体"/>
          <w:color w:val="auto"/>
          <w:kern w:val="0"/>
          <w:highlight w:val="none"/>
        </w:rPr>
        <w:t>2.项目名称：</w:t>
      </w:r>
      <w:r>
        <w:rPr>
          <w:rFonts w:hint="eastAsia" w:ascii="宋体" w:hAnsi="宋体" w:cs="宋体"/>
          <w:color w:val="auto"/>
          <w:kern w:val="0"/>
          <w:highlight w:val="none"/>
          <w:lang w:eastAsia="zh-CN"/>
        </w:rPr>
        <w:t>河南省科学院激光制造研究所先进激光医疗系统及关键技术研究平台建设一期项目</w:t>
      </w:r>
    </w:p>
    <w:p w14:paraId="5CD6F4B5">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3.采购方式：竞争性磋商</w:t>
      </w:r>
    </w:p>
    <w:p w14:paraId="6DCC8B69">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4.采购预算：</w:t>
      </w:r>
      <w:r>
        <w:rPr>
          <w:rFonts w:hint="eastAsia" w:ascii="宋体" w:hAnsi="宋体" w:cs="宋体"/>
          <w:color w:val="auto"/>
          <w:kern w:val="0"/>
          <w:highlight w:val="none"/>
          <w:lang w:eastAsia="zh-CN"/>
        </w:rPr>
        <w:t>3972000.00</w:t>
      </w:r>
      <w:r>
        <w:rPr>
          <w:rFonts w:hint="eastAsia" w:ascii="宋体" w:hAnsi="宋体" w:cs="宋体"/>
          <w:color w:val="auto"/>
          <w:kern w:val="0"/>
          <w:highlight w:val="none"/>
        </w:rPr>
        <w:t xml:space="preserve">元           </w:t>
      </w:r>
    </w:p>
    <w:p w14:paraId="42E03F10">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最高限价：</w:t>
      </w:r>
      <w:r>
        <w:rPr>
          <w:rFonts w:hint="eastAsia" w:ascii="宋体" w:hAnsi="宋体" w:cs="宋体"/>
          <w:color w:val="auto"/>
          <w:kern w:val="0"/>
          <w:highlight w:val="none"/>
          <w:lang w:eastAsia="zh-CN"/>
        </w:rPr>
        <w:t>3972000.00</w:t>
      </w:r>
      <w:r>
        <w:rPr>
          <w:rFonts w:hint="eastAsia" w:ascii="宋体" w:hAnsi="宋体" w:cs="宋体"/>
          <w:color w:val="auto"/>
          <w:kern w:val="0"/>
          <w:highlight w:val="none"/>
        </w:rPr>
        <w:t>元</w:t>
      </w:r>
    </w:p>
    <w:tbl>
      <w:tblPr>
        <w:tblStyle w:val="102"/>
        <w:tblW w:w="8556" w:type="dxa"/>
        <w:tblInd w:w="3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1579"/>
        <w:gridCol w:w="2572"/>
        <w:gridCol w:w="1607"/>
        <w:gridCol w:w="2055"/>
      </w:tblGrid>
      <w:tr w14:paraId="6F297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43" w:type="dxa"/>
            <w:noWrap w:val="0"/>
            <w:vAlign w:val="center"/>
          </w:tcPr>
          <w:p w14:paraId="47580477">
            <w:pPr>
              <w:adjustRightInd w:val="0"/>
              <w:snapToGrid w:val="0"/>
              <w:spacing w:line="440" w:lineRule="exact"/>
              <w:jc w:val="center"/>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579" w:type="dxa"/>
            <w:noWrap w:val="0"/>
            <w:vAlign w:val="center"/>
          </w:tcPr>
          <w:p w14:paraId="2A8430DF">
            <w:pPr>
              <w:adjustRightInd w:val="0"/>
              <w:snapToGrid w:val="0"/>
              <w:spacing w:line="440" w:lineRule="exact"/>
              <w:jc w:val="center"/>
              <w:rPr>
                <w:rFonts w:hint="eastAsia" w:ascii="宋体" w:hAnsi="宋体" w:cs="宋体"/>
                <w:color w:val="auto"/>
                <w:kern w:val="0"/>
                <w:highlight w:val="none"/>
              </w:rPr>
            </w:pPr>
            <w:r>
              <w:rPr>
                <w:rFonts w:hint="eastAsia" w:ascii="宋体" w:hAnsi="宋体" w:cs="宋体"/>
                <w:color w:val="auto"/>
                <w:kern w:val="0"/>
                <w:highlight w:val="none"/>
              </w:rPr>
              <w:t>包号</w:t>
            </w:r>
          </w:p>
        </w:tc>
        <w:tc>
          <w:tcPr>
            <w:tcW w:w="2572" w:type="dxa"/>
            <w:noWrap w:val="0"/>
            <w:vAlign w:val="center"/>
          </w:tcPr>
          <w:p w14:paraId="725E692C">
            <w:pPr>
              <w:adjustRightInd w:val="0"/>
              <w:snapToGrid w:val="0"/>
              <w:spacing w:line="440" w:lineRule="exact"/>
              <w:jc w:val="center"/>
              <w:rPr>
                <w:rFonts w:hint="eastAsia" w:ascii="宋体" w:hAnsi="宋体" w:cs="宋体"/>
                <w:color w:val="auto"/>
                <w:kern w:val="0"/>
                <w:highlight w:val="none"/>
              </w:rPr>
            </w:pPr>
            <w:r>
              <w:rPr>
                <w:rFonts w:hint="eastAsia" w:ascii="宋体" w:hAnsi="宋体" w:cs="宋体"/>
                <w:color w:val="auto"/>
                <w:kern w:val="0"/>
                <w:highlight w:val="none"/>
              </w:rPr>
              <w:t>包名称</w:t>
            </w:r>
          </w:p>
        </w:tc>
        <w:tc>
          <w:tcPr>
            <w:tcW w:w="1607" w:type="dxa"/>
            <w:noWrap w:val="0"/>
            <w:vAlign w:val="center"/>
          </w:tcPr>
          <w:p w14:paraId="38398C83">
            <w:pPr>
              <w:adjustRightInd w:val="0"/>
              <w:snapToGrid w:val="0"/>
              <w:spacing w:line="440" w:lineRule="exact"/>
              <w:jc w:val="center"/>
              <w:rPr>
                <w:rFonts w:hint="eastAsia" w:ascii="宋体" w:hAnsi="宋体" w:cs="宋体"/>
                <w:color w:val="auto"/>
                <w:kern w:val="0"/>
                <w:highlight w:val="none"/>
              </w:rPr>
            </w:pPr>
            <w:r>
              <w:rPr>
                <w:rFonts w:hint="eastAsia" w:ascii="宋体" w:hAnsi="宋体" w:cs="宋体"/>
                <w:color w:val="auto"/>
                <w:kern w:val="0"/>
                <w:highlight w:val="none"/>
              </w:rPr>
              <w:t>包预算（元）</w:t>
            </w:r>
          </w:p>
        </w:tc>
        <w:tc>
          <w:tcPr>
            <w:tcW w:w="2055" w:type="dxa"/>
            <w:noWrap w:val="0"/>
            <w:vAlign w:val="center"/>
          </w:tcPr>
          <w:p w14:paraId="68143D88">
            <w:pPr>
              <w:adjustRightInd w:val="0"/>
              <w:snapToGrid w:val="0"/>
              <w:spacing w:line="440" w:lineRule="exact"/>
              <w:jc w:val="center"/>
              <w:rPr>
                <w:rFonts w:hint="eastAsia" w:ascii="宋体" w:hAnsi="宋体" w:cs="宋体"/>
                <w:color w:val="auto"/>
                <w:kern w:val="0"/>
                <w:highlight w:val="none"/>
              </w:rPr>
            </w:pPr>
            <w:r>
              <w:rPr>
                <w:rFonts w:hint="eastAsia" w:ascii="宋体" w:hAnsi="宋体" w:cs="宋体"/>
                <w:color w:val="auto"/>
                <w:kern w:val="0"/>
                <w:highlight w:val="none"/>
              </w:rPr>
              <w:t>包最高限价（元）</w:t>
            </w:r>
          </w:p>
        </w:tc>
      </w:tr>
      <w:tr w14:paraId="6C09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3" w:type="dxa"/>
            <w:noWrap w:val="0"/>
            <w:vAlign w:val="center"/>
          </w:tcPr>
          <w:p w14:paraId="34B3A443">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p>
        </w:tc>
        <w:tc>
          <w:tcPr>
            <w:tcW w:w="1579" w:type="dxa"/>
            <w:noWrap w:val="0"/>
            <w:vAlign w:val="center"/>
          </w:tcPr>
          <w:p w14:paraId="4A7FB4A7">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豫政采(2)20250136-1</w:t>
            </w:r>
          </w:p>
        </w:tc>
        <w:tc>
          <w:tcPr>
            <w:tcW w:w="2572" w:type="dxa"/>
            <w:noWrap w:val="0"/>
            <w:vAlign w:val="top"/>
          </w:tcPr>
          <w:p w14:paraId="4FD7B210">
            <w:pPr>
              <w:adjustRightInd w:val="0"/>
              <w:snapToGrid w:val="0"/>
              <w:spacing w:line="440" w:lineRule="exact"/>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河南省科学院激光制造研究所先进激光医疗系统及关键技术研究平台建设一期项目</w:t>
            </w:r>
          </w:p>
        </w:tc>
        <w:tc>
          <w:tcPr>
            <w:tcW w:w="1607" w:type="dxa"/>
            <w:noWrap w:val="0"/>
            <w:vAlign w:val="center"/>
          </w:tcPr>
          <w:p w14:paraId="004A1AFB">
            <w:pPr>
              <w:adjustRightInd w:val="0"/>
              <w:snapToGrid w:val="0"/>
              <w:spacing w:line="440" w:lineRule="exact"/>
              <w:ind w:firstLine="420" w:firstLineChars="20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3972000.00</w:t>
            </w:r>
          </w:p>
        </w:tc>
        <w:tc>
          <w:tcPr>
            <w:tcW w:w="2055" w:type="dxa"/>
            <w:noWrap w:val="0"/>
            <w:vAlign w:val="center"/>
          </w:tcPr>
          <w:p w14:paraId="7ABB80C8">
            <w:pPr>
              <w:adjustRightInd w:val="0"/>
              <w:snapToGrid w:val="0"/>
              <w:spacing w:line="440" w:lineRule="exact"/>
              <w:ind w:firstLine="420" w:firstLineChars="20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3972000.00</w:t>
            </w:r>
          </w:p>
        </w:tc>
      </w:tr>
    </w:tbl>
    <w:p w14:paraId="46DBC1A3">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5.采购需求（包括但不限于标的的名称、数量、简要技术需求或服务要求等）</w:t>
      </w:r>
    </w:p>
    <w:p w14:paraId="4241A7B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5.1采购内容：</w:t>
      </w:r>
      <w:r>
        <w:rPr>
          <w:rFonts w:hint="eastAsia" w:ascii="宋体" w:hAnsi="宋体" w:cs="宋体"/>
          <w:color w:val="auto"/>
          <w:kern w:val="0"/>
          <w:highlight w:val="none"/>
          <w:lang w:eastAsia="zh-CN"/>
        </w:rPr>
        <w:t>真空共晶回流焊炉、平行封焊机、老化测试系统</w:t>
      </w:r>
      <w:r>
        <w:rPr>
          <w:rFonts w:hint="eastAsia" w:ascii="宋体" w:hAnsi="宋体" w:cs="宋体"/>
          <w:color w:val="auto"/>
          <w:kern w:val="0"/>
          <w:highlight w:val="none"/>
          <w:lang w:val="en-US" w:eastAsia="zh-CN"/>
        </w:rPr>
        <w:t>各一套。</w:t>
      </w:r>
      <w:r>
        <w:rPr>
          <w:rFonts w:hint="eastAsia" w:cs="宋体"/>
          <w:color w:val="auto"/>
          <w:sz w:val="21"/>
          <w:szCs w:val="21"/>
          <w:highlight w:val="none"/>
        </w:rPr>
        <w:t>包含但不限于</w:t>
      </w:r>
      <w:r>
        <w:rPr>
          <w:rFonts w:hint="eastAsia" w:cs="宋体"/>
          <w:color w:val="auto"/>
          <w:sz w:val="21"/>
          <w:szCs w:val="21"/>
          <w:highlight w:val="none"/>
          <w:lang w:val="en-US" w:eastAsia="zh-CN"/>
        </w:rPr>
        <w:t>软硬件</w:t>
      </w:r>
      <w:r>
        <w:rPr>
          <w:rFonts w:hint="eastAsia" w:cs="宋体"/>
          <w:color w:val="auto"/>
          <w:sz w:val="21"/>
          <w:szCs w:val="21"/>
          <w:highlight w:val="none"/>
        </w:rPr>
        <w:t>及附属设备的供货、运输、保险、装卸、安装、检测、调试、试运行、验收交付、培训、技术支持、软件升级、售后保修及相关伴随服务</w:t>
      </w:r>
      <w:r>
        <w:rPr>
          <w:rFonts w:hint="eastAsia" w:cs="宋体"/>
          <w:color w:val="auto"/>
          <w:sz w:val="21"/>
          <w:szCs w:val="21"/>
          <w:highlight w:val="none"/>
          <w:lang w:eastAsia="zh-CN"/>
        </w:rPr>
        <w:t>。</w:t>
      </w:r>
    </w:p>
    <w:p w14:paraId="2C740698">
      <w:pPr>
        <w:adjustRightInd w:val="0"/>
        <w:snapToGrid w:val="0"/>
        <w:spacing w:line="440" w:lineRule="exact"/>
        <w:ind w:firstLine="420" w:firstLineChars="200"/>
        <w:jc w:val="left"/>
        <w:rPr>
          <w:rFonts w:hint="eastAsia" w:ascii="宋体" w:hAnsi="宋体" w:cs="宋体"/>
          <w:color w:val="auto"/>
          <w:kern w:val="0"/>
          <w:highlight w:val="none"/>
        </w:rPr>
      </w:pPr>
      <w:bookmarkStart w:id="15" w:name="_Toc269823918"/>
      <w:r>
        <w:rPr>
          <w:rFonts w:hint="eastAsia" w:ascii="宋体" w:hAnsi="宋体" w:cs="宋体"/>
          <w:color w:val="auto"/>
          <w:kern w:val="0"/>
          <w:highlight w:val="none"/>
        </w:rPr>
        <w:t>5.2 标包划分：本招标项目共划分一个标包。</w:t>
      </w:r>
    </w:p>
    <w:bookmarkEnd w:id="15"/>
    <w:p w14:paraId="51246A51">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5.3 交货期：</w:t>
      </w:r>
      <w:r>
        <w:rPr>
          <w:rFonts w:hint="eastAsia" w:ascii="宋体" w:hAnsi="宋体" w:cs="宋体"/>
          <w:color w:val="auto"/>
          <w:kern w:val="0"/>
          <w:highlight w:val="none"/>
          <w:lang w:eastAsia="zh-CN"/>
        </w:rPr>
        <w:t>自合同生效之日起7个月内供货完成，供货后1个月内安装调试完成</w:t>
      </w:r>
      <w:r>
        <w:rPr>
          <w:rFonts w:hint="eastAsia" w:ascii="宋体" w:hAnsi="宋体" w:cs="宋体"/>
          <w:color w:val="auto"/>
          <w:kern w:val="0"/>
          <w:highlight w:val="none"/>
        </w:rPr>
        <w:t>。</w:t>
      </w:r>
    </w:p>
    <w:p w14:paraId="0D77C1F6">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5.4 质量要求：符合国家、行业现行验收规范和标准，满足采购人的相关要求。</w:t>
      </w:r>
    </w:p>
    <w:p w14:paraId="4A94F25D">
      <w:pPr>
        <w:adjustRightInd w:val="0"/>
        <w:snapToGrid w:val="0"/>
        <w:spacing w:line="44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 xml:space="preserve">5.5 </w:t>
      </w:r>
      <w:r>
        <w:rPr>
          <w:rFonts w:hint="eastAsia" w:ascii="宋体" w:hAnsi="宋体"/>
          <w:color w:val="auto"/>
          <w:highlight w:val="none"/>
        </w:rPr>
        <w:t>交货地点</w:t>
      </w:r>
      <w:r>
        <w:rPr>
          <w:rFonts w:hint="eastAsia" w:ascii="宋体" w:hAnsi="宋体"/>
          <w:color w:val="auto"/>
          <w:highlight w:val="none"/>
          <w:lang w:eastAsia="zh-CN"/>
        </w:rPr>
        <w:t>：</w:t>
      </w:r>
      <w:r>
        <w:rPr>
          <w:rFonts w:hint="eastAsia" w:ascii="宋体" w:hAnsi="宋体" w:cs="宋体"/>
          <w:color w:val="auto"/>
          <w:kern w:val="0"/>
          <w:highlight w:val="none"/>
          <w:lang w:eastAsia="zh-CN"/>
        </w:rPr>
        <w:t>郑州市郑东新区汉月街26号中原量子谷</w:t>
      </w:r>
      <w:r>
        <w:rPr>
          <w:rFonts w:hint="eastAsia"/>
          <w:highlight w:val="none"/>
          <w:lang w:eastAsia="zh-CN"/>
        </w:rPr>
        <w:t>。</w:t>
      </w:r>
    </w:p>
    <w:p w14:paraId="7CAD4C32">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6.合同履行期限：自合同签订至质保期结束。</w:t>
      </w:r>
    </w:p>
    <w:p w14:paraId="1324B5A6">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7.本项目是否接受联合体投标：否。</w:t>
      </w:r>
    </w:p>
    <w:p w14:paraId="275AD7DD">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8.是否接受进口产品：</w:t>
      </w:r>
      <w:r>
        <w:rPr>
          <w:rFonts w:hint="eastAsia" w:ascii="宋体" w:hAnsi="宋体" w:cs="宋体"/>
          <w:color w:val="auto"/>
          <w:kern w:val="0"/>
          <w:highlight w:val="none"/>
          <w:lang w:val="en-US" w:eastAsia="zh-CN"/>
        </w:rPr>
        <w:t>否</w:t>
      </w:r>
      <w:r>
        <w:rPr>
          <w:rFonts w:hint="eastAsia" w:ascii="宋体" w:hAnsi="宋体" w:cs="宋体"/>
          <w:color w:val="auto"/>
          <w:kern w:val="0"/>
          <w:highlight w:val="none"/>
        </w:rPr>
        <w:t>。</w:t>
      </w:r>
    </w:p>
    <w:p w14:paraId="6C34901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9.是否专门面向中小企业：否。</w:t>
      </w:r>
    </w:p>
    <w:p w14:paraId="0A5BDFEF">
      <w:pPr>
        <w:adjustRightInd w:val="0"/>
        <w:snapToGri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二、申请人的资格要求：</w:t>
      </w:r>
    </w:p>
    <w:p w14:paraId="4B0D71A6">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1.满足《中华人民共和国政府采购法》第二十二条规定；</w:t>
      </w:r>
    </w:p>
    <w:p w14:paraId="34C7E248">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2.落实政府采购政策满足的资格要求：无；</w:t>
      </w:r>
    </w:p>
    <w:p w14:paraId="35791286">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3.本项目的特定资格要求：</w:t>
      </w:r>
    </w:p>
    <w:p w14:paraId="0AADA9C1">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3.1根据《关于在政府采购活动中查询及使用信用记录有关问题的通知》 (财库 [2016]125号) 和豫财购[2016]15号的规定，对列入失信被执行人、重大税收违法失信 主体、政府采购严重违法失信行为记录名单的企业，拒绝参与本项目招标采购活动（查 询渠道：“信用中国”网站（www.creditchina.gov.cn）查询：列入失信被执行人、重大税收违法失信主体，中国政府采购网（www.ccgp.gov.cn）：政府采购严重违法失信行为记录名单）；注：采购代理机构在磋商当天将对所有参与本项目投标的供应商</w:t>
      </w:r>
      <w:r>
        <w:rPr>
          <w:rFonts w:hint="eastAsia" w:ascii="宋体" w:hAnsi="宋体" w:cs="宋体"/>
          <w:color w:val="auto"/>
          <w:kern w:val="0"/>
          <w:highlight w:val="none"/>
          <w:lang w:val="en-US" w:eastAsia="zh-CN"/>
        </w:rPr>
        <w:t>及其法定代表人</w:t>
      </w:r>
      <w:r>
        <w:rPr>
          <w:rFonts w:hint="eastAsia" w:ascii="宋体" w:hAnsi="宋体" w:cs="宋体"/>
          <w:color w:val="auto"/>
          <w:kern w:val="0"/>
          <w:highlight w:val="none"/>
        </w:rPr>
        <w:t>的信用情况（失信被执行人、重大税收违法失信主体、政府采购严重违法失信行为记录名单）进行查询、打印留存。若在磋商当天查询到供应商有相关负面信息的，则该供应商递交的响应文件按无效处理；</w:t>
      </w:r>
    </w:p>
    <w:p w14:paraId="016E1BB7">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单位负责人为同一人或者存在直接控股、管理关系的不同供应商，不得参加同一合同项下的政府采购活动。</w:t>
      </w:r>
    </w:p>
    <w:p w14:paraId="4CF93373">
      <w:pPr>
        <w:adjustRightInd w:val="0"/>
        <w:snapToGri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三、获取采购文件</w:t>
      </w:r>
    </w:p>
    <w:p w14:paraId="1CE3DAC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1.时间： 202</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02</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19</w:t>
      </w:r>
      <w:r>
        <w:rPr>
          <w:rFonts w:hint="eastAsia" w:ascii="宋体" w:hAnsi="宋体" w:cs="宋体"/>
          <w:color w:val="auto"/>
          <w:kern w:val="0"/>
          <w:highlight w:val="none"/>
        </w:rPr>
        <w:t>日至 202</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02</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25</w:t>
      </w:r>
      <w:r>
        <w:rPr>
          <w:rFonts w:hint="eastAsia" w:ascii="宋体" w:hAnsi="宋体" w:cs="宋体"/>
          <w:color w:val="auto"/>
          <w:kern w:val="0"/>
          <w:highlight w:val="none"/>
        </w:rPr>
        <w:t>日，每天上午 00:00 至 12:00，下午12:00 至 23：59（北京时间，法定节假日除外。）</w:t>
      </w:r>
    </w:p>
    <w:p w14:paraId="7928956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2.地点：河南省公共资源交易中心（</w:t>
      </w:r>
      <w:r>
        <w:rPr>
          <w:rFonts w:hint="eastAsia" w:ascii="宋体" w:hAnsi="宋体" w:cs="宋体"/>
          <w:color w:val="auto"/>
          <w:kern w:val="0"/>
          <w:highlight w:val="none"/>
          <w:lang w:eastAsia="zh-CN"/>
        </w:rPr>
        <w:t>http://hnsggzyjy.henan.gov.cn/</w:t>
      </w:r>
      <w:r>
        <w:rPr>
          <w:rFonts w:hint="eastAsia" w:ascii="宋体" w:hAnsi="宋体" w:cs="宋体"/>
          <w:color w:val="auto"/>
          <w:kern w:val="0"/>
          <w:highlight w:val="none"/>
        </w:rPr>
        <w:t>）</w:t>
      </w:r>
    </w:p>
    <w:p w14:paraId="49CF3B87">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3.方式：登录“河南省公共资源交易中心（</w:t>
      </w:r>
      <w:r>
        <w:rPr>
          <w:rFonts w:hint="eastAsia" w:ascii="宋体" w:hAnsi="宋体" w:cs="宋体"/>
          <w:color w:val="auto"/>
          <w:kern w:val="0"/>
          <w:highlight w:val="none"/>
          <w:lang w:eastAsia="zh-CN"/>
        </w:rPr>
        <w:t>http://hnsggzyjy.henan.gov.cn/</w:t>
      </w:r>
      <w:r>
        <w:rPr>
          <w:rFonts w:hint="eastAsia" w:ascii="宋体" w:hAnsi="宋体" w:cs="宋体"/>
          <w:color w:val="auto"/>
          <w:kern w:val="0"/>
          <w:highlight w:val="none"/>
        </w:rPr>
        <w:t>） ”，凭企业身份认证锁（CA密钥）按网上提示进行网上下载竞争性磋商文件。供应商应首先完成 CA 数字证书办理及市场主体信息库登记（具体办理事宜请参阅公共服务----办事指南----新交易平台使用手册（培训手册））</w:t>
      </w:r>
    </w:p>
    <w:p w14:paraId="273B843B">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4.售价：</w:t>
      </w:r>
      <w:r>
        <w:rPr>
          <w:rFonts w:hint="eastAsia" w:ascii="宋体" w:hAnsi="宋体" w:cs="宋体"/>
          <w:color w:val="auto"/>
          <w:kern w:val="0"/>
          <w:highlight w:val="none"/>
          <w:lang w:val="en-US" w:eastAsia="zh-CN"/>
        </w:rPr>
        <w:t>0</w:t>
      </w:r>
      <w:r>
        <w:rPr>
          <w:rFonts w:hint="eastAsia" w:ascii="宋体" w:hAnsi="宋体" w:cs="宋体"/>
          <w:color w:val="auto"/>
          <w:kern w:val="0"/>
          <w:highlight w:val="none"/>
        </w:rPr>
        <w:t>元</w:t>
      </w:r>
    </w:p>
    <w:p w14:paraId="40D0AFE4">
      <w:pPr>
        <w:adjustRightInd w:val="0"/>
        <w:snapToGri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四、响应文件提交</w:t>
      </w:r>
    </w:p>
    <w:p w14:paraId="0B69F56D">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1.截止时间：</w:t>
      </w:r>
      <w:r>
        <w:rPr>
          <w:rFonts w:hint="eastAsia" w:ascii="宋体" w:hAnsi="宋体" w:cs="宋体"/>
          <w:color w:val="auto"/>
          <w:kern w:val="0"/>
          <w:highlight w:val="none"/>
          <w:lang w:val="en-US" w:eastAsia="zh-CN"/>
        </w:rPr>
        <w:t>2025</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03</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03</w:t>
      </w:r>
      <w:r>
        <w:rPr>
          <w:rFonts w:hint="eastAsia" w:ascii="宋体" w:hAnsi="宋体" w:cs="宋体"/>
          <w:color w:val="auto"/>
          <w:kern w:val="0"/>
          <w:highlight w:val="none"/>
        </w:rPr>
        <w:t>日09 时00分（北京时间）</w:t>
      </w:r>
    </w:p>
    <w:p w14:paraId="4BA2033C">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地点：河南省公共资源交易中心交易系统平台。各供应商应在响应文件提交截止时间前，通过河南省公共资源交易中心交易系统上传加密的电子响应文件。请各供应商在上传前务必认真检查上传电子响应文件是否完整、正确，加密电子响应文件逾期上传，采购人不予受理。</w:t>
      </w:r>
    </w:p>
    <w:p w14:paraId="1B7238BD">
      <w:pPr>
        <w:adjustRightInd w:val="0"/>
        <w:snapToGri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五、响应文件开启</w:t>
      </w:r>
    </w:p>
    <w:p w14:paraId="2820942D">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1.时间：</w:t>
      </w:r>
      <w:r>
        <w:rPr>
          <w:rFonts w:hint="eastAsia" w:ascii="宋体" w:hAnsi="宋体" w:cs="宋体"/>
          <w:color w:val="auto"/>
          <w:kern w:val="0"/>
          <w:highlight w:val="none"/>
          <w:lang w:val="en-US" w:eastAsia="zh-CN"/>
        </w:rPr>
        <w:t>2025</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03</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03</w:t>
      </w:r>
      <w:r>
        <w:rPr>
          <w:rFonts w:hint="eastAsia" w:ascii="宋体" w:hAnsi="宋体" w:cs="宋体"/>
          <w:color w:val="auto"/>
          <w:kern w:val="0"/>
          <w:highlight w:val="none"/>
        </w:rPr>
        <w:t>日09 时00分（北京时间）</w:t>
      </w:r>
    </w:p>
    <w:p w14:paraId="43D45FB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2.地点：河南省公共资源交易中心远程开标室（</w:t>
      </w:r>
      <w:r>
        <w:rPr>
          <w:rFonts w:hint="eastAsia" w:ascii="宋体" w:hAnsi="宋体" w:cs="宋体"/>
          <w:color w:val="auto"/>
          <w:kern w:val="0"/>
          <w:highlight w:val="none"/>
          <w:lang w:val="en-US" w:eastAsia="zh-CN"/>
        </w:rPr>
        <w:t>二</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（郑州市经二路与纬四路向南50米路西）</w:t>
      </w:r>
    </w:p>
    <w:p w14:paraId="74ABB6CA">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本项目采用远程磋商方式，供应商无需到河南省公共资源交易中心现场参加磋商会议，磋商采用“远程不见面”磋商方式，开标大厅的网址（https://hnsggzyjy.henan.gov.cn/）。供应商须在竞争性磋商文件确定的响应文件提交截止时间前,登录远程开标大厅,并在规定的时间内进行响应文件解密、答疑澄清、最后报价等。具体办理事宜请查阅河南省公共资源交易中心网站-公共服务-办事指南-新交易平台使用手册。</w:t>
      </w:r>
    </w:p>
    <w:p w14:paraId="76826E83">
      <w:pPr>
        <w:adjustRightInd w:val="0"/>
        <w:snapToGri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六、发布公告的媒介及招标公告期限</w:t>
      </w:r>
    </w:p>
    <w:p w14:paraId="79A156B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本次招标公告在《中国政府采购网》</w:t>
      </w:r>
      <w:r>
        <w:rPr>
          <w:rFonts w:hint="eastAsia" w:ascii="宋体" w:hAnsi="宋体" w:cs="宋体"/>
          <w:color w:val="auto"/>
          <w:kern w:val="0"/>
          <w:highlight w:val="none"/>
          <w:lang w:eastAsia="zh-CN"/>
        </w:rPr>
        <w:t>、</w:t>
      </w:r>
      <w:r>
        <w:rPr>
          <w:rFonts w:hint="eastAsia" w:ascii="宋体" w:hAnsi="宋体" w:cs="宋体"/>
          <w:color w:val="auto"/>
          <w:kern w:val="0"/>
          <w:highlight w:val="none"/>
        </w:rPr>
        <w:t>《河南省政府采购网》、《河南省公共资源交易中心网》、《中国招标投标公共服务平台》上发布。公告期限为三个工作日。</w:t>
      </w:r>
    </w:p>
    <w:p w14:paraId="2F8F3676">
      <w:pPr>
        <w:adjustRightInd w:val="0"/>
        <w:snapToGrid w:val="0"/>
        <w:spacing w:line="440" w:lineRule="exact"/>
        <w:ind w:firstLine="422" w:firstLineChars="200"/>
        <w:jc w:val="left"/>
        <w:rPr>
          <w:rFonts w:hint="eastAsia" w:ascii="宋体" w:hAnsi="宋体" w:cs="宋体"/>
          <w:b/>
          <w:bCs/>
          <w:color w:val="auto"/>
          <w:kern w:val="0"/>
          <w:highlight w:val="none"/>
        </w:rPr>
      </w:pPr>
      <w:bookmarkStart w:id="16" w:name="_Toc35393804"/>
      <w:bookmarkStart w:id="17" w:name="_Toc35393635"/>
      <w:r>
        <w:rPr>
          <w:rFonts w:hint="eastAsia" w:ascii="宋体" w:hAnsi="宋体" w:cs="宋体"/>
          <w:b/>
          <w:bCs/>
          <w:color w:val="auto"/>
          <w:kern w:val="0"/>
          <w:highlight w:val="none"/>
        </w:rPr>
        <w:t>七、其他补充事宜</w:t>
      </w:r>
      <w:bookmarkEnd w:id="16"/>
      <w:bookmarkEnd w:id="17"/>
    </w:p>
    <w:p w14:paraId="5E45AD30">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本项目需要落实的政府采购政策：</w:t>
      </w:r>
    </w:p>
    <w:p w14:paraId="7925E65D">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.政府采购促进中小企业发展管理办法 (财库〔2020〕46号）、《关于进一步加大政府采购支持中小企业力度的通知》（财库〔2022〕19 号）；</w:t>
      </w:r>
    </w:p>
    <w:p w14:paraId="4B20E2E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.《财政部、司法部关于政府采购支持监狱企业发展有关问题的通知》（财库[2014]68号）；</w:t>
      </w:r>
    </w:p>
    <w:p w14:paraId="113FE994">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.《三部门联合发布关于促进残疾人就业政府采购政策的通知》（财库[2017]141号）。</w:t>
      </w:r>
    </w:p>
    <w:p w14:paraId="43188664">
      <w:pPr>
        <w:adjustRightInd w:val="0"/>
        <w:snapToGrid w:val="0"/>
        <w:spacing w:line="44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八、凡对本次采购提出询问，请按以下方式联系</w:t>
      </w:r>
    </w:p>
    <w:p w14:paraId="5CC1E29F">
      <w:pPr>
        <w:adjustRightInd w:val="0"/>
        <w:snapToGrid w:val="0"/>
        <w:spacing w:line="440" w:lineRule="exact"/>
        <w:ind w:firstLine="420" w:firstLineChars="200"/>
        <w:jc w:val="left"/>
        <w:rPr>
          <w:rFonts w:hint="eastAsia" w:ascii="宋体" w:hAnsi="宋体" w:cs="宋体"/>
          <w:color w:val="auto"/>
          <w:kern w:val="0"/>
          <w:highlight w:val="none"/>
        </w:rPr>
      </w:pPr>
      <w:bookmarkStart w:id="18" w:name="_Toc28359096"/>
      <w:bookmarkStart w:id="19" w:name="_Toc28359019"/>
      <w:bookmarkStart w:id="20" w:name="_Toc35393806"/>
      <w:bookmarkStart w:id="21" w:name="_Toc35393637"/>
      <w:r>
        <w:rPr>
          <w:rFonts w:hint="eastAsia" w:ascii="宋体" w:hAnsi="宋体" w:cs="宋体"/>
          <w:color w:val="auto"/>
          <w:kern w:val="0"/>
          <w:highlight w:val="none"/>
        </w:rPr>
        <w:t>1.采购人信息</w:t>
      </w:r>
      <w:bookmarkEnd w:id="18"/>
      <w:bookmarkEnd w:id="19"/>
      <w:bookmarkEnd w:id="20"/>
      <w:bookmarkEnd w:id="21"/>
    </w:p>
    <w:p w14:paraId="5F215A42">
      <w:pPr>
        <w:adjustRightInd w:val="0"/>
        <w:snapToGrid w:val="0"/>
        <w:spacing w:line="440" w:lineRule="exact"/>
        <w:ind w:firstLine="420" w:firstLineChars="20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rPr>
        <w:t>名    称：</w:t>
      </w:r>
      <w:r>
        <w:rPr>
          <w:rFonts w:hint="eastAsia" w:ascii="宋体" w:hAnsi="宋体" w:cs="宋体"/>
          <w:color w:val="auto"/>
          <w:kern w:val="0"/>
          <w:highlight w:val="none"/>
          <w:lang w:eastAsia="zh-CN"/>
        </w:rPr>
        <w:t>河南省科学院激光制造研究所</w:t>
      </w:r>
    </w:p>
    <w:p w14:paraId="331BEA23">
      <w:pPr>
        <w:adjustRightInd w:val="0"/>
        <w:snapToGrid w:val="0"/>
        <w:spacing w:line="440" w:lineRule="exact"/>
        <w:ind w:firstLine="420" w:firstLineChars="200"/>
        <w:jc w:val="left"/>
        <w:rPr>
          <w:rFonts w:hint="eastAsia" w:ascii="宋体" w:hAnsi="宋体" w:eastAsia="宋体" w:cs="宋体"/>
          <w:color w:val="auto"/>
          <w:kern w:val="0"/>
          <w:highlight w:val="none"/>
          <w:lang w:eastAsia="zh-CN"/>
        </w:rPr>
      </w:pPr>
      <w:bookmarkStart w:id="22" w:name="_Toc35393807"/>
      <w:bookmarkStart w:id="23" w:name="_Toc28359020"/>
      <w:bookmarkStart w:id="24" w:name="_Toc28359097"/>
      <w:bookmarkStart w:id="25" w:name="_Toc35393638"/>
      <w:r>
        <w:rPr>
          <w:rFonts w:hint="eastAsia" w:ascii="宋体" w:hAnsi="宋体" w:cs="宋体"/>
          <w:color w:val="auto"/>
          <w:kern w:val="0"/>
          <w:highlight w:val="none"/>
        </w:rPr>
        <w:t>地址：</w:t>
      </w:r>
      <w:r>
        <w:rPr>
          <w:rFonts w:hint="eastAsia" w:ascii="宋体" w:hAnsi="宋体" w:cs="宋体"/>
          <w:color w:val="auto"/>
          <w:kern w:val="0"/>
          <w:highlight w:val="none"/>
          <w:lang w:val="en-US" w:eastAsia="zh-CN"/>
        </w:rPr>
        <w:t xml:space="preserve"> </w:t>
      </w:r>
      <w:r>
        <w:rPr>
          <w:rFonts w:hint="eastAsia" w:ascii="宋体" w:hAnsi="宋体" w:cs="宋体"/>
          <w:color w:val="auto"/>
          <w:szCs w:val="21"/>
          <w:highlight w:val="none"/>
          <w:lang w:eastAsia="zh-CN"/>
        </w:rPr>
        <w:t>郑州市郑东新区汉月街26号中原量子谷</w:t>
      </w:r>
    </w:p>
    <w:p w14:paraId="71748726">
      <w:pPr>
        <w:adjustRightInd w:val="0"/>
        <w:snapToGrid w:val="0"/>
        <w:spacing w:line="440" w:lineRule="exact"/>
        <w:ind w:firstLine="420" w:firstLineChars="200"/>
        <w:jc w:val="left"/>
        <w:rPr>
          <w:rFonts w:hint="eastAsia" w:ascii="宋体" w:hAnsi="宋体" w:cs="宋体"/>
          <w:color w:val="auto"/>
          <w:kern w:val="0"/>
          <w:highlight w:val="none"/>
          <w:lang w:val="en-US" w:eastAsia="zh-CN"/>
        </w:rPr>
      </w:pPr>
      <w:r>
        <w:rPr>
          <w:rFonts w:hint="eastAsia" w:ascii="宋体" w:hAnsi="宋体" w:cs="宋体"/>
          <w:color w:val="auto"/>
          <w:kern w:val="0"/>
          <w:highlight w:val="none"/>
        </w:rPr>
        <w:t>联系人：张金艳</w:t>
      </w:r>
    </w:p>
    <w:p w14:paraId="71BDB2CB">
      <w:pPr>
        <w:adjustRightInd w:val="0"/>
        <w:snapToGrid w:val="0"/>
        <w:spacing w:line="440" w:lineRule="exact"/>
        <w:ind w:firstLine="420" w:firstLineChars="20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联系方式：</w:t>
      </w:r>
      <w:r>
        <w:rPr>
          <w:rFonts w:hint="eastAsia" w:ascii="宋体" w:hAnsi="宋体" w:eastAsia="宋体" w:cs="宋体"/>
          <w:color w:val="auto"/>
          <w:kern w:val="0"/>
          <w:highlight w:val="none"/>
          <w:lang w:val="en-US" w:eastAsia="zh-CN"/>
        </w:rPr>
        <w:t>0371-65347896</w:t>
      </w:r>
    </w:p>
    <w:p w14:paraId="23189C39">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2.采购代理机构信息</w:t>
      </w:r>
      <w:bookmarkEnd w:id="22"/>
      <w:bookmarkEnd w:id="23"/>
      <w:bookmarkEnd w:id="24"/>
      <w:bookmarkEnd w:id="25"/>
    </w:p>
    <w:p w14:paraId="2992051F">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名    称：中建山河建设管理集团有限公司</w:t>
      </w:r>
    </w:p>
    <w:p w14:paraId="204EC0EB">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地    址：郑州市郑东新区七里河南路与圃田西路交叉口明亮集团大楼三楼312室</w:t>
      </w:r>
    </w:p>
    <w:p w14:paraId="6301AFC8">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联系人：程萌</w:t>
      </w:r>
    </w:p>
    <w:p w14:paraId="0A12B9E0">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联系方式：</w:t>
      </w:r>
      <w:bookmarkStart w:id="26" w:name="_Toc35393639"/>
      <w:bookmarkStart w:id="27" w:name="_Toc28359021"/>
      <w:bookmarkStart w:id="28" w:name="_Toc35393808"/>
      <w:bookmarkStart w:id="29" w:name="_Toc28359098"/>
      <w:r>
        <w:rPr>
          <w:rFonts w:hint="eastAsia" w:ascii="宋体" w:hAnsi="宋体" w:cs="宋体"/>
          <w:color w:val="auto"/>
          <w:kern w:val="0"/>
          <w:highlight w:val="none"/>
        </w:rPr>
        <w:t>0371-86556161、15839171848</w:t>
      </w:r>
    </w:p>
    <w:p w14:paraId="56E98B2A">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3.项目联系方式</w:t>
      </w:r>
      <w:bookmarkEnd w:id="26"/>
      <w:bookmarkEnd w:id="27"/>
      <w:bookmarkEnd w:id="28"/>
      <w:bookmarkEnd w:id="29"/>
    </w:p>
    <w:p w14:paraId="288F91D0">
      <w:pPr>
        <w:adjustRightInd w:val="0"/>
        <w:snapToGrid w:val="0"/>
        <w:spacing w:line="44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项目联系人：程萌</w:t>
      </w:r>
    </w:p>
    <w:p w14:paraId="16ADC26E">
      <w:pPr>
        <w:adjustRightInd w:val="0"/>
        <w:snapToGrid w:val="0"/>
        <w:spacing w:line="440" w:lineRule="exact"/>
        <w:ind w:firstLine="420" w:firstLineChars="200"/>
        <w:jc w:val="left"/>
        <w:rPr>
          <w:rFonts w:hint="eastAsia" w:ascii="宋体" w:hAnsi="宋体" w:cs="宋体"/>
          <w:color w:val="auto"/>
          <w:kern w:val="0"/>
          <w:highlight w:val="none"/>
        </w:rPr>
        <w:sectPr>
          <w:headerReference r:id="rId9" w:type="default"/>
          <w:footerReference r:id="rId10" w:type="default"/>
          <w:pgSz w:w="11905" w:h="16838"/>
          <w:pgMar w:top="1440" w:right="1800" w:bottom="1440" w:left="1800" w:header="794" w:footer="794" w:gutter="0"/>
          <w:pgNumType w:fmt="decimal"/>
          <w:cols w:space="720" w:num="1"/>
          <w:docGrid w:type="lines" w:linePitch="318" w:charSpace="0"/>
        </w:sectPr>
      </w:pPr>
      <w:r>
        <w:rPr>
          <w:rFonts w:hint="eastAsia" w:ascii="宋体" w:hAnsi="宋体" w:cs="宋体"/>
          <w:color w:val="auto"/>
          <w:kern w:val="0"/>
          <w:highlight w:val="none"/>
        </w:rPr>
        <w:t>联系方式：0371-86556161、15839171848</w:t>
      </w:r>
    </w:p>
    <w:p w14:paraId="4D75B789">
      <w:pPr>
        <w:pStyle w:val="4"/>
        <w:spacing w:before="120" w:after="120" w:line="400" w:lineRule="exact"/>
        <w:jc w:val="center"/>
        <w:rPr>
          <w:rFonts w:hint="eastAsia" w:ascii="宋体" w:hAnsi="宋体"/>
          <w:color w:val="auto"/>
          <w:sz w:val="32"/>
          <w:szCs w:val="32"/>
          <w:highlight w:val="none"/>
        </w:rPr>
      </w:pPr>
      <w:bookmarkStart w:id="30" w:name="_Toc4107"/>
      <w:bookmarkStart w:id="31" w:name="_Toc19282"/>
      <w:bookmarkStart w:id="32" w:name="_Toc23340"/>
      <w:bookmarkStart w:id="33" w:name="_Toc8129"/>
      <w:r>
        <w:rPr>
          <w:rFonts w:hint="eastAsia" w:ascii="宋体" w:hAnsi="宋体"/>
          <w:bCs w:val="0"/>
          <w:color w:val="auto"/>
          <w:sz w:val="32"/>
          <w:szCs w:val="32"/>
          <w:highlight w:val="none"/>
        </w:rPr>
        <w:t>第二章  供应商须知</w:t>
      </w:r>
      <w:bookmarkEnd w:id="30"/>
      <w:bookmarkEnd w:id="31"/>
      <w:bookmarkEnd w:id="32"/>
      <w:bookmarkEnd w:id="33"/>
    </w:p>
    <w:p w14:paraId="71308DFF">
      <w:pPr>
        <w:pStyle w:val="87"/>
        <w:jc w:val="center"/>
        <w:rPr>
          <w:rFonts w:hint="eastAsia" w:ascii="宋体" w:hAnsi="宋体" w:eastAsia="宋体"/>
          <w:b/>
          <w:bCs w:val="0"/>
          <w:color w:val="auto"/>
          <w:highlight w:val="none"/>
        </w:rPr>
      </w:pPr>
      <w:bookmarkStart w:id="34" w:name="_Toc152042304"/>
      <w:bookmarkEnd w:id="34"/>
      <w:bookmarkStart w:id="35" w:name="_Toc455080107"/>
      <w:bookmarkEnd w:id="35"/>
      <w:bookmarkStart w:id="36" w:name="_Toc144974496"/>
      <w:bookmarkEnd w:id="36"/>
      <w:bookmarkStart w:id="37" w:name="_Toc466298090"/>
      <w:bookmarkEnd w:id="37"/>
      <w:bookmarkStart w:id="38" w:name="_Toc22779"/>
      <w:bookmarkEnd w:id="38"/>
      <w:bookmarkStart w:id="39" w:name="_Toc152045528"/>
      <w:bookmarkEnd w:id="39"/>
      <w:bookmarkStart w:id="40" w:name="_Toc16405"/>
      <w:bookmarkStart w:id="41" w:name="_Toc6151"/>
      <w:bookmarkStart w:id="42" w:name="_Toc23919"/>
      <w:bookmarkStart w:id="43" w:name="_Toc2452"/>
      <w:bookmarkStart w:id="44" w:name="_Toc509667259"/>
      <w:r>
        <w:rPr>
          <w:rFonts w:hint="eastAsia" w:ascii="宋体" w:hAnsi="宋体" w:eastAsia="宋体"/>
          <w:b/>
          <w:bCs w:val="0"/>
          <w:color w:val="auto"/>
          <w:highlight w:val="none"/>
        </w:rPr>
        <w:t>供应商须知前附表</w:t>
      </w:r>
      <w:bookmarkEnd w:id="40"/>
      <w:bookmarkEnd w:id="41"/>
      <w:bookmarkEnd w:id="42"/>
      <w:bookmarkEnd w:id="43"/>
      <w:bookmarkEnd w:id="44"/>
    </w:p>
    <w:tbl>
      <w:tblPr>
        <w:tblStyle w:val="34"/>
        <w:tblW w:w="9480" w:type="dxa"/>
        <w:jc w:val="center"/>
        <w:tblLayout w:type="fixed"/>
        <w:tblCellMar>
          <w:top w:w="0" w:type="dxa"/>
          <w:left w:w="108" w:type="dxa"/>
          <w:bottom w:w="0" w:type="dxa"/>
          <w:right w:w="108" w:type="dxa"/>
        </w:tblCellMar>
      </w:tblPr>
      <w:tblGrid>
        <w:gridCol w:w="980"/>
        <w:gridCol w:w="20"/>
        <w:gridCol w:w="2571"/>
        <w:gridCol w:w="5909"/>
      </w:tblGrid>
      <w:tr w14:paraId="6E08A457">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6DA35EE8">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b/>
                <w:bCs/>
                <w:color w:val="auto"/>
                <w:highlight w:val="none"/>
              </w:rPr>
            </w:pPr>
            <w:r>
              <w:rPr>
                <w:rFonts w:hint="eastAsia" w:ascii="宋体" w:hAnsi="宋体"/>
                <w:b/>
                <w:bCs/>
                <w:color w:val="auto"/>
                <w:highlight w:val="none"/>
              </w:rPr>
              <w:t>条款号</w:t>
            </w:r>
          </w:p>
        </w:tc>
        <w:tc>
          <w:tcPr>
            <w:tcW w:w="2591" w:type="dxa"/>
            <w:gridSpan w:val="2"/>
            <w:tcBorders>
              <w:top w:val="single" w:color="auto" w:sz="4" w:space="0"/>
              <w:left w:val="nil"/>
              <w:bottom w:val="single" w:color="auto" w:sz="4" w:space="0"/>
              <w:right w:val="single" w:color="auto" w:sz="4" w:space="0"/>
            </w:tcBorders>
            <w:noWrap w:val="0"/>
            <w:vAlign w:val="center"/>
          </w:tcPr>
          <w:p w14:paraId="6E3C434A">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b/>
                <w:bCs/>
                <w:color w:val="auto"/>
                <w:highlight w:val="none"/>
              </w:rPr>
            </w:pPr>
            <w:r>
              <w:rPr>
                <w:rFonts w:hint="eastAsia" w:ascii="宋体" w:hAnsi="宋体"/>
                <w:b/>
                <w:bCs/>
                <w:color w:val="auto"/>
                <w:highlight w:val="none"/>
              </w:rPr>
              <w:t>条款名称</w:t>
            </w:r>
          </w:p>
        </w:tc>
        <w:tc>
          <w:tcPr>
            <w:tcW w:w="5909" w:type="dxa"/>
            <w:tcBorders>
              <w:top w:val="single" w:color="auto" w:sz="4" w:space="0"/>
              <w:left w:val="nil"/>
              <w:bottom w:val="single" w:color="auto" w:sz="4" w:space="0"/>
              <w:right w:val="single" w:color="auto" w:sz="4" w:space="0"/>
            </w:tcBorders>
            <w:noWrap w:val="0"/>
            <w:vAlign w:val="center"/>
          </w:tcPr>
          <w:p w14:paraId="79104C13">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b/>
                <w:bCs/>
                <w:color w:val="auto"/>
                <w:highlight w:val="none"/>
              </w:rPr>
            </w:pPr>
            <w:r>
              <w:rPr>
                <w:rFonts w:hint="eastAsia" w:ascii="宋体" w:hAnsi="宋体"/>
                <w:b/>
                <w:bCs/>
                <w:color w:val="auto"/>
                <w:highlight w:val="none"/>
              </w:rPr>
              <w:t>编  列  内  容</w:t>
            </w:r>
          </w:p>
        </w:tc>
      </w:tr>
      <w:tr w14:paraId="3C360B45">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70B900D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1.2.1</w:t>
            </w:r>
          </w:p>
        </w:tc>
        <w:tc>
          <w:tcPr>
            <w:tcW w:w="2591" w:type="dxa"/>
            <w:gridSpan w:val="2"/>
            <w:tcBorders>
              <w:top w:val="single" w:color="auto" w:sz="4" w:space="0"/>
              <w:left w:val="nil"/>
              <w:bottom w:val="single" w:color="auto" w:sz="4" w:space="0"/>
              <w:right w:val="single" w:color="auto" w:sz="4" w:space="0"/>
            </w:tcBorders>
            <w:noWrap w:val="0"/>
            <w:vAlign w:val="center"/>
          </w:tcPr>
          <w:p w14:paraId="6957592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采购人</w:t>
            </w:r>
          </w:p>
        </w:tc>
        <w:tc>
          <w:tcPr>
            <w:tcW w:w="5909" w:type="dxa"/>
            <w:tcBorders>
              <w:top w:val="single" w:color="auto" w:sz="4" w:space="0"/>
              <w:left w:val="nil"/>
              <w:bottom w:val="single" w:color="auto" w:sz="4" w:space="0"/>
              <w:right w:val="single" w:color="auto" w:sz="4" w:space="0"/>
            </w:tcBorders>
            <w:noWrap w:val="0"/>
            <w:vAlign w:val="center"/>
          </w:tcPr>
          <w:p w14:paraId="19FDC8CA">
            <w:pPr>
              <w:keepNext w:val="0"/>
              <w:keepLines w:val="0"/>
              <w:suppressLineNumbers w:val="0"/>
              <w:adjustRightInd w:val="0"/>
              <w:spacing w:before="0" w:beforeAutospacing="0" w:after="0" w:afterAutospacing="0" w:line="360" w:lineRule="auto"/>
              <w:ind w:left="0" w:right="0"/>
              <w:textAlignment w:val="baseline"/>
              <w:rPr>
                <w:rFonts w:hint="eastAsia" w:ascii="宋体" w:hAnsi="宋体" w:eastAsia="宋体"/>
                <w:color w:val="auto"/>
                <w:highlight w:val="none"/>
                <w:lang w:eastAsia="zh-CN"/>
              </w:rPr>
            </w:pPr>
            <w:r>
              <w:rPr>
                <w:rFonts w:hint="eastAsia" w:ascii="宋体" w:hAnsi="宋体"/>
                <w:color w:val="auto"/>
                <w:highlight w:val="none"/>
              </w:rPr>
              <w:t>名称：</w:t>
            </w:r>
            <w:r>
              <w:rPr>
                <w:rFonts w:hint="eastAsia" w:ascii="宋体" w:hAnsi="宋体"/>
                <w:color w:val="auto"/>
                <w:highlight w:val="none"/>
                <w:lang w:eastAsia="zh-CN"/>
              </w:rPr>
              <w:t>河南省科学院激光制造研究所</w:t>
            </w:r>
          </w:p>
          <w:p w14:paraId="1510BD5C">
            <w:pPr>
              <w:keepNext w:val="0"/>
              <w:keepLines w:val="0"/>
              <w:suppressLineNumbers w:val="0"/>
              <w:adjustRightInd w:val="0"/>
              <w:spacing w:before="0" w:beforeAutospacing="0" w:after="0" w:afterAutospacing="0" w:line="360" w:lineRule="auto"/>
              <w:ind w:left="0" w:right="0"/>
              <w:textAlignment w:val="baseline"/>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rPr>
              <w:t>地址：</w:t>
            </w:r>
            <w:r>
              <w:rPr>
                <w:rFonts w:hint="eastAsia" w:ascii="宋体" w:hAnsi="宋体" w:eastAsia="宋体" w:cs="Times New Roman"/>
                <w:color w:val="auto"/>
                <w:highlight w:val="none"/>
                <w:lang w:eastAsia="zh-CN"/>
              </w:rPr>
              <w:t>郑州市郑东新区汉月街26号中原量子谷</w:t>
            </w:r>
          </w:p>
          <w:p w14:paraId="7BFD598B">
            <w:pPr>
              <w:keepNext w:val="0"/>
              <w:keepLines w:val="0"/>
              <w:suppressLineNumbers w:val="0"/>
              <w:adjustRightInd w:val="0"/>
              <w:spacing w:before="0" w:beforeAutospacing="0" w:after="0" w:afterAutospacing="0" w:line="360" w:lineRule="auto"/>
              <w:ind w:left="0" w:right="0"/>
              <w:textAlignment w:val="baseline"/>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联系人：张金艳</w:t>
            </w:r>
          </w:p>
          <w:p w14:paraId="04A82FD5">
            <w:pPr>
              <w:keepNext w:val="0"/>
              <w:keepLines w:val="0"/>
              <w:suppressLineNumbers w:val="0"/>
              <w:adjustRightInd w:val="0"/>
              <w:spacing w:before="0" w:beforeAutospacing="0" w:after="0" w:afterAutospacing="0" w:line="360" w:lineRule="auto"/>
              <w:ind w:left="0" w:right="0"/>
              <w:textAlignment w:val="baseline"/>
              <w:rPr>
                <w:rFonts w:hint="default" w:ascii="宋体" w:hAnsi="宋体" w:eastAsia="宋体"/>
                <w:color w:val="auto"/>
                <w:highlight w:val="none"/>
                <w:lang w:val="en-US" w:eastAsia="zh-CN"/>
              </w:rPr>
            </w:pPr>
            <w:r>
              <w:rPr>
                <w:rFonts w:hint="eastAsia" w:ascii="宋体" w:hAnsi="宋体"/>
                <w:color w:val="auto"/>
                <w:highlight w:val="none"/>
              </w:rPr>
              <w:t>联系方式：</w:t>
            </w:r>
            <w:r>
              <w:rPr>
                <w:rFonts w:hint="eastAsia" w:ascii="宋体" w:hAnsi="宋体" w:eastAsia="宋体" w:cs="宋体"/>
                <w:color w:val="auto"/>
                <w:kern w:val="0"/>
                <w:highlight w:val="none"/>
                <w:lang w:val="en-US" w:eastAsia="zh-CN"/>
              </w:rPr>
              <w:t>0371-65347896</w:t>
            </w:r>
          </w:p>
        </w:tc>
      </w:tr>
      <w:tr w14:paraId="60BF076A">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072D4A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1.2.2</w:t>
            </w:r>
          </w:p>
        </w:tc>
        <w:tc>
          <w:tcPr>
            <w:tcW w:w="2591" w:type="dxa"/>
            <w:gridSpan w:val="2"/>
            <w:tcBorders>
              <w:top w:val="single" w:color="auto" w:sz="4" w:space="0"/>
              <w:left w:val="nil"/>
              <w:bottom w:val="single" w:color="auto" w:sz="4" w:space="0"/>
              <w:right w:val="single" w:color="auto" w:sz="4" w:space="0"/>
            </w:tcBorders>
            <w:noWrap w:val="0"/>
            <w:vAlign w:val="center"/>
          </w:tcPr>
          <w:p w14:paraId="0437EE7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采购代理机构</w:t>
            </w:r>
          </w:p>
        </w:tc>
        <w:tc>
          <w:tcPr>
            <w:tcW w:w="5909" w:type="dxa"/>
            <w:tcBorders>
              <w:top w:val="single" w:color="auto" w:sz="4" w:space="0"/>
              <w:left w:val="nil"/>
              <w:bottom w:val="single" w:color="auto" w:sz="4" w:space="0"/>
              <w:right w:val="single" w:color="auto" w:sz="4" w:space="0"/>
            </w:tcBorders>
            <w:noWrap w:val="0"/>
            <w:vAlign w:val="center"/>
          </w:tcPr>
          <w:p w14:paraId="1096EF1F">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名    称：中建山河建设管理集团有限公司</w:t>
            </w:r>
          </w:p>
          <w:p w14:paraId="75A10351">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地    址：郑州市郑东新区七里河南路与圃田西路交叉口明亮集团大楼三楼312室</w:t>
            </w:r>
          </w:p>
          <w:p w14:paraId="6DDF04CB">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联系人：程萌</w:t>
            </w:r>
          </w:p>
          <w:p w14:paraId="0F71DC23">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联系方式：0371-86556161、15839171848</w:t>
            </w:r>
          </w:p>
          <w:p w14:paraId="431D1330">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电子邮件：zjsh86556161@163.com</w:t>
            </w:r>
          </w:p>
        </w:tc>
      </w:tr>
      <w:tr w14:paraId="697F9269">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16A3186B">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1.2.3</w:t>
            </w:r>
          </w:p>
        </w:tc>
        <w:tc>
          <w:tcPr>
            <w:tcW w:w="2591" w:type="dxa"/>
            <w:gridSpan w:val="2"/>
            <w:tcBorders>
              <w:top w:val="single" w:color="auto" w:sz="4" w:space="0"/>
              <w:left w:val="nil"/>
              <w:bottom w:val="single" w:color="auto" w:sz="4" w:space="0"/>
              <w:right w:val="single" w:color="auto" w:sz="4" w:space="0"/>
            </w:tcBorders>
            <w:noWrap w:val="0"/>
            <w:vAlign w:val="center"/>
          </w:tcPr>
          <w:p w14:paraId="71CECD5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项目名称</w:t>
            </w:r>
          </w:p>
        </w:tc>
        <w:tc>
          <w:tcPr>
            <w:tcW w:w="5909" w:type="dxa"/>
            <w:tcBorders>
              <w:top w:val="single" w:color="auto" w:sz="4" w:space="0"/>
              <w:left w:val="nil"/>
              <w:bottom w:val="single" w:color="auto" w:sz="4" w:space="0"/>
              <w:right w:val="single" w:color="auto" w:sz="4" w:space="0"/>
            </w:tcBorders>
            <w:noWrap w:val="0"/>
            <w:vAlign w:val="center"/>
          </w:tcPr>
          <w:p w14:paraId="42FD75BA">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lang w:eastAsia="zh-CN"/>
              </w:rPr>
            </w:pPr>
            <w:r>
              <w:rPr>
                <w:rFonts w:hint="eastAsia" w:ascii="宋体" w:hAnsi="宋体"/>
                <w:color w:val="auto"/>
                <w:highlight w:val="none"/>
                <w:lang w:eastAsia="zh-CN"/>
              </w:rPr>
              <w:t>河南省科学院激光制造研究所先进激光医疗系统及关键技术研究平台建设一期项目</w:t>
            </w:r>
          </w:p>
        </w:tc>
      </w:tr>
      <w:tr w14:paraId="36B6014F">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E97EA8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1.2.4</w:t>
            </w:r>
          </w:p>
        </w:tc>
        <w:tc>
          <w:tcPr>
            <w:tcW w:w="2591" w:type="dxa"/>
            <w:gridSpan w:val="2"/>
            <w:tcBorders>
              <w:top w:val="single" w:color="auto" w:sz="4" w:space="0"/>
              <w:left w:val="nil"/>
              <w:bottom w:val="single" w:color="auto" w:sz="4" w:space="0"/>
              <w:right w:val="single" w:color="auto" w:sz="4" w:space="0"/>
            </w:tcBorders>
            <w:noWrap w:val="0"/>
            <w:vAlign w:val="center"/>
          </w:tcPr>
          <w:p w14:paraId="77E190B0">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资金来源及落实情况</w:t>
            </w:r>
          </w:p>
        </w:tc>
        <w:tc>
          <w:tcPr>
            <w:tcW w:w="5909" w:type="dxa"/>
            <w:tcBorders>
              <w:top w:val="single" w:color="auto" w:sz="4" w:space="0"/>
              <w:left w:val="nil"/>
              <w:bottom w:val="single" w:color="auto" w:sz="4" w:space="0"/>
              <w:right w:val="single" w:color="auto" w:sz="4" w:space="0"/>
            </w:tcBorders>
            <w:noWrap w:val="0"/>
            <w:vAlign w:val="center"/>
          </w:tcPr>
          <w:p w14:paraId="4E2644DA">
            <w:pPr>
              <w:keepNext w:val="0"/>
              <w:keepLines w:val="0"/>
              <w:suppressLineNumbers w:val="0"/>
              <w:adjustRightInd w:val="0"/>
              <w:spacing w:before="0" w:beforeAutospacing="0" w:after="0" w:afterAutospacing="0" w:line="360" w:lineRule="auto"/>
              <w:ind w:left="0" w:right="0"/>
              <w:jc w:val="left"/>
              <w:textAlignment w:val="baseline"/>
              <w:rPr>
                <w:rFonts w:hint="eastAsia" w:ascii="宋体" w:hAnsi="宋体"/>
                <w:color w:val="auto"/>
                <w:highlight w:val="none"/>
              </w:rPr>
            </w:pPr>
            <w:r>
              <w:rPr>
                <w:rFonts w:hint="eastAsia" w:ascii="宋体" w:hAnsi="宋体"/>
                <w:color w:val="auto"/>
                <w:highlight w:val="none"/>
              </w:rPr>
              <w:t>财政资金，已落实</w:t>
            </w:r>
          </w:p>
        </w:tc>
      </w:tr>
      <w:tr w14:paraId="26FFCA1C">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2801D6B5">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1.4.1</w:t>
            </w:r>
          </w:p>
        </w:tc>
        <w:tc>
          <w:tcPr>
            <w:tcW w:w="2591" w:type="dxa"/>
            <w:gridSpan w:val="2"/>
            <w:tcBorders>
              <w:top w:val="single" w:color="auto" w:sz="4" w:space="0"/>
              <w:left w:val="nil"/>
              <w:bottom w:val="single" w:color="auto" w:sz="4" w:space="0"/>
              <w:right w:val="single" w:color="auto" w:sz="4" w:space="0"/>
            </w:tcBorders>
            <w:noWrap w:val="0"/>
            <w:vAlign w:val="center"/>
          </w:tcPr>
          <w:p w14:paraId="5F5D1DD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采购内容及标段划分</w:t>
            </w:r>
          </w:p>
        </w:tc>
        <w:tc>
          <w:tcPr>
            <w:tcW w:w="5909" w:type="dxa"/>
            <w:tcBorders>
              <w:top w:val="single" w:color="auto" w:sz="4" w:space="0"/>
              <w:left w:val="nil"/>
              <w:bottom w:val="single" w:color="auto" w:sz="4" w:space="0"/>
              <w:right w:val="single" w:color="auto" w:sz="4" w:space="0"/>
            </w:tcBorders>
            <w:noWrap w:val="0"/>
            <w:vAlign w:val="center"/>
          </w:tcPr>
          <w:p w14:paraId="2C944CCD">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采购范围：真空共晶回流焊炉、平行封焊机、老化测试系统各一套。包含但不限于软硬件及附属设备的供货、运输、保险、装卸、安装、检测、调试、试运行、验收交付、培训、技术支持、软件升级、售后保修及相关伴随服务。</w:t>
            </w:r>
          </w:p>
          <w:p w14:paraId="2036A558">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标段划分：本项目划分为1个标段。</w:t>
            </w:r>
          </w:p>
        </w:tc>
      </w:tr>
      <w:tr w14:paraId="2A5AC549">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65468B5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1.4.2</w:t>
            </w:r>
          </w:p>
        </w:tc>
        <w:tc>
          <w:tcPr>
            <w:tcW w:w="2591" w:type="dxa"/>
            <w:gridSpan w:val="2"/>
            <w:tcBorders>
              <w:top w:val="single" w:color="auto" w:sz="4" w:space="0"/>
              <w:left w:val="nil"/>
              <w:bottom w:val="single" w:color="auto" w:sz="4" w:space="0"/>
              <w:right w:val="single" w:color="auto" w:sz="4" w:space="0"/>
            </w:tcBorders>
            <w:noWrap w:val="0"/>
            <w:vAlign w:val="center"/>
          </w:tcPr>
          <w:p w14:paraId="5FC7D86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交货地点</w:t>
            </w:r>
          </w:p>
        </w:tc>
        <w:tc>
          <w:tcPr>
            <w:tcW w:w="5909" w:type="dxa"/>
            <w:tcBorders>
              <w:top w:val="single" w:color="auto" w:sz="4" w:space="0"/>
              <w:left w:val="nil"/>
              <w:bottom w:val="single" w:color="auto" w:sz="4" w:space="0"/>
              <w:right w:val="single" w:color="auto" w:sz="4" w:space="0"/>
            </w:tcBorders>
            <w:noWrap w:val="0"/>
            <w:vAlign w:val="center"/>
          </w:tcPr>
          <w:p w14:paraId="4FC48A31">
            <w:pPr>
              <w:keepNext w:val="0"/>
              <w:keepLines w:val="0"/>
              <w:suppressLineNumbers w:val="0"/>
              <w:spacing w:before="0" w:beforeAutospacing="0" w:after="0" w:afterAutospacing="0" w:line="360" w:lineRule="auto"/>
              <w:ind w:left="0" w:right="0"/>
              <w:rPr>
                <w:rFonts w:hint="eastAsia" w:ascii="宋体" w:hAnsi="宋体" w:eastAsia="宋体"/>
                <w:color w:val="auto"/>
                <w:highlight w:val="none"/>
                <w:lang w:eastAsia="zh-CN"/>
              </w:rPr>
            </w:pPr>
            <w:r>
              <w:rPr>
                <w:rFonts w:hint="eastAsia" w:ascii="宋体" w:hAnsi="宋体" w:cs="宋体"/>
                <w:color w:val="auto"/>
                <w:kern w:val="0"/>
                <w:highlight w:val="none"/>
                <w:lang w:eastAsia="zh-CN"/>
              </w:rPr>
              <w:t>郑州市郑东新区汉月街26号中原量子谷</w:t>
            </w:r>
          </w:p>
        </w:tc>
      </w:tr>
      <w:tr w14:paraId="7091525D">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BAE7F8F">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1.4.3</w:t>
            </w:r>
          </w:p>
        </w:tc>
        <w:tc>
          <w:tcPr>
            <w:tcW w:w="2591" w:type="dxa"/>
            <w:gridSpan w:val="2"/>
            <w:tcBorders>
              <w:top w:val="single" w:color="auto" w:sz="4" w:space="0"/>
              <w:left w:val="nil"/>
              <w:bottom w:val="single" w:color="auto" w:sz="4" w:space="0"/>
              <w:right w:val="single" w:color="auto" w:sz="4" w:space="0"/>
            </w:tcBorders>
            <w:noWrap w:val="0"/>
            <w:vAlign w:val="center"/>
          </w:tcPr>
          <w:p w14:paraId="66B390B7">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交货期</w:t>
            </w:r>
          </w:p>
        </w:tc>
        <w:tc>
          <w:tcPr>
            <w:tcW w:w="5909" w:type="dxa"/>
            <w:tcBorders>
              <w:top w:val="single" w:color="auto" w:sz="4" w:space="0"/>
              <w:left w:val="nil"/>
              <w:bottom w:val="single" w:color="auto" w:sz="4" w:space="0"/>
              <w:right w:val="single" w:color="auto" w:sz="4" w:space="0"/>
            </w:tcBorders>
            <w:noWrap w:val="0"/>
            <w:vAlign w:val="center"/>
          </w:tcPr>
          <w:p w14:paraId="0C1CED32">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eastAsia="zh-CN"/>
              </w:rPr>
              <w:t>自合同生效之日起7个月内供货完成，供货后1个月内安装调试完成</w:t>
            </w:r>
            <w:r>
              <w:rPr>
                <w:rFonts w:hint="eastAsia" w:ascii="宋体" w:hAnsi="宋体"/>
                <w:color w:val="auto"/>
                <w:highlight w:val="none"/>
              </w:rPr>
              <w:t>。</w:t>
            </w:r>
          </w:p>
        </w:tc>
      </w:tr>
      <w:tr w14:paraId="22F71182">
        <w:tblPrEx>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4BCC8926">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1.4.4</w:t>
            </w:r>
          </w:p>
        </w:tc>
        <w:tc>
          <w:tcPr>
            <w:tcW w:w="2591" w:type="dxa"/>
            <w:gridSpan w:val="2"/>
            <w:tcBorders>
              <w:top w:val="single" w:color="auto" w:sz="4" w:space="0"/>
              <w:left w:val="nil"/>
              <w:bottom w:val="single" w:color="auto" w:sz="4" w:space="0"/>
              <w:right w:val="single" w:color="auto" w:sz="4" w:space="0"/>
            </w:tcBorders>
            <w:noWrap w:val="0"/>
            <w:vAlign w:val="center"/>
          </w:tcPr>
          <w:p w14:paraId="0F2E1D41">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质量要求</w:t>
            </w:r>
          </w:p>
        </w:tc>
        <w:tc>
          <w:tcPr>
            <w:tcW w:w="5909" w:type="dxa"/>
            <w:tcBorders>
              <w:top w:val="single" w:color="auto" w:sz="4" w:space="0"/>
              <w:left w:val="nil"/>
              <w:bottom w:val="single" w:color="auto" w:sz="4" w:space="0"/>
              <w:right w:val="single" w:color="auto" w:sz="4" w:space="0"/>
            </w:tcBorders>
            <w:noWrap w:val="0"/>
            <w:vAlign w:val="center"/>
          </w:tcPr>
          <w:p w14:paraId="1513BCD3">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符合国家、行业现行验收规范和标准，满足采购人的相关要求</w:t>
            </w:r>
          </w:p>
        </w:tc>
      </w:tr>
      <w:tr w14:paraId="685257BC">
        <w:tblPrEx>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2A99F86">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1.4.5</w:t>
            </w:r>
          </w:p>
        </w:tc>
        <w:tc>
          <w:tcPr>
            <w:tcW w:w="2591" w:type="dxa"/>
            <w:gridSpan w:val="2"/>
            <w:tcBorders>
              <w:top w:val="single" w:color="auto" w:sz="4" w:space="0"/>
              <w:left w:val="nil"/>
              <w:bottom w:val="single" w:color="auto" w:sz="4" w:space="0"/>
              <w:right w:val="single" w:color="auto" w:sz="4" w:space="0"/>
            </w:tcBorders>
            <w:noWrap w:val="0"/>
            <w:vAlign w:val="center"/>
          </w:tcPr>
          <w:p w14:paraId="576C089B">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质保期</w:t>
            </w:r>
          </w:p>
        </w:tc>
        <w:tc>
          <w:tcPr>
            <w:tcW w:w="5909" w:type="dxa"/>
            <w:tcBorders>
              <w:top w:val="single" w:color="auto" w:sz="4" w:space="0"/>
              <w:left w:val="nil"/>
              <w:bottom w:val="single" w:color="auto" w:sz="4" w:space="0"/>
              <w:right w:val="single" w:color="auto" w:sz="4" w:space="0"/>
            </w:tcBorders>
            <w:noWrap w:val="0"/>
            <w:vAlign w:val="center"/>
          </w:tcPr>
          <w:p w14:paraId="063C5127">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val="en-US" w:eastAsia="zh-CN"/>
              </w:rPr>
              <w:t>验收合格后原厂质保一年（自验收合格之日起计算）</w:t>
            </w:r>
          </w:p>
        </w:tc>
      </w:tr>
      <w:tr w14:paraId="001816F3">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1430C5A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1.5.1</w:t>
            </w:r>
          </w:p>
        </w:tc>
        <w:tc>
          <w:tcPr>
            <w:tcW w:w="2591" w:type="dxa"/>
            <w:gridSpan w:val="2"/>
            <w:tcBorders>
              <w:top w:val="single" w:color="auto" w:sz="4" w:space="0"/>
              <w:left w:val="nil"/>
              <w:bottom w:val="single" w:color="auto" w:sz="4" w:space="0"/>
              <w:right w:val="single" w:color="auto" w:sz="4" w:space="0"/>
            </w:tcBorders>
            <w:noWrap w:val="0"/>
            <w:vAlign w:val="center"/>
          </w:tcPr>
          <w:p w14:paraId="37BC2898">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供应商资质条件和能力</w:t>
            </w:r>
          </w:p>
        </w:tc>
        <w:tc>
          <w:tcPr>
            <w:tcW w:w="5909" w:type="dxa"/>
            <w:tcBorders>
              <w:top w:val="single" w:color="auto" w:sz="4" w:space="0"/>
              <w:left w:val="nil"/>
              <w:bottom w:val="single" w:color="auto" w:sz="4" w:space="0"/>
              <w:right w:val="single" w:color="auto" w:sz="4" w:space="0"/>
            </w:tcBorders>
            <w:noWrap w:val="0"/>
            <w:vAlign w:val="center"/>
          </w:tcPr>
          <w:p w14:paraId="6DFAFFE8">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6E07FA2B">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2.落实政府采购政策满足的资格要求：无；</w:t>
            </w:r>
          </w:p>
          <w:p w14:paraId="4A4BDC3C">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3.本项目的特定资格要求：</w:t>
            </w:r>
          </w:p>
          <w:p w14:paraId="77B895F9">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3.1根据《关于在政府采购活动中查询及使用信用记录有关问题的通知》 (财库 [2016]125号) 和豫财购[2016]15号的规定，对列入失信被执行人、重大税收违法失信主体、政府采购严重违法失信行为记录名单的企业，拒绝参与本项目招标采购活动（查询渠道：“信用中国”网站（www.creditchina.gov.cn）查询：列入失信被执行人、重大税收违法失信主体，中国政府采购网（www.ccgp.gov.cn）：政府采购严重违法失信行为记录名单）；注：采购代理机构在磋商当天将对所有参与本项目投标的供应商</w:t>
            </w:r>
            <w:r>
              <w:rPr>
                <w:rFonts w:hint="eastAsia" w:ascii="宋体" w:hAnsi="宋体" w:cs="宋体"/>
                <w:color w:val="auto"/>
                <w:kern w:val="0"/>
                <w:highlight w:val="none"/>
                <w:lang w:val="en-US" w:eastAsia="zh-CN"/>
              </w:rPr>
              <w:t>及其法定代表人</w:t>
            </w:r>
            <w:r>
              <w:rPr>
                <w:rFonts w:hint="eastAsia" w:ascii="宋体" w:hAnsi="宋体"/>
                <w:color w:val="auto"/>
                <w:highlight w:val="none"/>
              </w:rPr>
              <w:t>的信用情况（失信被执行人、重大税收违法失信主体、政府采购严重违法失信行为记录名单）进行查询、打印留存。若在磋商当天查询到供应商有相关负面信息的，则该供应商递交的响应文件按无效处理；</w:t>
            </w:r>
          </w:p>
          <w:p w14:paraId="29AA4880">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2</w:t>
            </w:r>
            <w:r>
              <w:rPr>
                <w:rFonts w:hint="eastAsia" w:ascii="宋体" w:hAnsi="宋体"/>
                <w:color w:val="auto"/>
                <w:highlight w:val="none"/>
              </w:rPr>
              <w:t>单位负责人为同一人或者存在直接控股、管理关系的不同供应商，不得参加同一合同项下的政府采购活动；</w:t>
            </w:r>
          </w:p>
        </w:tc>
      </w:tr>
      <w:tr w14:paraId="6BE6E17E">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79BA26E4">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1.5.2</w:t>
            </w:r>
          </w:p>
        </w:tc>
        <w:tc>
          <w:tcPr>
            <w:tcW w:w="2591" w:type="dxa"/>
            <w:gridSpan w:val="2"/>
            <w:tcBorders>
              <w:top w:val="single" w:color="auto" w:sz="4" w:space="0"/>
              <w:left w:val="nil"/>
              <w:bottom w:val="single" w:color="auto" w:sz="4" w:space="0"/>
              <w:right w:val="single" w:color="auto" w:sz="4" w:space="0"/>
            </w:tcBorders>
            <w:noWrap w:val="0"/>
            <w:vAlign w:val="center"/>
          </w:tcPr>
          <w:p w14:paraId="46AB708A">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是否接受联合体</w:t>
            </w:r>
          </w:p>
        </w:tc>
        <w:tc>
          <w:tcPr>
            <w:tcW w:w="5909" w:type="dxa"/>
            <w:tcBorders>
              <w:top w:val="single" w:color="auto" w:sz="4" w:space="0"/>
              <w:left w:val="nil"/>
              <w:bottom w:val="single" w:color="auto" w:sz="4" w:space="0"/>
              <w:right w:val="single" w:color="auto" w:sz="4" w:space="0"/>
            </w:tcBorders>
            <w:noWrap w:val="0"/>
            <w:vAlign w:val="center"/>
          </w:tcPr>
          <w:p w14:paraId="579629F0">
            <w:pPr>
              <w:pStyle w:val="12"/>
              <w:keepNext w:val="0"/>
              <w:keepLines w:val="0"/>
              <w:suppressLineNumbers w:val="0"/>
              <w:topLinePunct/>
              <w:adjustRightInd w:val="0"/>
              <w:spacing w:before="0" w:beforeAutospacing="0" w:after="0" w:afterAutospacing="0" w:line="360" w:lineRule="auto"/>
              <w:ind w:left="0" w:right="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不接受</w:t>
            </w:r>
          </w:p>
        </w:tc>
      </w:tr>
      <w:tr w14:paraId="3BC8D885">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4CCFCF9B">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highlight w:val="none"/>
                <w:lang w:val="en-US" w:eastAsia="zh-CN"/>
              </w:rPr>
              <w:t>1.12</w:t>
            </w:r>
          </w:p>
        </w:tc>
        <w:tc>
          <w:tcPr>
            <w:tcW w:w="2591" w:type="dxa"/>
            <w:gridSpan w:val="2"/>
            <w:tcBorders>
              <w:top w:val="single" w:color="auto" w:sz="4" w:space="0"/>
              <w:left w:val="nil"/>
              <w:bottom w:val="single" w:color="auto" w:sz="4" w:space="0"/>
              <w:right w:val="single" w:color="auto" w:sz="4" w:space="0"/>
            </w:tcBorders>
            <w:noWrap w:val="0"/>
            <w:vAlign w:val="center"/>
          </w:tcPr>
          <w:p w14:paraId="4A5862B8">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b/>
                <w:bCs/>
                <w:color w:val="auto"/>
                <w:highlight w:val="none"/>
                <w:lang w:eastAsia="zh-CN"/>
              </w:rPr>
              <w:t>偏离</w:t>
            </w:r>
          </w:p>
        </w:tc>
        <w:tc>
          <w:tcPr>
            <w:tcW w:w="5909" w:type="dxa"/>
            <w:tcBorders>
              <w:top w:val="single" w:color="auto" w:sz="4" w:space="0"/>
              <w:left w:val="nil"/>
              <w:bottom w:val="single" w:color="auto" w:sz="4" w:space="0"/>
              <w:right w:val="single" w:color="auto" w:sz="4" w:space="0"/>
            </w:tcBorders>
            <w:noWrap w:val="0"/>
            <w:vAlign w:val="center"/>
          </w:tcPr>
          <w:p w14:paraId="5D72B455">
            <w:pPr>
              <w:keepNext w:val="0"/>
              <w:keepLines w:val="0"/>
              <w:suppressLineNumbers w:val="0"/>
              <w:adjustRightInd w:val="0"/>
              <w:spacing w:before="0" w:beforeAutospacing="0" w:after="0" w:afterAutospacing="0" w:line="360" w:lineRule="auto"/>
              <w:ind w:left="0" w:right="0"/>
              <w:jc w:val="both"/>
              <w:textAlignment w:val="baseline"/>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第五章 采购需求 中</w:t>
            </w:r>
            <w:r>
              <w:rPr>
                <w:rFonts w:hint="eastAsia" w:ascii="宋体" w:hAnsi="宋体" w:cs="宋体"/>
                <w:b/>
                <w:bCs/>
                <w:color w:val="auto"/>
                <w:kern w:val="0"/>
                <w:szCs w:val="21"/>
                <w:highlight w:val="none"/>
                <w:lang w:bidi="ar"/>
              </w:rPr>
              <w:t>加★项</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商务服务要求</w:t>
            </w:r>
            <w:r>
              <w:rPr>
                <w:rFonts w:hint="eastAsia" w:ascii="宋体" w:hAnsi="宋体" w:cs="宋体"/>
                <w:b/>
                <w:bCs/>
                <w:color w:val="auto"/>
                <w:kern w:val="0"/>
                <w:szCs w:val="21"/>
                <w:highlight w:val="none"/>
                <w:lang w:bidi="ar"/>
              </w:rPr>
              <w:t>不允许负</w:t>
            </w:r>
            <w:r>
              <w:rPr>
                <w:rFonts w:hint="eastAsia" w:ascii="宋体" w:hAnsi="宋体" w:cs="宋体"/>
                <w:b/>
                <w:bCs/>
                <w:color w:val="auto"/>
                <w:kern w:val="0"/>
                <w:szCs w:val="21"/>
                <w:highlight w:val="none"/>
                <w:lang w:eastAsia="zh-CN" w:bidi="ar"/>
              </w:rPr>
              <w:t>偏离</w:t>
            </w: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eastAsia="zh-CN" w:bidi="ar"/>
              </w:rPr>
              <w:t>以技术规格偏差表及商务条款偏离表中的响应为准，</w:t>
            </w:r>
            <w:r>
              <w:rPr>
                <w:rFonts w:hint="eastAsia" w:ascii="宋体" w:hAnsi="宋体" w:cs="宋体"/>
                <w:b/>
                <w:bCs/>
                <w:color w:val="auto"/>
                <w:kern w:val="0"/>
                <w:szCs w:val="21"/>
                <w:highlight w:val="none"/>
                <w:lang w:val="en-US" w:eastAsia="zh-CN" w:bidi="ar"/>
              </w:rPr>
              <w:t>如未响应，则为无效投标。</w:t>
            </w:r>
          </w:p>
          <w:p w14:paraId="2C0174C8">
            <w:pPr>
              <w:keepNext w:val="0"/>
              <w:keepLines w:val="0"/>
              <w:suppressLineNumbers w:val="0"/>
              <w:adjustRightInd w:val="0"/>
              <w:spacing w:before="0" w:beforeAutospacing="0" w:after="0" w:afterAutospacing="0" w:line="360" w:lineRule="auto"/>
              <w:ind w:left="0" w:right="0"/>
              <w:jc w:val="both"/>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cs="宋体"/>
                <w:b/>
                <w:bCs/>
                <w:color w:val="auto"/>
                <w:kern w:val="0"/>
                <w:szCs w:val="21"/>
                <w:highlight w:val="none"/>
                <w:lang w:bidi="ar"/>
              </w:rPr>
              <w:t>其他项详见第三章评分标准及办法。</w:t>
            </w:r>
          </w:p>
        </w:tc>
      </w:tr>
      <w:tr w14:paraId="4DE68481">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2538C43A">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2.1</w:t>
            </w:r>
          </w:p>
        </w:tc>
        <w:tc>
          <w:tcPr>
            <w:tcW w:w="2591" w:type="dxa"/>
            <w:gridSpan w:val="2"/>
            <w:tcBorders>
              <w:top w:val="single" w:color="auto" w:sz="4" w:space="0"/>
              <w:left w:val="nil"/>
              <w:bottom w:val="single" w:color="auto" w:sz="4" w:space="0"/>
              <w:right w:val="single" w:color="auto" w:sz="4" w:space="0"/>
            </w:tcBorders>
            <w:noWrap w:val="0"/>
            <w:vAlign w:val="center"/>
          </w:tcPr>
          <w:p w14:paraId="1272571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构成磋商文件的其他材料</w:t>
            </w:r>
          </w:p>
        </w:tc>
        <w:tc>
          <w:tcPr>
            <w:tcW w:w="5909" w:type="dxa"/>
            <w:tcBorders>
              <w:top w:val="single" w:color="auto" w:sz="4" w:space="0"/>
              <w:left w:val="nil"/>
              <w:bottom w:val="single" w:color="auto" w:sz="4" w:space="0"/>
              <w:right w:val="single" w:color="auto" w:sz="4" w:space="0"/>
            </w:tcBorders>
            <w:noWrap w:val="0"/>
            <w:vAlign w:val="center"/>
          </w:tcPr>
          <w:p w14:paraId="1DD98D8F">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除磋商文件外，采购人在磋商期间发出的澄清、修改、补充、补遗和其它有效正式函件等内容均是磋商文件的组成部分</w:t>
            </w:r>
          </w:p>
        </w:tc>
      </w:tr>
      <w:tr w14:paraId="1940B3BC">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65D7970">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2.2.1</w:t>
            </w:r>
          </w:p>
        </w:tc>
        <w:tc>
          <w:tcPr>
            <w:tcW w:w="2591" w:type="dxa"/>
            <w:gridSpan w:val="2"/>
            <w:tcBorders>
              <w:top w:val="single" w:color="auto" w:sz="4" w:space="0"/>
              <w:left w:val="nil"/>
              <w:bottom w:val="single" w:color="auto" w:sz="4" w:space="0"/>
              <w:right w:val="single" w:color="auto" w:sz="4" w:space="0"/>
            </w:tcBorders>
            <w:noWrap w:val="0"/>
            <w:vAlign w:val="center"/>
          </w:tcPr>
          <w:p w14:paraId="5F8B35F0">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供应商要求澄清磋商文件的截止时间</w:t>
            </w:r>
          </w:p>
        </w:tc>
        <w:tc>
          <w:tcPr>
            <w:tcW w:w="5909" w:type="dxa"/>
            <w:tcBorders>
              <w:top w:val="single" w:color="auto" w:sz="4" w:space="0"/>
              <w:left w:val="nil"/>
              <w:bottom w:val="single" w:color="auto" w:sz="4" w:space="0"/>
              <w:right w:val="single" w:color="auto" w:sz="4" w:space="0"/>
            </w:tcBorders>
            <w:noWrap w:val="0"/>
            <w:vAlign w:val="center"/>
          </w:tcPr>
          <w:p w14:paraId="6BF0406B">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应当在收到磋商文件或公告期限届满之日起7个工作日内，在河南省公共资源交易中心系统内提出</w:t>
            </w:r>
          </w:p>
        </w:tc>
      </w:tr>
      <w:tr w14:paraId="61FC371E">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39479865">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2.2.2</w:t>
            </w:r>
          </w:p>
        </w:tc>
        <w:tc>
          <w:tcPr>
            <w:tcW w:w="2591" w:type="dxa"/>
            <w:gridSpan w:val="2"/>
            <w:tcBorders>
              <w:top w:val="single" w:color="auto" w:sz="4" w:space="0"/>
              <w:left w:val="nil"/>
              <w:bottom w:val="single" w:color="auto" w:sz="4" w:space="0"/>
              <w:right w:val="single" w:color="auto" w:sz="4" w:space="0"/>
            </w:tcBorders>
            <w:noWrap w:val="0"/>
            <w:vAlign w:val="center"/>
          </w:tcPr>
          <w:p w14:paraId="7331FF9B">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提交响应文件截止时间</w:t>
            </w:r>
          </w:p>
        </w:tc>
        <w:tc>
          <w:tcPr>
            <w:tcW w:w="5909" w:type="dxa"/>
            <w:tcBorders>
              <w:top w:val="single" w:color="auto" w:sz="4" w:space="0"/>
              <w:left w:val="nil"/>
              <w:bottom w:val="single" w:color="auto" w:sz="4" w:space="0"/>
              <w:right w:val="single" w:color="auto" w:sz="4" w:space="0"/>
            </w:tcBorders>
            <w:noWrap w:val="0"/>
            <w:vAlign w:val="center"/>
          </w:tcPr>
          <w:p w14:paraId="55B1D0E8">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b/>
                <w:bCs/>
                <w:color w:val="auto"/>
                <w:highlight w:val="none"/>
              </w:rPr>
              <w:t>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03</w:t>
            </w:r>
            <w:r>
              <w:rPr>
                <w:rFonts w:hint="eastAsia" w:ascii="宋体" w:hAnsi="宋体"/>
                <w:b/>
                <w:bCs/>
                <w:color w:val="auto"/>
                <w:highlight w:val="none"/>
              </w:rPr>
              <w:t>月</w:t>
            </w:r>
            <w:r>
              <w:rPr>
                <w:rFonts w:hint="eastAsia" w:ascii="宋体" w:hAnsi="宋体"/>
                <w:b/>
                <w:bCs/>
                <w:color w:val="auto"/>
                <w:highlight w:val="none"/>
                <w:lang w:val="en-US" w:eastAsia="zh-CN"/>
              </w:rPr>
              <w:t>03</w:t>
            </w:r>
            <w:r>
              <w:rPr>
                <w:rFonts w:hint="eastAsia" w:ascii="宋体" w:hAnsi="宋体"/>
                <w:b/>
                <w:bCs/>
                <w:color w:val="auto"/>
                <w:highlight w:val="none"/>
              </w:rPr>
              <w:t>日9时00分</w:t>
            </w:r>
          </w:p>
        </w:tc>
      </w:tr>
      <w:tr w14:paraId="005ACE6D">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51C5A309">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2.2.3</w:t>
            </w:r>
          </w:p>
        </w:tc>
        <w:tc>
          <w:tcPr>
            <w:tcW w:w="2591" w:type="dxa"/>
            <w:gridSpan w:val="2"/>
            <w:tcBorders>
              <w:top w:val="single" w:color="auto" w:sz="4" w:space="0"/>
              <w:left w:val="nil"/>
              <w:bottom w:val="single" w:color="auto" w:sz="4" w:space="0"/>
              <w:right w:val="single" w:color="auto" w:sz="4" w:space="0"/>
            </w:tcBorders>
            <w:noWrap w:val="0"/>
            <w:vAlign w:val="center"/>
          </w:tcPr>
          <w:p w14:paraId="4827F8F4">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供应商确认收到磋商文件澄清的时间</w:t>
            </w:r>
          </w:p>
        </w:tc>
        <w:tc>
          <w:tcPr>
            <w:tcW w:w="5909" w:type="dxa"/>
            <w:tcBorders>
              <w:top w:val="single" w:color="auto" w:sz="4" w:space="0"/>
              <w:left w:val="nil"/>
              <w:bottom w:val="single" w:color="auto" w:sz="4" w:space="0"/>
              <w:right w:val="single" w:color="auto" w:sz="4" w:space="0"/>
            </w:tcBorders>
            <w:noWrap w:val="0"/>
            <w:vAlign w:val="center"/>
          </w:tcPr>
          <w:p w14:paraId="32C5C9F3">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在河南省公共资源交易中心系统内发布后即视同供应商收到该澄清，请各供应商随时关注河南省公共资源交易中心系统</w:t>
            </w:r>
          </w:p>
        </w:tc>
      </w:tr>
      <w:tr w14:paraId="1D495883">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31C7239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2.3.2</w:t>
            </w:r>
          </w:p>
        </w:tc>
        <w:tc>
          <w:tcPr>
            <w:tcW w:w="2591" w:type="dxa"/>
            <w:gridSpan w:val="2"/>
            <w:tcBorders>
              <w:top w:val="single" w:color="auto" w:sz="4" w:space="0"/>
              <w:left w:val="nil"/>
              <w:bottom w:val="single" w:color="auto" w:sz="4" w:space="0"/>
              <w:right w:val="single" w:color="auto" w:sz="4" w:space="0"/>
            </w:tcBorders>
            <w:noWrap w:val="0"/>
            <w:vAlign w:val="center"/>
          </w:tcPr>
          <w:p w14:paraId="7107BF66">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供应商确认收到磋商文件修改的时间</w:t>
            </w:r>
          </w:p>
        </w:tc>
        <w:tc>
          <w:tcPr>
            <w:tcW w:w="5909" w:type="dxa"/>
            <w:tcBorders>
              <w:top w:val="single" w:color="auto" w:sz="4" w:space="0"/>
              <w:left w:val="nil"/>
              <w:bottom w:val="single" w:color="auto" w:sz="4" w:space="0"/>
              <w:right w:val="single" w:color="auto" w:sz="4" w:space="0"/>
            </w:tcBorders>
            <w:noWrap w:val="0"/>
            <w:vAlign w:val="center"/>
          </w:tcPr>
          <w:p w14:paraId="61AA3FFA">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在河南省公共资源交易中心系统内发布后即视同供应商收到该修改，请各供应商随时关注河南省公共资源交易中心系统</w:t>
            </w:r>
          </w:p>
        </w:tc>
      </w:tr>
      <w:tr w14:paraId="16ECB19A">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26A5086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3.1.1</w:t>
            </w:r>
          </w:p>
        </w:tc>
        <w:tc>
          <w:tcPr>
            <w:tcW w:w="2591" w:type="dxa"/>
            <w:gridSpan w:val="2"/>
            <w:tcBorders>
              <w:top w:val="single" w:color="auto" w:sz="4" w:space="0"/>
              <w:left w:val="nil"/>
              <w:bottom w:val="single" w:color="auto" w:sz="4" w:space="0"/>
              <w:right w:val="single" w:color="auto" w:sz="4" w:space="0"/>
            </w:tcBorders>
            <w:noWrap w:val="0"/>
            <w:vAlign w:val="center"/>
          </w:tcPr>
          <w:p w14:paraId="0BED5C4A">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构成响应文件的其他材料</w:t>
            </w:r>
          </w:p>
        </w:tc>
        <w:tc>
          <w:tcPr>
            <w:tcW w:w="5909" w:type="dxa"/>
            <w:tcBorders>
              <w:top w:val="single" w:color="auto" w:sz="4" w:space="0"/>
              <w:left w:val="nil"/>
              <w:bottom w:val="single" w:color="auto" w:sz="4" w:space="0"/>
              <w:right w:val="single" w:color="auto" w:sz="4" w:space="0"/>
            </w:tcBorders>
            <w:noWrap w:val="0"/>
            <w:vAlign w:val="center"/>
          </w:tcPr>
          <w:p w14:paraId="2505A53F">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供应商认为需要提交的其他证明材料</w:t>
            </w:r>
          </w:p>
        </w:tc>
      </w:tr>
      <w:tr w14:paraId="3B5C8126">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DB3E74D">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3.2</w:t>
            </w:r>
          </w:p>
        </w:tc>
        <w:tc>
          <w:tcPr>
            <w:tcW w:w="2591" w:type="dxa"/>
            <w:gridSpan w:val="2"/>
            <w:tcBorders>
              <w:top w:val="single" w:color="auto" w:sz="4" w:space="0"/>
              <w:left w:val="nil"/>
              <w:bottom w:val="single" w:color="auto" w:sz="4" w:space="0"/>
              <w:right w:val="single" w:color="auto" w:sz="4" w:space="0"/>
            </w:tcBorders>
            <w:noWrap w:val="0"/>
            <w:vAlign w:val="center"/>
          </w:tcPr>
          <w:p w14:paraId="1D156C27">
            <w:pPr>
              <w:keepNext w:val="0"/>
              <w:keepLines w:val="0"/>
              <w:suppressLineNumbers w:val="0"/>
              <w:spacing w:before="0" w:beforeAutospacing="0" w:after="0" w:afterAutospacing="0" w:line="360" w:lineRule="auto"/>
              <w:ind w:left="0" w:right="0"/>
              <w:jc w:val="center"/>
              <w:textAlignment w:val="center"/>
              <w:rPr>
                <w:rFonts w:hint="eastAsia" w:ascii="宋体" w:hAnsi="宋体"/>
                <w:color w:val="auto"/>
                <w:highlight w:val="none"/>
              </w:rPr>
            </w:pPr>
            <w:r>
              <w:rPr>
                <w:rFonts w:hint="eastAsia" w:ascii="宋体" w:hAnsi="宋体"/>
                <w:color w:val="auto"/>
                <w:highlight w:val="none"/>
              </w:rPr>
              <w:t>磋商报价</w:t>
            </w:r>
          </w:p>
        </w:tc>
        <w:tc>
          <w:tcPr>
            <w:tcW w:w="5909" w:type="dxa"/>
            <w:tcBorders>
              <w:top w:val="single" w:color="auto" w:sz="4" w:space="0"/>
              <w:left w:val="nil"/>
              <w:bottom w:val="single" w:color="auto" w:sz="4" w:space="0"/>
              <w:right w:val="single" w:color="auto" w:sz="4" w:space="0"/>
            </w:tcBorders>
            <w:noWrap w:val="0"/>
            <w:vAlign w:val="center"/>
          </w:tcPr>
          <w:p w14:paraId="7484C13D">
            <w:pPr>
              <w:keepNext w:val="0"/>
              <w:keepLines w:val="0"/>
              <w:suppressLineNumbers w:val="0"/>
              <w:spacing w:before="0" w:beforeAutospacing="0" w:after="0" w:afterAutospacing="0" w:line="360" w:lineRule="auto"/>
              <w:ind w:left="0" w:right="0"/>
              <w:jc w:val="left"/>
              <w:textAlignment w:val="center"/>
              <w:rPr>
                <w:rFonts w:hint="eastAsia" w:ascii="宋体" w:hAnsi="宋体"/>
                <w:color w:val="auto"/>
                <w:highlight w:val="none"/>
              </w:rPr>
            </w:pPr>
            <w:r>
              <w:rPr>
                <w:rFonts w:hint="eastAsia" w:ascii="宋体" w:hAnsi="宋体"/>
                <w:color w:val="auto"/>
                <w:highlight w:val="none"/>
              </w:rPr>
              <w:t>响应报价：随同响应文件递交的响应报价为第一轮报价，供应商通过符合性审查后，将进行第二轮报价（采购人可根据报价情况进行多轮磋商并要求供应商进行最后报价）。供应商的后一次报价不得高于前一次报价（磋商过程中采购需求发生实质性变动的除外），否则磋商申请将被拒绝。</w:t>
            </w:r>
          </w:p>
          <w:p w14:paraId="60A47E43">
            <w:pPr>
              <w:keepNext w:val="0"/>
              <w:keepLines w:val="0"/>
              <w:suppressLineNumbers w:val="0"/>
              <w:spacing w:before="0" w:beforeAutospacing="0" w:after="0" w:afterAutospacing="0" w:line="360" w:lineRule="auto"/>
              <w:ind w:left="0" w:right="0"/>
              <w:jc w:val="left"/>
              <w:textAlignment w:val="center"/>
              <w:rPr>
                <w:rFonts w:hint="eastAsia" w:ascii="宋体" w:hAnsi="宋体"/>
                <w:color w:val="auto"/>
                <w:highlight w:val="none"/>
              </w:rPr>
            </w:pPr>
            <w:r>
              <w:rPr>
                <w:rFonts w:hint="eastAsia" w:ascii="宋体" w:hAnsi="宋体"/>
                <w:color w:val="auto"/>
                <w:highlight w:val="none"/>
              </w:rPr>
              <w:t>本次磋商报价原则上进行两轮报价。</w:t>
            </w:r>
          </w:p>
          <w:p w14:paraId="593D1EDE">
            <w:pPr>
              <w:keepNext w:val="0"/>
              <w:keepLines w:val="0"/>
              <w:suppressLineNumbers w:val="0"/>
              <w:spacing w:before="0" w:beforeAutospacing="0" w:after="0" w:afterAutospacing="0" w:line="360" w:lineRule="auto"/>
              <w:ind w:left="0" w:right="0"/>
              <w:jc w:val="left"/>
              <w:textAlignment w:val="center"/>
              <w:rPr>
                <w:rFonts w:hint="eastAsia" w:ascii="宋体" w:hAnsi="宋体"/>
                <w:color w:val="auto"/>
                <w:highlight w:val="none"/>
              </w:rPr>
            </w:pPr>
            <w:r>
              <w:rPr>
                <w:rFonts w:hint="eastAsia" w:ascii="宋体" w:hAnsi="宋体"/>
                <w:color w:val="auto"/>
                <w:highlight w:val="none"/>
              </w:rPr>
              <w:t>注：磋商小组认为供应商的报价明显低于其他通过符合性审查供应商的报价，有可能影响货物质量或者不能诚信履约的，应当要求其在评标现场合理的时间（建议30分钟）内提供书面说明，必要时提交相关证明材料；供应商不能证明其报价合理性的，磋商小组应当将其作为无效响应处理。</w:t>
            </w:r>
          </w:p>
        </w:tc>
      </w:tr>
      <w:tr w14:paraId="524D7054">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5BFF6E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3.3.1</w:t>
            </w:r>
          </w:p>
        </w:tc>
        <w:tc>
          <w:tcPr>
            <w:tcW w:w="2591" w:type="dxa"/>
            <w:gridSpan w:val="2"/>
            <w:tcBorders>
              <w:top w:val="single" w:color="auto" w:sz="4" w:space="0"/>
              <w:left w:val="nil"/>
              <w:bottom w:val="single" w:color="auto" w:sz="4" w:space="0"/>
              <w:right w:val="single" w:color="auto" w:sz="4" w:space="0"/>
            </w:tcBorders>
            <w:noWrap w:val="0"/>
            <w:vAlign w:val="center"/>
          </w:tcPr>
          <w:p w14:paraId="53DC9936">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磋商有效期</w:t>
            </w:r>
          </w:p>
        </w:tc>
        <w:tc>
          <w:tcPr>
            <w:tcW w:w="5909" w:type="dxa"/>
            <w:tcBorders>
              <w:top w:val="single" w:color="auto" w:sz="4" w:space="0"/>
              <w:left w:val="nil"/>
              <w:bottom w:val="single" w:color="auto" w:sz="4" w:space="0"/>
              <w:right w:val="single" w:color="auto" w:sz="4" w:space="0"/>
            </w:tcBorders>
            <w:noWrap w:val="0"/>
            <w:vAlign w:val="center"/>
          </w:tcPr>
          <w:p w14:paraId="3E778114">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递交</w:t>
            </w:r>
            <w:r>
              <w:rPr>
                <w:rFonts w:hint="eastAsia" w:ascii="宋体" w:hAnsi="宋体"/>
                <w:color w:val="auto"/>
                <w:highlight w:val="none"/>
                <w:lang w:val="en-US" w:eastAsia="zh-CN"/>
              </w:rPr>
              <w:t>响应</w:t>
            </w:r>
            <w:r>
              <w:rPr>
                <w:rFonts w:hint="eastAsia" w:ascii="宋体" w:hAnsi="宋体"/>
                <w:color w:val="auto"/>
                <w:highlight w:val="none"/>
              </w:rPr>
              <w:t>文件截止时间起60日历天</w:t>
            </w:r>
          </w:p>
        </w:tc>
      </w:tr>
      <w:tr w14:paraId="2EC4CD68">
        <w:tblPrEx>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6C699BE4">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3.4</w:t>
            </w:r>
          </w:p>
        </w:tc>
        <w:tc>
          <w:tcPr>
            <w:tcW w:w="2591" w:type="dxa"/>
            <w:gridSpan w:val="2"/>
            <w:tcBorders>
              <w:top w:val="single" w:color="auto" w:sz="4" w:space="0"/>
              <w:left w:val="nil"/>
              <w:bottom w:val="single" w:color="auto" w:sz="4" w:space="0"/>
              <w:right w:val="single" w:color="auto" w:sz="4" w:space="0"/>
            </w:tcBorders>
            <w:noWrap w:val="0"/>
            <w:vAlign w:val="center"/>
          </w:tcPr>
          <w:p w14:paraId="016603B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磋商保证金</w:t>
            </w:r>
          </w:p>
        </w:tc>
        <w:tc>
          <w:tcPr>
            <w:tcW w:w="5909" w:type="dxa"/>
            <w:tcBorders>
              <w:top w:val="single" w:color="auto" w:sz="4" w:space="0"/>
              <w:left w:val="nil"/>
              <w:bottom w:val="single" w:color="auto" w:sz="4" w:space="0"/>
              <w:right w:val="single" w:color="auto" w:sz="4" w:space="0"/>
            </w:tcBorders>
            <w:noWrap w:val="0"/>
            <w:vAlign w:val="center"/>
          </w:tcPr>
          <w:p w14:paraId="3815DB97">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不收取</w:t>
            </w:r>
          </w:p>
        </w:tc>
      </w:tr>
      <w:tr w14:paraId="073B7827">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55A94A66">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3.5.2</w:t>
            </w:r>
          </w:p>
        </w:tc>
        <w:tc>
          <w:tcPr>
            <w:tcW w:w="2591" w:type="dxa"/>
            <w:gridSpan w:val="2"/>
            <w:tcBorders>
              <w:top w:val="single" w:color="auto" w:sz="4" w:space="0"/>
              <w:left w:val="nil"/>
              <w:bottom w:val="single" w:color="auto" w:sz="4" w:space="0"/>
              <w:right w:val="single" w:color="auto" w:sz="4" w:space="0"/>
            </w:tcBorders>
            <w:noWrap w:val="0"/>
            <w:vAlign w:val="center"/>
          </w:tcPr>
          <w:p w14:paraId="494D9F98">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近年财务状况的年份要求</w:t>
            </w:r>
          </w:p>
        </w:tc>
        <w:tc>
          <w:tcPr>
            <w:tcW w:w="5909" w:type="dxa"/>
            <w:tcBorders>
              <w:top w:val="single" w:color="auto" w:sz="4" w:space="0"/>
              <w:left w:val="nil"/>
              <w:bottom w:val="single" w:color="auto" w:sz="4" w:space="0"/>
              <w:right w:val="single" w:color="auto" w:sz="4" w:space="0"/>
            </w:tcBorders>
            <w:noWrap w:val="0"/>
            <w:vAlign w:val="center"/>
          </w:tcPr>
          <w:p w14:paraId="1353AF44">
            <w:pPr>
              <w:keepNext w:val="0"/>
              <w:keepLines w:val="0"/>
              <w:suppressLineNumbers w:val="0"/>
              <w:adjustRightInd w:val="0"/>
              <w:spacing w:before="0" w:beforeAutospacing="0" w:after="0" w:afterAutospacing="0" w:line="360" w:lineRule="auto"/>
              <w:ind w:left="0" w:right="0"/>
              <w:textAlignment w:val="baseline"/>
              <w:rPr>
                <w:rFonts w:hint="eastAsia" w:ascii="宋体" w:hAnsi="宋体" w:eastAsia="宋体"/>
                <w:color w:val="auto"/>
                <w:highlight w:val="none"/>
                <w:lang w:eastAsia="zh-CN"/>
              </w:rPr>
            </w:pPr>
            <w:r>
              <w:rPr>
                <w:rFonts w:hint="eastAsia" w:ascii="宋体" w:hAnsi="宋体" w:eastAsia="宋体"/>
                <w:color w:val="auto"/>
                <w:highlight w:val="none"/>
                <w:lang w:eastAsia="zh-CN"/>
              </w:rPr>
              <w:t>提供2023年度经第三方审计机构出具的审计报告：至少包含资产负债表、利润表、现金流量表和财务报表附注，供应商成立不满一年可提供基本户银行</w:t>
            </w:r>
            <w:r>
              <w:rPr>
                <w:rFonts w:hint="eastAsia" w:ascii="宋体" w:hAnsi="宋体" w:eastAsia="宋体"/>
                <w:color w:val="auto"/>
                <w:highlight w:val="none"/>
                <w:lang w:val="en-US" w:eastAsia="zh-CN"/>
              </w:rPr>
              <w:t>开具的</w:t>
            </w:r>
            <w:r>
              <w:rPr>
                <w:rFonts w:hint="eastAsia" w:ascii="宋体" w:hAnsi="宋体" w:eastAsia="宋体"/>
                <w:color w:val="auto"/>
                <w:highlight w:val="none"/>
                <w:lang w:eastAsia="zh-CN"/>
              </w:rPr>
              <w:t>资信证明</w:t>
            </w:r>
            <w:r>
              <w:rPr>
                <w:rFonts w:hint="eastAsia" w:ascii="宋体" w:hAnsi="宋体"/>
                <w:color w:val="auto"/>
                <w:highlight w:val="none"/>
                <w:lang w:eastAsia="zh-CN"/>
              </w:rPr>
              <w:t>。</w:t>
            </w:r>
          </w:p>
        </w:tc>
      </w:tr>
      <w:tr w14:paraId="7850C890">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2A4508A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3.6</w:t>
            </w:r>
          </w:p>
        </w:tc>
        <w:tc>
          <w:tcPr>
            <w:tcW w:w="2591" w:type="dxa"/>
            <w:gridSpan w:val="2"/>
            <w:tcBorders>
              <w:top w:val="single" w:color="auto" w:sz="4" w:space="0"/>
              <w:left w:val="nil"/>
              <w:bottom w:val="single" w:color="auto" w:sz="4" w:space="0"/>
              <w:right w:val="single" w:color="auto" w:sz="4" w:space="0"/>
            </w:tcBorders>
            <w:noWrap w:val="0"/>
            <w:vAlign w:val="center"/>
          </w:tcPr>
          <w:p w14:paraId="3F6CBD0B">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是否允许递交备选磋商方案</w:t>
            </w:r>
          </w:p>
        </w:tc>
        <w:tc>
          <w:tcPr>
            <w:tcW w:w="5909" w:type="dxa"/>
            <w:tcBorders>
              <w:top w:val="single" w:color="auto" w:sz="4" w:space="0"/>
              <w:left w:val="nil"/>
              <w:bottom w:val="single" w:color="auto" w:sz="4" w:space="0"/>
              <w:right w:val="single" w:color="auto" w:sz="4" w:space="0"/>
            </w:tcBorders>
            <w:noWrap w:val="0"/>
            <w:vAlign w:val="center"/>
          </w:tcPr>
          <w:p w14:paraId="503053D4">
            <w:pPr>
              <w:pStyle w:val="12"/>
              <w:keepNext w:val="0"/>
              <w:keepLines w:val="0"/>
              <w:suppressLineNumbers w:val="0"/>
              <w:topLinePunct/>
              <w:adjustRightInd w:val="0"/>
              <w:spacing w:before="0" w:beforeAutospacing="0" w:after="0" w:afterAutospacing="0" w:line="360" w:lineRule="auto"/>
              <w:ind w:left="0" w:right="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不允许</w:t>
            </w:r>
          </w:p>
        </w:tc>
      </w:tr>
      <w:tr w14:paraId="11520969">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6324C9E8">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3.7.3</w:t>
            </w:r>
          </w:p>
        </w:tc>
        <w:tc>
          <w:tcPr>
            <w:tcW w:w="2591" w:type="dxa"/>
            <w:gridSpan w:val="2"/>
            <w:tcBorders>
              <w:top w:val="single" w:color="auto" w:sz="4" w:space="0"/>
              <w:left w:val="nil"/>
              <w:bottom w:val="single" w:color="auto" w:sz="4" w:space="0"/>
              <w:right w:val="single" w:color="auto" w:sz="4" w:space="0"/>
            </w:tcBorders>
            <w:noWrap w:val="0"/>
            <w:vAlign w:val="center"/>
          </w:tcPr>
          <w:p w14:paraId="37FA5AE0">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签字盖章要求</w:t>
            </w:r>
          </w:p>
        </w:tc>
        <w:tc>
          <w:tcPr>
            <w:tcW w:w="5909" w:type="dxa"/>
            <w:tcBorders>
              <w:top w:val="single" w:color="auto" w:sz="4" w:space="0"/>
              <w:left w:val="nil"/>
              <w:bottom w:val="single" w:color="auto" w:sz="4" w:space="0"/>
              <w:right w:val="single" w:color="auto" w:sz="4" w:space="0"/>
            </w:tcBorders>
            <w:noWrap w:val="0"/>
            <w:vAlign w:val="center"/>
          </w:tcPr>
          <w:p w14:paraId="78FBC1DB">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（1）所有要求供应商加盖公章的地方都应用供应商单位的CA签章。</w:t>
            </w:r>
          </w:p>
          <w:p w14:paraId="23259D03">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（2）所有要求法定代表人签字的地方都应用法定代表人的CA签章。若有委托代理人，且委托代理人没有CA签章，则响应文件需上传有手写签名的扫描件。</w:t>
            </w:r>
          </w:p>
        </w:tc>
      </w:tr>
      <w:tr w14:paraId="37242F40">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566FC89F">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3.7.4</w:t>
            </w:r>
          </w:p>
        </w:tc>
        <w:tc>
          <w:tcPr>
            <w:tcW w:w="2591" w:type="dxa"/>
            <w:gridSpan w:val="2"/>
            <w:tcBorders>
              <w:top w:val="single" w:color="auto" w:sz="4" w:space="0"/>
              <w:left w:val="nil"/>
              <w:bottom w:val="single" w:color="auto" w:sz="4" w:space="0"/>
              <w:right w:val="single" w:color="auto" w:sz="4" w:space="0"/>
            </w:tcBorders>
            <w:noWrap w:val="0"/>
            <w:vAlign w:val="center"/>
          </w:tcPr>
          <w:p w14:paraId="5D05E934">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响应文件份数</w:t>
            </w:r>
          </w:p>
        </w:tc>
        <w:tc>
          <w:tcPr>
            <w:tcW w:w="5909" w:type="dxa"/>
            <w:tcBorders>
              <w:top w:val="single" w:color="auto" w:sz="4" w:space="0"/>
              <w:left w:val="nil"/>
              <w:bottom w:val="single" w:color="auto" w:sz="4" w:space="0"/>
              <w:right w:val="single" w:color="auto" w:sz="4" w:space="0"/>
            </w:tcBorders>
            <w:noWrap w:val="0"/>
            <w:vAlign w:val="center"/>
          </w:tcPr>
          <w:p w14:paraId="00EC988E">
            <w:pPr>
              <w:keepNext w:val="0"/>
              <w:keepLines w:val="0"/>
              <w:suppressLineNumbers w:val="0"/>
              <w:spacing w:before="0" w:beforeAutospacing="0" w:after="0" w:afterAutospacing="0" w:line="360" w:lineRule="auto"/>
              <w:ind w:left="0" w:right="0"/>
              <w:rPr>
                <w:rFonts w:hint="eastAsia" w:ascii="宋体" w:hAnsi="宋体"/>
                <w:b/>
                <w:color w:val="auto"/>
                <w:highlight w:val="none"/>
              </w:rPr>
            </w:pPr>
            <w:r>
              <w:rPr>
                <w:rFonts w:hint="eastAsia" w:ascii="宋体" w:hAnsi="宋体"/>
                <w:b/>
                <w:color w:val="auto"/>
                <w:highlight w:val="none"/>
              </w:rPr>
              <w:t>网上上传的电子响应文件应使用数字证书认证并加密的电子响应文件壹份（*.hntf 格式，在会员系统指定位置上传）。</w:t>
            </w:r>
          </w:p>
        </w:tc>
      </w:tr>
      <w:tr w14:paraId="777F7E93">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749059B0">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eastAsia="宋体"/>
                <w:color w:val="auto"/>
                <w:highlight w:val="none"/>
                <w:lang w:val="en-US" w:eastAsia="zh-CN"/>
              </w:rPr>
            </w:pPr>
            <w:r>
              <w:rPr>
                <w:rFonts w:hint="eastAsia" w:ascii="宋体" w:hAnsi="宋体"/>
                <w:color w:val="auto"/>
                <w:highlight w:val="none"/>
                <w:lang w:val="en-US" w:eastAsia="zh-CN"/>
              </w:rPr>
              <w:t>4.2.1</w:t>
            </w:r>
          </w:p>
        </w:tc>
        <w:tc>
          <w:tcPr>
            <w:tcW w:w="2591" w:type="dxa"/>
            <w:gridSpan w:val="2"/>
            <w:tcBorders>
              <w:top w:val="single" w:color="auto" w:sz="4" w:space="0"/>
              <w:left w:val="nil"/>
              <w:bottom w:val="single" w:color="auto" w:sz="4" w:space="0"/>
              <w:right w:val="single" w:color="auto" w:sz="4" w:space="0"/>
            </w:tcBorders>
            <w:noWrap w:val="0"/>
            <w:vAlign w:val="center"/>
          </w:tcPr>
          <w:p w14:paraId="39FE985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文件的递交</w:t>
            </w:r>
          </w:p>
        </w:tc>
        <w:tc>
          <w:tcPr>
            <w:tcW w:w="5909" w:type="dxa"/>
            <w:tcBorders>
              <w:top w:val="single" w:color="auto" w:sz="4" w:space="0"/>
              <w:left w:val="nil"/>
              <w:bottom w:val="single" w:color="auto" w:sz="4" w:space="0"/>
              <w:right w:val="single" w:color="auto" w:sz="4" w:space="0"/>
            </w:tcBorders>
            <w:noWrap w:val="0"/>
            <w:vAlign w:val="center"/>
          </w:tcPr>
          <w:p w14:paraId="602DD494">
            <w:pPr>
              <w:keepNext w:val="0"/>
              <w:keepLines w:val="0"/>
              <w:suppressLineNumbers w:val="0"/>
              <w:spacing w:before="0" w:beforeAutospacing="0" w:after="0" w:afterAutospacing="0" w:line="360" w:lineRule="auto"/>
              <w:ind w:left="0" w:right="0"/>
              <w:rPr>
                <w:rFonts w:hint="eastAsia" w:ascii="宋体" w:hAnsi="宋体"/>
                <w:b w:val="0"/>
                <w:bCs/>
                <w:color w:val="auto"/>
                <w:highlight w:val="none"/>
              </w:rPr>
            </w:pPr>
            <w:r>
              <w:rPr>
                <w:rFonts w:hint="eastAsia" w:ascii="宋体" w:hAnsi="宋体"/>
                <w:b w:val="0"/>
                <w:bCs/>
                <w:color w:val="auto"/>
                <w:highlight w:val="none"/>
              </w:rPr>
              <w:t>(1)各</w:t>
            </w:r>
            <w:r>
              <w:rPr>
                <w:rFonts w:hint="eastAsia" w:ascii="宋体" w:hAnsi="宋体"/>
                <w:b w:val="0"/>
                <w:bCs/>
                <w:color w:val="auto"/>
                <w:highlight w:val="none"/>
                <w:lang w:val="en-US" w:eastAsia="zh-CN"/>
              </w:rPr>
              <w:t>供应商</w:t>
            </w:r>
            <w:r>
              <w:rPr>
                <w:rFonts w:hint="eastAsia" w:ascii="宋体" w:hAnsi="宋体"/>
                <w:b w:val="0"/>
                <w:bCs/>
                <w:color w:val="auto"/>
                <w:highlight w:val="none"/>
              </w:rPr>
              <w:t>应在投标截止时间前上传加密的电子</w:t>
            </w:r>
            <w:r>
              <w:rPr>
                <w:rFonts w:hint="eastAsia" w:ascii="宋体" w:hAnsi="宋体"/>
                <w:b w:val="0"/>
                <w:bCs/>
                <w:color w:val="auto"/>
                <w:highlight w:val="none"/>
                <w:lang w:val="en-US" w:eastAsia="zh-CN"/>
              </w:rPr>
              <w:t>响应</w:t>
            </w:r>
            <w:r>
              <w:rPr>
                <w:rFonts w:hint="eastAsia" w:ascii="宋体" w:hAnsi="宋体"/>
                <w:b w:val="0"/>
                <w:bCs/>
                <w:color w:val="auto"/>
                <w:highlight w:val="none"/>
              </w:rPr>
              <w:t>文件（*.hntf）到会员系统的指定位置。上传时必须得到电脑“上传成功”的确认回复。请</w:t>
            </w:r>
            <w:r>
              <w:rPr>
                <w:rFonts w:hint="eastAsia" w:ascii="宋体" w:hAnsi="宋体"/>
                <w:b w:val="0"/>
                <w:bCs/>
                <w:color w:val="auto"/>
                <w:highlight w:val="none"/>
                <w:lang w:val="en-US" w:eastAsia="zh-CN"/>
              </w:rPr>
              <w:t>供应商</w:t>
            </w:r>
            <w:r>
              <w:rPr>
                <w:rFonts w:hint="eastAsia" w:ascii="宋体" w:hAnsi="宋体"/>
                <w:b w:val="0"/>
                <w:bCs/>
                <w:color w:val="auto"/>
                <w:highlight w:val="none"/>
              </w:rPr>
              <w:t>在上传时认真检查上传</w:t>
            </w:r>
            <w:r>
              <w:rPr>
                <w:rFonts w:hint="eastAsia" w:ascii="宋体" w:hAnsi="宋体"/>
                <w:b w:val="0"/>
                <w:bCs/>
                <w:color w:val="auto"/>
                <w:highlight w:val="none"/>
                <w:lang w:val="en-US" w:eastAsia="zh-CN"/>
              </w:rPr>
              <w:t>响应</w:t>
            </w:r>
            <w:r>
              <w:rPr>
                <w:rFonts w:hint="eastAsia" w:ascii="宋体" w:hAnsi="宋体"/>
                <w:b w:val="0"/>
                <w:bCs/>
                <w:color w:val="auto"/>
                <w:highlight w:val="none"/>
              </w:rPr>
              <w:t>文件是否完整、正确。</w:t>
            </w:r>
          </w:p>
          <w:p w14:paraId="6CE35915">
            <w:pPr>
              <w:keepNext w:val="0"/>
              <w:keepLines w:val="0"/>
              <w:suppressLineNumbers w:val="0"/>
              <w:spacing w:before="0" w:beforeAutospacing="0" w:after="0" w:afterAutospacing="0" w:line="360" w:lineRule="auto"/>
              <w:ind w:left="0" w:right="0"/>
              <w:rPr>
                <w:rFonts w:hint="eastAsia" w:ascii="宋体" w:hAnsi="宋体"/>
                <w:b w:val="0"/>
                <w:bCs/>
                <w:color w:val="auto"/>
                <w:highlight w:val="none"/>
              </w:rPr>
            </w:pPr>
            <w:r>
              <w:rPr>
                <w:rFonts w:hint="eastAsia" w:ascii="宋体" w:hAnsi="宋体"/>
                <w:b w:val="0"/>
                <w:bCs/>
                <w:color w:val="auto"/>
                <w:highlight w:val="none"/>
              </w:rPr>
              <w:t>(2)资格审查证明文件须上传至河南省公共资源交易平台“资格审查资料”模块，因未上传至指定位置导致资格审查不通过的，由</w:t>
            </w:r>
            <w:r>
              <w:rPr>
                <w:rFonts w:hint="eastAsia" w:ascii="宋体" w:hAnsi="宋体"/>
                <w:b w:val="0"/>
                <w:bCs/>
                <w:color w:val="auto"/>
                <w:highlight w:val="none"/>
                <w:lang w:eastAsia="zh-CN"/>
              </w:rPr>
              <w:t>供应商</w:t>
            </w:r>
            <w:r>
              <w:rPr>
                <w:rFonts w:hint="eastAsia" w:ascii="宋体" w:hAnsi="宋体"/>
                <w:b w:val="0"/>
                <w:bCs/>
                <w:color w:val="auto"/>
                <w:highlight w:val="none"/>
              </w:rPr>
              <w:t>自行承担责任。</w:t>
            </w:r>
          </w:p>
          <w:p w14:paraId="3E53086F">
            <w:pPr>
              <w:keepNext w:val="0"/>
              <w:keepLines w:val="0"/>
              <w:suppressLineNumbers w:val="0"/>
              <w:spacing w:before="0" w:beforeAutospacing="0" w:after="0" w:afterAutospacing="0" w:line="360" w:lineRule="auto"/>
              <w:ind w:left="0" w:right="0"/>
              <w:rPr>
                <w:rFonts w:hint="eastAsia" w:ascii="宋体" w:hAnsi="宋体"/>
                <w:b/>
                <w:color w:val="auto"/>
                <w:highlight w:val="none"/>
              </w:rPr>
            </w:pPr>
            <w:r>
              <w:rPr>
                <w:rFonts w:hint="eastAsia" w:ascii="宋体" w:hAnsi="宋体"/>
                <w:b w:val="0"/>
                <w:bCs/>
                <w:color w:val="auto"/>
                <w:highlight w:val="none"/>
              </w:rPr>
              <w:t>(3)</w:t>
            </w:r>
            <w:r>
              <w:rPr>
                <w:rFonts w:hint="eastAsia" w:ascii="宋体" w:hAnsi="宋体"/>
                <w:b w:val="0"/>
                <w:bCs/>
                <w:color w:val="auto"/>
                <w:highlight w:val="none"/>
                <w:lang w:val="en-US" w:eastAsia="zh-CN"/>
              </w:rPr>
              <w:t>供应商</w:t>
            </w:r>
            <w:r>
              <w:rPr>
                <w:rFonts w:hint="eastAsia" w:ascii="宋体" w:hAnsi="宋体"/>
                <w:b w:val="0"/>
                <w:bCs/>
                <w:color w:val="auto"/>
                <w:highlight w:val="none"/>
              </w:rPr>
              <w:t>因交易中心投标系统问题无法上传电子</w:t>
            </w:r>
            <w:r>
              <w:rPr>
                <w:rFonts w:hint="eastAsia" w:ascii="宋体" w:hAnsi="宋体"/>
                <w:b w:val="0"/>
                <w:bCs/>
                <w:color w:val="auto"/>
                <w:highlight w:val="none"/>
                <w:lang w:val="en-US" w:eastAsia="zh-CN"/>
              </w:rPr>
              <w:t>响应</w:t>
            </w:r>
            <w:r>
              <w:rPr>
                <w:rFonts w:hint="eastAsia" w:ascii="宋体" w:hAnsi="宋体"/>
                <w:b w:val="0"/>
                <w:bCs/>
                <w:color w:val="auto"/>
                <w:highlight w:val="none"/>
              </w:rPr>
              <w:t>文件时，请在工作时间与河南省公共资源交易中心联系，联系电话：0371-86095925。</w:t>
            </w:r>
          </w:p>
        </w:tc>
      </w:tr>
      <w:tr w14:paraId="44BEF2A4">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70B512A1">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4.2.2</w:t>
            </w:r>
          </w:p>
        </w:tc>
        <w:tc>
          <w:tcPr>
            <w:tcW w:w="2591" w:type="dxa"/>
            <w:gridSpan w:val="2"/>
            <w:tcBorders>
              <w:top w:val="single" w:color="auto" w:sz="4" w:space="0"/>
              <w:left w:val="nil"/>
              <w:bottom w:val="single" w:color="auto" w:sz="4" w:space="0"/>
              <w:right w:val="single" w:color="auto" w:sz="4" w:space="0"/>
            </w:tcBorders>
            <w:noWrap w:val="0"/>
            <w:vAlign w:val="center"/>
          </w:tcPr>
          <w:p w14:paraId="0C6C4549">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提交响应文件地点</w:t>
            </w:r>
          </w:p>
        </w:tc>
        <w:tc>
          <w:tcPr>
            <w:tcW w:w="5909" w:type="dxa"/>
            <w:tcBorders>
              <w:top w:val="single" w:color="auto" w:sz="4" w:space="0"/>
              <w:left w:val="nil"/>
              <w:bottom w:val="single" w:color="auto" w:sz="4" w:space="0"/>
              <w:right w:val="single" w:color="auto" w:sz="4" w:space="0"/>
            </w:tcBorders>
            <w:noWrap w:val="0"/>
            <w:vAlign w:val="center"/>
          </w:tcPr>
          <w:p w14:paraId="5F37AEB6">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河南省公共资源交易中心交易系统平台。各供应商应在响应文件提交截止时间前，通过河南省公共资源交易中心交易系统上传加密的电子响应文件。请各供应商在上传前务必认真检查上传电子响应文件是否完整、正确，加密电子响应文件逾期上传，采购人不予受理。</w:t>
            </w:r>
          </w:p>
        </w:tc>
      </w:tr>
      <w:tr w14:paraId="0657D95E">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347F4F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4.2.</w:t>
            </w:r>
            <w:r>
              <w:rPr>
                <w:rFonts w:hint="eastAsia" w:ascii="宋体" w:hAnsi="宋体"/>
                <w:color w:val="auto"/>
                <w:highlight w:val="none"/>
                <w:lang w:val="en-US" w:eastAsia="zh-CN"/>
              </w:rPr>
              <w:t>4</w:t>
            </w:r>
          </w:p>
        </w:tc>
        <w:tc>
          <w:tcPr>
            <w:tcW w:w="2591" w:type="dxa"/>
            <w:gridSpan w:val="2"/>
            <w:tcBorders>
              <w:top w:val="single" w:color="auto" w:sz="4" w:space="0"/>
              <w:left w:val="nil"/>
              <w:bottom w:val="single" w:color="auto" w:sz="4" w:space="0"/>
              <w:right w:val="single" w:color="auto" w:sz="4" w:space="0"/>
            </w:tcBorders>
            <w:noWrap w:val="0"/>
            <w:vAlign w:val="center"/>
          </w:tcPr>
          <w:p w14:paraId="39BBFB3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是否退还响应文件</w:t>
            </w:r>
          </w:p>
        </w:tc>
        <w:tc>
          <w:tcPr>
            <w:tcW w:w="5909" w:type="dxa"/>
            <w:tcBorders>
              <w:top w:val="single" w:color="auto" w:sz="4" w:space="0"/>
              <w:left w:val="nil"/>
              <w:bottom w:val="single" w:color="auto" w:sz="4" w:space="0"/>
              <w:right w:val="single" w:color="auto" w:sz="4" w:space="0"/>
            </w:tcBorders>
            <w:noWrap w:val="0"/>
            <w:vAlign w:val="center"/>
          </w:tcPr>
          <w:p w14:paraId="463D070B">
            <w:pPr>
              <w:pStyle w:val="12"/>
              <w:keepNext w:val="0"/>
              <w:keepLines w:val="0"/>
              <w:suppressLineNumbers w:val="0"/>
              <w:topLinePunct/>
              <w:adjustRightInd w:val="0"/>
              <w:spacing w:before="0" w:beforeAutospacing="0" w:after="0" w:afterAutospacing="0" w:line="360" w:lineRule="auto"/>
              <w:ind w:left="0" w:right="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否</w:t>
            </w:r>
          </w:p>
        </w:tc>
      </w:tr>
      <w:tr w14:paraId="1035B86D">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24FF96A3">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5.1</w:t>
            </w:r>
          </w:p>
        </w:tc>
        <w:tc>
          <w:tcPr>
            <w:tcW w:w="2591" w:type="dxa"/>
            <w:gridSpan w:val="2"/>
            <w:tcBorders>
              <w:top w:val="single" w:color="auto" w:sz="4" w:space="0"/>
              <w:left w:val="nil"/>
              <w:bottom w:val="single" w:color="auto" w:sz="4" w:space="0"/>
              <w:right w:val="single" w:color="auto" w:sz="4" w:space="0"/>
            </w:tcBorders>
            <w:noWrap w:val="0"/>
            <w:vAlign w:val="center"/>
          </w:tcPr>
          <w:p w14:paraId="6E40F436">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磋商时间和地点</w:t>
            </w:r>
          </w:p>
        </w:tc>
        <w:tc>
          <w:tcPr>
            <w:tcW w:w="5909" w:type="dxa"/>
            <w:tcBorders>
              <w:top w:val="single" w:color="auto" w:sz="4" w:space="0"/>
              <w:left w:val="nil"/>
              <w:bottom w:val="single" w:color="auto" w:sz="4" w:space="0"/>
              <w:right w:val="single" w:color="auto" w:sz="4" w:space="0"/>
            </w:tcBorders>
            <w:noWrap w:val="0"/>
            <w:vAlign w:val="center"/>
          </w:tcPr>
          <w:p w14:paraId="467673DB">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b/>
                <w:bCs/>
                <w:color w:val="auto"/>
                <w:highlight w:val="none"/>
              </w:rPr>
            </w:pPr>
            <w:r>
              <w:rPr>
                <w:rFonts w:hint="eastAsia" w:ascii="宋体" w:hAnsi="宋体"/>
                <w:b/>
                <w:bCs/>
                <w:color w:val="auto"/>
                <w:highlight w:val="none"/>
              </w:rPr>
              <w:t>磋商时间：同提交响应文件截止时间</w:t>
            </w:r>
          </w:p>
          <w:p w14:paraId="6029C7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olor w:val="auto"/>
                <w:highlight w:val="none"/>
              </w:rPr>
            </w:pPr>
            <w:r>
              <w:rPr>
                <w:rFonts w:hint="eastAsia" w:ascii="宋体" w:hAnsi="宋体"/>
                <w:b/>
                <w:bCs/>
                <w:color w:val="auto"/>
                <w:highlight w:val="none"/>
              </w:rPr>
              <w:t>磋商地点：河南省公共资源交易中心远程开标室（</w:t>
            </w:r>
            <w:r>
              <w:rPr>
                <w:rFonts w:hint="eastAsia" w:ascii="宋体" w:hAnsi="宋体"/>
                <w:b/>
                <w:bCs/>
                <w:color w:val="auto"/>
                <w:highlight w:val="none"/>
                <w:lang w:val="en-US" w:eastAsia="zh-CN"/>
              </w:rPr>
              <w:t>二</w:t>
            </w:r>
            <w:r>
              <w:rPr>
                <w:rFonts w:hint="eastAsia" w:ascii="宋体" w:hAnsi="宋体"/>
                <w:b/>
                <w:bCs/>
                <w:color w:val="auto"/>
                <w:highlight w:val="none"/>
              </w:rPr>
              <w:t>）-</w:t>
            </w:r>
            <w:r>
              <w:rPr>
                <w:rFonts w:hint="eastAsia" w:ascii="宋体" w:hAnsi="宋体"/>
                <w:b/>
                <w:bCs/>
                <w:color w:val="auto"/>
                <w:highlight w:val="none"/>
                <w:lang w:val="en-US" w:eastAsia="zh-CN"/>
              </w:rPr>
              <w:t>2</w:t>
            </w:r>
            <w:r>
              <w:rPr>
                <w:rFonts w:hint="eastAsia" w:ascii="宋体" w:hAnsi="宋体"/>
                <w:b/>
                <w:bCs/>
                <w:color w:val="auto"/>
                <w:highlight w:val="none"/>
              </w:rPr>
              <w:t>，（郑州市经二路12号，经二路与纬四路向南50米路西）</w:t>
            </w:r>
          </w:p>
        </w:tc>
      </w:tr>
      <w:tr w14:paraId="20613532">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0FA97A3A">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6.1</w:t>
            </w:r>
          </w:p>
        </w:tc>
        <w:tc>
          <w:tcPr>
            <w:tcW w:w="2591" w:type="dxa"/>
            <w:gridSpan w:val="2"/>
            <w:tcBorders>
              <w:top w:val="single" w:color="auto" w:sz="4" w:space="0"/>
              <w:left w:val="nil"/>
              <w:bottom w:val="single" w:color="auto" w:sz="4" w:space="0"/>
              <w:right w:val="single" w:color="auto" w:sz="4" w:space="0"/>
            </w:tcBorders>
            <w:noWrap w:val="0"/>
            <w:vAlign w:val="center"/>
          </w:tcPr>
          <w:p w14:paraId="5282990C">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磋商小组的组建</w:t>
            </w:r>
          </w:p>
        </w:tc>
        <w:tc>
          <w:tcPr>
            <w:tcW w:w="5909" w:type="dxa"/>
            <w:tcBorders>
              <w:top w:val="single" w:color="auto" w:sz="4" w:space="0"/>
              <w:left w:val="nil"/>
              <w:bottom w:val="single" w:color="auto" w:sz="4" w:space="0"/>
              <w:right w:val="single" w:color="auto" w:sz="4" w:space="0"/>
            </w:tcBorders>
            <w:noWrap w:val="0"/>
            <w:vAlign w:val="center"/>
          </w:tcPr>
          <w:p w14:paraId="1F9A8541">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磋商小组构成：3人，由1名采购人代表、1名技术和1名经济评标专家组成；</w:t>
            </w:r>
          </w:p>
          <w:p w14:paraId="2365CFB9">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技术、经济评标专家确定方式：磋商前在河南省</w:t>
            </w:r>
            <w:r>
              <w:rPr>
                <w:rFonts w:hint="eastAsia" w:ascii="宋体" w:hAnsi="宋体"/>
                <w:color w:val="auto"/>
                <w:kern w:val="0"/>
                <w:highlight w:val="none"/>
              </w:rPr>
              <w:t>政府采购评审</w:t>
            </w:r>
            <w:r>
              <w:rPr>
                <w:rFonts w:hint="eastAsia" w:ascii="宋体" w:hAnsi="宋体"/>
                <w:color w:val="auto"/>
                <w:highlight w:val="none"/>
              </w:rPr>
              <w:t>专家库中随机抽取。</w:t>
            </w:r>
          </w:p>
        </w:tc>
      </w:tr>
      <w:tr w14:paraId="66AAC2B7">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7B301DBF">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7.1</w:t>
            </w:r>
          </w:p>
        </w:tc>
        <w:tc>
          <w:tcPr>
            <w:tcW w:w="2591" w:type="dxa"/>
            <w:gridSpan w:val="2"/>
            <w:tcBorders>
              <w:top w:val="single" w:color="auto" w:sz="4" w:space="0"/>
              <w:left w:val="nil"/>
              <w:bottom w:val="single" w:color="auto" w:sz="4" w:space="0"/>
              <w:right w:val="single" w:color="auto" w:sz="4" w:space="0"/>
            </w:tcBorders>
            <w:noWrap w:val="0"/>
            <w:vAlign w:val="center"/>
          </w:tcPr>
          <w:p w14:paraId="29055630">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是否授权磋商小组确定成交人</w:t>
            </w:r>
          </w:p>
        </w:tc>
        <w:tc>
          <w:tcPr>
            <w:tcW w:w="5909" w:type="dxa"/>
            <w:tcBorders>
              <w:top w:val="single" w:color="auto" w:sz="4" w:space="0"/>
              <w:left w:val="nil"/>
              <w:bottom w:val="single" w:color="auto" w:sz="4" w:space="0"/>
              <w:right w:val="single" w:color="auto" w:sz="4" w:space="0"/>
            </w:tcBorders>
            <w:noWrap w:val="0"/>
            <w:vAlign w:val="center"/>
          </w:tcPr>
          <w:p w14:paraId="5A297756">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否；推荐的成交候选人数：3名</w:t>
            </w:r>
          </w:p>
        </w:tc>
      </w:tr>
      <w:tr w14:paraId="59214374">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noWrap w:val="0"/>
            <w:vAlign w:val="center"/>
          </w:tcPr>
          <w:p w14:paraId="1DF38674">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7.3.1</w:t>
            </w:r>
          </w:p>
        </w:tc>
        <w:tc>
          <w:tcPr>
            <w:tcW w:w="2591" w:type="dxa"/>
            <w:gridSpan w:val="2"/>
            <w:tcBorders>
              <w:top w:val="single" w:color="auto" w:sz="4" w:space="0"/>
              <w:left w:val="nil"/>
              <w:bottom w:val="single" w:color="auto" w:sz="4" w:space="0"/>
              <w:right w:val="single" w:color="auto" w:sz="4" w:space="0"/>
            </w:tcBorders>
            <w:noWrap w:val="0"/>
            <w:vAlign w:val="center"/>
          </w:tcPr>
          <w:p w14:paraId="6D70614F">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履约保证金</w:t>
            </w:r>
          </w:p>
        </w:tc>
        <w:tc>
          <w:tcPr>
            <w:tcW w:w="5909" w:type="dxa"/>
            <w:tcBorders>
              <w:top w:val="single" w:color="auto" w:sz="4" w:space="0"/>
              <w:left w:val="nil"/>
              <w:bottom w:val="single" w:color="auto" w:sz="4" w:space="0"/>
              <w:right w:val="single" w:color="auto" w:sz="4" w:space="0"/>
            </w:tcBorders>
            <w:noWrap w:val="0"/>
            <w:vAlign w:val="center"/>
          </w:tcPr>
          <w:p w14:paraId="0CD5716F">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宋体"/>
                <w:color w:val="auto"/>
                <w:highlight w:val="none"/>
                <w:lang w:val="en-US" w:eastAsia="zh-CN"/>
              </w:rPr>
            </w:pPr>
            <w:r>
              <w:rPr>
                <w:rFonts w:hint="default" w:eastAsia="宋体"/>
                <w:color w:val="auto"/>
                <w:highlight w:val="none"/>
                <w:lang w:val="en-US" w:eastAsia="zh-CN"/>
              </w:rPr>
              <w:t>是否要求中标人提供履约担保：是</w:t>
            </w:r>
          </w:p>
          <w:p w14:paraId="1BB269C7">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宋体"/>
                <w:color w:val="auto"/>
                <w:highlight w:val="none"/>
                <w:lang w:val="en-US" w:eastAsia="zh-CN"/>
              </w:rPr>
            </w:pPr>
            <w:r>
              <w:rPr>
                <w:rFonts w:hint="default" w:eastAsia="宋体"/>
                <w:color w:val="auto"/>
                <w:highlight w:val="none"/>
                <w:lang w:val="en-US" w:eastAsia="zh-CN"/>
              </w:rPr>
              <w:t>缴纳形式：银行保函</w:t>
            </w:r>
          </w:p>
          <w:p w14:paraId="78F3F254">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宋体"/>
                <w:color w:val="auto"/>
                <w:highlight w:val="none"/>
                <w:lang w:val="en-US" w:eastAsia="zh-CN"/>
              </w:rPr>
            </w:pPr>
            <w:r>
              <w:rPr>
                <w:rFonts w:hint="default" w:eastAsia="宋体"/>
                <w:color w:val="auto"/>
                <w:highlight w:val="none"/>
                <w:lang w:val="en-US" w:eastAsia="zh-CN"/>
              </w:rPr>
              <w:t>金额：中标价的5%</w:t>
            </w:r>
          </w:p>
          <w:p w14:paraId="5E03463C">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宋体"/>
                <w:color w:val="auto"/>
                <w:highlight w:val="none"/>
                <w:lang w:val="en-US" w:eastAsia="zh-CN"/>
              </w:rPr>
            </w:pPr>
            <w:r>
              <w:rPr>
                <w:rFonts w:hint="default" w:eastAsia="宋体"/>
                <w:color w:val="auto"/>
                <w:highlight w:val="none"/>
                <w:lang w:val="en-US" w:eastAsia="zh-CN"/>
              </w:rPr>
              <w:t>缴纳时间：中标通知书发出后</w:t>
            </w:r>
            <w:r>
              <w:rPr>
                <w:rFonts w:hint="eastAsia"/>
                <w:color w:val="auto"/>
                <w:highlight w:val="none"/>
                <w:lang w:val="en-US" w:eastAsia="zh-CN"/>
              </w:rPr>
              <w:t>1</w:t>
            </w:r>
            <w:r>
              <w:rPr>
                <w:rFonts w:hint="default" w:eastAsia="宋体"/>
                <w:color w:val="auto"/>
                <w:highlight w:val="none"/>
                <w:lang w:val="en-US" w:eastAsia="zh-CN"/>
              </w:rPr>
              <w:t>5日内</w:t>
            </w:r>
          </w:p>
          <w:p w14:paraId="22F0DAA2">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宋体"/>
                <w:color w:val="auto"/>
                <w:highlight w:val="none"/>
                <w:lang w:val="en-US" w:eastAsia="zh-CN"/>
              </w:rPr>
            </w:pPr>
            <w:r>
              <w:rPr>
                <w:rFonts w:hint="default" w:eastAsia="宋体"/>
                <w:color w:val="auto"/>
                <w:highlight w:val="none"/>
                <w:lang w:val="en-US" w:eastAsia="zh-CN"/>
              </w:rPr>
              <w:t>退还时间：全部产品质保期结束，无质量问题退还其保函。履约保函期限应覆盖供货期和中标人承诺的质保期。</w:t>
            </w:r>
          </w:p>
        </w:tc>
      </w:tr>
      <w:tr w14:paraId="068E3277">
        <w:tblPrEx>
          <w:tblCellMar>
            <w:top w:w="0" w:type="dxa"/>
            <w:left w:w="108" w:type="dxa"/>
            <w:bottom w:w="0" w:type="dxa"/>
            <w:right w:w="108" w:type="dxa"/>
          </w:tblCellMar>
        </w:tblPrEx>
        <w:trPr>
          <w:trHeight w:val="23" w:hRule="atLeast"/>
          <w:jc w:val="center"/>
        </w:trPr>
        <w:tc>
          <w:tcPr>
            <w:tcW w:w="9480" w:type="dxa"/>
            <w:gridSpan w:val="4"/>
            <w:tcBorders>
              <w:top w:val="single" w:color="auto" w:sz="4" w:space="0"/>
              <w:left w:val="single" w:color="auto" w:sz="4" w:space="0"/>
              <w:bottom w:val="single" w:color="auto" w:sz="4" w:space="0"/>
              <w:right w:val="single" w:color="auto" w:sz="4" w:space="0"/>
            </w:tcBorders>
            <w:noWrap w:val="0"/>
            <w:vAlign w:val="center"/>
          </w:tcPr>
          <w:p w14:paraId="5D56FFE1">
            <w:pPr>
              <w:keepNext w:val="0"/>
              <w:keepLines w:val="0"/>
              <w:suppressLineNumbers w:val="0"/>
              <w:adjustRightInd w:val="0"/>
              <w:spacing w:before="0" w:beforeAutospacing="0" w:after="0" w:afterAutospacing="0" w:line="360" w:lineRule="auto"/>
              <w:ind w:left="0" w:right="0"/>
              <w:jc w:val="left"/>
              <w:textAlignment w:val="baseline"/>
              <w:rPr>
                <w:rFonts w:hint="eastAsia" w:ascii="宋体" w:hAnsi="宋体"/>
                <w:color w:val="auto"/>
                <w:highlight w:val="none"/>
              </w:rPr>
            </w:pPr>
            <w:r>
              <w:rPr>
                <w:rFonts w:hint="eastAsia" w:ascii="宋体" w:hAnsi="宋体"/>
                <w:b/>
                <w:bCs/>
                <w:color w:val="auto"/>
                <w:highlight w:val="none"/>
              </w:rPr>
              <w:t>10.需要补充的其他内容</w:t>
            </w:r>
          </w:p>
        </w:tc>
      </w:tr>
      <w:tr w14:paraId="3E20DCC0">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4B0EF8A5">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bookmarkStart w:id="45" w:name="_Toc144974497"/>
            <w:r>
              <w:rPr>
                <w:rFonts w:hint="eastAsia" w:ascii="宋体" w:hAnsi="宋体"/>
                <w:color w:val="auto"/>
                <w:highlight w:val="none"/>
              </w:rPr>
              <w:t>10.1</w:t>
            </w:r>
            <w:bookmarkEnd w:id="45"/>
          </w:p>
        </w:tc>
        <w:tc>
          <w:tcPr>
            <w:tcW w:w="2571" w:type="dxa"/>
            <w:tcBorders>
              <w:top w:val="single" w:color="auto" w:sz="4" w:space="0"/>
              <w:left w:val="nil"/>
              <w:bottom w:val="single" w:color="auto" w:sz="4" w:space="0"/>
              <w:right w:val="single" w:color="auto" w:sz="4" w:space="0"/>
            </w:tcBorders>
            <w:noWrap w:val="0"/>
            <w:vAlign w:val="center"/>
          </w:tcPr>
          <w:p w14:paraId="67452C8F">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解释权</w:t>
            </w:r>
          </w:p>
        </w:tc>
        <w:tc>
          <w:tcPr>
            <w:tcW w:w="5909" w:type="dxa"/>
            <w:tcBorders>
              <w:top w:val="single" w:color="auto" w:sz="4" w:space="0"/>
              <w:left w:val="nil"/>
              <w:bottom w:val="single" w:color="auto" w:sz="4" w:space="0"/>
              <w:right w:val="single" w:color="auto" w:sz="4" w:space="0"/>
            </w:tcBorders>
            <w:noWrap w:val="0"/>
            <w:vAlign w:val="center"/>
          </w:tcPr>
          <w:p w14:paraId="00A33550">
            <w:pPr>
              <w:keepNext w:val="0"/>
              <w:keepLines w:val="0"/>
              <w:suppressLineNumbers w:val="0"/>
              <w:adjustRightInd w:val="0"/>
              <w:spacing w:before="0" w:beforeAutospacing="0" w:after="0" w:afterAutospacing="0" w:line="360" w:lineRule="auto"/>
              <w:ind w:left="0" w:right="0"/>
              <w:textAlignment w:val="baseline"/>
              <w:rPr>
                <w:rFonts w:hint="eastAsia" w:ascii="宋体" w:hAnsi="宋体"/>
                <w:color w:val="auto"/>
                <w:highlight w:val="none"/>
              </w:rPr>
            </w:pPr>
            <w:r>
              <w:rPr>
                <w:rFonts w:hint="eastAsia" w:ascii="宋体" w:hAnsi="宋体"/>
                <w:color w:val="auto"/>
                <w:highlight w:val="none"/>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1863F2A">
        <w:tblPrEx>
          <w:tblCellMar>
            <w:top w:w="0" w:type="dxa"/>
            <w:left w:w="108" w:type="dxa"/>
            <w:bottom w:w="0" w:type="dxa"/>
            <w:right w:w="108" w:type="dxa"/>
          </w:tblCellMar>
        </w:tblPrEx>
        <w:trPr>
          <w:trHeight w:val="525"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4FEBA2C3">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10.2</w:t>
            </w:r>
          </w:p>
        </w:tc>
        <w:tc>
          <w:tcPr>
            <w:tcW w:w="2571" w:type="dxa"/>
            <w:tcBorders>
              <w:top w:val="single" w:color="auto" w:sz="4" w:space="0"/>
              <w:left w:val="nil"/>
              <w:bottom w:val="single" w:color="auto" w:sz="4" w:space="0"/>
              <w:right w:val="single" w:color="auto" w:sz="4" w:space="0"/>
            </w:tcBorders>
            <w:noWrap w:val="0"/>
            <w:vAlign w:val="center"/>
          </w:tcPr>
          <w:p w14:paraId="54799894">
            <w:pPr>
              <w:keepNext w:val="0"/>
              <w:keepLines w:val="0"/>
              <w:suppressLineNumbers w:val="0"/>
              <w:spacing w:before="0" w:beforeAutospacing="0" w:after="0" w:afterAutospacing="0" w:line="360" w:lineRule="auto"/>
              <w:ind w:left="0" w:right="0"/>
              <w:jc w:val="center"/>
              <w:rPr>
                <w:rFonts w:hint="eastAsia" w:ascii="宋体" w:hAnsi="宋体"/>
                <w:b/>
                <w:bCs/>
                <w:color w:val="auto"/>
                <w:highlight w:val="none"/>
              </w:rPr>
            </w:pPr>
            <w:r>
              <w:rPr>
                <w:rFonts w:hint="eastAsia" w:ascii="宋体" w:hAnsi="宋体"/>
                <w:b/>
                <w:bCs/>
                <w:color w:val="auto"/>
                <w:highlight w:val="none"/>
              </w:rPr>
              <w:t>最高限价</w:t>
            </w:r>
          </w:p>
        </w:tc>
        <w:tc>
          <w:tcPr>
            <w:tcW w:w="5909" w:type="dxa"/>
            <w:tcBorders>
              <w:top w:val="single" w:color="auto" w:sz="4" w:space="0"/>
              <w:left w:val="nil"/>
              <w:bottom w:val="single" w:color="auto" w:sz="4" w:space="0"/>
              <w:right w:val="single" w:color="auto" w:sz="4" w:space="0"/>
            </w:tcBorders>
            <w:noWrap w:val="0"/>
            <w:vAlign w:val="center"/>
          </w:tcPr>
          <w:p w14:paraId="673D6017">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b/>
                <w:bCs/>
                <w:color w:val="auto"/>
                <w:highlight w:val="none"/>
              </w:rPr>
              <w:t>大写：</w:t>
            </w:r>
            <w:r>
              <w:rPr>
                <w:rFonts w:hint="eastAsia" w:ascii="宋体" w:hAnsi="宋体"/>
                <w:b/>
                <w:bCs/>
                <w:color w:val="auto"/>
                <w:highlight w:val="none"/>
                <w:lang w:val="en-US" w:eastAsia="zh-CN"/>
              </w:rPr>
              <w:t>人民币叁佰玖拾柒万贰仟元整</w:t>
            </w:r>
            <w:r>
              <w:rPr>
                <w:rFonts w:hint="eastAsia" w:ascii="宋体" w:hAnsi="宋体"/>
                <w:b/>
                <w:bCs/>
                <w:color w:val="auto"/>
                <w:highlight w:val="none"/>
              </w:rPr>
              <w:t>，小写：¥</w:t>
            </w:r>
            <w:r>
              <w:rPr>
                <w:rFonts w:hint="eastAsia" w:ascii="宋体" w:hAnsi="宋体"/>
                <w:b/>
                <w:bCs/>
                <w:color w:val="auto"/>
                <w:highlight w:val="none"/>
                <w:lang w:eastAsia="zh-CN"/>
              </w:rPr>
              <w:t>3972000.00</w:t>
            </w:r>
            <w:r>
              <w:rPr>
                <w:rFonts w:hint="eastAsia" w:ascii="宋体" w:hAnsi="宋体"/>
                <w:b/>
                <w:bCs/>
                <w:color w:val="auto"/>
                <w:highlight w:val="none"/>
              </w:rPr>
              <w:t>元</w:t>
            </w:r>
            <w:r>
              <w:rPr>
                <w:rFonts w:hint="eastAsia" w:ascii="宋体" w:hAnsi="宋体"/>
                <w:color w:val="auto"/>
                <w:highlight w:val="none"/>
              </w:rPr>
              <w:t>，超过最高限价的按无效投标处理。</w:t>
            </w:r>
          </w:p>
        </w:tc>
      </w:tr>
      <w:tr w14:paraId="0EEF5A07">
        <w:tblPrEx>
          <w:tblCellMar>
            <w:top w:w="0" w:type="dxa"/>
            <w:left w:w="108" w:type="dxa"/>
            <w:bottom w:w="0" w:type="dxa"/>
            <w:right w:w="108" w:type="dxa"/>
          </w:tblCellMar>
        </w:tblPrEx>
        <w:trPr>
          <w:trHeight w:val="548"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44C8CF4B">
            <w:pPr>
              <w:keepNext w:val="0"/>
              <w:keepLines w:val="0"/>
              <w:suppressLineNumbers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10.3</w:t>
            </w:r>
          </w:p>
        </w:tc>
        <w:tc>
          <w:tcPr>
            <w:tcW w:w="2571" w:type="dxa"/>
            <w:tcBorders>
              <w:top w:val="single" w:color="auto" w:sz="4" w:space="0"/>
              <w:left w:val="nil"/>
              <w:bottom w:val="single" w:color="auto" w:sz="4" w:space="0"/>
              <w:right w:val="single" w:color="auto" w:sz="4" w:space="0"/>
            </w:tcBorders>
            <w:noWrap w:val="0"/>
            <w:vAlign w:val="center"/>
          </w:tcPr>
          <w:p w14:paraId="05945D5E">
            <w:pPr>
              <w:keepNext w:val="0"/>
              <w:keepLines w:val="0"/>
              <w:suppressLineNumbers w:val="0"/>
              <w:snapToGrid w:val="0"/>
              <w:spacing w:before="0" w:beforeAutospacing="0" w:after="0" w:afterAutospacing="0" w:line="360" w:lineRule="auto"/>
              <w:ind w:left="0" w:right="0"/>
              <w:jc w:val="center"/>
              <w:rPr>
                <w:rFonts w:hint="eastAsia" w:ascii="宋体" w:hAnsi="宋体"/>
                <w:b/>
                <w:bCs/>
                <w:color w:val="auto"/>
                <w:highlight w:val="none"/>
              </w:rPr>
            </w:pPr>
            <w:r>
              <w:rPr>
                <w:rFonts w:hint="eastAsia" w:ascii="宋体" w:hAnsi="宋体"/>
                <w:b w:val="0"/>
                <w:bCs w:val="0"/>
                <w:color w:val="auto"/>
                <w:highlight w:val="none"/>
              </w:rPr>
              <w:t>付款方式</w:t>
            </w:r>
          </w:p>
        </w:tc>
        <w:tc>
          <w:tcPr>
            <w:tcW w:w="5909" w:type="dxa"/>
            <w:tcBorders>
              <w:top w:val="single" w:color="auto" w:sz="4" w:space="0"/>
              <w:left w:val="nil"/>
              <w:bottom w:val="single" w:color="auto" w:sz="4" w:space="0"/>
              <w:right w:val="single" w:color="auto" w:sz="4" w:space="0"/>
            </w:tcBorders>
            <w:noWrap w:val="0"/>
            <w:vAlign w:val="center"/>
          </w:tcPr>
          <w:p w14:paraId="6F9B8D7F">
            <w:pPr>
              <w:keepNext w:val="0"/>
              <w:keepLines w:val="0"/>
              <w:suppressLineNumbers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eastAsia="zh-CN"/>
              </w:rPr>
              <w:t>合同生效后</w:t>
            </w:r>
            <w:r>
              <w:rPr>
                <w:rFonts w:hint="eastAsia" w:ascii="宋体" w:hAnsi="宋体"/>
                <w:color w:val="auto"/>
                <w:highlight w:val="none"/>
                <w:lang w:val="en-US" w:eastAsia="zh-CN"/>
              </w:rPr>
              <w:t>15日内</w:t>
            </w:r>
            <w:r>
              <w:rPr>
                <w:rFonts w:hint="eastAsia" w:ascii="宋体" w:hAnsi="宋体"/>
                <w:color w:val="auto"/>
                <w:highlight w:val="none"/>
                <w:lang w:eastAsia="zh-CN"/>
              </w:rPr>
              <w:t>，由</w:t>
            </w:r>
            <w:r>
              <w:rPr>
                <w:rFonts w:hint="eastAsia" w:ascii="宋体" w:hAnsi="宋体"/>
                <w:color w:val="auto"/>
                <w:highlight w:val="none"/>
                <w:lang w:val="en-US" w:eastAsia="zh-CN"/>
              </w:rPr>
              <w:t>供应商</w:t>
            </w:r>
            <w:r>
              <w:rPr>
                <w:rFonts w:hint="eastAsia" w:ascii="宋体" w:hAnsi="宋体"/>
                <w:color w:val="auto"/>
                <w:highlight w:val="none"/>
                <w:lang w:eastAsia="zh-CN"/>
              </w:rPr>
              <w:t>提供本合同金额30%的预付款保函（银行保函形式，保函有效期至</w:t>
            </w:r>
            <w:r>
              <w:rPr>
                <w:rFonts w:hint="eastAsia" w:ascii="宋体" w:hAnsi="宋体"/>
                <w:color w:val="auto"/>
                <w:highlight w:val="none"/>
                <w:lang w:val="en-US" w:eastAsia="zh-CN"/>
              </w:rPr>
              <w:t>采购人</w:t>
            </w:r>
            <w:r>
              <w:rPr>
                <w:rFonts w:hint="eastAsia" w:ascii="宋体" w:hAnsi="宋体"/>
                <w:color w:val="auto"/>
                <w:highlight w:val="none"/>
                <w:lang w:eastAsia="zh-CN"/>
              </w:rPr>
              <w:t>收货、验收合格后），</w:t>
            </w:r>
            <w:r>
              <w:rPr>
                <w:rFonts w:hint="eastAsia" w:ascii="宋体" w:hAnsi="宋体"/>
                <w:color w:val="auto"/>
                <w:highlight w:val="none"/>
                <w:lang w:val="en-US" w:eastAsia="zh-CN"/>
              </w:rPr>
              <w:t>采购人</w:t>
            </w:r>
            <w:r>
              <w:rPr>
                <w:rFonts w:hint="eastAsia" w:ascii="宋体" w:hAnsi="宋体"/>
                <w:color w:val="auto"/>
                <w:highlight w:val="none"/>
                <w:lang w:eastAsia="zh-CN"/>
              </w:rPr>
              <w:t>收到预付款保函、合同备案通过30日内支付合同总额30%作为预付款支付给</w:t>
            </w:r>
            <w:r>
              <w:rPr>
                <w:rFonts w:hint="eastAsia" w:ascii="宋体" w:hAnsi="宋体"/>
                <w:color w:val="auto"/>
                <w:highlight w:val="none"/>
                <w:lang w:val="en-US" w:eastAsia="zh-CN"/>
              </w:rPr>
              <w:t>供应商</w:t>
            </w:r>
            <w:r>
              <w:rPr>
                <w:rFonts w:hint="eastAsia" w:ascii="宋体" w:hAnsi="宋体"/>
                <w:color w:val="auto"/>
                <w:highlight w:val="none"/>
                <w:lang w:eastAsia="zh-CN"/>
              </w:rPr>
              <w:t>，同时</w:t>
            </w:r>
            <w:r>
              <w:rPr>
                <w:rFonts w:hint="eastAsia" w:ascii="宋体" w:hAnsi="宋体"/>
                <w:color w:val="auto"/>
                <w:highlight w:val="none"/>
                <w:lang w:val="en-US" w:eastAsia="zh-CN"/>
              </w:rPr>
              <w:t>供应商</w:t>
            </w:r>
            <w:r>
              <w:rPr>
                <w:rFonts w:hint="eastAsia" w:ascii="宋体" w:hAnsi="宋体"/>
                <w:color w:val="auto"/>
                <w:highlight w:val="none"/>
                <w:lang w:eastAsia="zh-CN"/>
              </w:rPr>
              <w:t>向</w:t>
            </w:r>
            <w:r>
              <w:rPr>
                <w:rFonts w:hint="eastAsia" w:ascii="宋体" w:hAnsi="宋体"/>
                <w:color w:val="auto"/>
                <w:highlight w:val="none"/>
                <w:lang w:val="en-US" w:eastAsia="zh-CN"/>
              </w:rPr>
              <w:t>采购人</w:t>
            </w:r>
            <w:r>
              <w:rPr>
                <w:rFonts w:hint="eastAsia" w:ascii="宋体" w:hAnsi="宋体"/>
                <w:color w:val="auto"/>
                <w:highlight w:val="none"/>
                <w:lang w:eastAsia="zh-CN"/>
              </w:rPr>
              <w:t>开具预付款收据；</w:t>
            </w:r>
            <w:r>
              <w:rPr>
                <w:rFonts w:hint="eastAsia" w:ascii="宋体" w:hAnsi="宋体"/>
                <w:color w:val="auto"/>
                <w:highlight w:val="none"/>
                <w:lang w:val="en-US" w:eastAsia="zh-CN"/>
              </w:rPr>
              <w:t>供应商</w:t>
            </w:r>
            <w:r>
              <w:rPr>
                <w:rFonts w:hint="eastAsia" w:ascii="宋体" w:hAnsi="宋体"/>
                <w:color w:val="auto"/>
                <w:highlight w:val="none"/>
                <w:lang w:eastAsia="zh-CN"/>
              </w:rPr>
              <w:t>在验收合格之日起15日内，按照合同金额的100%向</w:t>
            </w:r>
            <w:r>
              <w:rPr>
                <w:rFonts w:hint="eastAsia" w:ascii="宋体" w:hAnsi="宋体"/>
                <w:color w:val="auto"/>
                <w:highlight w:val="none"/>
                <w:lang w:val="en-US" w:eastAsia="zh-CN"/>
              </w:rPr>
              <w:t>采购人</w:t>
            </w:r>
            <w:r>
              <w:rPr>
                <w:rFonts w:hint="eastAsia" w:ascii="宋体" w:hAnsi="宋体"/>
                <w:color w:val="auto"/>
                <w:highlight w:val="none"/>
                <w:lang w:eastAsia="zh-CN"/>
              </w:rPr>
              <w:t>开具发票，</w:t>
            </w:r>
            <w:r>
              <w:rPr>
                <w:rFonts w:hint="eastAsia" w:ascii="宋体" w:hAnsi="宋体"/>
                <w:color w:val="auto"/>
                <w:highlight w:val="none"/>
                <w:lang w:val="en-US" w:eastAsia="zh-CN"/>
              </w:rPr>
              <w:t>采购人</w:t>
            </w:r>
            <w:r>
              <w:rPr>
                <w:rFonts w:hint="eastAsia" w:ascii="宋体" w:hAnsi="宋体"/>
                <w:color w:val="auto"/>
                <w:highlight w:val="none"/>
                <w:lang w:eastAsia="zh-CN"/>
              </w:rPr>
              <w:t>收到全额发票30日内支付合同总额的70%给</w:t>
            </w:r>
            <w:r>
              <w:rPr>
                <w:rFonts w:hint="eastAsia" w:ascii="宋体" w:hAnsi="宋体"/>
                <w:color w:val="auto"/>
                <w:highlight w:val="none"/>
                <w:lang w:val="en-US" w:eastAsia="zh-CN"/>
              </w:rPr>
              <w:t>供应商</w:t>
            </w:r>
            <w:r>
              <w:rPr>
                <w:rFonts w:hint="eastAsia" w:ascii="宋体" w:hAnsi="宋体"/>
                <w:color w:val="auto"/>
                <w:highlight w:val="none"/>
                <w:lang w:eastAsia="zh-CN"/>
              </w:rPr>
              <w:t>并退还</w:t>
            </w:r>
            <w:r>
              <w:rPr>
                <w:rFonts w:hint="eastAsia" w:ascii="宋体" w:hAnsi="宋体"/>
                <w:color w:val="auto"/>
                <w:highlight w:val="none"/>
                <w:lang w:val="en-US" w:eastAsia="zh-CN"/>
              </w:rPr>
              <w:t>供应商</w:t>
            </w:r>
            <w:r>
              <w:rPr>
                <w:rFonts w:hint="eastAsia" w:ascii="宋体" w:hAnsi="宋体"/>
                <w:color w:val="auto"/>
                <w:highlight w:val="none"/>
                <w:lang w:eastAsia="zh-CN"/>
              </w:rPr>
              <w:t>预付款保函，在</w:t>
            </w:r>
            <w:r>
              <w:rPr>
                <w:rFonts w:hint="eastAsia" w:ascii="宋体" w:hAnsi="宋体"/>
                <w:color w:val="auto"/>
                <w:highlight w:val="none"/>
                <w:lang w:val="en-US" w:eastAsia="zh-CN"/>
              </w:rPr>
              <w:t>供应商</w:t>
            </w:r>
            <w:r>
              <w:rPr>
                <w:rFonts w:hint="eastAsia" w:ascii="宋体" w:hAnsi="宋体"/>
                <w:color w:val="auto"/>
                <w:highlight w:val="none"/>
                <w:lang w:eastAsia="zh-CN"/>
              </w:rPr>
              <w:t>完成其合同义务包括任何保证义务至质保期结束无质量问题，退还</w:t>
            </w:r>
            <w:r>
              <w:rPr>
                <w:rFonts w:hint="eastAsia" w:ascii="宋体" w:hAnsi="宋体"/>
                <w:color w:val="auto"/>
                <w:highlight w:val="none"/>
                <w:lang w:val="en-US" w:eastAsia="zh-CN"/>
              </w:rPr>
              <w:t>供应商</w:t>
            </w:r>
            <w:r>
              <w:rPr>
                <w:rFonts w:hint="eastAsia" w:ascii="宋体" w:hAnsi="宋体"/>
                <w:color w:val="auto"/>
                <w:highlight w:val="none"/>
                <w:lang w:eastAsia="zh-CN"/>
              </w:rPr>
              <w:t xml:space="preserve">履约保证金（银行保函）。 如逾期未开具预付款保函，视为放弃预付款；供应商在验收合格之日起15 日内，按照合同金额的100%向采购人开具发票，采购人收到全额发票30日内支付合同总额的100%给供应商，在供应商完成其合同义务包括任何保证义务至质保期结束无质量问题，退还供应商履约保证金(银行保函)。 </w:t>
            </w:r>
          </w:p>
        </w:tc>
      </w:tr>
      <w:tr w14:paraId="5E6E2AC9">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48171501">
            <w:pPr>
              <w:keepNext w:val="0"/>
              <w:keepLines w:val="0"/>
              <w:suppressLineNumbers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10.4</w:t>
            </w:r>
          </w:p>
        </w:tc>
        <w:tc>
          <w:tcPr>
            <w:tcW w:w="2571" w:type="dxa"/>
            <w:tcBorders>
              <w:top w:val="single" w:color="auto" w:sz="4" w:space="0"/>
              <w:left w:val="nil"/>
              <w:bottom w:val="single" w:color="auto" w:sz="4" w:space="0"/>
              <w:right w:val="single" w:color="auto" w:sz="4" w:space="0"/>
            </w:tcBorders>
            <w:noWrap w:val="0"/>
            <w:vAlign w:val="center"/>
          </w:tcPr>
          <w:p w14:paraId="74BD7F0F">
            <w:pPr>
              <w:keepNext w:val="0"/>
              <w:keepLines w:val="0"/>
              <w:suppressLineNumbers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成交服务费</w:t>
            </w:r>
          </w:p>
        </w:tc>
        <w:tc>
          <w:tcPr>
            <w:tcW w:w="5909" w:type="dxa"/>
            <w:tcBorders>
              <w:top w:val="single" w:color="auto" w:sz="4" w:space="0"/>
              <w:left w:val="nil"/>
              <w:bottom w:val="single" w:color="auto" w:sz="4" w:space="0"/>
              <w:right w:val="single" w:color="auto" w:sz="4" w:space="0"/>
            </w:tcBorders>
            <w:noWrap w:val="0"/>
            <w:vAlign w:val="center"/>
          </w:tcPr>
          <w:p w14:paraId="1D1BF1AB">
            <w:pPr>
              <w:keepNext w:val="0"/>
              <w:keepLines w:val="0"/>
              <w:suppressLineNumbers w:val="0"/>
              <w:spacing w:before="0" w:beforeAutospacing="0" w:after="0" w:afterAutospacing="0" w:line="360" w:lineRule="auto"/>
              <w:ind w:left="0" w:right="0"/>
              <w:rPr>
                <w:rFonts w:hint="eastAsia" w:ascii="宋体" w:hAnsi="宋体"/>
                <w:color w:val="auto"/>
                <w:kern w:val="0"/>
                <w:highlight w:val="none"/>
              </w:rPr>
            </w:pPr>
            <w:r>
              <w:rPr>
                <w:rFonts w:hint="eastAsia" w:ascii="宋体" w:hAnsi="宋体"/>
                <w:color w:val="auto"/>
                <w:kern w:val="0"/>
                <w:highlight w:val="none"/>
              </w:rPr>
              <w:t>1、供应商准备和参加磋商活动发生的费用自理。在任何情况下采购人和采购代理机构对上述费用均不承担任何责任。</w:t>
            </w:r>
          </w:p>
          <w:p w14:paraId="61CE8CF7">
            <w:pPr>
              <w:keepNext w:val="0"/>
              <w:keepLines w:val="0"/>
              <w:suppressLineNumbers w:val="0"/>
              <w:spacing w:before="0" w:beforeAutospacing="0" w:after="0" w:afterAutospacing="0" w:line="360" w:lineRule="auto"/>
              <w:ind w:left="0" w:right="0"/>
              <w:rPr>
                <w:rFonts w:hint="eastAsia" w:ascii="宋体" w:hAnsi="宋体"/>
                <w:color w:val="auto"/>
                <w:kern w:val="0"/>
                <w:highlight w:val="none"/>
              </w:rPr>
            </w:pPr>
            <w:r>
              <w:rPr>
                <w:rFonts w:hint="eastAsia" w:ascii="宋体" w:hAnsi="宋体"/>
                <w:color w:val="auto"/>
                <w:kern w:val="0"/>
                <w:highlight w:val="none"/>
              </w:rPr>
              <w:t>2、本项目采购代理服务费参照国家计委关于《招标代理服务收费管理暂行办法》（计价格〔2002〕1980号）规定收费标准60%收取，由成交供应商在领取成交通知书时，一次性向采购代理机构缴纳。</w:t>
            </w:r>
            <w:r>
              <w:rPr>
                <w:rFonts w:hint="eastAsia" w:ascii="宋体" w:hAnsi="宋体"/>
                <w:b/>
                <w:bCs/>
                <w:color w:val="auto"/>
                <w:kern w:val="0"/>
                <w:highlight w:val="none"/>
              </w:rPr>
              <w:t>类别：货物招标。</w:t>
            </w:r>
          </w:p>
        </w:tc>
      </w:tr>
      <w:tr w14:paraId="43DC52CC">
        <w:tblPrEx>
          <w:tblCellMar>
            <w:top w:w="0" w:type="dxa"/>
            <w:left w:w="108" w:type="dxa"/>
            <w:bottom w:w="0" w:type="dxa"/>
            <w:right w:w="108" w:type="dxa"/>
          </w:tblCellMar>
        </w:tblPrEx>
        <w:trPr>
          <w:trHeight w:val="539"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3ECCECCF">
            <w:pPr>
              <w:keepNext w:val="0"/>
              <w:keepLines w:val="0"/>
              <w:suppressLineNumbers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10.5</w:t>
            </w:r>
          </w:p>
        </w:tc>
        <w:tc>
          <w:tcPr>
            <w:tcW w:w="2571" w:type="dxa"/>
            <w:tcBorders>
              <w:top w:val="single" w:color="auto" w:sz="4" w:space="0"/>
              <w:left w:val="nil"/>
              <w:bottom w:val="single" w:color="auto" w:sz="4" w:space="0"/>
              <w:right w:val="single" w:color="auto" w:sz="4" w:space="0"/>
            </w:tcBorders>
            <w:noWrap w:val="0"/>
            <w:vAlign w:val="center"/>
          </w:tcPr>
          <w:p w14:paraId="0EBB2CB5">
            <w:pPr>
              <w:keepNext w:val="0"/>
              <w:keepLines w:val="0"/>
              <w:suppressLineNumbers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政府采购政策要求</w:t>
            </w:r>
          </w:p>
        </w:tc>
        <w:tc>
          <w:tcPr>
            <w:tcW w:w="5909" w:type="dxa"/>
            <w:tcBorders>
              <w:top w:val="single" w:color="auto" w:sz="4" w:space="0"/>
              <w:left w:val="nil"/>
              <w:bottom w:val="single" w:color="auto" w:sz="4" w:space="0"/>
              <w:right w:val="single" w:color="auto" w:sz="4" w:space="0"/>
            </w:tcBorders>
            <w:noWrap w:val="0"/>
            <w:vAlign w:val="center"/>
          </w:tcPr>
          <w:p w14:paraId="362C33E0">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A．为贯彻落实《财政部 工业和信息化部关于印发《政府采购促进中小企业发展管理办法》的通知》（财库〔2020〕46号）和《关于进一步加大政府采购支持中小企业力度的通知》（财库〔2022〕19号）。本项目鼓励中小企业参与，若供应商为符合政府采购政策价格扣除的小型及微型企业，应提交信息完整有效的《中小企业声明函》。若不能提供，则视为非小微型企业，价格不予扣除；</w:t>
            </w:r>
            <w:r>
              <w:rPr>
                <w:rFonts w:hint="eastAsia" w:ascii="宋体" w:hAnsi="宋体"/>
                <w:b/>
                <w:bCs/>
                <w:color w:val="auto"/>
                <w:highlight w:val="none"/>
              </w:rPr>
              <w:t>本项目对属于小微型企业的磋商报价给予10%的价格扣除。</w:t>
            </w:r>
            <w:r>
              <w:rPr>
                <w:rFonts w:hint="eastAsia" w:ascii="宋体" w:hAnsi="宋体"/>
                <w:color w:val="auto"/>
                <w:highlight w:val="none"/>
              </w:rPr>
              <w:t>（声明函格式详见附件）。</w:t>
            </w:r>
          </w:p>
          <w:p w14:paraId="688D9F9C">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B．中小企业划型标准以《工业和信息化部国家统计局国家发展和改革委财政部关于印发中小企业划型标准规定的通知》（工信部联企业〔2011〕300号）为依据。其中企业的营业收入、资产总额判定依据为最近一年度的财务审计报告，企业从业人员总数判定依据为缴纳统筹人员总数。</w:t>
            </w:r>
          </w:p>
          <w:p w14:paraId="68DEB662">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14:paraId="3299BBA9">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D．根据《财政部、民政部、中国残疾人联合会关于关于促进残疾人就业政府采购政策的通知》（财库〔2017〕141号）规定，本项目支持残疾人福利性单位参与政府采购活动，符合条件的残疾人福利性单位参加本项目投标时，应当提供《残疾人福利性单位声明函》，视同小型、微型企业。</w:t>
            </w:r>
          </w:p>
          <w:p w14:paraId="3EF741EA">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供应商提供的《声明函》与事实不符的，将依照《政府采购法》第七十七条第一款的规定追究法律责任。</w:t>
            </w:r>
          </w:p>
          <w:p w14:paraId="75137575">
            <w:pPr>
              <w:keepNext w:val="0"/>
              <w:keepLines w:val="0"/>
              <w:widowControl/>
              <w:suppressLineNumbers w:val="0"/>
              <w:spacing w:before="0" w:beforeAutospacing="0" w:after="0" w:afterAutospacing="0" w:line="360" w:lineRule="auto"/>
              <w:ind w:left="0" w:right="0"/>
              <w:jc w:val="left"/>
              <w:rPr>
                <w:rFonts w:hint="eastAsia" w:ascii="宋体" w:hAnsi="宋体"/>
                <w:b/>
                <w:bCs/>
                <w:color w:val="auto"/>
                <w:highlight w:val="none"/>
              </w:rPr>
            </w:pPr>
            <w:r>
              <w:rPr>
                <w:rFonts w:hint="eastAsia" w:ascii="宋体" w:hAnsi="宋体"/>
                <w:color w:val="auto"/>
                <w:highlight w:val="none"/>
              </w:rPr>
              <w:t>E.根据《财政部 发展改革委 生态环境部 市场监管总局关于调整优化节能产品、环境标志产品政府采购执行机制的通知》（财库〔2019〕9 号）和《关于印发节能产品政府采购品目清单的通知》（财库〔2019〕19 号）的规定，应当依据国家确定的认证机构出具的、处于有效期之内的节能产品、环境标志产品认证证书，对获得证书的产品实施政府强制采购或优先采购。属于优先采购节能产品的，未提供节能产品认证证书的不予优先推荐。属于政府强制采购节能产品的，未提供强制采购节能产品认证证书的其投标将被认定为投标无效</w:t>
            </w:r>
            <w:r>
              <w:rPr>
                <w:rFonts w:hint="eastAsia" w:ascii="宋体" w:hAnsi="宋体" w:cs="宋体"/>
                <w:color w:val="auto"/>
                <w:kern w:val="0"/>
                <w:highlight w:val="none"/>
              </w:rPr>
              <w:t>。</w:t>
            </w:r>
            <w:r>
              <w:rPr>
                <w:rFonts w:hint="eastAsia" w:ascii="宋体" w:hAnsi="宋体"/>
                <w:b/>
                <w:bCs/>
                <w:color w:val="auto"/>
                <w:highlight w:val="none"/>
              </w:rPr>
              <w:t>本项目</w:t>
            </w:r>
            <w:r>
              <w:rPr>
                <w:rFonts w:hint="eastAsia" w:ascii="宋体" w:hAnsi="宋体"/>
                <w:b/>
                <w:bCs/>
                <w:color w:val="auto"/>
                <w:highlight w:val="none"/>
                <w:lang w:eastAsia="zh-CN"/>
              </w:rPr>
              <w:t>不</w:t>
            </w:r>
            <w:r>
              <w:rPr>
                <w:rFonts w:hint="eastAsia" w:ascii="宋体" w:hAnsi="宋体"/>
                <w:b/>
                <w:bCs/>
                <w:color w:val="auto"/>
                <w:highlight w:val="none"/>
              </w:rPr>
              <w:t>涉及。</w:t>
            </w:r>
          </w:p>
          <w:p w14:paraId="5BC6627F">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F.投标产品的包装应符合《财政部等三部门联合印发商品包装和快递包装政府采购需求标准（试行）》（财办库〔2020〕123 号）的规定。</w:t>
            </w:r>
          </w:p>
          <w:p w14:paraId="5ADEFAC8">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rPr>
              <w:t>G.根据《政府采购进口产品管理办法》（财库[2007]119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r>
              <w:rPr>
                <w:rFonts w:hint="eastAsia" w:ascii="宋体" w:hAnsi="宋体"/>
                <w:b/>
                <w:bCs/>
                <w:color w:val="auto"/>
                <w:highlight w:val="none"/>
              </w:rPr>
              <w:t>本次招标</w:t>
            </w:r>
            <w:r>
              <w:rPr>
                <w:rFonts w:hint="eastAsia" w:ascii="宋体" w:hAnsi="宋体"/>
                <w:b/>
                <w:bCs/>
                <w:color w:val="auto"/>
                <w:highlight w:val="none"/>
                <w:lang w:val="en-US" w:eastAsia="zh-CN"/>
              </w:rPr>
              <w:t>不</w:t>
            </w:r>
            <w:r>
              <w:rPr>
                <w:rFonts w:hint="eastAsia" w:ascii="宋体" w:hAnsi="宋体"/>
                <w:b/>
                <w:bCs/>
                <w:color w:val="auto"/>
                <w:highlight w:val="none"/>
              </w:rPr>
              <w:t>接受进口产品。</w:t>
            </w:r>
          </w:p>
          <w:p w14:paraId="5A1DF099">
            <w:pPr>
              <w:keepNext w:val="0"/>
              <w:keepLines w:val="0"/>
              <w:widowControl/>
              <w:suppressLineNumbers w:val="0"/>
              <w:spacing w:before="0" w:beforeAutospacing="0" w:after="0" w:afterAutospacing="0" w:line="360" w:lineRule="auto"/>
              <w:ind w:left="0" w:right="0"/>
              <w:jc w:val="left"/>
              <w:rPr>
                <w:rFonts w:hint="eastAsia" w:ascii="宋体" w:hAnsi="宋体"/>
                <w:b/>
                <w:bCs/>
                <w:color w:val="auto"/>
                <w:highlight w:val="none"/>
              </w:rPr>
            </w:pPr>
            <w:r>
              <w:rPr>
                <w:rFonts w:hint="eastAsia" w:ascii="宋体" w:hAnsi="宋体"/>
                <w:color w:val="auto"/>
                <w:highlight w:val="none"/>
                <w:lang w:val="en-US" w:eastAsia="zh-CN"/>
              </w:rPr>
              <w:t>H</w:t>
            </w:r>
            <w:r>
              <w:rPr>
                <w:rFonts w:hint="eastAsia" w:ascii="宋体" w:hAnsi="宋体"/>
                <w:color w:val="auto"/>
                <w:highlight w:val="none"/>
              </w:rPr>
              <w:t>.投标产品若为已列入《市场监管总局关于优化强制性产品认证目录的公告》(2020 年第 18 号)的产品必须经过国家 3C 认证。</w:t>
            </w:r>
            <w:r>
              <w:rPr>
                <w:rFonts w:hint="eastAsia" w:ascii="宋体" w:hAnsi="宋体"/>
                <w:b/>
                <w:bCs/>
                <w:color w:val="auto"/>
                <w:highlight w:val="none"/>
              </w:rPr>
              <w:t>本项目所涉及的强制认证产品：</w:t>
            </w:r>
            <w:r>
              <w:rPr>
                <w:rFonts w:hint="eastAsia" w:ascii="宋体" w:hAnsi="宋体"/>
                <w:b/>
                <w:bCs/>
                <w:color w:val="auto"/>
                <w:highlight w:val="none"/>
                <w:lang w:val="en-US" w:eastAsia="zh-CN"/>
              </w:rPr>
              <w:t>无</w:t>
            </w:r>
            <w:r>
              <w:rPr>
                <w:rFonts w:hint="eastAsia" w:ascii="宋体" w:hAnsi="宋体"/>
                <w:b/>
                <w:bCs/>
                <w:color w:val="auto"/>
                <w:highlight w:val="none"/>
              </w:rPr>
              <w:t>。</w:t>
            </w:r>
          </w:p>
          <w:p w14:paraId="6396BDE9">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Fonts w:hint="eastAsia" w:ascii="宋体" w:hAnsi="宋体"/>
                <w:color w:val="auto"/>
                <w:highlight w:val="none"/>
                <w:lang w:val="en-US" w:eastAsia="zh-CN"/>
              </w:rPr>
              <w:t>I</w:t>
            </w:r>
            <w:r>
              <w:rPr>
                <w:rFonts w:hint="eastAsia" w:ascii="宋体" w:hAnsi="宋体"/>
                <w:color w:val="auto"/>
                <w:highlight w:val="none"/>
              </w:rPr>
              <w:t>.招标文件的最终解释权归采购人，其它未尽事宜，按国家有关法律、法规执行。</w:t>
            </w:r>
          </w:p>
        </w:tc>
      </w:tr>
      <w:tr w14:paraId="17C77CC2">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1927C77E">
            <w:pPr>
              <w:keepNext w:val="0"/>
              <w:keepLines w:val="0"/>
              <w:suppressLineNumbers w:val="0"/>
              <w:snapToGrid w:val="0"/>
              <w:spacing w:before="0" w:beforeAutospacing="0" w:after="0" w:afterAutospacing="0" w:line="360" w:lineRule="auto"/>
              <w:ind w:left="0" w:right="0"/>
              <w:jc w:val="center"/>
              <w:rPr>
                <w:rFonts w:hint="eastAsia" w:ascii="宋体" w:hAnsi="宋体"/>
                <w:color w:val="auto"/>
                <w:highlight w:val="none"/>
              </w:rPr>
            </w:pPr>
            <w:bookmarkStart w:id="46" w:name="_Toc466298091"/>
            <w:r>
              <w:rPr>
                <w:rFonts w:hint="eastAsia" w:ascii="宋体" w:hAnsi="宋体"/>
                <w:color w:val="auto"/>
                <w:highlight w:val="none"/>
              </w:rPr>
              <w:t>10.6</w:t>
            </w:r>
          </w:p>
        </w:tc>
        <w:tc>
          <w:tcPr>
            <w:tcW w:w="2571" w:type="dxa"/>
            <w:tcBorders>
              <w:top w:val="single" w:color="auto" w:sz="4" w:space="0"/>
              <w:left w:val="nil"/>
              <w:bottom w:val="single" w:color="auto" w:sz="4" w:space="0"/>
              <w:right w:val="single" w:color="auto" w:sz="4" w:space="0"/>
            </w:tcBorders>
            <w:noWrap w:val="0"/>
            <w:vAlign w:val="center"/>
          </w:tcPr>
          <w:p w14:paraId="7C4F8A10">
            <w:pPr>
              <w:keepNext w:val="0"/>
              <w:keepLines w:val="0"/>
              <w:suppressLineNumbers w:val="0"/>
              <w:snapToGrid w:val="0"/>
              <w:spacing w:before="0" w:beforeAutospacing="0" w:after="0" w:afterAutospacing="0" w:line="360" w:lineRule="auto"/>
              <w:ind w:left="0" w:right="0"/>
              <w:jc w:val="center"/>
              <w:rPr>
                <w:rFonts w:hint="eastAsia" w:ascii="宋体" w:hAnsi="宋体"/>
                <w:color w:val="auto"/>
                <w:highlight w:val="none"/>
              </w:rPr>
            </w:pPr>
            <w:r>
              <w:rPr>
                <w:rStyle w:val="69"/>
                <w:rFonts w:hint="eastAsia" w:ascii="宋体" w:hAnsi="宋体" w:cs="宋体"/>
                <w:color w:val="auto"/>
                <w:szCs w:val="24"/>
                <w:highlight w:val="none"/>
              </w:rPr>
              <w:t>本项目所属行业</w:t>
            </w:r>
          </w:p>
        </w:tc>
        <w:tc>
          <w:tcPr>
            <w:tcW w:w="5909" w:type="dxa"/>
            <w:tcBorders>
              <w:top w:val="single" w:color="auto" w:sz="4" w:space="0"/>
              <w:left w:val="nil"/>
              <w:bottom w:val="single" w:color="auto" w:sz="4" w:space="0"/>
              <w:right w:val="single" w:color="auto" w:sz="4" w:space="0"/>
            </w:tcBorders>
            <w:noWrap w:val="0"/>
            <w:vAlign w:val="center"/>
          </w:tcPr>
          <w:p w14:paraId="4BD6A933">
            <w:pPr>
              <w:keepNext w:val="0"/>
              <w:keepLines w:val="0"/>
              <w:suppressLineNumbers w:val="0"/>
              <w:spacing w:before="0" w:beforeAutospacing="0" w:after="0" w:afterAutospacing="0" w:line="440" w:lineRule="exact"/>
              <w:ind w:left="0" w:right="0"/>
              <w:rPr>
                <w:rStyle w:val="69"/>
                <w:rFonts w:hint="eastAsia" w:ascii="宋体" w:hAnsi="宋体" w:cs="宋体"/>
                <w:b/>
                <w:bCs/>
                <w:color w:val="auto"/>
                <w:szCs w:val="24"/>
                <w:highlight w:val="none"/>
              </w:rPr>
            </w:pPr>
            <w:r>
              <w:rPr>
                <w:rStyle w:val="69"/>
                <w:rFonts w:hint="eastAsia" w:ascii="宋体" w:hAnsi="宋体" w:cs="宋体"/>
                <w:b/>
                <w:bCs/>
                <w:color w:val="auto"/>
                <w:szCs w:val="24"/>
                <w:highlight w:val="none"/>
              </w:rPr>
              <w:t>本项目所属行业:工业</w:t>
            </w:r>
          </w:p>
          <w:p w14:paraId="442D43B9">
            <w:pPr>
              <w:keepNext w:val="0"/>
              <w:keepLines w:val="0"/>
              <w:widowControl/>
              <w:suppressLineNumbers w:val="0"/>
              <w:spacing w:before="0" w:beforeAutospacing="0" w:after="0" w:afterAutospacing="0" w:line="360" w:lineRule="auto"/>
              <w:ind w:left="0" w:right="0"/>
              <w:jc w:val="left"/>
              <w:rPr>
                <w:rFonts w:hint="eastAsia" w:ascii="宋体" w:hAnsi="宋体"/>
                <w:color w:val="auto"/>
                <w:highlight w:val="none"/>
              </w:rPr>
            </w:pPr>
            <w:r>
              <w:rPr>
                <w:rStyle w:val="69"/>
                <w:rFonts w:hint="eastAsia" w:ascii="宋体" w:hAnsi="宋体" w:cs="宋体"/>
                <w:color w:val="auto"/>
                <w:szCs w:val="24"/>
                <w:highlight w:val="none"/>
              </w:rPr>
              <w:t>中小企业划型标准：中小微企业划分按照“工业和信息化部、国家统计局、国家发展和改革委员会、财政部文件《关于印发中小企业划型标准规定的通知》（工信部联企业【2011】300号）”规定的划型标准为依据。</w:t>
            </w:r>
          </w:p>
        </w:tc>
      </w:tr>
      <w:tr w14:paraId="6ADDF53B">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4AB7ED24">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auto"/>
                <w:highlight w:val="none"/>
                <w:lang w:val="en-US" w:eastAsia="zh-CN"/>
              </w:rPr>
            </w:pPr>
            <w:r>
              <w:rPr>
                <w:rFonts w:hint="eastAsia" w:ascii="宋体" w:hAnsi="宋体"/>
                <w:color w:val="auto"/>
                <w:highlight w:val="none"/>
              </w:rPr>
              <w:t>10.</w:t>
            </w:r>
            <w:r>
              <w:rPr>
                <w:rFonts w:hint="eastAsia" w:ascii="宋体" w:hAnsi="宋体"/>
                <w:color w:val="auto"/>
                <w:highlight w:val="none"/>
                <w:lang w:val="en-US" w:eastAsia="zh-CN"/>
              </w:rPr>
              <w:t>7</w:t>
            </w:r>
          </w:p>
        </w:tc>
        <w:tc>
          <w:tcPr>
            <w:tcW w:w="2571" w:type="dxa"/>
            <w:tcBorders>
              <w:top w:val="single" w:color="auto" w:sz="4" w:space="0"/>
              <w:left w:val="nil"/>
              <w:bottom w:val="single" w:color="auto" w:sz="4" w:space="0"/>
              <w:right w:val="single" w:color="auto" w:sz="4" w:space="0"/>
            </w:tcBorders>
            <w:noWrap w:val="0"/>
            <w:vAlign w:val="center"/>
          </w:tcPr>
          <w:p w14:paraId="6FAA4D72">
            <w:pPr>
              <w:keepNext w:val="0"/>
              <w:keepLines w:val="0"/>
              <w:suppressLineNumbers w:val="0"/>
              <w:snapToGrid w:val="0"/>
              <w:spacing w:before="0" w:beforeAutospacing="0" w:after="0" w:afterAutospacing="0" w:line="360" w:lineRule="auto"/>
              <w:ind w:left="0" w:right="0"/>
              <w:jc w:val="center"/>
              <w:rPr>
                <w:rStyle w:val="69"/>
                <w:rFonts w:hint="eastAsia" w:ascii="宋体" w:hAnsi="宋体" w:cs="宋体"/>
                <w:color w:val="auto"/>
                <w:szCs w:val="24"/>
                <w:highlight w:val="none"/>
              </w:rPr>
            </w:pPr>
            <w:r>
              <w:rPr>
                <w:rStyle w:val="69"/>
                <w:rFonts w:hint="eastAsia" w:ascii="宋体" w:hAnsi="宋体" w:cs="宋体"/>
                <w:color w:val="auto"/>
                <w:szCs w:val="24"/>
                <w:highlight w:val="none"/>
              </w:rPr>
              <w:t>质疑投诉</w:t>
            </w:r>
          </w:p>
        </w:tc>
        <w:tc>
          <w:tcPr>
            <w:tcW w:w="5909" w:type="dxa"/>
            <w:tcBorders>
              <w:top w:val="single" w:color="auto" w:sz="4" w:space="0"/>
              <w:left w:val="nil"/>
              <w:bottom w:val="single" w:color="auto" w:sz="4" w:space="0"/>
              <w:right w:val="single" w:color="auto" w:sz="4" w:space="0"/>
            </w:tcBorders>
            <w:noWrap w:val="0"/>
            <w:vAlign w:val="center"/>
          </w:tcPr>
          <w:p w14:paraId="440C6E5B">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针对同一采购程序环节的质疑次数：</w:t>
            </w:r>
            <w:r>
              <w:rPr>
                <w:rFonts w:hint="eastAsia"/>
                <w:b/>
                <w:bCs/>
                <w:color w:val="auto"/>
                <w:highlight w:val="none"/>
              </w:rPr>
              <w:t>一次性提出</w:t>
            </w:r>
          </w:p>
          <w:p w14:paraId="648D0341">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供应商认为竞争性磋商文件、采购过程、中标或者成交结果使自己的权益受到损害的，可以在知道或者应知其权益受到损害之日起7个工作日内，以书面形式向采购人、采购代理机构提出质疑，具体事项按照《中华人民共和国财政部令第94号--政府采购质疑和投诉办法》执行。</w:t>
            </w:r>
          </w:p>
          <w:p w14:paraId="07777DEF">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提出质疑的供应商（以下简称质疑供应商）应当是参与所质疑项目采购活动的供应商。</w:t>
            </w:r>
          </w:p>
          <w:p w14:paraId="7BB22391">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采购人、采购代理机构接收质疑函的方式：</w:t>
            </w:r>
          </w:p>
          <w:p w14:paraId="6789B8CD">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对竞争性磋商文件、采购过程提出的质疑：在河南省公共资源交易系统内提出；</w:t>
            </w:r>
          </w:p>
          <w:p w14:paraId="3BE906A8">
            <w:pPr>
              <w:keepNext w:val="0"/>
              <w:keepLines w:val="0"/>
              <w:suppressLineNumbers w:val="0"/>
              <w:spacing w:before="0" w:beforeAutospacing="0" w:after="0" w:afterAutospacing="0" w:line="360" w:lineRule="auto"/>
              <w:ind w:left="0" w:right="0"/>
              <w:rPr>
                <w:rFonts w:hint="default"/>
                <w:color w:val="auto"/>
                <w:highlight w:val="none"/>
              </w:rPr>
            </w:pPr>
            <w:r>
              <w:rPr>
                <w:rFonts w:hint="eastAsia"/>
                <w:color w:val="auto"/>
                <w:highlight w:val="none"/>
              </w:rPr>
              <w:t>对成交结果提出的质疑：书面形式当面递交，由法定代表人或其授权代表携带本人身份证件（原件和加盖公章的复印件）、质疑函原件(加盖公章及法定代表人或其授权代表签字)及相关证明材料向采购人和采购代理机构提出质疑（邮寄件、传真件不予受理），逾期将不再受理，质疑函格式详见附件1。</w:t>
            </w:r>
          </w:p>
          <w:p w14:paraId="4B338954">
            <w:pPr>
              <w:keepNext w:val="0"/>
              <w:keepLines w:val="0"/>
              <w:suppressLineNumbers w:val="0"/>
              <w:spacing w:before="0" w:beforeAutospacing="0" w:after="0" w:afterAutospacing="0" w:line="360" w:lineRule="auto"/>
              <w:ind w:left="0" w:right="0"/>
              <w:rPr>
                <w:rStyle w:val="69"/>
                <w:rFonts w:hint="eastAsia" w:ascii="宋体" w:hAnsi="宋体" w:cs="宋体"/>
                <w:color w:val="auto"/>
                <w:szCs w:val="24"/>
                <w:highlight w:val="none"/>
              </w:rPr>
            </w:pPr>
            <w:r>
              <w:rPr>
                <w:rFonts w:hint="eastAsia"/>
                <w:color w:val="auto"/>
                <w:highlight w:val="none"/>
              </w:rPr>
              <w:t>接受质疑的联系电话和通讯地址详见竞争性磋商公告。</w:t>
            </w:r>
          </w:p>
        </w:tc>
      </w:tr>
      <w:tr w14:paraId="2DBA0A68">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4243F202">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auto"/>
                <w:highlight w:val="none"/>
                <w:lang w:val="en-US" w:eastAsia="zh-CN"/>
              </w:rPr>
            </w:pPr>
            <w:r>
              <w:rPr>
                <w:rFonts w:hint="eastAsia" w:ascii="宋体" w:hAnsi="宋体"/>
                <w:color w:val="auto"/>
                <w:highlight w:val="none"/>
              </w:rPr>
              <w:t>10.</w:t>
            </w:r>
            <w:bookmarkEnd w:id="46"/>
            <w:r>
              <w:rPr>
                <w:rFonts w:hint="eastAsia" w:ascii="宋体" w:hAnsi="宋体"/>
                <w:color w:val="auto"/>
                <w:highlight w:val="none"/>
                <w:lang w:val="en-US" w:eastAsia="zh-CN"/>
              </w:rPr>
              <w:t>8</w:t>
            </w:r>
          </w:p>
        </w:tc>
        <w:tc>
          <w:tcPr>
            <w:tcW w:w="2571" w:type="dxa"/>
            <w:tcBorders>
              <w:top w:val="single" w:color="auto" w:sz="4" w:space="0"/>
              <w:left w:val="nil"/>
              <w:bottom w:val="single" w:color="auto" w:sz="4" w:space="0"/>
              <w:right w:val="single" w:color="auto" w:sz="4" w:space="0"/>
            </w:tcBorders>
            <w:noWrap w:val="0"/>
            <w:vAlign w:val="center"/>
          </w:tcPr>
          <w:p w14:paraId="0036A3B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政府采购合同融资政策</w:t>
            </w:r>
          </w:p>
        </w:tc>
        <w:tc>
          <w:tcPr>
            <w:tcW w:w="5909" w:type="dxa"/>
            <w:tcBorders>
              <w:top w:val="single" w:color="auto" w:sz="4" w:space="0"/>
              <w:left w:val="nil"/>
              <w:bottom w:val="single" w:color="auto" w:sz="4" w:space="0"/>
              <w:right w:val="single" w:color="auto" w:sz="4" w:space="0"/>
            </w:tcBorders>
            <w:noWrap w:val="0"/>
            <w:vAlign w:val="center"/>
          </w:tcPr>
          <w:p w14:paraId="0FBB1A8C">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河南省政府采购合同融资政策告知函</w:t>
            </w:r>
          </w:p>
          <w:p w14:paraId="756813A4">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各供应商：</w:t>
            </w:r>
          </w:p>
          <w:p w14:paraId="085F0649">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欢迎贵公司参与河南省政府采购活动！</w:t>
            </w:r>
          </w:p>
          <w:p w14:paraId="7AC0E7DF">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C1F0FA8">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贷款渠道和提供贷款的金融机构，可在河南省政府采购网“河南省政府采购合同融资平台”查询联系。</w:t>
            </w:r>
          </w:p>
        </w:tc>
      </w:tr>
      <w:tr w14:paraId="339658AA">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158497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auto"/>
                <w:highlight w:val="none"/>
                <w:lang w:val="en-US" w:eastAsia="zh-CN"/>
              </w:rPr>
            </w:pPr>
            <w:r>
              <w:rPr>
                <w:rFonts w:hint="eastAsia" w:ascii="宋体" w:hAnsi="宋体"/>
                <w:color w:val="auto"/>
                <w:highlight w:val="none"/>
              </w:rPr>
              <w:t>10.</w:t>
            </w:r>
            <w:r>
              <w:rPr>
                <w:rFonts w:hint="eastAsia" w:ascii="宋体" w:hAnsi="宋体"/>
                <w:color w:val="auto"/>
                <w:highlight w:val="none"/>
                <w:lang w:val="en-US" w:eastAsia="zh-CN"/>
              </w:rPr>
              <w:t>9</w:t>
            </w:r>
          </w:p>
        </w:tc>
        <w:tc>
          <w:tcPr>
            <w:tcW w:w="2571" w:type="dxa"/>
            <w:tcBorders>
              <w:top w:val="single" w:color="auto" w:sz="4" w:space="0"/>
              <w:left w:val="nil"/>
              <w:bottom w:val="single" w:color="auto" w:sz="4" w:space="0"/>
              <w:right w:val="single" w:color="auto" w:sz="4" w:space="0"/>
            </w:tcBorders>
            <w:noWrap w:val="0"/>
            <w:vAlign w:val="center"/>
          </w:tcPr>
          <w:p w14:paraId="7D6AF69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关于知识产权</w:t>
            </w:r>
          </w:p>
        </w:tc>
        <w:tc>
          <w:tcPr>
            <w:tcW w:w="5909" w:type="dxa"/>
            <w:tcBorders>
              <w:top w:val="single" w:color="auto" w:sz="4" w:space="0"/>
              <w:left w:val="nil"/>
              <w:bottom w:val="single" w:color="auto" w:sz="4" w:space="0"/>
              <w:right w:val="single" w:color="auto" w:sz="4" w:space="0"/>
            </w:tcBorders>
            <w:noWrap w:val="0"/>
            <w:vAlign w:val="center"/>
          </w:tcPr>
          <w:p w14:paraId="5E66B3F3">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供应商应保证在本项目中使用的任何产品和服务(包含部分使用），不会产生因第三方提出侵犯其专利权、商标权或其它知识产权而引起的法律和经济纠纷，如因专利权、商标权或其它知识产权而引起法律和经济纠纷，由供应商承担所有相关责任。</w:t>
            </w:r>
          </w:p>
        </w:tc>
      </w:tr>
      <w:tr w14:paraId="54E6FCCE">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79B60268">
            <w:pPr>
              <w:keepNext w:val="0"/>
              <w:keepLines w:val="0"/>
              <w:suppressLineNumbers w:val="0"/>
              <w:snapToGrid w:val="0"/>
              <w:spacing w:before="0" w:beforeAutospacing="0" w:after="0" w:afterAutospacing="0" w:line="360" w:lineRule="auto"/>
              <w:ind w:left="0" w:right="0"/>
              <w:jc w:val="center"/>
              <w:rPr>
                <w:rFonts w:hint="eastAsia" w:ascii="宋体" w:hAnsi="宋体" w:eastAsia="宋体"/>
                <w:color w:val="auto"/>
                <w:highlight w:val="none"/>
                <w:lang w:val="en-US" w:eastAsia="zh-CN"/>
              </w:rPr>
            </w:pPr>
            <w:r>
              <w:rPr>
                <w:rFonts w:hint="eastAsia" w:ascii="宋体" w:hAnsi="宋体"/>
                <w:color w:val="auto"/>
                <w:highlight w:val="none"/>
              </w:rPr>
              <w:t>10.1</w:t>
            </w:r>
            <w:r>
              <w:rPr>
                <w:rFonts w:hint="eastAsia" w:ascii="宋体" w:hAnsi="宋体"/>
                <w:color w:val="auto"/>
                <w:highlight w:val="none"/>
                <w:lang w:val="en-US" w:eastAsia="zh-CN"/>
              </w:rPr>
              <w:t>0</w:t>
            </w:r>
          </w:p>
        </w:tc>
        <w:tc>
          <w:tcPr>
            <w:tcW w:w="2571" w:type="dxa"/>
            <w:tcBorders>
              <w:top w:val="single" w:color="auto" w:sz="4" w:space="0"/>
              <w:left w:val="nil"/>
              <w:bottom w:val="single" w:color="auto" w:sz="4" w:space="0"/>
              <w:right w:val="single" w:color="auto" w:sz="4" w:space="0"/>
            </w:tcBorders>
            <w:noWrap w:val="0"/>
            <w:vAlign w:val="center"/>
          </w:tcPr>
          <w:p w14:paraId="304049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解释权</w:t>
            </w:r>
          </w:p>
        </w:tc>
        <w:tc>
          <w:tcPr>
            <w:tcW w:w="5909" w:type="dxa"/>
            <w:tcBorders>
              <w:top w:val="single" w:color="auto" w:sz="4" w:space="0"/>
              <w:left w:val="nil"/>
              <w:bottom w:val="single" w:color="auto" w:sz="4" w:space="0"/>
              <w:right w:val="single" w:color="auto" w:sz="4" w:space="0"/>
            </w:tcBorders>
            <w:noWrap w:val="0"/>
            <w:vAlign w:val="center"/>
          </w:tcPr>
          <w:p w14:paraId="1D5C4E42">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构成本磋商文件的各个组成文件应互为解释，互为说明；如有不明确或不一致，按磋商公告、供应商须知、评标办法、响应文件格式的先后顺序解释；同一组成文件不同版本之间有不一致的，以形成时间在后者为准。按本款前述规定仍不能形成结论的，由采购人负责解释。供应商对磋商文件内容有疑义的，在磋商文件规定时间内提出，否则，因供应商理解错误造成的后果由供应商自行承担。</w:t>
            </w:r>
          </w:p>
          <w:p w14:paraId="2B1898CA">
            <w:pPr>
              <w:pStyle w:val="11"/>
              <w:keepNext w:val="0"/>
              <w:keepLines w:val="0"/>
              <w:suppressLineNumbers w:val="0"/>
              <w:spacing w:before="0" w:beforeAutospacing="0" w:after="0" w:afterAutospacing="0" w:line="360" w:lineRule="auto"/>
              <w:ind w:left="0" w:right="0"/>
              <w:rPr>
                <w:rFonts w:hint="eastAsia" w:ascii="宋体" w:hAnsi="宋体"/>
                <w:color w:val="auto"/>
                <w:sz w:val="21"/>
                <w:szCs w:val="21"/>
                <w:highlight w:val="none"/>
              </w:rPr>
            </w:pPr>
            <w:r>
              <w:rPr>
                <w:rFonts w:hint="eastAsia" w:ascii="宋体" w:hAnsi="宋体"/>
                <w:color w:val="auto"/>
                <w:sz w:val="21"/>
                <w:szCs w:val="21"/>
                <w:highlight w:val="none"/>
              </w:rPr>
              <w:t>竞争性磋商文件的最终解释权归采购人，其它未尽事宜，按国家有关法律、法规执行。</w:t>
            </w:r>
          </w:p>
        </w:tc>
      </w:tr>
      <w:tr w14:paraId="1A4C6486">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noWrap w:val="0"/>
            <w:vAlign w:val="center"/>
          </w:tcPr>
          <w:p w14:paraId="138EC087">
            <w:pPr>
              <w:keepNext w:val="0"/>
              <w:keepLines w:val="0"/>
              <w:suppressLineNumbers w:val="0"/>
              <w:snapToGrid w:val="0"/>
              <w:spacing w:before="0" w:beforeAutospacing="0" w:after="0" w:afterAutospacing="0" w:line="360" w:lineRule="auto"/>
              <w:ind w:left="0" w:right="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10.11</w:t>
            </w:r>
          </w:p>
        </w:tc>
        <w:tc>
          <w:tcPr>
            <w:tcW w:w="2571" w:type="dxa"/>
            <w:tcBorders>
              <w:top w:val="single" w:color="auto" w:sz="4" w:space="0"/>
              <w:left w:val="nil"/>
              <w:bottom w:val="single" w:color="auto" w:sz="4" w:space="0"/>
              <w:right w:val="single" w:color="auto" w:sz="4" w:space="0"/>
            </w:tcBorders>
            <w:noWrap w:val="0"/>
            <w:vAlign w:val="center"/>
          </w:tcPr>
          <w:p w14:paraId="5DF0F8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b w:val="0"/>
                <w:bCs w:val="0"/>
                <w:color w:val="auto"/>
                <w:highlight w:val="none"/>
                <w:lang w:eastAsia="zh-CN"/>
              </w:rPr>
            </w:pPr>
            <w:r>
              <w:rPr>
                <w:rFonts w:hint="eastAsia" w:ascii="宋体" w:hAnsi="宋体" w:eastAsia="宋体"/>
                <w:b w:val="0"/>
                <w:bCs w:val="0"/>
                <w:color w:val="auto"/>
                <w:highlight w:val="none"/>
                <w:lang w:val="en-US" w:eastAsia="zh-CN"/>
              </w:rPr>
              <w:t>投标供应商数量确定</w:t>
            </w:r>
          </w:p>
        </w:tc>
        <w:tc>
          <w:tcPr>
            <w:tcW w:w="5909" w:type="dxa"/>
            <w:tcBorders>
              <w:top w:val="single" w:color="auto" w:sz="4" w:space="0"/>
              <w:left w:val="nil"/>
              <w:bottom w:val="single" w:color="auto" w:sz="4" w:space="0"/>
              <w:right w:val="single" w:color="auto" w:sz="4" w:space="0"/>
            </w:tcBorders>
            <w:noWrap w:val="0"/>
            <w:vAlign w:val="center"/>
          </w:tcPr>
          <w:p w14:paraId="11AD0726">
            <w:pPr>
              <w:pStyle w:val="11"/>
              <w:keepNext w:val="0"/>
              <w:keepLines w:val="0"/>
              <w:suppressLineNumbers w:val="0"/>
              <w:spacing w:before="0" w:beforeAutospacing="0" w:after="0" w:afterAutospacing="0" w:line="360" w:lineRule="auto"/>
              <w:ind w:left="0" w:right="0"/>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出现多个供应商提供相同品牌产品的，按以下原则进行评审：</w:t>
            </w:r>
          </w:p>
          <w:p w14:paraId="2AF5E060">
            <w:pPr>
              <w:pStyle w:val="11"/>
              <w:keepNext w:val="0"/>
              <w:keepLines w:val="0"/>
              <w:suppressLineNumbers w:val="0"/>
              <w:spacing w:before="0" w:beforeAutospacing="0" w:after="0" w:afterAutospacing="0" w:line="360" w:lineRule="auto"/>
              <w:ind w:left="0" w:right="0"/>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单一产品采购项目，提供相同品牌产品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p w14:paraId="008C3C67">
            <w:pPr>
              <w:pStyle w:val="11"/>
              <w:keepNext w:val="0"/>
              <w:keepLines w:val="0"/>
              <w:suppressLineNumbers w:val="0"/>
              <w:spacing w:before="0" w:beforeAutospacing="0" w:after="0" w:afterAutospacing="0" w:line="360" w:lineRule="auto"/>
              <w:ind w:left="0" w:right="0"/>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2）非单一产品采购项目，采购人将根据采购项目技术构成、产品价格比重等合理确定核心产品，确定的核心产品见招标文件的采购清单。多家供应商提供的核心产品品牌相同，且通过资格审查、符合性审查的不同供应商参加同一合同项下投标的，按一家供应商计算，评审后得分最高的同品牌供应商获得中标人推荐资格；评审得分相同的，投标报价低的供应商获得中标人推荐资格；投标报价也相同的，采取随机抽取方式确定一家供应商获得中标人推荐资格，其他同品牌供应商不作为中标候选人。</w:t>
            </w:r>
          </w:p>
          <w:p w14:paraId="7549E17F">
            <w:pPr>
              <w:pStyle w:val="11"/>
              <w:keepNext w:val="0"/>
              <w:keepLines w:val="0"/>
              <w:suppressLineNumbers w:val="0"/>
              <w:spacing w:before="0" w:beforeAutospacing="0" w:after="0" w:afterAutospacing="0" w:line="360" w:lineRule="auto"/>
              <w:ind w:left="0" w:right="0"/>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本项目属于非单一产品采购。</w:t>
            </w:r>
          </w:p>
          <w:p w14:paraId="4F577BD4">
            <w:pPr>
              <w:pStyle w:val="11"/>
              <w:keepNext w:val="0"/>
              <w:keepLines w:val="0"/>
              <w:suppressLineNumbers w:val="0"/>
              <w:spacing w:before="0" w:beforeAutospacing="0" w:after="0" w:afterAutospacing="0" w:line="360" w:lineRule="auto"/>
              <w:ind w:left="0" w:right="0"/>
              <w:rPr>
                <w:rFonts w:hint="eastAsia" w:ascii="宋体" w:hAnsi="宋体"/>
                <w:b w:val="0"/>
                <w:bCs w:val="0"/>
                <w:color w:val="auto"/>
                <w:sz w:val="21"/>
                <w:szCs w:val="21"/>
                <w:highlight w:val="none"/>
              </w:rPr>
            </w:pPr>
            <w:r>
              <w:rPr>
                <w:rFonts w:hint="eastAsia" w:ascii="宋体" w:hAnsi="宋体"/>
                <w:b/>
                <w:bCs/>
                <w:color w:val="auto"/>
                <w:sz w:val="21"/>
                <w:szCs w:val="21"/>
                <w:highlight w:val="none"/>
                <w:lang w:val="en-US" w:eastAsia="zh-CN"/>
              </w:rPr>
              <w:t>核心产品：老化测试系统</w:t>
            </w:r>
          </w:p>
        </w:tc>
      </w:tr>
    </w:tbl>
    <w:p w14:paraId="1DE6DFC7">
      <w:pPr>
        <w:bidi w:val="0"/>
        <w:rPr>
          <w:rFonts w:hint="eastAsia"/>
          <w:highlight w:val="none"/>
        </w:rPr>
        <w:sectPr>
          <w:pgSz w:w="11905" w:h="16838"/>
          <w:pgMar w:top="1440" w:right="1800" w:bottom="1440" w:left="1800" w:header="794" w:footer="794" w:gutter="0"/>
          <w:pgNumType w:fmt="decimal"/>
          <w:cols w:space="720" w:num="1"/>
          <w:docGrid w:type="lines" w:linePitch="318" w:charSpace="0"/>
        </w:sectPr>
      </w:pPr>
      <w:bookmarkStart w:id="47" w:name="_Toc21190"/>
      <w:bookmarkEnd w:id="47"/>
    </w:p>
    <w:p w14:paraId="54387314">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48" w:name="_Toc28830"/>
      <w:bookmarkStart w:id="49" w:name="_Toc13133"/>
      <w:bookmarkStart w:id="50" w:name="_Toc17687"/>
      <w:bookmarkStart w:id="51" w:name="_Toc22301"/>
      <w:r>
        <w:rPr>
          <w:rFonts w:hint="eastAsia" w:ascii="宋体" w:hAnsi="宋体" w:eastAsia="宋体"/>
          <w:b/>
          <w:bCs w:val="0"/>
          <w:color w:val="auto"/>
          <w:sz w:val="21"/>
          <w:szCs w:val="21"/>
          <w:highlight w:val="none"/>
        </w:rPr>
        <w:t>1. 总则</w:t>
      </w:r>
      <w:bookmarkEnd w:id="48"/>
      <w:bookmarkEnd w:id="49"/>
      <w:bookmarkEnd w:id="50"/>
      <w:bookmarkEnd w:id="51"/>
    </w:p>
    <w:p w14:paraId="25EBCB1F">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52" w:name="_Toc318450675"/>
      <w:bookmarkEnd w:id="52"/>
      <w:bookmarkStart w:id="53" w:name="_Toc152045531"/>
      <w:bookmarkEnd w:id="53"/>
      <w:bookmarkStart w:id="54" w:name="_Toc29023"/>
      <w:bookmarkEnd w:id="54"/>
      <w:bookmarkStart w:id="55" w:name="_Toc455867769"/>
      <w:bookmarkEnd w:id="55"/>
      <w:bookmarkStart w:id="56" w:name="_Toc21458"/>
      <w:bookmarkEnd w:id="56"/>
      <w:bookmarkStart w:id="57" w:name="_Toc15709"/>
      <w:bookmarkEnd w:id="57"/>
      <w:bookmarkStart w:id="58" w:name="_Toc274409866"/>
      <w:bookmarkEnd w:id="58"/>
      <w:bookmarkStart w:id="59" w:name="_Toc144974499"/>
      <w:bookmarkEnd w:id="59"/>
      <w:bookmarkStart w:id="60" w:name="_Toc466298092"/>
      <w:bookmarkEnd w:id="60"/>
      <w:bookmarkStart w:id="61" w:name="_Toc490667828"/>
      <w:bookmarkEnd w:id="61"/>
      <w:bookmarkStart w:id="62" w:name="_Toc455080109"/>
      <w:bookmarkEnd w:id="62"/>
      <w:bookmarkStart w:id="63" w:name="_Toc281380952"/>
      <w:bookmarkEnd w:id="63"/>
      <w:bookmarkStart w:id="64" w:name="_Toc31404"/>
      <w:bookmarkEnd w:id="64"/>
      <w:bookmarkStart w:id="65" w:name="_Toc1172"/>
      <w:bookmarkEnd w:id="65"/>
      <w:bookmarkStart w:id="66" w:name="_Toc10273"/>
      <w:bookmarkEnd w:id="66"/>
      <w:bookmarkStart w:id="67" w:name="_Toc509667261"/>
      <w:bookmarkEnd w:id="67"/>
      <w:bookmarkStart w:id="68" w:name="_Toc152042307"/>
      <w:bookmarkStart w:id="69" w:name="_Toc129073458"/>
      <w:bookmarkStart w:id="70" w:name="_Toc24625"/>
      <w:r>
        <w:rPr>
          <w:rFonts w:hint="eastAsia" w:ascii="宋体" w:hAnsi="宋体" w:eastAsia="宋体"/>
          <w:b/>
          <w:bCs/>
          <w:color w:val="auto"/>
          <w:sz w:val="21"/>
          <w:szCs w:val="21"/>
          <w:highlight w:val="none"/>
        </w:rPr>
        <w:t>1.1 适用范围</w:t>
      </w:r>
      <w:bookmarkEnd w:id="68"/>
      <w:bookmarkEnd w:id="69"/>
      <w:bookmarkEnd w:id="70"/>
    </w:p>
    <w:p w14:paraId="6C2257E5">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1.1.1根据《中华人民共和国政府采购法》、《政府采购竞争性磋商采购方式管理暂行办法》等有关法律、法规和规章的规定，编制本项目磋商文件。</w:t>
      </w:r>
    </w:p>
    <w:p w14:paraId="547D147B">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71" w:name="_Toc490667829"/>
      <w:bookmarkEnd w:id="71"/>
      <w:bookmarkStart w:id="72" w:name="_Toc318450676"/>
      <w:bookmarkEnd w:id="72"/>
      <w:bookmarkStart w:id="73" w:name="_Toc455867770"/>
      <w:bookmarkEnd w:id="73"/>
      <w:bookmarkStart w:id="74" w:name="_Toc509667262"/>
      <w:bookmarkEnd w:id="74"/>
      <w:bookmarkStart w:id="75" w:name="_Toc2929"/>
      <w:bookmarkEnd w:id="75"/>
      <w:bookmarkStart w:id="76" w:name="_Toc710"/>
      <w:bookmarkEnd w:id="76"/>
      <w:bookmarkStart w:id="77" w:name="_Toc281405468"/>
      <w:bookmarkEnd w:id="77"/>
      <w:bookmarkStart w:id="78" w:name="_Toc30891"/>
      <w:bookmarkEnd w:id="78"/>
      <w:bookmarkStart w:id="79" w:name="_Toc3336"/>
      <w:bookmarkEnd w:id="79"/>
      <w:bookmarkStart w:id="80" w:name="_Toc32619"/>
      <w:bookmarkEnd w:id="80"/>
      <w:bookmarkStart w:id="81" w:name="_Toc455080110"/>
      <w:bookmarkEnd w:id="81"/>
      <w:bookmarkStart w:id="82" w:name="_Toc274409867"/>
      <w:bookmarkEnd w:id="82"/>
      <w:bookmarkStart w:id="83" w:name="_Toc25773"/>
      <w:bookmarkEnd w:id="83"/>
      <w:bookmarkStart w:id="84" w:name="_Toc16575"/>
      <w:bookmarkStart w:id="85" w:name="_Toc129073459"/>
      <w:bookmarkStart w:id="86" w:name="_Toc466298093"/>
      <w:r>
        <w:rPr>
          <w:rFonts w:hint="eastAsia" w:ascii="宋体" w:hAnsi="宋体" w:eastAsia="宋体"/>
          <w:b/>
          <w:bCs/>
          <w:color w:val="auto"/>
          <w:sz w:val="21"/>
          <w:szCs w:val="21"/>
          <w:highlight w:val="none"/>
        </w:rPr>
        <w:t>1.2 采购项目说明</w:t>
      </w:r>
      <w:bookmarkEnd w:id="84"/>
      <w:bookmarkEnd w:id="85"/>
      <w:bookmarkEnd w:id="86"/>
    </w:p>
    <w:p w14:paraId="196CDF49">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1.2.1 本项目采购人：见供应商须知前附表。</w:t>
      </w:r>
    </w:p>
    <w:p w14:paraId="4334029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1.2.2 本项目采购代理机构：见供应商须知前附表。</w:t>
      </w:r>
    </w:p>
    <w:p w14:paraId="468CBDD1">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1.2.3 本项目名称：见供应商须知前附表。</w:t>
      </w:r>
    </w:p>
    <w:p w14:paraId="6645D2FB">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1.2.4 本项目资金来源及落实情况：见供应商须知前附表。</w:t>
      </w:r>
    </w:p>
    <w:p w14:paraId="28CBA972">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87" w:name="_Toc16931"/>
      <w:bookmarkEnd w:id="87"/>
      <w:bookmarkStart w:id="88" w:name="_Toc281405469"/>
      <w:bookmarkEnd w:id="88"/>
      <w:bookmarkStart w:id="89" w:name="_Toc466298094"/>
      <w:bookmarkEnd w:id="89"/>
      <w:bookmarkStart w:id="90" w:name="_Toc509667263"/>
      <w:bookmarkEnd w:id="90"/>
      <w:bookmarkStart w:id="91" w:name="_Toc1373"/>
      <w:bookmarkEnd w:id="91"/>
      <w:bookmarkStart w:id="92" w:name="_Toc455867771"/>
      <w:bookmarkEnd w:id="92"/>
      <w:bookmarkStart w:id="93" w:name="_Toc3477"/>
      <w:bookmarkEnd w:id="93"/>
      <w:bookmarkStart w:id="94" w:name="_Toc4952"/>
      <w:bookmarkEnd w:id="94"/>
      <w:bookmarkStart w:id="95" w:name="_Toc18960"/>
      <w:bookmarkEnd w:id="95"/>
      <w:bookmarkStart w:id="96" w:name="_Toc490667830"/>
      <w:bookmarkEnd w:id="96"/>
      <w:bookmarkStart w:id="97" w:name="_Toc274409868"/>
      <w:bookmarkEnd w:id="97"/>
      <w:bookmarkStart w:id="98" w:name="_Toc318450677"/>
      <w:bookmarkEnd w:id="98"/>
      <w:bookmarkStart w:id="99" w:name="_Toc17016"/>
      <w:bookmarkEnd w:id="99"/>
      <w:bookmarkStart w:id="100" w:name="_Toc455080111"/>
      <w:bookmarkStart w:id="101" w:name="_Toc20824"/>
      <w:bookmarkStart w:id="102" w:name="_Toc129073460"/>
      <w:r>
        <w:rPr>
          <w:rFonts w:hint="eastAsia" w:ascii="宋体" w:hAnsi="宋体" w:eastAsia="宋体"/>
          <w:b/>
          <w:bCs/>
          <w:color w:val="auto"/>
          <w:sz w:val="21"/>
          <w:szCs w:val="21"/>
          <w:highlight w:val="none"/>
        </w:rPr>
        <w:t>1.3 定义及解释</w:t>
      </w:r>
      <w:bookmarkEnd w:id="100"/>
      <w:bookmarkEnd w:id="101"/>
      <w:bookmarkEnd w:id="102"/>
    </w:p>
    <w:p w14:paraId="7CAA69BF">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1.3.1采购人：依法进行政府采购的国家机关、事业单位、团体组织。</w:t>
      </w:r>
    </w:p>
    <w:p w14:paraId="07A94AA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1.3.2采购代理机构：取得政府采购采购代理资质，受采购人委托组织招标活动的社会中介组织。</w:t>
      </w:r>
    </w:p>
    <w:p w14:paraId="2379E66F">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1.3.3工程：系指根据本磋商文件规定供应商须承担的工程以及伴随服务等。</w:t>
      </w:r>
    </w:p>
    <w:p w14:paraId="73BD5E10">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1.3.4货物：根据本磋商文件规定供应商须提供并安装的产品及伴随服务。</w:t>
      </w:r>
    </w:p>
    <w:p w14:paraId="53BA87A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1.3.5供应商：响应磋商文件、参加磋商竞争的中华人民共和国境内的法人、其它组织、自然人。</w:t>
      </w:r>
    </w:p>
    <w:p w14:paraId="0B772F8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1.3.6响应文件：指供应商根据磋商文件提交的所有文件。</w:t>
      </w:r>
    </w:p>
    <w:p w14:paraId="147E7CF7">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1.3.7磋商小组：依据《政府采购竞争性磋商采购方式管理暂行办法》及有关法律、法规的规定依法组建的专门负责本次评标工作的临时机构。</w:t>
      </w:r>
    </w:p>
    <w:p w14:paraId="407F74E9">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1.3.8偏离：响应文件的响应相对于磋商文件要求的偏差，该偏差优于磋商文件要求的为正偏离；劣于的，为负偏离。</w:t>
      </w:r>
    </w:p>
    <w:p w14:paraId="0883DF3C">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1.3.9“日期”或“天”：指日历天。</w:t>
      </w:r>
    </w:p>
    <w:p w14:paraId="5D4359D5">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1.3.10合同：指依据本次服务采购招标结果签订的协议或合约文件。</w:t>
      </w:r>
    </w:p>
    <w:p w14:paraId="5085FAF7">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1.3.11磋商文件中的标题或题名仅起引导作用，而不应视为对磋商文件内容的理解和解释。</w:t>
      </w:r>
    </w:p>
    <w:p w14:paraId="4A28E913">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103" w:name="_Toc509667264"/>
      <w:bookmarkEnd w:id="103"/>
      <w:bookmarkStart w:id="104" w:name="_Toc19363"/>
      <w:bookmarkEnd w:id="104"/>
      <w:bookmarkStart w:id="105" w:name="_Toc21766"/>
      <w:bookmarkEnd w:id="105"/>
      <w:bookmarkStart w:id="106" w:name="_Toc490667831"/>
      <w:bookmarkEnd w:id="106"/>
      <w:bookmarkStart w:id="107" w:name="_Toc27407"/>
      <w:bookmarkEnd w:id="107"/>
      <w:bookmarkStart w:id="108" w:name="_Toc152042308"/>
      <w:bookmarkEnd w:id="108"/>
      <w:bookmarkStart w:id="109" w:name="_Toc14043"/>
      <w:bookmarkEnd w:id="109"/>
      <w:bookmarkStart w:id="110" w:name="_Toc16470"/>
      <w:bookmarkEnd w:id="110"/>
      <w:bookmarkStart w:id="111" w:name="_Toc12752"/>
      <w:bookmarkEnd w:id="111"/>
      <w:bookmarkStart w:id="112" w:name="_Toc152045532"/>
      <w:bookmarkEnd w:id="112"/>
      <w:bookmarkStart w:id="113" w:name="_Toc455867772"/>
      <w:bookmarkEnd w:id="113"/>
      <w:bookmarkStart w:id="114" w:name="_Toc466298095"/>
      <w:bookmarkEnd w:id="114"/>
      <w:bookmarkStart w:id="115" w:name="_Toc455080112"/>
      <w:bookmarkEnd w:id="115"/>
      <w:bookmarkStart w:id="116" w:name="_Toc144974500"/>
      <w:bookmarkEnd w:id="116"/>
      <w:bookmarkStart w:id="117" w:name="_Toc129073461"/>
      <w:bookmarkStart w:id="118" w:name="_Toc318450678"/>
      <w:bookmarkStart w:id="119" w:name="_Toc4335"/>
      <w:r>
        <w:rPr>
          <w:rFonts w:hint="eastAsia" w:ascii="宋体" w:hAnsi="宋体" w:eastAsia="宋体"/>
          <w:b/>
          <w:bCs/>
          <w:color w:val="auto"/>
          <w:sz w:val="21"/>
          <w:szCs w:val="21"/>
          <w:highlight w:val="none"/>
        </w:rPr>
        <w:t xml:space="preserve">1.4 </w:t>
      </w:r>
      <w:r>
        <w:rPr>
          <w:rFonts w:hint="eastAsia" w:ascii="宋体" w:hAnsi="宋体" w:eastAsia="宋体"/>
          <w:b/>
          <w:bCs/>
          <w:color w:val="auto"/>
          <w:sz w:val="21"/>
          <w:szCs w:val="21"/>
          <w:highlight w:val="none"/>
          <w:lang w:val="en-US" w:eastAsia="zh-CN"/>
        </w:rPr>
        <w:t>采购</w:t>
      </w:r>
      <w:r>
        <w:rPr>
          <w:rFonts w:hint="eastAsia" w:ascii="宋体" w:hAnsi="宋体" w:eastAsia="宋体"/>
          <w:b/>
          <w:bCs/>
          <w:color w:val="auto"/>
          <w:sz w:val="21"/>
          <w:szCs w:val="21"/>
          <w:highlight w:val="none"/>
        </w:rPr>
        <w:t>内容及标段划分和</w:t>
      </w:r>
      <w:bookmarkEnd w:id="117"/>
      <w:bookmarkEnd w:id="118"/>
      <w:r>
        <w:rPr>
          <w:rFonts w:hint="eastAsia" w:ascii="宋体" w:hAnsi="宋体" w:eastAsia="宋体"/>
          <w:b/>
          <w:bCs/>
          <w:color w:val="auto"/>
          <w:sz w:val="21"/>
          <w:szCs w:val="21"/>
          <w:highlight w:val="none"/>
        </w:rPr>
        <w:t>交货期、质量要求、质保期</w:t>
      </w:r>
      <w:bookmarkEnd w:id="119"/>
    </w:p>
    <w:p w14:paraId="69818E52">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1.4.1 本次</w:t>
      </w:r>
      <w:r>
        <w:rPr>
          <w:rFonts w:hint="eastAsia" w:ascii="宋体" w:hAnsi="宋体"/>
          <w:color w:val="auto"/>
          <w:highlight w:val="none"/>
          <w:lang w:val="en-US" w:eastAsia="zh-CN"/>
        </w:rPr>
        <w:t>采购</w:t>
      </w:r>
      <w:r>
        <w:rPr>
          <w:rFonts w:hint="eastAsia" w:ascii="宋体" w:hAnsi="宋体"/>
          <w:color w:val="auto"/>
          <w:highlight w:val="none"/>
        </w:rPr>
        <w:t>内容及标段划分：见供应商须知前附表。</w:t>
      </w:r>
    </w:p>
    <w:p w14:paraId="30D5CA5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1.4.2 本项目的交货地点：见供应商须知前附表。</w:t>
      </w:r>
    </w:p>
    <w:p w14:paraId="34623914">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1.4.3 本项目的交货期：见供应商须知前附表。</w:t>
      </w:r>
    </w:p>
    <w:p w14:paraId="72F34AD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1.4.4 本项目的质量要求：见供应商须知前附表。</w:t>
      </w:r>
    </w:p>
    <w:p w14:paraId="61C71DE6">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1.4.5 本项目的质保期：见供应商须知前附表。</w:t>
      </w:r>
    </w:p>
    <w:p w14:paraId="5E22AECC">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120" w:name="_Toc490667832"/>
      <w:bookmarkEnd w:id="120"/>
      <w:bookmarkStart w:id="121" w:name="_Toc18689"/>
      <w:bookmarkEnd w:id="121"/>
      <w:bookmarkStart w:id="122" w:name="_Toc152042310"/>
      <w:bookmarkEnd w:id="122"/>
      <w:bookmarkStart w:id="123" w:name="_Toc509667265"/>
      <w:bookmarkEnd w:id="123"/>
      <w:bookmarkStart w:id="124" w:name="_Toc22643"/>
      <w:bookmarkEnd w:id="124"/>
      <w:bookmarkStart w:id="125" w:name="_Toc152045534"/>
      <w:bookmarkEnd w:id="125"/>
      <w:bookmarkStart w:id="126" w:name="_Toc5019"/>
      <w:bookmarkEnd w:id="126"/>
      <w:bookmarkStart w:id="127" w:name="_Toc455080113"/>
      <w:bookmarkEnd w:id="127"/>
      <w:bookmarkStart w:id="128" w:name="_Toc144974502"/>
      <w:bookmarkEnd w:id="128"/>
      <w:bookmarkStart w:id="129" w:name="_Toc4301"/>
      <w:bookmarkEnd w:id="129"/>
      <w:bookmarkStart w:id="130" w:name="_Toc11063"/>
      <w:bookmarkEnd w:id="130"/>
      <w:bookmarkStart w:id="131" w:name="_Toc455867773"/>
      <w:bookmarkEnd w:id="131"/>
      <w:bookmarkStart w:id="132" w:name="_Toc466298096"/>
      <w:bookmarkEnd w:id="132"/>
      <w:bookmarkStart w:id="133" w:name="_Toc318450679"/>
      <w:bookmarkEnd w:id="133"/>
      <w:bookmarkStart w:id="134" w:name="_Toc7209"/>
      <w:bookmarkStart w:id="135" w:name="_Toc129073462"/>
      <w:bookmarkStart w:id="136" w:name="_Toc9585"/>
      <w:r>
        <w:rPr>
          <w:rFonts w:hint="eastAsia" w:ascii="宋体" w:hAnsi="宋体" w:eastAsia="宋体"/>
          <w:b/>
          <w:bCs/>
          <w:color w:val="auto"/>
          <w:sz w:val="21"/>
          <w:szCs w:val="21"/>
          <w:highlight w:val="none"/>
        </w:rPr>
        <w:t xml:space="preserve">1.5 </w:t>
      </w:r>
      <w:bookmarkEnd w:id="134"/>
      <w:r>
        <w:rPr>
          <w:rFonts w:hint="eastAsia" w:ascii="宋体" w:hAnsi="宋体" w:eastAsia="宋体"/>
          <w:b/>
          <w:bCs/>
          <w:color w:val="auto"/>
          <w:sz w:val="21"/>
          <w:szCs w:val="21"/>
          <w:highlight w:val="none"/>
        </w:rPr>
        <w:t>供应商资质条件和能力</w:t>
      </w:r>
      <w:bookmarkEnd w:id="135"/>
      <w:bookmarkEnd w:id="136"/>
    </w:p>
    <w:p w14:paraId="3D0696B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1.5.1供应商资质及能力要求：见供应商须知前附表。</w:t>
      </w:r>
    </w:p>
    <w:p w14:paraId="60396059">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1.5.2是否接受联合体：见供应商须知前附表。</w:t>
      </w:r>
    </w:p>
    <w:p w14:paraId="4141FABF">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137" w:name="_Toc16889"/>
      <w:bookmarkEnd w:id="137"/>
      <w:bookmarkStart w:id="138" w:name="_Toc509667266"/>
      <w:bookmarkEnd w:id="138"/>
      <w:bookmarkStart w:id="139" w:name="_Toc490667833"/>
      <w:bookmarkEnd w:id="139"/>
      <w:bookmarkStart w:id="140" w:name="_Toc981"/>
      <w:bookmarkEnd w:id="140"/>
      <w:bookmarkStart w:id="141" w:name="_Toc466298097"/>
      <w:bookmarkEnd w:id="141"/>
      <w:bookmarkStart w:id="142" w:name="_Toc31854"/>
      <w:bookmarkEnd w:id="142"/>
      <w:bookmarkStart w:id="143" w:name="_Toc12403"/>
      <w:bookmarkEnd w:id="143"/>
      <w:bookmarkStart w:id="144" w:name="_Toc455867774"/>
      <w:bookmarkEnd w:id="144"/>
      <w:bookmarkStart w:id="145" w:name="_Toc455080114"/>
      <w:bookmarkEnd w:id="145"/>
      <w:bookmarkStart w:id="146" w:name="_Toc318450680"/>
      <w:bookmarkEnd w:id="146"/>
      <w:bookmarkStart w:id="147" w:name="_Toc5162"/>
      <w:bookmarkEnd w:id="147"/>
      <w:bookmarkStart w:id="148" w:name="_Toc144974503"/>
      <w:bookmarkEnd w:id="148"/>
      <w:bookmarkStart w:id="149" w:name="_Toc152042311"/>
      <w:bookmarkEnd w:id="149"/>
      <w:bookmarkStart w:id="150" w:name="_Toc651"/>
      <w:bookmarkEnd w:id="150"/>
      <w:bookmarkStart w:id="151" w:name="_Toc152045535"/>
      <w:bookmarkStart w:id="152" w:name="_Toc129073463"/>
      <w:bookmarkStart w:id="153" w:name="_Toc14279"/>
      <w:r>
        <w:rPr>
          <w:rFonts w:hint="eastAsia" w:ascii="宋体" w:hAnsi="宋体" w:eastAsia="宋体"/>
          <w:b/>
          <w:bCs/>
          <w:color w:val="auto"/>
          <w:sz w:val="21"/>
          <w:szCs w:val="21"/>
          <w:highlight w:val="none"/>
        </w:rPr>
        <w:t>1.6 费用承担</w:t>
      </w:r>
      <w:bookmarkEnd w:id="151"/>
      <w:bookmarkEnd w:id="152"/>
      <w:bookmarkEnd w:id="153"/>
    </w:p>
    <w:p w14:paraId="275262F1">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供应商准备和参加磋商活动发生的费用自理，不论磋商的结果如何，采购人和采购代理机构在任何情况下均无义务和责任承担这些费用。</w:t>
      </w:r>
    </w:p>
    <w:p w14:paraId="4FC55012">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154" w:name="_Toc32053"/>
      <w:bookmarkEnd w:id="154"/>
      <w:bookmarkStart w:id="155" w:name="_Toc152042312"/>
      <w:bookmarkEnd w:id="155"/>
      <w:bookmarkStart w:id="156" w:name="_Toc318450681"/>
      <w:bookmarkEnd w:id="156"/>
      <w:bookmarkStart w:id="157" w:name="_Toc5402"/>
      <w:bookmarkEnd w:id="157"/>
      <w:bookmarkStart w:id="158" w:name="_Toc8055"/>
      <w:bookmarkEnd w:id="158"/>
      <w:bookmarkStart w:id="159" w:name="_Toc20145"/>
      <w:bookmarkEnd w:id="159"/>
      <w:bookmarkStart w:id="160" w:name="_Toc509667267"/>
      <w:bookmarkEnd w:id="160"/>
      <w:bookmarkStart w:id="161" w:name="_Toc455080115"/>
      <w:bookmarkEnd w:id="161"/>
      <w:bookmarkStart w:id="162" w:name="_Toc6014"/>
      <w:bookmarkEnd w:id="162"/>
      <w:bookmarkStart w:id="163" w:name="_Toc455867775"/>
      <w:bookmarkEnd w:id="163"/>
      <w:bookmarkStart w:id="164" w:name="_Toc152045536"/>
      <w:bookmarkEnd w:id="164"/>
      <w:bookmarkStart w:id="165" w:name="_Toc490667834"/>
      <w:bookmarkEnd w:id="165"/>
      <w:bookmarkStart w:id="166" w:name="_Toc2622"/>
      <w:bookmarkEnd w:id="166"/>
      <w:bookmarkStart w:id="167" w:name="_Toc144974504"/>
      <w:bookmarkEnd w:id="167"/>
      <w:bookmarkStart w:id="168" w:name="_Toc466298098"/>
      <w:bookmarkStart w:id="169" w:name="_Toc29729"/>
      <w:bookmarkStart w:id="170" w:name="_Toc129073464"/>
      <w:r>
        <w:rPr>
          <w:rFonts w:hint="eastAsia" w:ascii="宋体" w:hAnsi="宋体" w:eastAsia="宋体"/>
          <w:b/>
          <w:bCs/>
          <w:color w:val="auto"/>
          <w:sz w:val="21"/>
          <w:szCs w:val="21"/>
          <w:highlight w:val="none"/>
        </w:rPr>
        <w:t>1.7 保密</w:t>
      </w:r>
      <w:bookmarkEnd w:id="168"/>
      <w:bookmarkEnd w:id="169"/>
      <w:bookmarkEnd w:id="170"/>
    </w:p>
    <w:p w14:paraId="55ADBCEC">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 xml:space="preserve">参与磋商活动的各方应对磋商文件和响应文件中的商业和技术等秘密保密，违者应对由此造成的后果承担法律责任。 </w:t>
      </w:r>
    </w:p>
    <w:p w14:paraId="7E1E39C8">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171" w:name="_Toc318450682"/>
      <w:bookmarkEnd w:id="171"/>
      <w:bookmarkStart w:id="172" w:name="_Toc3628"/>
      <w:bookmarkEnd w:id="172"/>
      <w:bookmarkStart w:id="173" w:name="_Toc30583"/>
      <w:bookmarkEnd w:id="173"/>
      <w:bookmarkStart w:id="174" w:name="_Toc490667835"/>
      <w:bookmarkEnd w:id="174"/>
      <w:bookmarkStart w:id="175" w:name="_Toc30747"/>
      <w:bookmarkEnd w:id="175"/>
      <w:bookmarkStart w:id="176" w:name="_Toc509667268"/>
      <w:bookmarkEnd w:id="176"/>
      <w:bookmarkStart w:id="177" w:name="_Toc21089"/>
      <w:bookmarkEnd w:id="177"/>
      <w:bookmarkStart w:id="178" w:name="_Toc152042313"/>
      <w:bookmarkEnd w:id="178"/>
      <w:bookmarkStart w:id="179" w:name="_Toc14775"/>
      <w:bookmarkEnd w:id="179"/>
      <w:bookmarkStart w:id="180" w:name="_Toc455080116"/>
      <w:bookmarkEnd w:id="180"/>
      <w:bookmarkStart w:id="181" w:name="_Toc25517"/>
      <w:bookmarkEnd w:id="181"/>
      <w:bookmarkStart w:id="182" w:name="_Toc144974505"/>
      <w:bookmarkEnd w:id="182"/>
      <w:bookmarkStart w:id="183" w:name="_Toc466298099"/>
      <w:bookmarkEnd w:id="183"/>
      <w:bookmarkStart w:id="184" w:name="_Toc455867776"/>
      <w:bookmarkEnd w:id="184"/>
      <w:bookmarkStart w:id="185" w:name="_Toc152045537"/>
      <w:bookmarkStart w:id="186" w:name="_Toc31792"/>
      <w:bookmarkStart w:id="187" w:name="_Toc129073465"/>
      <w:r>
        <w:rPr>
          <w:rFonts w:hint="eastAsia" w:ascii="宋体" w:hAnsi="宋体" w:eastAsia="宋体"/>
          <w:b/>
          <w:bCs/>
          <w:color w:val="auto"/>
          <w:sz w:val="21"/>
          <w:szCs w:val="21"/>
          <w:highlight w:val="none"/>
        </w:rPr>
        <w:t>1.8 语言</w:t>
      </w:r>
      <w:bookmarkEnd w:id="185"/>
      <w:r>
        <w:rPr>
          <w:rFonts w:hint="eastAsia" w:ascii="宋体" w:hAnsi="宋体" w:eastAsia="宋体"/>
          <w:b/>
          <w:bCs/>
          <w:color w:val="auto"/>
          <w:sz w:val="21"/>
          <w:szCs w:val="21"/>
          <w:highlight w:val="none"/>
        </w:rPr>
        <w:t>文字</w:t>
      </w:r>
      <w:bookmarkEnd w:id="186"/>
      <w:bookmarkEnd w:id="187"/>
    </w:p>
    <w:p w14:paraId="10879072">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除专用术语外，与磋商有关的语言均使用中文。必要时专用术语应附有中文注释，对不同文字文本响应文件的解释发生异议的，以中文文本为准。</w:t>
      </w:r>
    </w:p>
    <w:p w14:paraId="30C7EF2F">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188" w:name="_Toc466298100"/>
      <w:bookmarkEnd w:id="188"/>
      <w:bookmarkStart w:id="189" w:name="_Toc9446"/>
      <w:bookmarkEnd w:id="189"/>
      <w:bookmarkStart w:id="190" w:name="_Toc144974506"/>
      <w:bookmarkEnd w:id="190"/>
      <w:bookmarkStart w:id="191" w:name="_Toc455080117"/>
      <w:bookmarkEnd w:id="191"/>
      <w:bookmarkStart w:id="192" w:name="_Toc152045538"/>
      <w:bookmarkEnd w:id="192"/>
      <w:bookmarkStart w:id="193" w:name="_Toc22378"/>
      <w:bookmarkEnd w:id="193"/>
      <w:bookmarkStart w:id="194" w:name="_Toc24337"/>
      <w:bookmarkEnd w:id="194"/>
      <w:bookmarkStart w:id="195" w:name="_Toc490667836"/>
      <w:bookmarkEnd w:id="195"/>
      <w:bookmarkStart w:id="196" w:name="_Toc2702"/>
      <w:bookmarkEnd w:id="196"/>
      <w:bookmarkStart w:id="197" w:name="_Toc318450683"/>
      <w:bookmarkEnd w:id="197"/>
      <w:bookmarkStart w:id="198" w:name="_Toc455867777"/>
      <w:bookmarkEnd w:id="198"/>
      <w:bookmarkStart w:id="199" w:name="_Toc509667269"/>
      <w:bookmarkEnd w:id="199"/>
      <w:bookmarkStart w:id="200" w:name="_Toc152042314"/>
      <w:bookmarkEnd w:id="200"/>
      <w:bookmarkStart w:id="201" w:name="_Toc4237"/>
      <w:bookmarkEnd w:id="201"/>
      <w:bookmarkStart w:id="202" w:name="_Toc32507"/>
      <w:bookmarkStart w:id="203" w:name="_Toc129073466"/>
      <w:bookmarkStart w:id="204" w:name="_Toc10014"/>
      <w:r>
        <w:rPr>
          <w:rFonts w:hint="eastAsia" w:ascii="宋体" w:hAnsi="宋体" w:eastAsia="宋体"/>
          <w:b/>
          <w:bCs/>
          <w:color w:val="auto"/>
          <w:sz w:val="21"/>
          <w:szCs w:val="21"/>
          <w:highlight w:val="none"/>
        </w:rPr>
        <w:t>1.9 计量单位</w:t>
      </w:r>
      <w:bookmarkEnd w:id="202"/>
      <w:bookmarkEnd w:id="203"/>
      <w:bookmarkEnd w:id="204"/>
    </w:p>
    <w:p w14:paraId="5A351587">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所有计量均采用中华人民共和国法定计量单位。</w:t>
      </w:r>
    </w:p>
    <w:p w14:paraId="5C6A2F86">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205" w:name="_Toc466298101"/>
      <w:bookmarkEnd w:id="205"/>
      <w:bookmarkStart w:id="206" w:name="_Toc455867778"/>
      <w:bookmarkEnd w:id="206"/>
      <w:bookmarkStart w:id="207" w:name="_Toc455080118"/>
      <w:bookmarkEnd w:id="207"/>
      <w:bookmarkStart w:id="208" w:name="_Toc284"/>
      <w:bookmarkEnd w:id="208"/>
      <w:bookmarkStart w:id="209" w:name="_Toc152045540"/>
      <w:bookmarkEnd w:id="209"/>
      <w:bookmarkStart w:id="210" w:name="_Toc509667270"/>
      <w:bookmarkEnd w:id="210"/>
      <w:bookmarkStart w:id="211" w:name="_Toc27570"/>
      <w:bookmarkEnd w:id="211"/>
      <w:bookmarkStart w:id="212" w:name="_Toc2508"/>
      <w:bookmarkEnd w:id="212"/>
      <w:bookmarkStart w:id="213" w:name="_Toc152042316"/>
      <w:bookmarkEnd w:id="213"/>
      <w:bookmarkStart w:id="214" w:name="_Toc318450684"/>
      <w:bookmarkEnd w:id="214"/>
      <w:bookmarkStart w:id="215" w:name="_Toc13675"/>
      <w:bookmarkEnd w:id="215"/>
      <w:bookmarkStart w:id="216" w:name="_Toc490667837"/>
      <w:bookmarkEnd w:id="216"/>
      <w:bookmarkStart w:id="217" w:name="_Toc12027"/>
      <w:bookmarkEnd w:id="217"/>
      <w:bookmarkStart w:id="218" w:name="_Toc144974508"/>
      <w:bookmarkEnd w:id="218"/>
      <w:bookmarkStart w:id="219" w:name="_Toc20958"/>
      <w:bookmarkStart w:id="220" w:name="_Toc338"/>
      <w:bookmarkStart w:id="221" w:name="_Toc129073467"/>
      <w:r>
        <w:rPr>
          <w:rFonts w:hint="eastAsia" w:ascii="宋体" w:hAnsi="宋体" w:eastAsia="宋体"/>
          <w:b/>
          <w:bCs/>
          <w:color w:val="auto"/>
          <w:sz w:val="21"/>
          <w:szCs w:val="21"/>
          <w:highlight w:val="none"/>
        </w:rPr>
        <w:t xml:space="preserve">1.10 </w:t>
      </w:r>
      <w:bookmarkEnd w:id="219"/>
      <w:bookmarkEnd w:id="220"/>
      <w:bookmarkEnd w:id="221"/>
      <w:r>
        <w:rPr>
          <w:rFonts w:hint="eastAsia" w:ascii="宋体" w:hAnsi="宋体" w:eastAsia="宋体"/>
          <w:b/>
          <w:bCs/>
          <w:color w:val="auto"/>
          <w:sz w:val="21"/>
          <w:szCs w:val="21"/>
          <w:highlight w:val="none"/>
        </w:rPr>
        <w:t>踏勘现场</w:t>
      </w:r>
    </w:p>
    <w:p w14:paraId="6EFB6515">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本项目不统一组织，供应商可自行踏勘现场。</w:t>
      </w:r>
    </w:p>
    <w:p w14:paraId="340ECE8D">
      <w:pPr>
        <w:pStyle w:val="74"/>
        <w:keepNext w:val="0"/>
        <w:keepLines w:val="0"/>
        <w:adjustRightInd w:val="0"/>
        <w:snapToGrid w:val="0"/>
        <w:spacing w:line="440" w:lineRule="exact"/>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1.11 磋商预备会</w:t>
      </w:r>
    </w:p>
    <w:p w14:paraId="2D880E07">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不召开磋商预备会。</w:t>
      </w:r>
    </w:p>
    <w:p w14:paraId="02554779">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222" w:name="_Toc490667838"/>
      <w:bookmarkEnd w:id="222"/>
      <w:bookmarkStart w:id="223" w:name="_Toc509667271"/>
      <w:bookmarkEnd w:id="223"/>
      <w:bookmarkStart w:id="224" w:name="_Toc455080119"/>
      <w:bookmarkEnd w:id="224"/>
      <w:bookmarkStart w:id="225" w:name="_Toc152042317"/>
      <w:bookmarkEnd w:id="225"/>
      <w:bookmarkStart w:id="226" w:name="_Toc466298102"/>
      <w:bookmarkEnd w:id="226"/>
      <w:bookmarkStart w:id="227" w:name="_Toc152045541"/>
      <w:bookmarkEnd w:id="227"/>
      <w:bookmarkStart w:id="228" w:name="_Toc24262"/>
      <w:bookmarkEnd w:id="228"/>
      <w:bookmarkStart w:id="229" w:name="_Toc23635"/>
      <w:bookmarkEnd w:id="229"/>
      <w:bookmarkStart w:id="230" w:name="_Toc23678"/>
      <w:bookmarkEnd w:id="230"/>
      <w:bookmarkStart w:id="231" w:name="_Toc318450685"/>
      <w:bookmarkEnd w:id="231"/>
      <w:bookmarkStart w:id="232" w:name="_Toc455867779"/>
      <w:bookmarkEnd w:id="232"/>
      <w:bookmarkStart w:id="233" w:name="_Toc12562"/>
      <w:bookmarkEnd w:id="233"/>
      <w:bookmarkStart w:id="234" w:name="_Toc32757"/>
      <w:bookmarkEnd w:id="234"/>
      <w:bookmarkStart w:id="235" w:name="_Toc144974509"/>
      <w:bookmarkEnd w:id="235"/>
      <w:bookmarkStart w:id="236" w:name="_Toc129073468"/>
      <w:bookmarkStart w:id="237" w:name="_Toc11744"/>
      <w:bookmarkStart w:id="238" w:name="_Toc5087"/>
      <w:r>
        <w:rPr>
          <w:rFonts w:hint="eastAsia" w:ascii="宋体" w:hAnsi="宋体" w:eastAsia="宋体"/>
          <w:b/>
          <w:bCs/>
          <w:color w:val="auto"/>
          <w:sz w:val="21"/>
          <w:szCs w:val="21"/>
          <w:highlight w:val="none"/>
        </w:rPr>
        <w:t>1.11分包</w:t>
      </w:r>
      <w:bookmarkEnd w:id="236"/>
      <w:bookmarkEnd w:id="237"/>
      <w:bookmarkEnd w:id="238"/>
    </w:p>
    <w:p w14:paraId="1764FEC4">
      <w:pPr>
        <w:adjustRightInd w:val="0"/>
        <w:snapToGrid w:val="0"/>
        <w:spacing w:line="440" w:lineRule="exact"/>
        <w:ind w:firstLine="567" w:firstLineChars="270"/>
        <w:rPr>
          <w:rFonts w:hint="eastAsia" w:ascii="宋体" w:hAnsi="宋体"/>
          <w:color w:val="auto"/>
          <w:highlight w:val="none"/>
        </w:rPr>
      </w:pPr>
      <w:r>
        <w:rPr>
          <w:rFonts w:hint="eastAsia" w:ascii="宋体" w:hAnsi="宋体"/>
          <w:color w:val="auto"/>
          <w:highlight w:val="none"/>
        </w:rPr>
        <w:t>不允许分包。</w:t>
      </w:r>
    </w:p>
    <w:p w14:paraId="164844C0">
      <w:pPr>
        <w:pStyle w:val="74"/>
        <w:keepNext w:val="0"/>
        <w:keepLines w:val="0"/>
        <w:adjustRightInd w:val="0"/>
        <w:snapToGrid w:val="0"/>
        <w:spacing w:line="440" w:lineRule="exact"/>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1.12 偏离</w:t>
      </w:r>
    </w:p>
    <w:p w14:paraId="700F2574">
      <w:pPr>
        <w:adjustRightInd w:val="0"/>
        <w:snapToGrid w:val="0"/>
        <w:spacing w:line="440" w:lineRule="exact"/>
        <w:ind w:firstLine="420" w:firstLineChars="200"/>
        <w:rPr>
          <w:rFonts w:hint="eastAsia" w:ascii="宋体" w:hAnsi="宋体"/>
          <w:color w:val="auto"/>
          <w:highlight w:val="none"/>
        </w:rPr>
      </w:pPr>
      <w:r>
        <w:rPr>
          <w:rFonts w:ascii="宋体" w:hAnsi="宋体"/>
          <w:color w:val="auto"/>
          <w:highlight w:val="none"/>
        </w:rPr>
        <w:t>本项目商务条款</w:t>
      </w:r>
      <w:r>
        <w:rPr>
          <w:rFonts w:hint="eastAsia" w:ascii="宋体" w:hAnsi="宋体"/>
          <w:color w:val="auto"/>
          <w:highlight w:val="none"/>
        </w:rPr>
        <w:t>和实质性要求</w:t>
      </w:r>
      <w:r>
        <w:rPr>
          <w:rFonts w:ascii="宋体" w:hAnsi="宋体"/>
          <w:color w:val="auto"/>
          <w:highlight w:val="none"/>
        </w:rPr>
        <w:t>不允许负偏离，技术条款依照第三章评</w:t>
      </w:r>
      <w:r>
        <w:rPr>
          <w:rFonts w:hint="eastAsia" w:ascii="宋体" w:hAnsi="宋体"/>
          <w:color w:val="auto"/>
          <w:highlight w:val="none"/>
        </w:rPr>
        <w:t>标</w:t>
      </w:r>
      <w:r>
        <w:rPr>
          <w:rFonts w:ascii="宋体" w:hAnsi="宋体"/>
          <w:color w:val="auto"/>
          <w:highlight w:val="none"/>
        </w:rPr>
        <w:t>办法</w:t>
      </w:r>
      <w:r>
        <w:rPr>
          <w:rFonts w:hint="eastAsia" w:ascii="宋体" w:hAnsi="宋体"/>
          <w:color w:val="auto"/>
          <w:highlight w:val="none"/>
        </w:rPr>
        <w:t>相应标准</w:t>
      </w:r>
      <w:r>
        <w:rPr>
          <w:rFonts w:ascii="宋体" w:hAnsi="宋体"/>
          <w:color w:val="auto"/>
          <w:highlight w:val="none"/>
        </w:rPr>
        <w:t>执行。</w:t>
      </w:r>
    </w:p>
    <w:p w14:paraId="07C2E280">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239" w:name="_Toc152045542"/>
      <w:bookmarkEnd w:id="239"/>
      <w:bookmarkStart w:id="240" w:name="_Toc21248"/>
      <w:bookmarkEnd w:id="240"/>
      <w:bookmarkStart w:id="241" w:name="_Toc509667272"/>
      <w:bookmarkEnd w:id="241"/>
      <w:bookmarkStart w:id="242" w:name="_Toc144974510"/>
      <w:bookmarkEnd w:id="242"/>
      <w:bookmarkStart w:id="243" w:name="_Toc152042318"/>
      <w:bookmarkEnd w:id="243"/>
      <w:bookmarkStart w:id="244" w:name="_Toc455080120"/>
      <w:bookmarkStart w:id="245" w:name="_Toc5748"/>
      <w:bookmarkStart w:id="246" w:name="_Toc32001"/>
      <w:bookmarkStart w:id="247" w:name="_Toc25216"/>
      <w:bookmarkStart w:id="248" w:name="_Toc32666"/>
      <w:r>
        <w:rPr>
          <w:rFonts w:hint="eastAsia" w:ascii="宋体" w:hAnsi="宋体" w:eastAsia="宋体"/>
          <w:b/>
          <w:bCs w:val="0"/>
          <w:color w:val="auto"/>
          <w:sz w:val="21"/>
          <w:szCs w:val="21"/>
          <w:highlight w:val="none"/>
        </w:rPr>
        <w:t xml:space="preserve">2. </w:t>
      </w:r>
      <w:bookmarkEnd w:id="244"/>
      <w:r>
        <w:rPr>
          <w:rFonts w:hint="eastAsia" w:ascii="宋体" w:hAnsi="宋体" w:eastAsia="宋体"/>
          <w:b/>
          <w:bCs w:val="0"/>
          <w:color w:val="auto"/>
          <w:sz w:val="21"/>
          <w:szCs w:val="21"/>
          <w:highlight w:val="none"/>
        </w:rPr>
        <w:t>磋商文件</w:t>
      </w:r>
      <w:bookmarkEnd w:id="245"/>
      <w:bookmarkEnd w:id="246"/>
      <w:bookmarkEnd w:id="247"/>
      <w:bookmarkEnd w:id="248"/>
    </w:p>
    <w:p w14:paraId="4A01162B">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249" w:name="_Toc455867781"/>
      <w:bookmarkEnd w:id="249"/>
      <w:bookmarkStart w:id="250" w:name="_Toc152042319"/>
      <w:bookmarkEnd w:id="250"/>
      <w:bookmarkStart w:id="251" w:name="_Toc490667840"/>
      <w:bookmarkEnd w:id="251"/>
      <w:bookmarkStart w:id="252" w:name="_Toc11567"/>
      <w:bookmarkEnd w:id="252"/>
      <w:bookmarkStart w:id="253" w:name="_Toc509667273"/>
      <w:bookmarkEnd w:id="253"/>
      <w:bookmarkStart w:id="254" w:name="_Toc1008"/>
      <w:bookmarkEnd w:id="254"/>
      <w:bookmarkStart w:id="255" w:name="_Toc9780"/>
      <w:bookmarkEnd w:id="255"/>
      <w:bookmarkStart w:id="256" w:name="_Toc144974511"/>
      <w:bookmarkEnd w:id="256"/>
      <w:bookmarkStart w:id="257" w:name="_Toc32711"/>
      <w:bookmarkEnd w:id="257"/>
      <w:bookmarkStart w:id="258" w:name="_Toc466298104"/>
      <w:bookmarkEnd w:id="258"/>
      <w:bookmarkStart w:id="259" w:name="_Toc455080121"/>
      <w:bookmarkEnd w:id="259"/>
      <w:bookmarkStart w:id="260" w:name="_Toc11599"/>
      <w:bookmarkEnd w:id="260"/>
      <w:bookmarkStart w:id="261" w:name="_Toc152045543"/>
      <w:bookmarkEnd w:id="261"/>
      <w:bookmarkStart w:id="262" w:name="_Toc12640"/>
      <w:bookmarkEnd w:id="262"/>
      <w:bookmarkStart w:id="263" w:name="_Toc318450687"/>
      <w:bookmarkStart w:id="264" w:name="_Toc129073470"/>
      <w:bookmarkStart w:id="265" w:name="_Toc11999"/>
      <w:r>
        <w:rPr>
          <w:rFonts w:hint="eastAsia" w:ascii="宋体" w:hAnsi="宋体" w:eastAsia="宋体"/>
          <w:b/>
          <w:bCs/>
          <w:color w:val="auto"/>
          <w:sz w:val="21"/>
          <w:szCs w:val="21"/>
          <w:highlight w:val="none"/>
        </w:rPr>
        <w:t>2.1 磋商文件的组成</w:t>
      </w:r>
      <w:bookmarkEnd w:id="263"/>
      <w:bookmarkEnd w:id="264"/>
      <w:bookmarkEnd w:id="265"/>
    </w:p>
    <w:p w14:paraId="381200A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本磋商文件包括：</w:t>
      </w:r>
    </w:p>
    <w:p w14:paraId="2F96535E">
      <w:pPr>
        <w:adjustRightInd w:val="0"/>
        <w:snapToGrid w:val="0"/>
        <w:spacing w:line="440" w:lineRule="exact"/>
        <w:ind w:firstLine="567" w:firstLineChars="270"/>
        <w:rPr>
          <w:rFonts w:hint="eastAsia" w:ascii="宋体" w:hAnsi="宋体"/>
          <w:color w:val="auto"/>
          <w:highlight w:val="none"/>
        </w:rPr>
      </w:pPr>
      <w:r>
        <w:rPr>
          <w:rFonts w:hint="eastAsia" w:ascii="宋体" w:hAnsi="宋体"/>
          <w:color w:val="auto"/>
          <w:highlight w:val="none"/>
        </w:rPr>
        <w:t>第一章  竞争性磋商公告</w:t>
      </w:r>
    </w:p>
    <w:p w14:paraId="6F6518DA">
      <w:pPr>
        <w:adjustRightInd w:val="0"/>
        <w:snapToGrid w:val="0"/>
        <w:spacing w:line="440" w:lineRule="exact"/>
        <w:ind w:firstLine="567" w:firstLineChars="270"/>
        <w:rPr>
          <w:rFonts w:hint="eastAsia" w:ascii="宋体" w:hAnsi="宋体"/>
          <w:color w:val="auto"/>
          <w:highlight w:val="none"/>
        </w:rPr>
      </w:pPr>
      <w:r>
        <w:rPr>
          <w:rFonts w:hint="eastAsia" w:ascii="宋体" w:hAnsi="宋体"/>
          <w:color w:val="auto"/>
          <w:highlight w:val="none"/>
        </w:rPr>
        <w:t>第二章  供应商须知</w:t>
      </w:r>
    </w:p>
    <w:p w14:paraId="7521E228">
      <w:pPr>
        <w:adjustRightInd w:val="0"/>
        <w:snapToGrid w:val="0"/>
        <w:spacing w:line="440" w:lineRule="exact"/>
        <w:ind w:firstLine="567" w:firstLineChars="270"/>
        <w:rPr>
          <w:rFonts w:hint="eastAsia" w:ascii="宋体" w:hAnsi="宋体"/>
          <w:color w:val="auto"/>
          <w:highlight w:val="none"/>
        </w:rPr>
      </w:pPr>
      <w:r>
        <w:rPr>
          <w:rFonts w:hint="eastAsia" w:ascii="宋体" w:hAnsi="宋体"/>
          <w:color w:val="auto"/>
          <w:highlight w:val="none"/>
        </w:rPr>
        <w:t>第三章  评标办法（综合评分法）</w:t>
      </w:r>
    </w:p>
    <w:p w14:paraId="3A0675B3">
      <w:pPr>
        <w:adjustRightInd w:val="0"/>
        <w:snapToGrid w:val="0"/>
        <w:spacing w:line="440" w:lineRule="exact"/>
        <w:ind w:firstLine="567" w:firstLineChars="270"/>
        <w:rPr>
          <w:rFonts w:hint="eastAsia" w:ascii="宋体" w:hAnsi="宋体"/>
          <w:color w:val="auto"/>
          <w:highlight w:val="none"/>
        </w:rPr>
      </w:pPr>
      <w:r>
        <w:rPr>
          <w:rFonts w:hint="eastAsia" w:ascii="宋体" w:hAnsi="宋体"/>
          <w:color w:val="auto"/>
          <w:highlight w:val="none"/>
        </w:rPr>
        <w:t>第四章  合同格式及条款</w:t>
      </w:r>
    </w:p>
    <w:p w14:paraId="1531EE53">
      <w:pPr>
        <w:adjustRightInd w:val="0"/>
        <w:snapToGrid w:val="0"/>
        <w:spacing w:line="440" w:lineRule="exact"/>
        <w:ind w:firstLine="567" w:firstLineChars="270"/>
        <w:rPr>
          <w:rFonts w:hint="eastAsia" w:ascii="宋体" w:hAnsi="宋体"/>
          <w:color w:val="auto"/>
          <w:highlight w:val="none"/>
        </w:rPr>
      </w:pPr>
      <w:r>
        <w:rPr>
          <w:rFonts w:hint="eastAsia" w:ascii="宋体" w:hAnsi="宋体"/>
          <w:color w:val="auto"/>
          <w:highlight w:val="none"/>
        </w:rPr>
        <w:t>第五章  采购需求</w:t>
      </w:r>
    </w:p>
    <w:p w14:paraId="20B5FA14">
      <w:pPr>
        <w:adjustRightInd w:val="0"/>
        <w:snapToGrid w:val="0"/>
        <w:spacing w:line="440" w:lineRule="exact"/>
        <w:ind w:firstLine="567" w:firstLineChars="270"/>
        <w:rPr>
          <w:rFonts w:hint="eastAsia" w:ascii="宋体" w:hAnsi="宋体"/>
          <w:color w:val="auto"/>
          <w:highlight w:val="none"/>
        </w:rPr>
      </w:pPr>
      <w:r>
        <w:rPr>
          <w:rFonts w:hint="eastAsia" w:ascii="宋体" w:hAnsi="宋体"/>
          <w:color w:val="auto"/>
          <w:highlight w:val="none"/>
        </w:rPr>
        <w:t>第六章  响应文件格式</w:t>
      </w:r>
    </w:p>
    <w:p w14:paraId="289DAA5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根据本章第2.2款和第2.3款对磋商文件所作的澄清、修改，构成磋商文件的组成部分。</w:t>
      </w:r>
    </w:p>
    <w:p w14:paraId="380D4D95">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266" w:name="_Toc18661"/>
      <w:bookmarkEnd w:id="266"/>
      <w:bookmarkStart w:id="267" w:name="_Toc509667274"/>
      <w:bookmarkEnd w:id="267"/>
      <w:bookmarkStart w:id="268" w:name="_Toc152045544"/>
      <w:bookmarkEnd w:id="268"/>
      <w:bookmarkStart w:id="269" w:name="_Toc455867782"/>
      <w:bookmarkEnd w:id="269"/>
      <w:bookmarkStart w:id="270" w:name="_Toc152042320"/>
      <w:bookmarkEnd w:id="270"/>
      <w:bookmarkStart w:id="271" w:name="_Toc7939"/>
      <w:bookmarkEnd w:id="271"/>
      <w:bookmarkStart w:id="272" w:name="_Toc318450688"/>
      <w:bookmarkEnd w:id="272"/>
      <w:bookmarkStart w:id="273" w:name="_Toc17296"/>
      <w:bookmarkEnd w:id="273"/>
      <w:bookmarkStart w:id="274" w:name="_Toc490667841"/>
      <w:bookmarkEnd w:id="274"/>
      <w:bookmarkStart w:id="275" w:name="_Toc466298105"/>
      <w:bookmarkEnd w:id="275"/>
      <w:bookmarkStart w:id="276" w:name="_Toc8875"/>
      <w:bookmarkEnd w:id="276"/>
      <w:bookmarkStart w:id="277" w:name="_Toc144974512"/>
      <w:bookmarkEnd w:id="277"/>
      <w:bookmarkStart w:id="278" w:name="_Toc8943"/>
      <w:bookmarkEnd w:id="278"/>
      <w:bookmarkStart w:id="279" w:name="_Toc455080122"/>
      <w:bookmarkEnd w:id="279"/>
      <w:bookmarkStart w:id="280" w:name="_Toc29343"/>
      <w:bookmarkStart w:id="281" w:name="_Toc129073471"/>
      <w:bookmarkStart w:id="282" w:name="_Toc13700"/>
      <w:r>
        <w:rPr>
          <w:rFonts w:hint="eastAsia" w:ascii="宋体" w:hAnsi="宋体" w:eastAsia="宋体"/>
          <w:b/>
          <w:bCs/>
          <w:color w:val="auto"/>
          <w:sz w:val="21"/>
          <w:szCs w:val="21"/>
          <w:highlight w:val="none"/>
        </w:rPr>
        <w:t>2.2 磋商文件的澄清</w:t>
      </w:r>
      <w:bookmarkEnd w:id="280"/>
      <w:bookmarkEnd w:id="281"/>
      <w:bookmarkEnd w:id="282"/>
    </w:p>
    <w:p w14:paraId="7124BCEA">
      <w:pPr>
        <w:adjustRightInd w:val="0"/>
        <w:snapToGrid w:val="0"/>
        <w:spacing w:line="440" w:lineRule="exact"/>
        <w:ind w:firstLine="420" w:firstLineChars="200"/>
        <w:rPr>
          <w:rFonts w:hint="eastAsia" w:ascii="宋体" w:hAnsi="宋体"/>
          <w:color w:val="auto"/>
          <w:highlight w:val="none"/>
        </w:rPr>
      </w:pPr>
      <w:bookmarkStart w:id="283" w:name="_Toc5907"/>
      <w:bookmarkEnd w:id="283"/>
      <w:bookmarkStart w:id="284" w:name="_Toc490667842"/>
      <w:bookmarkEnd w:id="284"/>
      <w:bookmarkStart w:id="285" w:name="_Toc509667275"/>
      <w:bookmarkEnd w:id="285"/>
      <w:bookmarkStart w:id="286" w:name="_Toc466298106"/>
      <w:bookmarkEnd w:id="286"/>
      <w:bookmarkStart w:id="287" w:name="_Toc318450689"/>
      <w:bookmarkEnd w:id="287"/>
      <w:bookmarkStart w:id="288" w:name="_Toc152045545"/>
      <w:bookmarkEnd w:id="288"/>
      <w:bookmarkStart w:id="289" w:name="_Toc13617"/>
      <w:bookmarkEnd w:id="289"/>
      <w:bookmarkStart w:id="290" w:name="_Toc2131"/>
      <w:bookmarkEnd w:id="290"/>
      <w:bookmarkStart w:id="291" w:name="_Toc17619"/>
      <w:bookmarkEnd w:id="291"/>
      <w:bookmarkStart w:id="292" w:name="_Toc11948"/>
      <w:bookmarkEnd w:id="292"/>
      <w:bookmarkStart w:id="293" w:name="_Toc455080123"/>
      <w:bookmarkEnd w:id="293"/>
      <w:bookmarkStart w:id="294" w:name="_Toc14966"/>
      <w:bookmarkEnd w:id="294"/>
      <w:bookmarkStart w:id="295" w:name="_Toc152042321"/>
      <w:bookmarkEnd w:id="295"/>
      <w:bookmarkStart w:id="296" w:name="_Toc455867783"/>
      <w:bookmarkEnd w:id="296"/>
      <w:bookmarkStart w:id="297" w:name="_Toc129073472"/>
      <w:bookmarkStart w:id="298" w:name="_Toc144974513"/>
      <w:r>
        <w:rPr>
          <w:rFonts w:ascii="宋体" w:hAnsi="宋体"/>
          <w:color w:val="auto"/>
          <w:highlight w:val="none"/>
        </w:rPr>
        <w:t>2.2.1 供应商应仔细阅读和检查磋商文件的全部内容。如有疑问，应在供应商须知前附表规定的时间前在河南省公共资源交易中心交易平台上进行提问，要求采购人对磋商文件予以澄清，并及时电话告知采购人和采购代理机构。供应商在规定的时间内未按要求对磋商文件提出疑问的，采购人和采购代理机构将视其为无异议，开标后，采购人和采购代理机构可以不接受其对磋商文件内容的质疑。</w:t>
      </w:r>
    </w:p>
    <w:p w14:paraId="401835E3">
      <w:pPr>
        <w:adjustRightInd w:val="0"/>
        <w:snapToGrid w:val="0"/>
        <w:spacing w:line="440" w:lineRule="exact"/>
        <w:ind w:firstLine="420" w:firstLineChars="200"/>
        <w:rPr>
          <w:rFonts w:hint="eastAsia" w:ascii="宋体" w:hAnsi="宋体"/>
          <w:color w:val="auto"/>
          <w:highlight w:val="none"/>
        </w:rPr>
      </w:pPr>
      <w:r>
        <w:rPr>
          <w:rFonts w:ascii="宋体" w:hAnsi="宋体"/>
          <w:color w:val="auto"/>
          <w:highlight w:val="none"/>
        </w:rPr>
        <w:t>2.2.2 磋商文件的澄清或答疑将在供应商须知前附表规定的时间前发给领取磋商文件的供应商，但不指明澄清或答疑问题的来源。如果澄清发出的时间距提交响应文件截止时间不足5天，并且澄清内容影响磋商响应文件编制的，将相应延长响应文件递交截止时间。</w:t>
      </w:r>
    </w:p>
    <w:p w14:paraId="15D8389C">
      <w:pPr>
        <w:adjustRightInd w:val="0"/>
        <w:snapToGrid w:val="0"/>
        <w:spacing w:line="440" w:lineRule="exact"/>
        <w:ind w:firstLine="420" w:firstLineChars="200"/>
        <w:rPr>
          <w:rFonts w:hint="eastAsia" w:ascii="宋体" w:hAnsi="宋体"/>
          <w:color w:val="auto"/>
          <w:highlight w:val="none"/>
        </w:rPr>
      </w:pPr>
      <w:r>
        <w:rPr>
          <w:rFonts w:ascii="宋体" w:hAnsi="宋体"/>
          <w:color w:val="auto"/>
          <w:highlight w:val="none"/>
        </w:rPr>
        <w:t>2.2.3</w:t>
      </w:r>
      <w:r>
        <w:rPr>
          <w:rFonts w:hint="eastAsia" w:ascii="宋体" w:hAnsi="宋体"/>
          <w:color w:val="auto"/>
          <w:highlight w:val="none"/>
        </w:rPr>
        <w:t xml:space="preserve"> </w:t>
      </w:r>
      <w:r>
        <w:rPr>
          <w:rFonts w:ascii="宋体" w:hAnsi="宋体"/>
          <w:color w:val="auto"/>
          <w:highlight w:val="none"/>
        </w:rPr>
        <w:t>澄清内容是磋商文件的组成部分，澄清内容一经在项目公告网站和电子交易平台发布，视作已送达所有供应商，并对供应商具有约束力。</w:t>
      </w:r>
    </w:p>
    <w:p w14:paraId="18CBAE79">
      <w:pPr>
        <w:adjustRightInd w:val="0"/>
        <w:snapToGrid w:val="0"/>
        <w:spacing w:line="440" w:lineRule="exact"/>
        <w:ind w:firstLine="420" w:firstLineChars="200"/>
        <w:rPr>
          <w:rFonts w:hint="eastAsia" w:ascii="宋体" w:hAnsi="宋体"/>
          <w:color w:val="auto"/>
          <w:highlight w:val="none"/>
        </w:rPr>
      </w:pPr>
      <w:bookmarkStart w:id="299" w:name="_Toc30689"/>
      <w:r>
        <w:rPr>
          <w:rFonts w:hint="eastAsia" w:ascii="宋体" w:hAnsi="宋体"/>
          <w:color w:val="auto"/>
          <w:highlight w:val="none"/>
        </w:rPr>
        <w:t>2.2.4 供应商在投标截止时间前须自行查看项目进展、下载磋商文件的澄清等，因供应商未及时查看和下载而造成的后果自负。</w:t>
      </w:r>
      <w:bookmarkEnd w:id="299"/>
    </w:p>
    <w:p w14:paraId="3CDB5E1D">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300" w:name="_Toc26377"/>
      <w:r>
        <w:rPr>
          <w:rFonts w:hint="eastAsia" w:ascii="宋体" w:hAnsi="宋体" w:eastAsia="宋体"/>
          <w:b/>
          <w:bCs/>
          <w:color w:val="auto"/>
          <w:sz w:val="21"/>
          <w:szCs w:val="21"/>
          <w:highlight w:val="none"/>
        </w:rPr>
        <w:t>2.3 磋商文件的修改</w:t>
      </w:r>
      <w:bookmarkEnd w:id="297"/>
      <w:bookmarkEnd w:id="298"/>
      <w:bookmarkEnd w:id="300"/>
    </w:p>
    <w:p w14:paraId="2BA2DB9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2.3.1采购人或者采购代理机构可以对已发出的竞争性磋商文件进行必要的修改，但不得改变采购标的和资格条件，修改的内容为竞争性磋商文件的组成部分。</w:t>
      </w:r>
    </w:p>
    <w:p w14:paraId="15398ED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2.3.2采购人或采购代理机构以供应商须知前附表规定的形式修改竞争性磋商文件，并通知所有已获取竞争性磋商文件的供应商，同时在原公告媒体发布变更公告。修改竞争性磋商文件的时间距提交首次响应文件截止时间不足5日的，并且修改内容可能影响响应文件编制的，将相应延长提交首次响应文件截止时间。</w:t>
      </w:r>
    </w:p>
    <w:p w14:paraId="15364F21">
      <w:pPr>
        <w:adjustRightInd w:val="0"/>
        <w:snapToGrid w:val="0"/>
        <w:spacing w:line="440" w:lineRule="exact"/>
        <w:ind w:firstLine="420" w:firstLineChars="200"/>
        <w:jc w:val="left"/>
        <w:rPr>
          <w:rFonts w:hint="eastAsia" w:ascii="宋体" w:hAnsi="宋体"/>
          <w:color w:val="auto"/>
          <w:highlight w:val="none"/>
        </w:rPr>
      </w:pPr>
      <w:r>
        <w:rPr>
          <w:rFonts w:hint="eastAsia" w:ascii="宋体" w:hAnsi="宋体"/>
          <w:color w:val="auto"/>
          <w:highlight w:val="none"/>
        </w:rPr>
        <w:t>2.3.3修改内容是竞争性磋商文件的组成部分，修改内容一经在项目公告网站和电子交易平台发布，视作已送达所有供应商，并对供应商具有约束力。若供应商对修改内容仍有疑问，应在修改内容发出后24小时内在电子交易平台进行提问，否则视为已接收，并同意修改或澄清内容。开标后，采购人和采购代理机构不接受其对竞争性磋商文件内容的质疑。</w:t>
      </w:r>
    </w:p>
    <w:p w14:paraId="1C056BFF">
      <w:pPr>
        <w:adjustRightInd w:val="0"/>
        <w:snapToGrid w:val="0"/>
        <w:spacing w:line="440" w:lineRule="exact"/>
        <w:ind w:firstLine="420" w:firstLineChars="200"/>
        <w:jc w:val="left"/>
        <w:rPr>
          <w:rFonts w:hint="eastAsia" w:ascii="宋体" w:hAnsi="宋体"/>
          <w:color w:val="auto"/>
          <w:highlight w:val="none"/>
        </w:rPr>
      </w:pPr>
      <w:r>
        <w:rPr>
          <w:rFonts w:hint="eastAsia" w:ascii="宋体" w:hAnsi="宋体"/>
          <w:color w:val="auto"/>
          <w:highlight w:val="none"/>
        </w:rPr>
        <w:t>2.3.4供应商在投标截止时间前须自行查看项目进展、下载竞争性磋商文件的修改等，因供应商未及时查看和下载而造成的后果自负。</w:t>
      </w:r>
    </w:p>
    <w:p w14:paraId="10C7DAE9">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301" w:name="_Toc455080124"/>
      <w:bookmarkEnd w:id="301"/>
      <w:bookmarkStart w:id="302" w:name="_Toc144974514"/>
      <w:bookmarkEnd w:id="302"/>
      <w:bookmarkStart w:id="303" w:name="_Toc152045546"/>
      <w:bookmarkEnd w:id="303"/>
      <w:bookmarkStart w:id="304" w:name="_Toc509667276"/>
      <w:bookmarkEnd w:id="304"/>
      <w:bookmarkStart w:id="305" w:name="_Toc152042322"/>
      <w:bookmarkEnd w:id="305"/>
      <w:bookmarkStart w:id="306" w:name="_Toc7665"/>
      <w:bookmarkStart w:id="307" w:name="_Toc10391"/>
      <w:bookmarkStart w:id="308" w:name="_Toc2596"/>
      <w:bookmarkStart w:id="309" w:name="_Toc2939"/>
      <w:bookmarkStart w:id="310" w:name="_Toc7681"/>
      <w:r>
        <w:rPr>
          <w:rFonts w:hint="eastAsia" w:ascii="宋体" w:hAnsi="宋体" w:eastAsia="宋体"/>
          <w:b/>
          <w:bCs w:val="0"/>
          <w:color w:val="auto"/>
          <w:sz w:val="21"/>
          <w:szCs w:val="21"/>
          <w:highlight w:val="none"/>
        </w:rPr>
        <w:t xml:space="preserve">3. </w:t>
      </w:r>
      <w:bookmarkEnd w:id="306"/>
      <w:r>
        <w:rPr>
          <w:rFonts w:hint="eastAsia" w:ascii="宋体" w:hAnsi="宋体" w:eastAsia="宋体"/>
          <w:b/>
          <w:bCs w:val="0"/>
          <w:color w:val="auto"/>
          <w:sz w:val="21"/>
          <w:szCs w:val="21"/>
          <w:highlight w:val="none"/>
        </w:rPr>
        <w:t>响应文件</w:t>
      </w:r>
      <w:bookmarkEnd w:id="307"/>
      <w:bookmarkEnd w:id="308"/>
      <w:bookmarkEnd w:id="309"/>
      <w:bookmarkEnd w:id="310"/>
    </w:p>
    <w:p w14:paraId="29CF86E5">
      <w:pPr>
        <w:pStyle w:val="74"/>
        <w:keepNext w:val="0"/>
        <w:keepLines w:val="0"/>
        <w:adjustRightInd w:val="0"/>
        <w:snapToGrid w:val="0"/>
        <w:spacing w:line="440" w:lineRule="exact"/>
        <w:jc w:val="left"/>
        <w:rPr>
          <w:rFonts w:hint="eastAsia" w:ascii="宋体" w:hAnsi="宋体" w:eastAsia="宋体"/>
          <w:b/>
          <w:bCs/>
          <w:color w:val="auto"/>
          <w:sz w:val="21"/>
          <w:szCs w:val="21"/>
          <w:highlight w:val="none"/>
        </w:rPr>
      </w:pPr>
      <w:bookmarkStart w:id="311" w:name="_Toc15810"/>
      <w:bookmarkEnd w:id="311"/>
      <w:bookmarkStart w:id="312" w:name="_Toc144974515"/>
      <w:bookmarkEnd w:id="312"/>
      <w:bookmarkStart w:id="313" w:name="_Toc24440"/>
      <w:bookmarkEnd w:id="313"/>
      <w:bookmarkStart w:id="314" w:name="_Toc152045547"/>
      <w:bookmarkEnd w:id="314"/>
      <w:bookmarkStart w:id="315" w:name="_Toc152042323"/>
      <w:bookmarkEnd w:id="315"/>
      <w:bookmarkStart w:id="316" w:name="_Toc490667844"/>
      <w:bookmarkEnd w:id="316"/>
      <w:bookmarkStart w:id="317" w:name="_Toc318450691"/>
      <w:bookmarkStart w:id="318" w:name="_Toc129073474"/>
      <w:bookmarkStart w:id="319" w:name="_Toc15440"/>
      <w:r>
        <w:rPr>
          <w:rFonts w:hint="eastAsia" w:ascii="宋体" w:hAnsi="宋体" w:eastAsia="宋体"/>
          <w:b/>
          <w:bCs/>
          <w:color w:val="auto"/>
          <w:sz w:val="21"/>
          <w:szCs w:val="21"/>
          <w:highlight w:val="none"/>
        </w:rPr>
        <w:t>3.1 响应文件的组成</w:t>
      </w:r>
      <w:bookmarkEnd w:id="317"/>
      <w:bookmarkEnd w:id="318"/>
      <w:bookmarkEnd w:id="319"/>
    </w:p>
    <w:p w14:paraId="0F3087BB">
      <w:pPr>
        <w:adjustRightInd w:val="0"/>
        <w:snapToGrid w:val="0"/>
        <w:spacing w:line="440" w:lineRule="exact"/>
        <w:ind w:firstLine="365" w:firstLineChars="174"/>
        <w:jc w:val="left"/>
        <w:rPr>
          <w:rFonts w:hint="eastAsia" w:ascii="宋体" w:hAnsi="宋体"/>
          <w:color w:val="auto"/>
          <w:highlight w:val="none"/>
        </w:rPr>
      </w:pPr>
      <w:bookmarkStart w:id="320" w:name="_Toc30182"/>
      <w:bookmarkEnd w:id="320"/>
      <w:bookmarkStart w:id="321" w:name="_Toc779"/>
      <w:bookmarkEnd w:id="321"/>
      <w:bookmarkStart w:id="322" w:name="_Toc13280"/>
      <w:bookmarkEnd w:id="322"/>
      <w:bookmarkStart w:id="323" w:name="_Toc152042324"/>
      <w:bookmarkEnd w:id="323"/>
      <w:bookmarkStart w:id="324" w:name="_Toc455867785"/>
      <w:bookmarkEnd w:id="324"/>
      <w:bookmarkStart w:id="325" w:name="_Toc22864"/>
      <w:bookmarkEnd w:id="325"/>
      <w:bookmarkStart w:id="326" w:name="_Toc152045548"/>
      <w:bookmarkEnd w:id="326"/>
      <w:bookmarkStart w:id="327" w:name="_Toc466298108"/>
      <w:bookmarkEnd w:id="327"/>
      <w:bookmarkStart w:id="328" w:name="_Toc26291"/>
      <w:bookmarkEnd w:id="328"/>
      <w:bookmarkStart w:id="329" w:name="_Toc18750"/>
      <w:bookmarkEnd w:id="329"/>
      <w:bookmarkStart w:id="330" w:name="_Toc279156232"/>
      <w:bookmarkEnd w:id="330"/>
      <w:bookmarkStart w:id="331" w:name="_Toc455080125"/>
      <w:bookmarkEnd w:id="331"/>
      <w:bookmarkStart w:id="332" w:name="_Toc144974516"/>
      <w:bookmarkEnd w:id="332"/>
      <w:bookmarkStart w:id="333" w:name="_Toc318450692"/>
      <w:bookmarkEnd w:id="333"/>
      <w:bookmarkStart w:id="334" w:name="_Toc899"/>
      <w:r>
        <w:rPr>
          <w:rFonts w:hint="eastAsia" w:ascii="宋体" w:hAnsi="宋体"/>
          <w:color w:val="auto"/>
          <w:highlight w:val="none"/>
        </w:rPr>
        <w:t>详见第六章“响应文件格式”</w:t>
      </w:r>
      <w:bookmarkEnd w:id="334"/>
    </w:p>
    <w:p w14:paraId="4D92443C">
      <w:pPr>
        <w:pStyle w:val="74"/>
        <w:keepNext w:val="0"/>
        <w:keepLines w:val="0"/>
        <w:adjustRightInd w:val="0"/>
        <w:snapToGrid w:val="0"/>
        <w:spacing w:line="440" w:lineRule="exact"/>
        <w:jc w:val="left"/>
        <w:rPr>
          <w:rFonts w:hint="eastAsia" w:ascii="宋体" w:hAnsi="宋体" w:eastAsia="宋体"/>
          <w:b/>
          <w:bCs/>
          <w:color w:val="auto"/>
          <w:sz w:val="21"/>
          <w:szCs w:val="21"/>
          <w:highlight w:val="none"/>
        </w:rPr>
      </w:pPr>
      <w:bookmarkStart w:id="335" w:name="_Toc129073475"/>
      <w:bookmarkStart w:id="336" w:name="_Toc13183"/>
      <w:r>
        <w:rPr>
          <w:rFonts w:hint="eastAsia" w:ascii="宋体" w:hAnsi="宋体" w:eastAsia="宋体"/>
          <w:b/>
          <w:bCs/>
          <w:color w:val="auto"/>
          <w:sz w:val="21"/>
          <w:szCs w:val="21"/>
          <w:highlight w:val="none"/>
        </w:rPr>
        <w:t>3.2 磋商报价</w:t>
      </w:r>
      <w:bookmarkEnd w:id="335"/>
      <w:bookmarkEnd w:id="336"/>
    </w:p>
    <w:p w14:paraId="70D07056">
      <w:pPr>
        <w:adjustRightInd w:val="0"/>
        <w:snapToGrid w:val="0"/>
        <w:spacing w:line="440" w:lineRule="exact"/>
        <w:ind w:firstLine="365" w:firstLineChars="174"/>
        <w:rPr>
          <w:rFonts w:hint="eastAsia" w:ascii="宋体" w:hAnsi="宋体"/>
          <w:color w:val="auto"/>
          <w:highlight w:val="none"/>
        </w:rPr>
      </w:pPr>
      <w:r>
        <w:rPr>
          <w:rFonts w:hint="eastAsia" w:ascii="宋体" w:hAnsi="宋体"/>
          <w:color w:val="auto"/>
          <w:highlight w:val="none"/>
        </w:rPr>
        <w:t>3.2.1供应商应</w:t>
      </w:r>
      <w:r>
        <w:rPr>
          <w:rFonts w:hint="eastAsia" w:ascii="宋体" w:hAnsi="宋体"/>
          <w:color w:val="auto"/>
          <w:highlight w:val="none"/>
          <w:lang w:val="en-US" w:eastAsia="zh-CN"/>
        </w:rPr>
        <w:t>根据</w:t>
      </w:r>
      <w:r>
        <w:rPr>
          <w:rFonts w:hint="eastAsia" w:ascii="宋体" w:hAnsi="宋体"/>
          <w:color w:val="auto"/>
          <w:highlight w:val="none"/>
        </w:rPr>
        <w:t>第五章“采购需求”的要求</w:t>
      </w:r>
      <w:r>
        <w:rPr>
          <w:rFonts w:hint="eastAsia" w:ascii="宋体" w:hAnsi="宋体"/>
          <w:color w:val="auto"/>
          <w:highlight w:val="none"/>
          <w:lang w:eastAsia="zh-CN"/>
        </w:rPr>
        <w:t>，</w:t>
      </w:r>
      <w:r>
        <w:rPr>
          <w:rFonts w:hint="eastAsia" w:ascii="宋体" w:hAnsi="宋体"/>
          <w:color w:val="auto"/>
          <w:highlight w:val="none"/>
          <w:lang w:val="en-US" w:eastAsia="zh-CN"/>
        </w:rPr>
        <w:t>综合考虑并</w:t>
      </w:r>
      <w:r>
        <w:rPr>
          <w:rFonts w:hint="eastAsia" w:ascii="宋体" w:hAnsi="宋体"/>
          <w:color w:val="auto"/>
          <w:highlight w:val="none"/>
        </w:rPr>
        <w:t>填写</w:t>
      </w:r>
      <w:r>
        <w:rPr>
          <w:rFonts w:hint="eastAsia" w:ascii="宋体" w:hAnsi="宋体"/>
          <w:color w:val="auto"/>
          <w:highlight w:val="none"/>
          <w:lang w:val="en-US" w:eastAsia="zh-CN"/>
        </w:rPr>
        <w:t>报价</w:t>
      </w:r>
      <w:r>
        <w:rPr>
          <w:rFonts w:hint="eastAsia" w:ascii="宋体" w:hAnsi="宋体"/>
          <w:color w:val="auto"/>
          <w:highlight w:val="none"/>
        </w:rPr>
        <w:t>。</w:t>
      </w:r>
    </w:p>
    <w:p w14:paraId="4F2CE58F">
      <w:pPr>
        <w:adjustRightInd w:val="0"/>
        <w:snapToGrid w:val="0"/>
        <w:spacing w:line="440" w:lineRule="exact"/>
        <w:ind w:firstLine="365" w:firstLineChars="174"/>
        <w:rPr>
          <w:rFonts w:hint="eastAsia" w:ascii="宋体" w:hAnsi="宋体"/>
          <w:color w:val="auto"/>
          <w:highlight w:val="none"/>
        </w:rPr>
      </w:pPr>
      <w:r>
        <w:rPr>
          <w:rFonts w:hint="eastAsia" w:ascii="宋体" w:hAnsi="宋体"/>
          <w:color w:val="auto"/>
          <w:highlight w:val="none"/>
        </w:rPr>
        <w:t>3.2.2供应商在磋商截止时间前修改投标函中的磋商报价，应同时修改</w:t>
      </w:r>
      <w:r>
        <w:rPr>
          <w:rFonts w:hint="eastAsia" w:ascii="宋体" w:hAnsi="宋体"/>
          <w:color w:val="auto"/>
          <w:highlight w:val="none"/>
          <w:lang w:val="en-US" w:eastAsia="zh-CN"/>
        </w:rPr>
        <w:t>分项报价表中</w:t>
      </w:r>
      <w:r>
        <w:rPr>
          <w:rFonts w:hint="eastAsia" w:ascii="宋体" w:hAnsi="宋体"/>
          <w:color w:val="auto"/>
          <w:highlight w:val="none"/>
        </w:rPr>
        <w:t>相应报价。</w:t>
      </w:r>
    </w:p>
    <w:p w14:paraId="70851129">
      <w:pPr>
        <w:adjustRightInd w:val="0"/>
        <w:snapToGrid w:val="0"/>
        <w:spacing w:line="440" w:lineRule="exact"/>
        <w:ind w:firstLine="365" w:firstLineChars="174"/>
        <w:rPr>
          <w:rFonts w:hint="eastAsia" w:ascii="宋体" w:hAnsi="宋体"/>
          <w:color w:val="auto"/>
          <w:highlight w:val="none"/>
        </w:rPr>
      </w:pPr>
      <w:r>
        <w:rPr>
          <w:rFonts w:hint="eastAsia" w:ascii="宋体" w:hAnsi="宋体"/>
          <w:color w:val="auto"/>
          <w:highlight w:val="none"/>
        </w:rPr>
        <w:t>3.2.3磋商过程供应商需二轮报价（首轮报价、最终报价不能超出最高限价，否则视为无效标）。</w:t>
      </w:r>
    </w:p>
    <w:p w14:paraId="49A04C67">
      <w:pPr>
        <w:adjustRightInd w:val="0"/>
        <w:snapToGrid w:val="0"/>
        <w:spacing w:line="440" w:lineRule="exact"/>
        <w:ind w:firstLine="365" w:firstLineChars="174"/>
        <w:rPr>
          <w:rFonts w:hint="eastAsia" w:ascii="宋体" w:hAnsi="宋体"/>
          <w:b/>
          <w:color w:val="auto"/>
          <w:highlight w:val="none"/>
        </w:rPr>
      </w:pPr>
      <w:r>
        <w:rPr>
          <w:rFonts w:hint="eastAsia" w:ascii="宋体" w:hAnsi="宋体"/>
          <w:color w:val="auto"/>
          <w:highlight w:val="none"/>
        </w:rPr>
        <w:t>3.2.4成交人不得以任何理由在磋商截止后对磋商报价予以修改，报价在磋商有效期内是固定的，不因任何原因而改变。任何包含价格调整要求和条件的磋商，将被视为非实质性响应磋商而予与拒绝。</w:t>
      </w:r>
    </w:p>
    <w:p w14:paraId="05561072">
      <w:pPr>
        <w:pStyle w:val="74"/>
        <w:keepNext w:val="0"/>
        <w:keepLines w:val="0"/>
        <w:adjustRightInd w:val="0"/>
        <w:snapToGrid w:val="0"/>
        <w:spacing w:line="440" w:lineRule="exact"/>
        <w:jc w:val="left"/>
        <w:rPr>
          <w:rFonts w:hint="eastAsia" w:ascii="宋体" w:hAnsi="宋体" w:eastAsia="宋体"/>
          <w:b/>
          <w:bCs/>
          <w:color w:val="auto"/>
          <w:sz w:val="21"/>
          <w:szCs w:val="21"/>
          <w:highlight w:val="none"/>
        </w:rPr>
      </w:pPr>
      <w:bookmarkStart w:id="337" w:name="_Toc7910"/>
      <w:bookmarkEnd w:id="337"/>
      <w:bookmarkStart w:id="338" w:name="_Toc152042325"/>
      <w:bookmarkEnd w:id="338"/>
      <w:bookmarkStart w:id="339" w:name="_Toc2425"/>
      <w:bookmarkEnd w:id="339"/>
      <w:bookmarkStart w:id="340" w:name="_Toc21680"/>
      <w:bookmarkEnd w:id="340"/>
      <w:bookmarkStart w:id="341" w:name="_Toc21600"/>
      <w:bookmarkEnd w:id="341"/>
      <w:bookmarkStart w:id="342" w:name="_Toc152045549"/>
      <w:bookmarkEnd w:id="342"/>
      <w:bookmarkStart w:id="343" w:name="_Toc455080126"/>
      <w:bookmarkEnd w:id="343"/>
      <w:bookmarkStart w:id="344" w:name="_Toc455867786"/>
      <w:bookmarkEnd w:id="344"/>
      <w:bookmarkStart w:id="345" w:name="_Toc144974517"/>
      <w:bookmarkEnd w:id="345"/>
      <w:bookmarkStart w:id="346" w:name="_Toc3624"/>
      <w:bookmarkEnd w:id="346"/>
      <w:bookmarkStart w:id="347" w:name="_Toc490667846"/>
      <w:bookmarkEnd w:id="347"/>
      <w:bookmarkStart w:id="348" w:name="_Toc6105"/>
      <w:bookmarkEnd w:id="348"/>
      <w:bookmarkStart w:id="349" w:name="_Toc509667277"/>
      <w:bookmarkEnd w:id="349"/>
      <w:bookmarkStart w:id="350" w:name="_Toc318450693"/>
      <w:bookmarkEnd w:id="350"/>
      <w:bookmarkStart w:id="351" w:name="_Toc17496"/>
      <w:bookmarkStart w:id="352" w:name="_Toc466298109"/>
      <w:bookmarkStart w:id="353" w:name="_Toc129073476"/>
      <w:r>
        <w:rPr>
          <w:rFonts w:hint="eastAsia" w:ascii="宋体" w:hAnsi="宋体" w:eastAsia="宋体"/>
          <w:b/>
          <w:bCs/>
          <w:color w:val="auto"/>
          <w:sz w:val="21"/>
          <w:szCs w:val="21"/>
          <w:highlight w:val="none"/>
        </w:rPr>
        <w:t>3.3 磋商有效期</w:t>
      </w:r>
      <w:bookmarkEnd w:id="351"/>
      <w:bookmarkEnd w:id="352"/>
      <w:bookmarkEnd w:id="353"/>
    </w:p>
    <w:p w14:paraId="35218586">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3.3.1在供应商须知前附表规定的磋商有效期内，供应商不得要求撤销或修改其响应文件。</w:t>
      </w:r>
    </w:p>
    <w:p w14:paraId="4BEDA00B">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07AA2C86">
      <w:pPr>
        <w:pStyle w:val="74"/>
        <w:keepNext w:val="0"/>
        <w:keepLines w:val="0"/>
        <w:adjustRightInd w:val="0"/>
        <w:snapToGrid w:val="0"/>
        <w:spacing w:line="440" w:lineRule="exact"/>
        <w:jc w:val="left"/>
        <w:rPr>
          <w:rFonts w:hint="eastAsia" w:ascii="宋体" w:hAnsi="宋体" w:eastAsia="宋体"/>
          <w:b/>
          <w:bCs/>
          <w:color w:val="auto"/>
          <w:sz w:val="21"/>
          <w:szCs w:val="21"/>
          <w:highlight w:val="none"/>
        </w:rPr>
      </w:pPr>
      <w:bookmarkStart w:id="354" w:name="_Toc7973"/>
      <w:bookmarkEnd w:id="354"/>
      <w:bookmarkStart w:id="355" w:name="_Toc30697"/>
      <w:bookmarkEnd w:id="355"/>
      <w:bookmarkStart w:id="356" w:name="_Toc318450694"/>
      <w:bookmarkEnd w:id="356"/>
      <w:bookmarkStart w:id="357" w:name="_Toc455080127"/>
      <w:bookmarkEnd w:id="357"/>
      <w:bookmarkStart w:id="358" w:name="_Toc144974518"/>
      <w:bookmarkEnd w:id="358"/>
      <w:bookmarkStart w:id="359" w:name="_Toc2505"/>
      <w:bookmarkEnd w:id="359"/>
      <w:bookmarkStart w:id="360" w:name="_Toc490667847"/>
      <w:bookmarkEnd w:id="360"/>
      <w:bookmarkStart w:id="361" w:name="_Toc455867787"/>
      <w:bookmarkEnd w:id="361"/>
      <w:bookmarkStart w:id="362" w:name="_Toc152042326"/>
      <w:bookmarkEnd w:id="362"/>
      <w:bookmarkStart w:id="363" w:name="_Toc466298110"/>
      <w:bookmarkEnd w:id="363"/>
      <w:bookmarkStart w:id="364" w:name="_Toc509667278"/>
      <w:bookmarkEnd w:id="364"/>
      <w:bookmarkStart w:id="365" w:name="_Toc7057"/>
      <w:bookmarkEnd w:id="365"/>
      <w:bookmarkStart w:id="366" w:name="_Toc4165"/>
      <w:bookmarkEnd w:id="366"/>
      <w:bookmarkStart w:id="367" w:name="_Toc152045550"/>
      <w:bookmarkEnd w:id="367"/>
      <w:bookmarkStart w:id="368" w:name="_Toc13390"/>
      <w:bookmarkStart w:id="369" w:name="_Toc129073477"/>
      <w:bookmarkStart w:id="370" w:name="_Toc10370"/>
      <w:r>
        <w:rPr>
          <w:rFonts w:hint="eastAsia" w:ascii="宋体" w:hAnsi="宋体" w:eastAsia="宋体"/>
          <w:b/>
          <w:bCs/>
          <w:color w:val="auto"/>
          <w:sz w:val="21"/>
          <w:szCs w:val="21"/>
          <w:highlight w:val="none"/>
        </w:rPr>
        <w:t>3.4 磋商保证金</w:t>
      </w:r>
      <w:bookmarkEnd w:id="368"/>
    </w:p>
    <w:p w14:paraId="181FCB0C">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根据《关于优化政府采购营商环境有关问题的通知》(豫财购〔2019〕4号)的相关要求，本项目不再收取磋商保证金。</w:t>
      </w:r>
    </w:p>
    <w:bookmarkEnd w:id="369"/>
    <w:bookmarkEnd w:id="370"/>
    <w:p w14:paraId="394EDBA6">
      <w:pPr>
        <w:pStyle w:val="74"/>
        <w:keepNext w:val="0"/>
        <w:keepLines w:val="0"/>
        <w:adjustRightInd w:val="0"/>
        <w:snapToGrid w:val="0"/>
        <w:spacing w:line="440" w:lineRule="exact"/>
        <w:jc w:val="left"/>
        <w:rPr>
          <w:rFonts w:hint="eastAsia" w:ascii="宋体" w:hAnsi="宋体" w:eastAsia="宋体"/>
          <w:b/>
          <w:bCs/>
          <w:color w:val="auto"/>
          <w:sz w:val="21"/>
          <w:szCs w:val="21"/>
          <w:highlight w:val="none"/>
        </w:rPr>
      </w:pPr>
      <w:bookmarkStart w:id="371" w:name="_Toc152042328"/>
      <w:bookmarkEnd w:id="371"/>
      <w:bookmarkStart w:id="372" w:name="_Toc144974520"/>
      <w:bookmarkEnd w:id="372"/>
      <w:bookmarkStart w:id="373" w:name="_Toc152045552"/>
      <w:bookmarkEnd w:id="373"/>
      <w:bookmarkStart w:id="374" w:name="_Toc17153"/>
      <w:bookmarkEnd w:id="374"/>
      <w:bookmarkStart w:id="375" w:name="_Toc455867788"/>
      <w:bookmarkEnd w:id="375"/>
      <w:bookmarkStart w:id="376" w:name="_Toc22527"/>
      <w:bookmarkEnd w:id="376"/>
      <w:bookmarkStart w:id="377" w:name="_Toc27579"/>
      <w:bookmarkEnd w:id="377"/>
      <w:bookmarkStart w:id="378" w:name="_Toc455080128"/>
      <w:bookmarkEnd w:id="378"/>
      <w:bookmarkStart w:id="379" w:name="_Toc509667279"/>
      <w:bookmarkEnd w:id="379"/>
      <w:bookmarkStart w:id="380" w:name="_Toc466298111"/>
      <w:bookmarkEnd w:id="380"/>
      <w:bookmarkStart w:id="381" w:name="_Toc318450695"/>
      <w:bookmarkEnd w:id="381"/>
      <w:bookmarkStart w:id="382" w:name="_Toc490667848"/>
      <w:bookmarkEnd w:id="382"/>
      <w:bookmarkStart w:id="383" w:name="_Toc16747"/>
      <w:bookmarkEnd w:id="383"/>
      <w:bookmarkStart w:id="384" w:name="_Toc22384"/>
      <w:bookmarkEnd w:id="384"/>
      <w:bookmarkStart w:id="385" w:name="_Toc8708"/>
      <w:bookmarkStart w:id="386" w:name="_Toc11077"/>
      <w:bookmarkStart w:id="387" w:name="_Toc129073478"/>
      <w:r>
        <w:rPr>
          <w:rFonts w:hint="eastAsia" w:ascii="宋体" w:hAnsi="宋体" w:eastAsia="宋体"/>
          <w:b/>
          <w:bCs/>
          <w:color w:val="auto"/>
          <w:sz w:val="21"/>
          <w:szCs w:val="21"/>
          <w:highlight w:val="none"/>
        </w:rPr>
        <w:t>3.5资格审查资料</w:t>
      </w:r>
      <w:bookmarkEnd w:id="385"/>
      <w:bookmarkEnd w:id="386"/>
      <w:bookmarkEnd w:id="387"/>
    </w:p>
    <w:p w14:paraId="013B065D">
      <w:pPr>
        <w:adjustRightInd w:val="0"/>
        <w:snapToGrid w:val="0"/>
        <w:spacing w:line="440" w:lineRule="exact"/>
        <w:ind w:firstLine="420" w:firstLineChars="200"/>
        <w:rPr>
          <w:rFonts w:hint="eastAsia" w:ascii="宋体" w:hAnsi="宋体"/>
          <w:color w:val="auto"/>
          <w:highlight w:val="none"/>
        </w:rPr>
      </w:pPr>
      <w:bookmarkStart w:id="388" w:name="_Toc152045553"/>
      <w:bookmarkEnd w:id="388"/>
      <w:bookmarkStart w:id="389" w:name="_Toc152042329"/>
      <w:bookmarkEnd w:id="389"/>
      <w:bookmarkStart w:id="390" w:name="_Toc144974521"/>
      <w:bookmarkEnd w:id="390"/>
      <w:bookmarkStart w:id="391" w:name="_Toc26258"/>
      <w:bookmarkEnd w:id="391"/>
      <w:bookmarkStart w:id="392" w:name="_Toc318450696"/>
      <w:bookmarkEnd w:id="392"/>
      <w:bookmarkStart w:id="393" w:name="_Toc5132"/>
      <w:r>
        <w:rPr>
          <w:rFonts w:hint="eastAsia" w:ascii="宋体" w:hAnsi="宋体"/>
          <w:color w:val="auto"/>
          <w:highlight w:val="none"/>
        </w:rPr>
        <w:t>见供应商须知前附表。</w:t>
      </w:r>
      <w:bookmarkEnd w:id="393"/>
    </w:p>
    <w:p w14:paraId="4E9CFC5E">
      <w:pPr>
        <w:pStyle w:val="74"/>
        <w:keepNext w:val="0"/>
        <w:keepLines w:val="0"/>
        <w:adjustRightInd w:val="0"/>
        <w:snapToGrid w:val="0"/>
        <w:spacing w:line="440" w:lineRule="exact"/>
        <w:jc w:val="left"/>
        <w:rPr>
          <w:rFonts w:hint="eastAsia" w:ascii="宋体" w:hAnsi="宋体" w:eastAsia="宋体"/>
          <w:b/>
          <w:bCs/>
          <w:color w:val="auto"/>
          <w:sz w:val="21"/>
          <w:szCs w:val="21"/>
          <w:highlight w:val="none"/>
        </w:rPr>
      </w:pPr>
      <w:bookmarkStart w:id="394" w:name="_Toc466298112"/>
      <w:bookmarkEnd w:id="394"/>
      <w:bookmarkStart w:id="395" w:name="_Toc455080129"/>
      <w:bookmarkEnd w:id="395"/>
      <w:bookmarkStart w:id="396" w:name="_Toc11694"/>
      <w:bookmarkEnd w:id="396"/>
      <w:bookmarkStart w:id="397" w:name="_Toc30442"/>
      <w:bookmarkEnd w:id="397"/>
      <w:bookmarkStart w:id="398" w:name="_Toc509667280"/>
      <w:bookmarkEnd w:id="398"/>
      <w:bookmarkStart w:id="399" w:name="_Toc9015"/>
      <w:bookmarkEnd w:id="399"/>
      <w:bookmarkStart w:id="400" w:name="_Toc19724"/>
      <w:bookmarkEnd w:id="400"/>
      <w:bookmarkStart w:id="401" w:name="_Toc490667849"/>
      <w:bookmarkEnd w:id="401"/>
      <w:bookmarkStart w:id="402" w:name="_Toc129073479"/>
      <w:bookmarkStart w:id="403" w:name="_Toc20349"/>
      <w:bookmarkStart w:id="404" w:name="_Toc455867789"/>
      <w:r>
        <w:rPr>
          <w:rFonts w:hint="eastAsia" w:ascii="宋体" w:hAnsi="宋体" w:eastAsia="宋体"/>
          <w:b/>
          <w:bCs/>
          <w:color w:val="auto"/>
          <w:sz w:val="21"/>
          <w:szCs w:val="21"/>
          <w:highlight w:val="none"/>
        </w:rPr>
        <w:t>3.6 备选方案</w:t>
      </w:r>
      <w:bookmarkEnd w:id="402"/>
      <w:bookmarkEnd w:id="403"/>
      <w:bookmarkEnd w:id="404"/>
    </w:p>
    <w:p w14:paraId="6D14F2D4">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除供应商须知前附表另有规定外，供应商不得递交备选磋商方案。</w:t>
      </w:r>
    </w:p>
    <w:p w14:paraId="4EC1AFB9">
      <w:pPr>
        <w:pStyle w:val="74"/>
        <w:keepNext w:val="0"/>
        <w:keepLines w:val="0"/>
        <w:adjustRightInd w:val="0"/>
        <w:snapToGrid w:val="0"/>
        <w:spacing w:line="440" w:lineRule="exact"/>
        <w:jc w:val="left"/>
        <w:rPr>
          <w:rFonts w:hint="eastAsia" w:ascii="宋体" w:hAnsi="宋体" w:eastAsia="宋体"/>
          <w:b/>
          <w:bCs/>
          <w:color w:val="auto"/>
          <w:sz w:val="21"/>
          <w:szCs w:val="21"/>
          <w:highlight w:val="none"/>
        </w:rPr>
      </w:pPr>
      <w:bookmarkStart w:id="405" w:name="_Toc509667281"/>
      <w:bookmarkEnd w:id="405"/>
      <w:bookmarkStart w:id="406" w:name="_Toc6323"/>
      <w:bookmarkEnd w:id="406"/>
      <w:bookmarkStart w:id="407" w:name="_Toc455867790"/>
      <w:bookmarkEnd w:id="407"/>
      <w:bookmarkStart w:id="408" w:name="_Toc318450697"/>
      <w:bookmarkEnd w:id="408"/>
      <w:bookmarkStart w:id="409" w:name="_Toc7626"/>
      <w:bookmarkEnd w:id="409"/>
      <w:bookmarkStart w:id="410" w:name="_Toc28656"/>
      <w:bookmarkEnd w:id="410"/>
      <w:bookmarkStart w:id="411" w:name="_Toc25620"/>
      <w:bookmarkEnd w:id="411"/>
      <w:bookmarkStart w:id="412" w:name="_Toc152042330"/>
      <w:bookmarkEnd w:id="412"/>
      <w:bookmarkStart w:id="413" w:name="_Toc7966"/>
      <w:bookmarkEnd w:id="413"/>
      <w:bookmarkStart w:id="414" w:name="_Toc466298113"/>
      <w:bookmarkEnd w:id="414"/>
      <w:bookmarkStart w:id="415" w:name="_Toc144974522"/>
      <w:bookmarkEnd w:id="415"/>
      <w:bookmarkStart w:id="416" w:name="_Toc152045554"/>
      <w:bookmarkEnd w:id="416"/>
      <w:bookmarkStart w:id="417" w:name="_Toc455080130"/>
      <w:bookmarkEnd w:id="417"/>
      <w:bookmarkStart w:id="418" w:name="_Toc12275"/>
      <w:bookmarkEnd w:id="418"/>
      <w:bookmarkStart w:id="419" w:name="_Toc25601"/>
      <w:bookmarkStart w:id="420" w:name="_Toc129073480"/>
      <w:bookmarkStart w:id="421" w:name="_Toc490667850"/>
      <w:r>
        <w:rPr>
          <w:rFonts w:hint="eastAsia" w:ascii="宋体" w:hAnsi="宋体" w:eastAsia="宋体"/>
          <w:b/>
          <w:bCs/>
          <w:color w:val="auto"/>
          <w:sz w:val="21"/>
          <w:szCs w:val="21"/>
          <w:highlight w:val="none"/>
        </w:rPr>
        <w:t>3.7 响应文件的编制</w:t>
      </w:r>
      <w:bookmarkEnd w:id="419"/>
      <w:bookmarkEnd w:id="420"/>
      <w:bookmarkEnd w:id="421"/>
    </w:p>
    <w:p w14:paraId="04A86E55">
      <w:pPr>
        <w:pStyle w:val="17"/>
        <w:adjustRightInd w:val="0"/>
        <w:snapToGrid w:val="0"/>
        <w:spacing w:line="440" w:lineRule="exact"/>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3.7.1 响应文件应按“第六章响应文件格式”进行编写，如有必要，可以增加附页， 作为响应文件的组成部分。其中，磋商函附录在满足磋商文件实质性要求的基础上，可以提出比磋商文件要求更有利于采购人的承诺。 </w:t>
      </w:r>
    </w:p>
    <w:p w14:paraId="1AFD6E70">
      <w:pPr>
        <w:pStyle w:val="17"/>
        <w:adjustRightInd w:val="0"/>
        <w:snapToGrid w:val="0"/>
        <w:spacing w:line="440" w:lineRule="exact"/>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3.7.2 响应文件应当对磋商文件有关交货期、磋商有效期、质量要求、采购内容等实质性内容作出响应。 </w:t>
      </w:r>
    </w:p>
    <w:p w14:paraId="28E07793">
      <w:pPr>
        <w:pStyle w:val="17"/>
        <w:adjustRightInd w:val="0"/>
        <w:snapToGrid w:val="0"/>
        <w:spacing w:line="440" w:lineRule="exact"/>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3.7.3 响应文件全部采用电子文档，除供应商须知前附表另有规定外，响应文件所附证书证件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签字或盖章的具体要求见供应商须知前附表。 </w:t>
      </w:r>
    </w:p>
    <w:p w14:paraId="5621D0ED">
      <w:pPr>
        <w:pStyle w:val="17"/>
        <w:adjustRightInd w:val="0"/>
        <w:snapToGrid w:val="0"/>
        <w:spacing w:line="440" w:lineRule="exact"/>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3.7.4 供应商编制响应文件时，涉及营业执照、资质、业绩、获奖、人员、财务、社保、纳税、各类证书等内容，在市场主体信息库中已登记的信息中选取，并附进响应文件中。供应商应及时对市场主体信息库的相关内容进行补充、更新。 </w:t>
      </w:r>
    </w:p>
    <w:p w14:paraId="019C54CE">
      <w:pPr>
        <w:pStyle w:val="17"/>
        <w:adjustRightInd w:val="0"/>
        <w:snapToGrid w:val="0"/>
        <w:spacing w:line="440" w:lineRule="exact"/>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3.7.5 主体信息库中上传的资料扫描件必须完整、清晰、易辨，如因证件上传问题导致未能给予认定的，供应商自行承担责任。</w:t>
      </w:r>
    </w:p>
    <w:p w14:paraId="294A1E11">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422" w:name="_Toc23788"/>
      <w:bookmarkEnd w:id="422"/>
      <w:bookmarkStart w:id="423" w:name="_Toc22280"/>
      <w:bookmarkStart w:id="424" w:name="_Toc10652"/>
      <w:bookmarkStart w:id="425" w:name="_Toc25454"/>
      <w:bookmarkStart w:id="426" w:name="_Toc2172"/>
      <w:r>
        <w:rPr>
          <w:rFonts w:hint="eastAsia" w:ascii="宋体" w:hAnsi="宋体" w:eastAsia="宋体"/>
          <w:b/>
          <w:bCs w:val="0"/>
          <w:color w:val="auto"/>
          <w:sz w:val="21"/>
          <w:szCs w:val="21"/>
          <w:highlight w:val="none"/>
        </w:rPr>
        <w:t xml:space="preserve">4. </w:t>
      </w:r>
      <w:bookmarkEnd w:id="423"/>
      <w:bookmarkEnd w:id="424"/>
      <w:r>
        <w:rPr>
          <w:rFonts w:hint="eastAsia" w:ascii="宋体" w:hAnsi="宋体" w:eastAsia="宋体"/>
          <w:b/>
          <w:bCs w:val="0"/>
          <w:color w:val="auto"/>
          <w:sz w:val="21"/>
          <w:szCs w:val="21"/>
          <w:highlight w:val="none"/>
        </w:rPr>
        <w:t>响应文件递交</w:t>
      </w:r>
      <w:bookmarkEnd w:id="425"/>
      <w:bookmarkEnd w:id="426"/>
    </w:p>
    <w:p w14:paraId="6D9E1C1A">
      <w:pPr>
        <w:pStyle w:val="74"/>
        <w:keepNext w:val="0"/>
        <w:keepLines w:val="0"/>
        <w:adjustRightInd w:val="0"/>
        <w:snapToGrid w:val="0"/>
        <w:spacing w:line="440" w:lineRule="exact"/>
        <w:ind w:firstLine="422" w:firstLineChars="200"/>
        <w:rPr>
          <w:rFonts w:hint="eastAsia" w:ascii="宋体" w:hAnsi="宋体" w:eastAsia="宋体"/>
          <w:b/>
          <w:bCs/>
          <w:color w:val="auto"/>
          <w:sz w:val="21"/>
          <w:szCs w:val="21"/>
          <w:highlight w:val="none"/>
        </w:rPr>
      </w:pPr>
      <w:bookmarkStart w:id="427" w:name="_Toc16962"/>
      <w:bookmarkEnd w:id="427"/>
      <w:bookmarkStart w:id="428" w:name="_Toc509667283"/>
      <w:bookmarkEnd w:id="428"/>
      <w:bookmarkStart w:id="429" w:name="_Toc455080132"/>
      <w:bookmarkEnd w:id="429"/>
      <w:bookmarkStart w:id="430" w:name="_Toc318450699"/>
      <w:bookmarkEnd w:id="430"/>
      <w:bookmarkStart w:id="431" w:name="_Toc144974524"/>
      <w:bookmarkEnd w:id="431"/>
      <w:bookmarkStart w:id="432" w:name="_Toc11243"/>
      <w:bookmarkEnd w:id="432"/>
      <w:bookmarkStart w:id="433" w:name="_Toc26550"/>
      <w:bookmarkEnd w:id="433"/>
      <w:bookmarkStart w:id="434" w:name="_Toc16344"/>
      <w:bookmarkEnd w:id="434"/>
      <w:bookmarkStart w:id="435" w:name="_Toc16783"/>
      <w:bookmarkEnd w:id="435"/>
      <w:bookmarkStart w:id="436" w:name="_Toc490667852"/>
      <w:bookmarkEnd w:id="436"/>
      <w:bookmarkStart w:id="437" w:name="_Toc466298115"/>
      <w:bookmarkEnd w:id="437"/>
      <w:bookmarkStart w:id="438" w:name="_Toc455867792"/>
      <w:bookmarkEnd w:id="438"/>
      <w:bookmarkStart w:id="439" w:name="_Toc31492"/>
      <w:bookmarkEnd w:id="439"/>
      <w:bookmarkStart w:id="440" w:name="_Toc152045556"/>
      <w:bookmarkEnd w:id="440"/>
      <w:bookmarkStart w:id="441" w:name="_Toc129073482"/>
      <w:bookmarkStart w:id="442" w:name="_Toc392"/>
      <w:bookmarkStart w:id="443" w:name="_Toc152042332"/>
      <w:r>
        <w:rPr>
          <w:rFonts w:hint="eastAsia" w:ascii="宋体" w:hAnsi="宋体" w:eastAsia="宋体"/>
          <w:b/>
          <w:bCs/>
          <w:color w:val="auto"/>
          <w:sz w:val="21"/>
          <w:szCs w:val="21"/>
          <w:highlight w:val="none"/>
        </w:rPr>
        <w:t>4.1 响应文件的密封和标记</w:t>
      </w:r>
      <w:bookmarkEnd w:id="441"/>
      <w:bookmarkEnd w:id="442"/>
      <w:bookmarkEnd w:id="443"/>
    </w:p>
    <w:p w14:paraId="461A4E4B">
      <w:pPr>
        <w:pStyle w:val="74"/>
        <w:keepNext w:val="0"/>
        <w:keepLines w:val="0"/>
        <w:adjustRightInd w:val="0"/>
        <w:snapToGrid w:val="0"/>
        <w:spacing w:line="440" w:lineRule="exact"/>
        <w:ind w:firstLine="422" w:firstLineChars="200"/>
        <w:rPr>
          <w:rFonts w:hint="eastAsia" w:ascii="宋体" w:hAnsi="宋体" w:eastAsia="宋体"/>
          <w:b/>
          <w:bCs/>
          <w:color w:val="auto"/>
          <w:sz w:val="21"/>
          <w:szCs w:val="21"/>
          <w:highlight w:val="none"/>
        </w:rPr>
      </w:pPr>
      <w:bookmarkStart w:id="444" w:name="_Toc455867793"/>
      <w:bookmarkEnd w:id="444"/>
      <w:bookmarkStart w:id="445" w:name="_Toc509667284"/>
      <w:bookmarkEnd w:id="445"/>
      <w:bookmarkStart w:id="446" w:name="_Toc8754"/>
      <w:bookmarkEnd w:id="446"/>
      <w:bookmarkStart w:id="447" w:name="_Toc318450700"/>
      <w:bookmarkEnd w:id="447"/>
      <w:bookmarkStart w:id="448" w:name="_Toc16832"/>
      <w:bookmarkEnd w:id="448"/>
      <w:bookmarkStart w:id="449" w:name="_Toc21072"/>
      <w:bookmarkEnd w:id="449"/>
      <w:bookmarkStart w:id="450" w:name="_Toc152042333"/>
      <w:bookmarkEnd w:id="450"/>
      <w:bookmarkStart w:id="451" w:name="_Toc27132"/>
      <w:bookmarkEnd w:id="451"/>
      <w:bookmarkStart w:id="452" w:name="_Toc462"/>
      <w:bookmarkEnd w:id="452"/>
      <w:bookmarkStart w:id="453" w:name="_Toc144974525"/>
      <w:bookmarkEnd w:id="453"/>
      <w:bookmarkStart w:id="454" w:name="_Toc455080133"/>
      <w:bookmarkEnd w:id="454"/>
      <w:bookmarkStart w:id="455" w:name="_Toc28272"/>
      <w:bookmarkEnd w:id="455"/>
      <w:bookmarkStart w:id="456" w:name="_Toc466298116"/>
      <w:bookmarkEnd w:id="456"/>
      <w:bookmarkStart w:id="457" w:name="_Toc152045557"/>
      <w:bookmarkEnd w:id="457"/>
      <w:bookmarkStart w:id="458" w:name="_Toc129073483"/>
      <w:bookmarkStart w:id="459" w:name="_Toc10496"/>
      <w:r>
        <w:rPr>
          <w:rFonts w:hint="eastAsia" w:ascii="宋体" w:hAnsi="宋体" w:eastAsia="宋体"/>
          <w:b/>
          <w:bCs/>
          <w:color w:val="auto"/>
          <w:sz w:val="21"/>
          <w:szCs w:val="21"/>
          <w:highlight w:val="none"/>
        </w:rPr>
        <w:t>4.2 响应文件的递交</w:t>
      </w:r>
      <w:bookmarkEnd w:id="458"/>
      <w:bookmarkEnd w:id="459"/>
    </w:p>
    <w:p w14:paraId="03CCDCC7">
      <w:pPr>
        <w:adjustRightInd w:val="0"/>
        <w:snapToGrid w:val="0"/>
        <w:spacing w:line="440" w:lineRule="exact"/>
        <w:ind w:firstLine="420" w:firstLineChars="200"/>
        <w:jc w:val="left"/>
        <w:rPr>
          <w:color w:val="auto"/>
          <w:highlight w:val="none"/>
        </w:rPr>
      </w:pPr>
      <w:bookmarkStart w:id="460" w:name="_Toc129073484"/>
      <w:r>
        <w:rPr>
          <w:rFonts w:hint="eastAsia"/>
          <w:color w:val="auto"/>
          <w:highlight w:val="none"/>
        </w:rPr>
        <w:t xml:space="preserve">4.2.1 加密的电子响应文件（*.hntf 格式）,应在响应文件递交截止时间前通过“河南省公共资源交易中心”电子交易平台内上传。 </w:t>
      </w:r>
    </w:p>
    <w:p w14:paraId="212AB6CF">
      <w:pPr>
        <w:adjustRightInd w:val="0"/>
        <w:snapToGrid w:val="0"/>
        <w:spacing w:line="440" w:lineRule="exact"/>
        <w:ind w:firstLine="420" w:firstLineChars="200"/>
        <w:jc w:val="left"/>
        <w:rPr>
          <w:color w:val="auto"/>
          <w:highlight w:val="none"/>
        </w:rPr>
      </w:pPr>
      <w:r>
        <w:rPr>
          <w:rFonts w:hint="eastAsia"/>
          <w:color w:val="auto"/>
          <w:highlight w:val="none"/>
        </w:rPr>
        <w:t xml:space="preserve">4.2.2 本项目采用“远程不见面”开标方式，远程开标大厅网址为 http://hnsggzyjy.henan.gov.cn/BidOpening/bidopeninghallaction/hall/login，供应商无需到河南省公共资源交易中心现场参加开标会议。供应商应当在响应文件递交截止时间前，登录远程开标大厅，在线准时参加开标活动并进行文件解密及二次报价等。 在规定时间内响应文件未解密及未二次报价的供应商，视为放弃磋商投标。 </w:t>
      </w:r>
    </w:p>
    <w:p w14:paraId="41BF473E">
      <w:pPr>
        <w:adjustRightInd w:val="0"/>
        <w:snapToGrid w:val="0"/>
        <w:spacing w:line="440" w:lineRule="exact"/>
        <w:ind w:firstLine="420" w:firstLineChars="200"/>
        <w:jc w:val="left"/>
        <w:rPr>
          <w:color w:val="auto"/>
          <w:highlight w:val="none"/>
        </w:rPr>
      </w:pPr>
      <w:r>
        <w:rPr>
          <w:rFonts w:hint="eastAsia"/>
          <w:color w:val="auto"/>
          <w:highlight w:val="none"/>
        </w:rPr>
        <w:t xml:space="preserve">4.2.3 不见面服务的具体事宜请查阅河南省公共资源交易中心网站“办事指南”专区的《河南省公共资源交易平台不见面服务系统使用指南》。 </w:t>
      </w:r>
    </w:p>
    <w:p w14:paraId="6CEF27D8">
      <w:pPr>
        <w:adjustRightInd w:val="0"/>
        <w:snapToGrid w:val="0"/>
        <w:spacing w:line="440" w:lineRule="exact"/>
        <w:ind w:firstLine="420" w:firstLineChars="200"/>
        <w:jc w:val="left"/>
        <w:rPr>
          <w:color w:val="auto"/>
          <w:highlight w:val="none"/>
        </w:rPr>
      </w:pPr>
      <w:r>
        <w:rPr>
          <w:rFonts w:hint="eastAsia"/>
          <w:color w:val="auto"/>
          <w:highlight w:val="none"/>
        </w:rPr>
        <w:t xml:space="preserve">4.2.4 除供应商须知前附表另有规定外，供应商所递交的响应文件不予退还。 </w:t>
      </w:r>
    </w:p>
    <w:p w14:paraId="53744DE3">
      <w:pPr>
        <w:adjustRightInd w:val="0"/>
        <w:snapToGrid w:val="0"/>
        <w:spacing w:line="440" w:lineRule="exact"/>
        <w:ind w:firstLine="420" w:firstLineChars="200"/>
        <w:jc w:val="left"/>
        <w:rPr>
          <w:color w:val="auto"/>
          <w:highlight w:val="none"/>
        </w:rPr>
      </w:pPr>
      <w:r>
        <w:rPr>
          <w:rFonts w:hint="eastAsia"/>
          <w:color w:val="auto"/>
          <w:highlight w:val="none"/>
        </w:rPr>
        <w:t>4.2.5 逾期送达的响应文件，电子招标投标交易平台将予以拒收。</w:t>
      </w:r>
    </w:p>
    <w:p w14:paraId="06E64F50">
      <w:pPr>
        <w:adjustRightInd w:val="0"/>
        <w:snapToGrid w:val="0"/>
        <w:spacing w:line="440" w:lineRule="exact"/>
        <w:ind w:firstLine="422" w:firstLineChars="200"/>
        <w:jc w:val="left"/>
        <w:rPr>
          <w:b/>
          <w:bCs/>
          <w:color w:val="auto"/>
          <w:highlight w:val="none"/>
        </w:rPr>
      </w:pPr>
      <w:r>
        <w:rPr>
          <w:rFonts w:hint="eastAsia"/>
          <w:b/>
          <w:bCs/>
          <w:color w:val="auto"/>
          <w:highlight w:val="none"/>
        </w:rPr>
        <w:t>4.3 响应文件的修改与撤回</w:t>
      </w:r>
      <w:bookmarkEnd w:id="460"/>
    </w:p>
    <w:p w14:paraId="53C734F9">
      <w:pPr>
        <w:adjustRightInd w:val="0"/>
        <w:snapToGrid w:val="0"/>
        <w:spacing w:line="440" w:lineRule="exact"/>
        <w:ind w:firstLine="420" w:firstLineChars="200"/>
        <w:jc w:val="left"/>
        <w:rPr>
          <w:color w:val="auto"/>
          <w:highlight w:val="none"/>
        </w:rPr>
      </w:pPr>
      <w:r>
        <w:rPr>
          <w:rFonts w:hint="eastAsia"/>
          <w:color w:val="auto"/>
          <w:highlight w:val="none"/>
        </w:rPr>
        <w:t xml:space="preserve">4.3.1 </w:t>
      </w:r>
      <w:bookmarkStart w:id="461" w:name="_Toc455080135"/>
      <w:bookmarkEnd w:id="461"/>
      <w:bookmarkStart w:id="462" w:name="_Toc144974527"/>
      <w:bookmarkEnd w:id="462"/>
      <w:bookmarkStart w:id="463" w:name="_Toc509667286"/>
      <w:bookmarkEnd w:id="463"/>
      <w:bookmarkStart w:id="464" w:name="_Toc152042335"/>
      <w:bookmarkEnd w:id="464"/>
      <w:bookmarkStart w:id="465" w:name="_Toc152045559"/>
      <w:bookmarkEnd w:id="465"/>
      <w:bookmarkStart w:id="466" w:name="_Toc30851"/>
      <w:r>
        <w:rPr>
          <w:rFonts w:hint="eastAsia"/>
          <w:color w:val="auto"/>
          <w:highlight w:val="none"/>
        </w:rPr>
        <w:t xml:space="preserve">在本章第 2.2.2 项规定的响应文件递交截止时间前，供应商可以在河南省公共资源交易中心系统内撤回已上传的响应文件。 </w:t>
      </w:r>
    </w:p>
    <w:p w14:paraId="73403C05">
      <w:pPr>
        <w:adjustRightInd w:val="0"/>
        <w:snapToGrid w:val="0"/>
        <w:spacing w:line="440" w:lineRule="exact"/>
        <w:ind w:firstLine="420" w:firstLineChars="200"/>
        <w:jc w:val="left"/>
        <w:rPr>
          <w:color w:val="auto"/>
          <w:highlight w:val="none"/>
        </w:rPr>
      </w:pPr>
      <w:r>
        <w:rPr>
          <w:rFonts w:hint="eastAsia"/>
          <w:color w:val="auto"/>
          <w:highlight w:val="none"/>
        </w:rPr>
        <w:t xml:space="preserve">4.3.2 供应商有下列情形之一的，采购人将拒绝接受其响应性文件： </w:t>
      </w:r>
    </w:p>
    <w:p w14:paraId="5BA9E740">
      <w:pPr>
        <w:adjustRightInd w:val="0"/>
        <w:snapToGrid w:val="0"/>
        <w:spacing w:line="440" w:lineRule="exact"/>
        <w:ind w:firstLine="420" w:firstLineChars="200"/>
        <w:jc w:val="left"/>
        <w:rPr>
          <w:color w:val="auto"/>
          <w:highlight w:val="none"/>
        </w:rPr>
      </w:pPr>
      <w:r>
        <w:rPr>
          <w:rFonts w:hint="eastAsia"/>
          <w:color w:val="auto"/>
          <w:highlight w:val="none"/>
        </w:rPr>
        <w:t xml:space="preserve">（1）在竞争性磋商文件规定的递交竞争性磋商文件截止时间之后递交竞争性磋商文件的。 </w:t>
      </w:r>
    </w:p>
    <w:p w14:paraId="314CBBC9">
      <w:pPr>
        <w:adjustRightInd w:val="0"/>
        <w:snapToGrid w:val="0"/>
        <w:spacing w:line="440" w:lineRule="exact"/>
        <w:ind w:firstLine="420" w:firstLineChars="200"/>
        <w:jc w:val="left"/>
        <w:rPr>
          <w:color w:val="auto"/>
          <w:highlight w:val="none"/>
        </w:rPr>
      </w:pPr>
      <w:r>
        <w:rPr>
          <w:rFonts w:hint="eastAsia"/>
          <w:color w:val="auto"/>
          <w:highlight w:val="none"/>
        </w:rPr>
        <w:t xml:space="preserve">（2）响应性文件未按竞争性磋商文件规定上传解密的。 </w:t>
      </w:r>
    </w:p>
    <w:p w14:paraId="4D293BA4">
      <w:pPr>
        <w:adjustRightInd w:val="0"/>
        <w:snapToGrid w:val="0"/>
        <w:spacing w:line="440" w:lineRule="exact"/>
        <w:ind w:firstLine="420" w:firstLineChars="200"/>
        <w:jc w:val="left"/>
        <w:rPr>
          <w:color w:val="auto"/>
          <w:highlight w:val="none"/>
        </w:rPr>
      </w:pPr>
      <w:r>
        <w:rPr>
          <w:rFonts w:hint="eastAsia"/>
          <w:color w:val="auto"/>
          <w:highlight w:val="none"/>
        </w:rPr>
        <w:t>（3）未按规定方式取得竞争性磋商文件参加磋商的。</w:t>
      </w:r>
    </w:p>
    <w:p w14:paraId="48094A11">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467" w:name="_Toc4265"/>
      <w:bookmarkStart w:id="468" w:name="_Toc26769"/>
      <w:bookmarkStart w:id="469" w:name="_Toc16587"/>
      <w:bookmarkStart w:id="470" w:name="_Toc14191"/>
      <w:r>
        <w:rPr>
          <w:rFonts w:hint="eastAsia" w:ascii="宋体" w:hAnsi="宋体" w:eastAsia="宋体"/>
          <w:b/>
          <w:bCs w:val="0"/>
          <w:color w:val="auto"/>
          <w:sz w:val="21"/>
          <w:szCs w:val="21"/>
          <w:highlight w:val="none"/>
        </w:rPr>
        <w:t xml:space="preserve">5. </w:t>
      </w:r>
      <w:bookmarkEnd w:id="466"/>
      <w:bookmarkEnd w:id="467"/>
      <w:bookmarkEnd w:id="468"/>
      <w:r>
        <w:rPr>
          <w:rFonts w:hint="eastAsia" w:ascii="宋体" w:hAnsi="宋体" w:eastAsia="宋体"/>
          <w:b/>
          <w:bCs w:val="0"/>
          <w:color w:val="auto"/>
          <w:sz w:val="21"/>
          <w:szCs w:val="21"/>
          <w:highlight w:val="none"/>
        </w:rPr>
        <w:t>磋商</w:t>
      </w:r>
      <w:bookmarkEnd w:id="469"/>
      <w:bookmarkEnd w:id="470"/>
    </w:p>
    <w:p w14:paraId="0FDE816C">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471" w:name="_Toc25809"/>
      <w:bookmarkEnd w:id="471"/>
      <w:bookmarkStart w:id="472" w:name="_Toc14"/>
      <w:bookmarkEnd w:id="472"/>
      <w:bookmarkStart w:id="473" w:name="_Toc455867796"/>
      <w:bookmarkEnd w:id="473"/>
      <w:bookmarkStart w:id="474" w:name="_Toc509667287"/>
      <w:bookmarkEnd w:id="474"/>
      <w:bookmarkStart w:id="475" w:name="_Toc466298119"/>
      <w:bookmarkEnd w:id="475"/>
      <w:bookmarkStart w:id="476" w:name="_Toc144974528"/>
      <w:bookmarkEnd w:id="476"/>
      <w:bookmarkStart w:id="477" w:name="_Toc490667856"/>
      <w:bookmarkEnd w:id="477"/>
      <w:bookmarkStart w:id="478" w:name="_Toc152042336"/>
      <w:bookmarkEnd w:id="478"/>
      <w:bookmarkStart w:id="479" w:name="_Toc455080136"/>
      <w:bookmarkEnd w:id="479"/>
      <w:bookmarkStart w:id="480" w:name="_Toc20333"/>
      <w:bookmarkEnd w:id="480"/>
      <w:bookmarkStart w:id="481" w:name="_Toc26426"/>
      <w:bookmarkEnd w:id="481"/>
      <w:bookmarkStart w:id="482" w:name="_Toc25533"/>
      <w:bookmarkEnd w:id="482"/>
      <w:bookmarkStart w:id="483" w:name="_Toc9969"/>
      <w:bookmarkEnd w:id="483"/>
      <w:bookmarkStart w:id="484" w:name="_Toc152045560"/>
      <w:bookmarkEnd w:id="484"/>
      <w:bookmarkStart w:id="485" w:name="_Toc129073486"/>
      <w:bookmarkStart w:id="486" w:name="_Toc318450703"/>
      <w:bookmarkStart w:id="487" w:name="_Toc31972"/>
      <w:r>
        <w:rPr>
          <w:rFonts w:hint="eastAsia" w:ascii="宋体" w:hAnsi="宋体" w:eastAsia="宋体"/>
          <w:b/>
          <w:bCs/>
          <w:color w:val="auto"/>
          <w:sz w:val="21"/>
          <w:szCs w:val="21"/>
          <w:highlight w:val="none"/>
        </w:rPr>
        <w:t>5.1 磋商时间和地点</w:t>
      </w:r>
      <w:bookmarkEnd w:id="485"/>
      <w:bookmarkEnd w:id="486"/>
      <w:bookmarkEnd w:id="487"/>
    </w:p>
    <w:p w14:paraId="57FA840D">
      <w:pPr>
        <w:adjustRightInd w:val="0"/>
        <w:snapToGrid w:val="0"/>
        <w:spacing w:line="440" w:lineRule="exact"/>
        <w:ind w:firstLine="480"/>
        <w:rPr>
          <w:rFonts w:hint="eastAsia" w:ascii="宋体" w:hAnsi="宋体"/>
          <w:color w:val="auto"/>
          <w:highlight w:val="none"/>
        </w:rPr>
      </w:pPr>
      <w:bookmarkStart w:id="488" w:name="_Toc152042337"/>
      <w:bookmarkEnd w:id="488"/>
      <w:bookmarkStart w:id="489" w:name="_Toc318450704"/>
      <w:bookmarkEnd w:id="489"/>
      <w:bookmarkStart w:id="490" w:name="_Toc30965"/>
      <w:bookmarkEnd w:id="490"/>
      <w:bookmarkStart w:id="491" w:name="_Toc11148"/>
      <w:bookmarkEnd w:id="491"/>
      <w:bookmarkStart w:id="492" w:name="_Toc3865"/>
      <w:bookmarkEnd w:id="492"/>
      <w:bookmarkStart w:id="493" w:name="_Toc455080137"/>
      <w:bookmarkEnd w:id="493"/>
      <w:bookmarkStart w:id="494" w:name="_Toc152045561"/>
      <w:bookmarkEnd w:id="494"/>
      <w:bookmarkStart w:id="495" w:name="_Toc30074"/>
      <w:bookmarkEnd w:id="495"/>
      <w:bookmarkStart w:id="496" w:name="_Toc144974529"/>
      <w:bookmarkEnd w:id="496"/>
      <w:bookmarkStart w:id="497" w:name="_Toc25911"/>
      <w:bookmarkEnd w:id="497"/>
      <w:bookmarkStart w:id="498" w:name="_Toc17491"/>
      <w:r>
        <w:rPr>
          <w:rFonts w:hint="eastAsia" w:ascii="宋体" w:hAnsi="宋体"/>
          <w:color w:val="auto"/>
          <w:highlight w:val="none"/>
        </w:rPr>
        <w:t xml:space="preserve">采购人在本章第2.2.2项规定的响应文件递交截止时间和供应商须知前附表规定的地点进行磋商，本项目采用“远程不见面”开标方式，远程开标大厅网址为 </w:t>
      </w:r>
      <w:r>
        <w:rPr>
          <w:rFonts w:hint="eastAsia" w:ascii="宋体" w:hAnsi="宋体" w:cs="宋体"/>
          <w:color w:val="auto"/>
          <w:szCs w:val="21"/>
          <w:highlight w:val="none"/>
        </w:rPr>
        <w:t>http://hnsggzyjy.henan.gov.cn/BidOpening/bidopeninghallaction/hall/login</w:t>
      </w:r>
      <w:r>
        <w:rPr>
          <w:rFonts w:hint="eastAsia" w:ascii="宋体" w:hAnsi="宋体"/>
          <w:color w:val="auto"/>
          <w:highlight w:val="none"/>
        </w:rPr>
        <w:t>，供应商无需到河南省公共资源交易中心现场参加开标会议。供应商应当在响应文件递交截止时间前，登录远程开标大厅，在线准时参加开标活动并进行文件解密等。在规定时间内响应文件未解密的供应商，视为放弃磋商投标。</w:t>
      </w:r>
      <w:bookmarkEnd w:id="498"/>
    </w:p>
    <w:p w14:paraId="27706A0C">
      <w:pPr>
        <w:adjustRightInd w:val="0"/>
        <w:snapToGrid w:val="0"/>
        <w:spacing w:line="440" w:lineRule="exact"/>
        <w:rPr>
          <w:rFonts w:hint="eastAsia" w:ascii="宋体" w:hAnsi="宋体"/>
          <w:color w:val="auto"/>
          <w:highlight w:val="none"/>
        </w:rPr>
      </w:pPr>
      <w:r>
        <w:rPr>
          <w:rFonts w:hint="eastAsia" w:ascii="宋体" w:hAnsi="宋体"/>
          <w:b/>
          <w:bCs/>
          <w:color w:val="auto"/>
          <w:highlight w:val="none"/>
        </w:rPr>
        <w:t>5.2 磋商会议程序</w:t>
      </w:r>
      <w:r>
        <w:rPr>
          <w:rFonts w:hint="eastAsia" w:ascii="宋体" w:hAnsi="宋体"/>
          <w:color w:val="auto"/>
          <w:highlight w:val="none"/>
        </w:rPr>
        <w:t>（按河南省公共资源交易中心“远程不见面”开标程序进行）。</w:t>
      </w:r>
    </w:p>
    <w:p w14:paraId="501BA786">
      <w:pPr>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（1）公布供应商；</w:t>
      </w:r>
    </w:p>
    <w:p w14:paraId="3B482CFE">
      <w:pPr>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（2）供应商解密；</w:t>
      </w:r>
    </w:p>
    <w:p w14:paraId="00A69228">
      <w:pPr>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（3）招标人解密；</w:t>
      </w:r>
    </w:p>
    <w:p w14:paraId="10AEEF94">
      <w:pPr>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（4）开标结束。</w:t>
      </w:r>
    </w:p>
    <w:p w14:paraId="31B0B925">
      <w:pPr>
        <w:adjustRightInd w:val="0"/>
        <w:snapToGrid w:val="0"/>
        <w:spacing w:line="440" w:lineRule="exact"/>
        <w:rPr>
          <w:rFonts w:hint="eastAsia" w:ascii="宋体" w:hAnsi="宋体" w:cs="宋体"/>
          <w:b/>
          <w:bCs/>
          <w:snapToGrid w:val="0"/>
          <w:color w:val="auto"/>
          <w:highlight w:val="none"/>
        </w:rPr>
      </w:pPr>
      <w:r>
        <w:rPr>
          <w:rFonts w:hint="eastAsia" w:ascii="宋体" w:hAnsi="宋体" w:cs="宋体"/>
          <w:b/>
          <w:bCs/>
          <w:snapToGrid w:val="0"/>
          <w:color w:val="auto"/>
          <w:highlight w:val="none"/>
        </w:rPr>
        <w:t>5.3 开标异议</w:t>
      </w:r>
    </w:p>
    <w:p w14:paraId="4D9F023A">
      <w:pPr>
        <w:adjustRightInd w:val="0"/>
        <w:snapToGrid w:val="0"/>
        <w:spacing w:line="440" w:lineRule="exact"/>
        <w:ind w:firstLine="420" w:firstLineChars="200"/>
        <w:rPr>
          <w:rFonts w:hint="eastAsia" w:ascii="宋体" w:hAnsi="宋体" w:cs="宋体"/>
          <w:snapToGrid w:val="0"/>
          <w:color w:val="auto"/>
          <w:highlight w:val="none"/>
        </w:rPr>
      </w:pPr>
      <w:r>
        <w:rPr>
          <w:rFonts w:ascii="宋体" w:hAnsi="宋体" w:cs="宋体"/>
          <w:snapToGrid w:val="0"/>
          <w:color w:val="auto"/>
          <w:highlight w:val="none"/>
        </w:rPr>
        <w:t>供应商对开标过程有异议的，应当在开标现场提出，采购人当场作出答复。供应商未参加开标的，视同认可开标结果。</w:t>
      </w:r>
    </w:p>
    <w:p w14:paraId="365D00EA">
      <w:pPr>
        <w:adjustRightInd w:val="0"/>
        <w:snapToGrid w:val="0"/>
        <w:spacing w:line="440" w:lineRule="exact"/>
        <w:rPr>
          <w:rFonts w:hint="eastAsia" w:ascii="宋体" w:hAnsi="宋体" w:cs="宋体"/>
          <w:b/>
          <w:bCs/>
          <w:snapToGrid w:val="0"/>
          <w:color w:val="auto"/>
          <w:highlight w:val="none"/>
        </w:rPr>
      </w:pPr>
      <w:r>
        <w:rPr>
          <w:rFonts w:hint="eastAsia" w:ascii="宋体" w:hAnsi="宋体" w:cs="宋体"/>
          <w:b/>
          <w:bCs/>
          <w:snapToGrid w:val="0"/>
          <w:color w:val="auto"/>
          <w:highlight w:val="none"/>
        </w:rPr>
        <w:t>5.4异常情况处理</w:t>
      </w:r>
    </w:p>
    <w:p w14:paraId="3A61974A">
      <w:pPr>
        <w:adjustRightInd w:val="0"/>
        <w:snapToGrid w:val="0"/>
        <w:spacing w:line="440" w:lineRule="exact"/>
        <w:ind w:firstLine="420" w:firstLineChars="200"/>
        <w:rPr>
          <w:rFonts w:hint="eastAsia" w:ascii="宋体" w:hAnsi="宋体" w:cs="宋体"/>
          <w:snapToGrid w:val="0"/>
          <w:color w:val="auto"/>
          <w:highlight w:val="none"/>
        </w:rPr>
      </w:pPr>
      <w:r>
        <w:rPr>
          <w:rFonts w:hint="eastAsia" w:ascii="宋体" w:hAnsi="宋体" w:cs="宋体"/>
          <w:snapToGrid w:val="0"/>
          <w:color w:val="auto"/>
          <w:highlight w:val="none"/>
        </w:rPr>
        <w:t>在开标、评标过程中，若出现异常情况导致无法正常采用电子开标时，如出现网络中断、服务器发生故障或停电等其它不可抗力情形，导致电子交易系统无法正常运行的，应由采购人、采购代理机构视情况提出解决方案，及时通报监管部门和交易中心研究处理。</w:t>
      </w:r>
    </w:p>
    <w:p w14:paraId="203DCF3E">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499" w:name="_Toc13397"/>
      <w:bookmarkEnd w:id="499"/>
      <w:bookmarkStart w:id="500" w:name="_Toc455080138"/>
      <w:bookmarkEnd w:id="500"/>
      <w:bookmarkStart w:id="501" w:name="_Toc152042338"/>
      <w:bookmarkEnd w:id="501"/>
      <w:bookmarkStart w:id="502" w:name="_Toc509667288"/>
      <w:bookmarkEnd w:id="502"/>
      <w:bookmarkStart w:id="503" w:name="_Toc509667289"/>
      <w:bookmarkEnd w:id="503"/>
      <w:bookmarkStart w:id="504" w:name="_Toc466298120"/>
      <w:bookmarkEnd w:id="504"/>
      <w:bookmarkStart w:id="505" w:name="_Toc152045562"/>
      <w:bookmarkEnd w:id="505"/>
      <w:bookmarkStart w:id="506" w:name="_Toc144974530"/>
      <w:bookmarkEnd w:id="506"/>
      <w:bookmarkStart w:id="507" w:name="_Toc490667857"/>
      <w:bookmarkEnd w:id="507"/>
      <w:bookmarkStart w:id="508" w:name="_Toc25851"/>
      <w:bookmarkStart w:id="509" w:name="_Toc20491"/>
      <w:bookmarkStart w:id="510" w:name="_Toc23189"/>
      <w:bookmarkStart w:id="511" w:name="_Toc2746"/>
      <w:r>
        <w:rPr>
          <w:rFonts w:hint="eastAsia" w:ascii="宋体" w:hAnsi="宋体" w:eastAsia="宋体"/>
          <w:b/>
          <w:bCs w:val="0"/>
          <w:color w:val="auto"/>
          <w:sz w:val="21"/>
          <w:szCs w:val="21"/>
          <w:highlight w:val="none"/>
        </w:rPr>
        <w:t>6. 磋商小组</w:t>
      </w:r>
      <w:bookmarkEnd w:id="508"/>
      <w:bookmarkEnd w:id="509"/>
      <w:bookmarkEnd w:id="510"/>
      <w:bookmarkEnd w:id="511"/>
    </w:p>
    <w:p w14:paraId="177D6777">
      <w:pPr>
        <w:pStyle w:val="74"/>
        <w:keepNext w:val="0"/>
        <w:keepLines w:val="0"/>
        <w:adjustRightInd w:val="0"/>
        <w:snapToGrid w:val="0"/>
        <w:spacing w:line="440" w:lineRule="exact"/>
        <w:rPr>
          <w:rFonts w:hint="default" w:ascii="宋体" w:hAnsi="宋体" w:eastAsia="宋体"/>
          <w:b/>
          <w:bCs/>
          <w:color w:val="auto"/>
          <w:sz w:val="21"/>
          <w:szCs w:val="21"/>
          <w:highlight w:val="none"/>
          <w:lang w:val="en-US" w:eastAsia="zh-CN"/>
        </w:rPr>
      </w:pPr>
      <w:bookmarkStart w:id="512" w:name="_Toc152042339"/>
      <w:bookmarkEnd w:id="512"/>
      <w:bookmarkStart w:id="513" w:name="_Toc455867799"/>
      <w:bookmarkEnd w:id="513"/>
      <w:bookmarkStart w:id="514" w:name="_Toc455080139"/>
      <w:bookmarkEnd w:id="514"/>
      <w:bookmarkStart w:id="515" w:name="_Toc466298122"/>
      <w:bookmarkEnd w:id="515"/>
      <w:bookmarkStart w:id="516" w:name="_Toc152045563"/>
      <w:bookmarkEnd w:id="516"/>
      <w:bookmarkStart w:id="517" w:name="_Toc318450706"/>
      <w:bookmarkEnd w:id="517"/>
      <w:bookmarkStart w:id="518" w:name="_Toc26098"/>
      <w:bookmarkEnd w:id="518"/>
      <w:bookmarkStart w:id="519" w:name="_Toc490667859"/>
      <w:bookmarkEnd w:id="519"/>
      <w:bookmarkStart w:id="520" w:name="_Toc18985"/>
      <w:bookmarkEnd w:id="520"/>
      <w:bookmarkStart w:id="521" w:name="_Toc1574"/>
      <w:bookmarkEnd w:id="521"/>
      <w:bookmarkStart w:id="522" w:name="_Toc144974531"/>
      <w:bookmarkEnd w:id="522"/>
      <w:bookmarkStart w:id="523" w:name="_Toc509667290"/>
      <w:bookmarkEnd w:id="523"/>
      <w:bookmarkStart w:id="524" w:name="_Toc22250"/>
      <w:bookmarkEnd w:id="524"/>
      <w:bookmarkStart w:id="525" w:name="_Toc9808"/>
      <w:bookmarkEnd w:id="525"/>
      <w:bookmarkStart w:id="526" w:name="_Toc1546"/>
      <w:bookmarkStart w:id="527" w:name="_Toc129073489"/>
      <w:bookmarkStart w:id="528" w:name="_Toc8448"/>
      <w:r>
        <w:rPr>
          <w:rFonts w:hint="eastAsia" w:ascii="宋体" w:hAnsi="宋体" w:eastAsia="宋体"/>
          <w:b/>
          <w:bCs/>
          <w:color w:val="auto"/>
          <w:sz w:val="21"/>
          <w:szCs w:val="21"/>
          <w:highlight w:val="none"/>
        </w:rPr>
        <w:t xml:space="preserve">6.1 </w:t>
      </w:r>
      <w:bookmarkEnd w:id="526"/>
      <w:r>
        <w:rPr>
          <w:rFonts w:hint="eastAsia" w:ascii="宋体" w:hAnsi="宋体" w:eastAsia="宋体"/>
          <w:b/>
          <w:bCs/>
          <w:color w:val="auto"/>
          <w:sz w:val="21"/>
          <w:szCs w:val="21"/>
          <w:highlight w:val="none"/>
        </w:rPr>
        <w:t>磋商小组</w:t>
      </w:r>
      <w:bookmarkEnd w:id="527"/>
      <w:bookmarkEnd w:id="528"/>
      <w:r>
        <w:rPr>
          <w:rFonts w:hint="eastAsia" w:ascii="宋体" w:hAnsi="宋体" w:eastAsia="宋体"/>
          <w:b/>
          <w:bCs/>
          <w:color w:val="auto"/>
          <w:sz w:val="21"/>
          <w:szCs w:val="21"/>
          <w:highlight w:val="none"/>
          <w:lang w:val="en-US" w:eastAsia="zh-CN"/>
        </w:rPr>
        <w:t>的组建</w:t>
      </w:r>
    </w:p>
    <w:p w14:paraId="1F9B8AAD">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磋商由采购人依法组建的磋商小组负责。磋商小组由采购人代表以及有关技术、经济等方面的专家组成。磋商小组成员人数以及技术、经济等方面专家的确定方式见供应商须知前附表。</w:t>
      </w:r>
    </w:p>
    <w:p w14:paraId="4076CB34">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529" w:name="_Toc490667860"/>
      <w:bookmarkEnd w:id="529"/>
      <w:bookmarkStart w:id="530" w:name="_Toc22143"/>
      <w:bookmarkEnd w:id="530"/>
      <w:bookmarkStart w:id="531" w:name="_Toc8248"/>
      <w:bookmarkEnd w:id="531"/>
      <w:bookmarkStart w:id="532" w:name="_Toc455080140"/>
      <w:bookmarkEnd w:id="532"/>
      <w:bookmarkStart w:id="533" w:name="_Toc509667291"/>
      <w:bookmarkEnd w:id="533"/>
      <w:bookmarkStart w:id="534" w:name="_Toc152045564"/>
      <w:bookmarkEnd w:id="534"/>
      <w:bookmarkStart w:id="535" w:name="_Toc144974532"/>
      <w:bookmarkEnd w:id="535"/>
      <w:bookmarkStart w:id="536" w:name="_Toc25721"/>
      <w:bookmarkEnd w:id="536"/>
      <w:bookmarkStart w:id="537" w:name="_Toc152042340"/>
      <w:bookmarkEnd w:id="537"/>
      <w:bookmarkStart w:id="538" w:name="_Toc455867800"/>
      <w:bookmarkEnd w:id="538"/>
      <w:bookmarkStart w:id="539" w:name="_Toc4435"/>
      <w:bookmarkEnd w:id="539"/>
      <w:bookmarkStart w:id="540" w:name="_Toc466298123"/>
      <w:bookmarkEnd w:id="540"/>
      <w:bookmarkStart w:id="541" w:name="_Toc318450707"/>
      <w:bookmarkEnd w:id="541"/>
      <w:bookmarkStart w:id="542" w:name="_Toc21102"/>
      <w:bookmarkEnd w:id="542"/>
      <w:bookmarkStart w:id="543" w:name="_Toc8961"/>
      <w:bookmarkStart w:id="544" w:name="_Toc129073490"/>
      <w:bookmarkStart w:id="545" w:name="_Toc8240"/>
      <w:r>
        <w:rPr>
          <w:rFonts w:hint="eastAsia" w:ascii="宋体" w:hAnsi="宋体" w:eastAsia="宋体"/>
          <w:b/>
          <w:bCs/>
          <w:color w:val="auto"/>
          <w:sz w:val="21"/>
          <w:szCs w:val="21"/>
          <w:highlight w:val="none"/>
        </w:rPr>
        <w:t>6.2 磋商原则</w:t>
      </w:r>
      <w:bookmarkEnd w:id="543"/>
      <w:bookmarkEnd w:id="544"/>
      <w:bookmarkEnd w:id="545"/>
    </w:p>
    <w:p w14:paraId="5BA74E3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磋商活动遵循客观、公正、审慎的原则。</w:t>
      </w:r>
    </w:p>
    <w:p w14:paraId="506E0B98">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546" w:name="_Toc455867801"/>
      <w:bookmarkEnd w:id="546"/>
      <w:bookmarkStart w:id="547" w:name="_Toc466298124"/>
      <w:bookmarkEnd w:id="547"/>
      <w:bookmarkStart w:id="548" w:name="_Toc15595"/>
      <w:bookmarkEnd w:id="548"/>
      <w:bookmarkStart w:id="549" w:name="_Toc318450708"/>
      <w:bookmarkEnd w:id="549"/>
      <w:bookmarkStart w:id="550" w:name="_Toc509667292"/>
      <w:bookmarkEnd w:id="550"/>
      <w:bookmarkStart w:id="551" w:name="_Toc144974533"/>
      <w:bookmarkEnd w:id="551"/>
      <w:bookmarkStart w:id="552" w:name="_Toc152042341"/>
      <w:bookmarkEnd w:id="552"/>
      <w:bookmarkStart w:id="553" w:name="_Toc455080141"/>
      <w:bookmarkEnd w:id="553"/>
      <w:bookmarkStart w:id="554" w:name="_Toc18756"/>
      <w:bookmarkEnd w:id="554"/>
      <w:bookmarkStart w:id="555" w:name="_Toc16725"/>
      <w:bookmarkEnd w:id="555"/>
      <w:bookmarkStart w:id="556" w:name="_Toc27036"/>
      <w:bookmarkEnd w:id="556"/>
      <w:bookmarkStart w:id="557" w:name="_Toc152045565"/>
      <w:bookmarkEnd w:id="557"/>
      <w:bookmarkStart w:id="558" w:name="_Toc8705"/>
      <w:bookmarkEnd w:id="558"/>
      <w:bookmarkStart w:id="559" w:name="_Toc24358"/>
      <w:bookmarkEnd w:id="559"/>
      <w:bookmarkStart w:id="560" w:name="_Toc490667861"/>
      <w:bookmarkStart w:id="561" w:name="_Toc3766"/>
      <w:bookmarkStart w:id="562" w:name="_Toc129073491"/>
      <w:r>
        <w:rPr>
          <w:rFonts w:hint="eastAsia" w:ascii="宋体" w:hAnsi="宋体" w:eastAsia="宋体"/>
          <w:b/>
          <w:bCs/>
          <w:color w:val="auto"/>
          <w:sz w:val="21"/>
          <w:szCs w:val="21"/>
          <w:highlight w:val="none"/>
        </w:rPr>
        <w:t xml:space="preserve">6.3 </w:t>
      </w:r>
      <w:bookmarkEnd w:id="560"/>
      <w:r>
        <w:rPr>
          <w:rFonts w:hint="eastAsia" w:ascii="宋体" w:hAnsi="宋体" w:eastAsia="宋体"/>
          <w:b/>
          <w:bCs/>
          <w:color w:val="auto"/>
          <w:sz w:val="21"/>
          <w:szCs w:val="21"/>
          <w:highlight w:val="none"/>
        </w:rPr>
        <w:t>磋商</w:t>
      </w:r>
      <w:bookmarkEnd w:id="561"/>
      <w:bookmarkEnd w:id="562"/>
    </w:p>
    <w:p w14:paraId="300F05C9">
      <w:pPr>
        <w:pStyle w:val="74"/>
        <w:keepNext w:val="0"/>
        <w:keepLines w:val="0"/>
        <w:adjustRightInd w:val="0"/>
        <w:snapToGrid w:val="0"/>
        <w:spacing w:line="440" w:lineRule="exact"/>
        <w:ind w:firstLine="420" w:firstLineChars="200"/>
        <w:outlineLvl w:val="9"/>
        <w:rPr>
          <w:rFonts w:hint="eastAsia" w:ascii="宋体" w:hAnsi="宋体" w:eastAsia="宋体"/>
          <w:color w:val="auto"/>
          <w:sz w:val="21"/>
          <w:szCs w:val="21"/>
          <w:highlight w:val="none"/>
        </w:rPr>
      </w:pPr>
      <w:bookmarkStart w:id="563" w:name="_Toc129073492"/>
      <w:bookmarkStart w:id="564" w:name="_Toc30173"/>
      <w:r>
        <w:rPr>
          <w:rFonts w:hint="eastAsia" w:ascii="宋体" w:hAnsi="宋体" w:eastAsia="宋体"/>
          <w:color w:val="auto"/>
          <w:sz w:val="21"/>
          <w:szCs w:val="21"/>
          <w:highlight w:val="none"/>
        </w:rPr>
        <w:t>6.3.1磋商小组按照第三章“评标办法”规定的方法、评审因素、标准和程序对响应文件进行评审。第三章“评标办法”没有规定的方法、评审因素和标准，不作为评标依据。</w:t>
      </w:r>
    </w:p>
    <w:p w14:paraId="4A6EA0F5">
      <w:pPr>
        <w:pStyle w:val="74"/>
        <w:keepNext w:val="0"/>
        <w:keepLines w:val="0"/>
        <w:adjustRightInd w:val="0"/>
        <w:snapToGrid w:val="0"/>
        <w:spacing w:line="440" w:lineRule="exact"/>
        <w:ind w:firstLine="420" w:firstLineChars="200"/>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6.3.2磋商过程中，磋商小组可以根据竞争性磋商文件和磋商情况实质性变动采购需求中的技术、服务要求以及合同草案条款，但不得变动竞争性磋商文件中的其他内容。实质性变动的内容，须经采购人代表确认。该变动是竞争性磋商文件的有效组成部分。对竞争性磋商文件作出的实质性变动是竞争性磋商文件的有效组成部分，磋商小组以书面形式同时通知所有参加磋商的供应商，并要求所有实质性响应的供应商在规定时间内提交最后报价，未提交最终报价的作为无效标处理。提交最终报价的供应商不得少于3家。</w:t>
      </w:r>
    </w:p>
    <w:p w14:paraId="0917D9CC">
      <w:pPr>
        <w:pStyle w:val="74"/>
        <w:keepNext w:val="0"/>
        <w:keepLines w:val="0"/>
        <w:adjustRightInd w:val="0"/>
        <w:snapToGrid w:val="0"/>
        <w:spacing w:line="440" w:lineRule="exact"/>
        <w:ind w:firstLine="420" w:firstLineChars="200"/>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6.3.3已提交响应文件的供应商，在提交最后报价之前，可以根据磋商情况退出磋商。</w:t>
      </w:r>
    </w:p>
    <w:p w14:paraId="19F0EAFC">
      <w:pPr>
        <w:pStyle w:val="74"/>
        <w:keepNext w:val="0"/>
        <w:keepLines w:val="0"/>
        <w:adjustRightInd w:val="0"/>
        <w:snapToGrid w:val="0"/>
        <w:spacing w:line="440" w:lineRule="exact"/>
        <w:ind w:firstLine="420" w:firstLineChars="200"/>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6.3.4经磋商确定最终采购需求和提交最后报价的供应商后，由磋商小组采用综合评分法对提交最后报价的供应商的响应文件和最后报价进行综合评分。</w:t>
      </w:r>
    </w:p>
    <w:p w14:paraId="2FF97483">
      <w:pPr>
        <w:pStyle w:val="74"/>
        <w:keepNext w:val="0"/>
        <w:keepLines w:val="0"/>
        <w:adjustRightInd w:val="0"/>
        <w:snapToGrid w:val="0"/>
        <w:spacing w:line="440" w:lineRule="exact"/>
        <w:ind w:firstLine="420" w:firstLineChars="200"/>
        <w:outlineLvl w:val="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6.3.5评审完成后，磋商小组应当向采购人提交书面评标报告和成交候选供应商名单。磋商小组推荐成交候选供应商数量见供应商须知前附表。</w:t>
      </w:r>
      <w:bookmarkEnd w:id="563"/>
      <w:bookmarkEnd w:id="564"/>
    </w:p>
    <w:p w14:paraId="461CF82B">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565" w:name="_Toc152045566"/>
      <w:bookmarkEnd w:id="565"/>
      <w:bookmarkStart w:id="566" w:name="_Toc152042342"/>
      <w:bookmarkEnd w:id="566"/>
      <w:bookmarkStart w:id="567" w:name="_Toc455080142"/>
      <w:bookmarkEnd w:id="567"/>
      <w:bookmarkStart w:id="568" w:name="_Toc144974534"/>
      <w:bookmarkEnd w:id="568"/>
      <w:bookmarkStart w:id="569" w:name="_Toc509667293"/>
      <w:bookmarkEnd w:id="569"/>
      <w:bookmarkStart w:id="570" w:name="_Toc842"/>
      <w:bookmarkStart w:id="571" w:name="_Toc1877"/>
      <w:bookmarkStart w:id="572" w:name="_Toc19595"/>
      <w:bookmarkStart w:id="573" w:name="_Toc17437"/>
      <w:bookmarkStart w:id="574" w:name="_Toc23413"/>
      <w:r>
        <w:rPr>
          <w:rFonts w:hint="eastAsia" w:ascii="宋体" w:hAnsi="宋体" w:eastAsia="宋体"/>
          <w:b/>
          <w:bCs w:val="0"/>
          <w:color w:val="auto"/>
          <w:sz w:val="21"/>
          <w:szCs w:val="21"/>
          <w:highlight w:val="none"/>
        </w:rPr>
        <w:t>7. 合同授予</w:t>
      </w:r>
      <w:bookmarkEnd w:id="570"/>
      <w:bookmarkEnd w:id="571"/>
      <w:bookmarkEnd w:id="572"/>
      <w:bookmarkEnd w:id="573"/>
      <w:bookmarkEnd w:id="574"/>
    </w:p>
    <w:p w14:paraId="5EB28590">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575" w:name="_Toc144974535"/>
      <w:bookmarkEnd w:id="575"/>
      <w:bookmarkStart w:id="576" w:name="_Toc14528"/>
      <w:bookmarkEnd w:id="576"/>
      <w:bookmarkStart w:id="577" w:name="_Toc7358"/>
      <w:bookmarkEnd w:id="577"/>
      <w:bookmarkStart w:id="578" w:name="_Toc466298126"/>
      <w:bookmarkEnd w:id="578"/>
      <w:bookmarkStart w:id="579" w:name="_Toc455867803"/>
      <w:bookmarkEnd w:id="579"/>
      <w:bookmarkStart w:id="580" w:name="_Toc318450710"/>
      <w:bookmarkEnd w:id="580"/>
      <w:bookmarkStart w:id="581" w:name="_Toc28919"/>
      <w:bookmarkEnd w:id="581"/>
      <w:bookmarkStart w:id="582" w:name="_Toc152045567"/>
      <w:bookmarkEnd w:id="582"/>
      <w:bookmarkStart w:id="583" w:name="_Toc490667863"/>
      <w:bookmarkEnd w:id="583"/>
      <w:bookmarkStart w:id="584" w:name="_Toc29664"/>
      <w:bookmarkEnd w:id="584"/>
      <w:bookmarkStart w:id="585" w:name="_Toc509667294"/>
      <w:bookmarkEnd w:id="585"/>
      <w:bookmarkStart w:id="586" w:name="_Toc455080143"/>
      <w:bookmarkEnd w:id="586"/>
      <w:bookmarkStart w:id="587" w:name="_Toc11409"/>
      <w:bookmarkEnd w:id="587"/>
      <w:bookmarkStart w:id="588" w:name="_Toc152042343"/>
      <w:bookmarkEnd w:id="588"/>
      <w:bookmarkStart w:id="589" w:name="_Toc3404"/>
      <w:bookmarkStart w:id="590" w:name="_Toc129073494"/>
      <w:bookmarkStart w:id="591" w:name="_Toc25316"/>
      <w:r>
        <w:rPr>
          <w:rFonts w:hint="eastAsia" w:ascii="宋体" w:hAnsi="宋体" w:eastAsia="宋体"/>
          <w:b/>
          <w:bCs/>
          <w:color w:val="auto"/>
          <w:sz w:val="21"/>
          <w:szCs w:val="21"/>
          <w:highlight w:val="none"/>
        </w:rPr>
        <w:t>7.1 定标方式</w:t>
      </w:r>
      <w:bookmarkEnd w:id="589"/>
      <w:bookmarkEnd w:id="590"/>
      <w:bookmarkEnd w:id="591"/>
    </w:p>
    <w:p w14:paraId="20F5D56F">
      <w:pPr>
        <w:adjustRightInd w:val="0"/>
        <w:snapToGrid w:val="0"/>
        <w:spacing w:line="440" w:lineRule="exact"/>
        <w:ind w:firstLine="420" w:firstLineChars="200"/>
        <w:rPr>
          <w:rFonts w:hint="eastAsia" w:ascii="宋体" w:hAnsi="宋体"/>
          <w:color w:val="auto"/>
          <w:highlight w:val="none"/>
        </w:rPr>
      </w:pPr>
      <w:bookmarkStart w:id="592" w:name="_Toc152045568"/>
      <w:bookmarkEnd w:id="592"/>
      <w:bookmarkStart w:id="593" w:name="_Toc144974536"/>
      <w:bookmarkEnd w:id="593"/>
      <w:bookmarkStart w:id="594" w:name="_Toc28254"/>
      <w:bookmarkEnd w:id="594"/>
      <w:bookmarkStart w:id="595" w:name="_Toc7066"/>
      <w:bookmarkEnd w:id="595"/>
      <w:bookmarkStart w:id="596" w:name="_Toc318450711"/>
      <w:bookmarkEnd w:id="596"/>
      <w:bookmarkStart w:id="597" w:name="_Toc152042344"/>
      <w:bookmarkEnd w:id="597"/>
      <w:bookmarkStart w:id="598" w:name="_Toc10868"/>
      <w:r>
        <w:rPr>
          <w:rFonts w:hint="eastAsia" w:ascii="宋体" w:hAnsi="宋体"/>
          <w:color w:val="auto"/>
          <w:highlight w:val="none"/>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bookmarkEnd w:id="598"/>
    </w:p>
    <w:p w14:paraId="605FBB95">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599" w:name="_Toc5428"/>
      <w:bookmarkEnd w:id="599"/>
      <w:bookmarkStart w:id="600" w:name="_Toc9897"/>
      <w:bookmarkEnd w:id="600"/>
      <w:bookmarkStart w:id="601" w:name="_Toc455867804"/>
      <w:bookmarkEnd w:id="601"/>
      <w:bookmarkStart w:id="602" w:name="_Toc455080144"/>
      <w:bookmarkEnd w:id="602"/>
      <w:bookmarkStart w:id="603" w:name="_Toc490667864"/>
      <w:bookmarkEnd w:id="603"/>
      <w:bookmarkStart w:id="604" w:name="_Toc15825"/>
      <w:bookmarkEnd w:id="604"/>
      <w:bookmarkStart w:id="605" w:name="_Toc466298127"/>
      <w:bookmarkEnd w:id="605"/>
      <w:bookmarkStart w:id="606" w:name="_Toc129073495"/>
      <w:bookmarkStart w:id="607" w:name="_Toc10134"/>
      <w:bookmarkStart w:id="608" w:name="_Toc509667295"/>
      <w:r>
        <w:rPr>
          <w:rFonts w:hint="eastAsia" w:ascii="宋体" w:hAnsi="宋体" w:eastAsia="宋体"/>
          <w:b/>
          <w:bCs/>
          <w:color w:val="auto"/>
          <w:sz w:val="21"/>
          <w:szCs w:val="21"/>
          <w:highlight w:val="none"/>
        </w:rPr>
        <w:t>7.2 成交通知</w:t>
      </w:r>
      <w:bookmarkEnd w:id="606"/>
      <w:bookmarkEnd w:id="607"/>
      <w:bookmarkEnd w:id="608"/>
    </w:p>
    <w:p w14:paraId="45B1525C">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采购代理机构应当自评审结束之日起 2 个工作日内将评审报告送交采购人。采购人应当自收到评审报告之日起 5 个工作日内按评审报告中推荐的成交候选人顺序确定成交人。采购人或者采购代理机构应当自成交人确定之日起 2 个工作日内在省级以上人民政府财政部门指定的媒体上公告成交结果。</w:t>
      </w:r>
    </w:p>
    <w:p w14:paraId="4DA04F1F">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在公告成交结果的同时，采购人或者采购代理机构应当向成交供应商发出成交通知书，对未通过资格审查的供应商，告知其未通过的原因并公告成交人得分及排序。</w:t>
      </w:r>
    </w:p>
    <w:p w14:paraId="3FA53991">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609" w:name="_Toc21271"/>
      <w:bookmarkEnd w:id="609"/>
      <w:bookmarkStart w:id="610" w:name="_Toc26915"/>
      <w:bookmarkEnd w:id="610"/>
      <w:bookmarkStart w:id="611" w:name="_Toc24026"/>
      <w:bookmarkEnd w:id="611"/>
      <w:bookmarkStart w:id="612" w:name="_Toc152045570"/>
      <w:bookmarkEnd w:id="612"/>
      <w:bookmarkStart w:id="613" w:name="_Toc466298128"/>
      <w:bookmarkEnd w:id="613"/>
      <w:bookmarkStart w:id="614" w:name="_Toc490667865"/>
      <w:bookmarkEnd w:id="614"/>
      <w:bookmarkStart w:id="615" w:name="_Toc509667296"/>
      <w:bookmarkEnd w:id="615"/>
      <w:bookmarkStart w:id="616" w:name="_Toc13147"/>
      <w:bookmarkEnd w:id="616"/>
      <w:bookmarkStart w:id="617" w:name="_Toc144974538"/>
      <w:bookmarkEnd w:id="617"/>
      <w:bookmarkStart w:id="618" w:name="_Toc455867805"/>
      <w:bookmarkEnd w:id="618"/>
      <w:bookmarkStart w:id="619" w:name="_Toc152042346"/>
      <w:bookmarkEnd w:id="619"/>
      <w:bookmarkStart w:id="620" w:name="_Toc15458"/>
      <w:bookmarkEnd w:id="620"/>
      <w:bookmarkStart w:id="621" w:name="_Toc455080145"/>
      <w:bookmarkEnd w:id="621"/>
      <w:bookmarkStart w:id="622" w:name="_Toc8886"/>
      <w:bookmarkEnd w:id="622"/>
      <w:bookmarkStart w:id="623" w:name="_Toc129073496"/>
      <w:bookmarkStart w:id="624" w:name="_Toc564"/>
      <w:bookmarkStart w:id="625" w:name="_Toc318450712"/>
      <w:r>
        <w:rPr>
          <w:rFonts w:hint="eastAsia" w:ascii="宋体" w:hAnsi="宋体" w:eastAsia="宋体"/>
          <w:b/>
          <w:bCs/>
          <w:color w:val="auto"/>
          <w:sz w:val="21"/>
          <w:szCs w:val="21"/>
          <w:highlight w:val="none"/>
        </w:rPr>
        <w:t>7.3 履约保证金</w:t>
      </w:r>
      <w:bookmarkEnd w:id="623"/>
      <w:bookmarkEnd w:id="624"/>
      <w:bookmarkEnd w:id="625"/>
    </w:p>
    <w:p w14:paraId="667AD01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7.3.1 在签订合同前，成交供应商应按供应商须知前附表规定的金额、担保形式和竞争性磋商文件第四章“合同条款及格式”规定的履约担保格式向采购人提交履约担保。</w:t>
      </w:r>
    </w:p>
    <w:p w14:paraId="64BFDE9F">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7.3.2 成交供应商不能按本章第7.3.1 项要求提交履约担保的，视为放弃中标，给采购人造成的损失较大的，成交供应商还应当对超过部分予以赔偿。</w:t>
      </w:r>
      <w:bookmarkStart w:id="626" w:name="_Toc129073497"/>
    </w:p>
    <w:p w14:paraId="62032567">
      <w:pPr>
        <w:pStyle w:val="74"/>
        <w:keepNext w:val="0"/>
        <w:keepLines w:val="0"/>
        <w:adjustRightInd w:val="0"/>
        <w:snapToGrid w:val="0"/>
        <w:spacing w:line="440" w:lineRule="exact"/>
        <w:rPr>
          <w:rFonts w:hint="eastAsia" w:ascii="宋体" w:hAnsi="宋体" w:eastAsia="宋体"/>
          <w:b/>
          <w:bCs/>
          <w:color w:val="auto"/>
          <w:sz w:val="21"/>
          <w:szCs w:val="21"/>
          <w:highlight w:val="none"/>
        </w:rPr>
      </w:pPr>
      <w:bookmarkStart w:id="627" w:name="_Toc16026"/>
      <w:r>
        <w:rPr>
          <w:rFonts w:hint="eastAsia" w:ascii="宋体" w:hAnsi="宋体" w:eastAsia="宋体"/>
          <w:b/>
          <w:bCs/>
          <w:color w:val="auto"/>
          <w:sz w:val="21"/>
          <w:szCs w:val="21"/>
          <w:highlight w:val="none"/>
        </w:rPr>
        <w:t>7.4 签订合同</w:t>
      </w:r>
      <w:bookmarkEnd w:id="626"/>
      <w:bookmarkEnd w:id="627"/>
    </w:p>
    <w:p w14:paraId="13A56C2A">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7.4.1 采购人应当自成交通知书发出之日起15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14:paraId="50CE7E3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7.4.2 发出成交通知书后，成交供应商无正当理由拒签合同的，采购人取消其中标资格；给采购人造成的损失较大的，成交供应商还应当予以赔偿；采购人无正当理由拒签合同，给成交供应商造成损失的，还应当赔偿损失。</w:t>
      </w:r>
    </w:p>
    <w:p w14:paraId="68858ED9">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7.4.3采购人需追加（或减少）与合同标的相同的服务的，在不改变合同其它条款的前提下，可以与供应商签订补充合同，但所有补充合同的采购金额不得超过原合同金额的百分之十，</w:t>
      </w:r>
      <w:r>
        <w:rPr>
          <w:rFonts w:hint="eastAsia" w:ascii="宋体" w:hAnsi="宋体"/>
          <w:color w:val="auto"/>
          <w:highlight w:val="none"/>
          <w:lang w:eastAsia="zh-CN"/>
        </w:rPr>
        <w:t>且合并不得超过预算总额。补充合同</w:t>
      </w:r>
      <w:r>
        <w:rPr>
          <w:rFonts w:hint="eastAsia" w:ascii="宋体" w:hAnsi="宋体"/>
          <w:color w:val="auto"/>
          <w:highlight w:val="none"/>
        </w:rPr>
        <w:t>不得对服务内容、单价或其它实质性条款和条件做任何改变。</w:t>
      </w:r>
    </w:p>
    <w:p w14:paraId="7A73D74E">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628" w:name="_Toc455080146"/>
      <w:bookmarkEnd w:id="628"/>
      <w:bookmarkStart w:id="629" w:name="_Toc152045574"/>
      <w:bookmarkEnd w:id="629"/>
      <w:bookmarkStart w:id="630" w:name="_Toc31386"/>
      <w:bookmarkEnd w:id="630"/>
      <w:bookmarkStart w:id="631" w:name="_Toc509667297"/>
      <w:bookmarkEnd w:id="631"/>
      <w:bookmarkStart w:id="632" w:name="_Toc152042350"/>
      <w:bookmarkEnd w:id="632"/>
      <w:bookmarkStart w:id="633" w:name="_Toc144974542"/>
      <w:bookmarkEnd w:id="633"/>
      <w:bookmarkStart w:id="634" w:name="_Toc21693"/>
      <w:bookmarkStart w:id="635" w:name="_Toc2710"/>
      <w:bookmarkStart w:id="636" w:name="_Toc10408"/>
      <w:bookmarkStart w:id="637" w:name="_Toc535"/>
      <w:r>
        <w:rPr>
          <w:rFonts w:hint="eastAsia" w:ascii="宋体" w:hAnsi="宋体" w:eastAsia="宋体"/>
          <w:b/>
          <w:bCs w:val="0"/>
          <w:color w:val="auto"/>
          <w:sz w:val="21"/>
          <w:szCs w:val="21"/>
          <w:highlight w:val="none"/>
        </w:rPr>
        <w:t>8. 重新招标</w:t>
      </w:r>
      <w:bookmarkEnd w:id="634"/>
      <w:bookmarkEnd w:id="635"/>
      <w:bookmarkEnd w:id="636"/>
      <w:bookmarkEnd w:id="637"/>
    </w:p>
    <w:p w14:paraId="0B8DBD05">
      <w:pPr>
        <w:adjustRightInd w:val="0"/>
        <w:snapToGrid w:val="0"/>
        <w:spacing w:line="440" w:lineRule="exact"/>
        <w:ind w:firstLine="480"/>
        <w:rPr>
          <w:rFonts w:hint="eastAsia" w:ascii="宋体" w:hAnsi="宋体"/>
          <w:color w:val="auto"/>
          <w:highlight w:val="none"/>
        </w:rPr>
      </w:pPr>
      <w:bookmarkStart w:id="638" w:name="_Toc16556"/>
      <w:bookmarkEnd w:id="638"/>
      <w:r>
        <w:rPr>
          <w:rFonts w:hint="eastAsia" w:ascii="宋体" w:hAnsi="宋体"/>
          <w:color w:val="auto"/>
          <w:highlight w:val="none"/>
        </w:rPr>
        <w:t>出现下列情形之一的，采购人或者采购代理机构应当终止竞争性磋商采购活动，发布项目终止公告并说明原因，重新开展采购活动：</w:t>
      </w:r>
    </w:p>
    <w:p w14:paraId="62D7AAC9">
      <w:pPr>
        <w:adjustRightInd w:val="0"/>
        <w:snapToGrid w:val="0"/>
        <w:spacing w:line="440" w:lineRule="exact"/>
        <w:ind w:firstLine="480"/>
        <w:rPr>
          <w:rFonts w:hint="eastAsia" w:ascii="宋体" w:hAnsi="宋体"/>
          <w:color w:val="auto"/>
          <w:highlight w:val="none"/>
        </w:rPr>
      </w:pPr>
      <w:r>
        <w:rPr>
          <w:rFonts w:hint="eastAsia" w:ascii="宋体" w:hAnsi="宋体"/>
          <w:color w:val="auto"/>
          <w:highlight w:val="none"/>
        </w:rPr>
        <w:t>（一）因情况变化，不再符合规定的竞争性磋商采购方式适用情形的；</w:t>
      </w:r>
    </w:p>
    <w:p w14:paraId="350156F1">
      <w:pPr>
        <w:adjustRightInd w:val="0"/>
        <w:snapToGrid w:val="0"/>
        <w:spacing w:line="440" w:lineRule="exact"/>
        <w:ind w:firstLine="480"/>
        <w:rPr>
          <w:rFonts w:hint="eastAsia" w:ascii="宋体" w:hAnsi="宋体"/>
          <w:color w:val="auto"/>
          <w:highlight w:val="none"/>
        </w:rPr>
      </w:pPr>
      <w:r>
        <w:rPr>
          <w:rFonts w:hint="eastAsia" w:ascii="宋体" w:hAnsi="宋体"/>
          <w:color w:val="auto"/>
          <w:highlight w:val="none"/>
        </w:rPr>
        <w:t>（二）出现影响采购公正的违法、违规行为的；</w:t>
      </w:r>
    </w:p>
    <w:p w14:paraId="032D7E02">
      <w:pPr>
        <w:adjustRightInd w:val="0"/>
        <w:snapToGrid w:val="0"/>
        <w:spacing w:line="440" w:lineRule="exact"/>
        <w:ind w:firstLine="480"/>
        <w:rPr>
          <w:rFonts w:hint="eastAsia" w:ascii="宋体" w:hAnsi="宋体"/>
          <w:color w:val="auto"/>
          <w:highlight w:val="none"/>
        </w:rPr>
      </w:pPr>
      <w:r>
        <w:rPr>
          <w:rFonts w:hint="eastAsia" w:ascii="宋体" w:hAnsi="宋体"/>
          <w:color w:val="auto"/>
          <w:highlight w:val="none"/>
        </w:rPr>
        <w:t>（三）除《政府采购竞争性磋商采购方式管理暂行办法》第二十一条第三款规定的情形外，在采购过程中符合要求的供应商或者报价未超过采购预算的供应商不足 3 家的。</w:t>
      </w:r>
      <w:bookmarkStart w:id="639" w:name="_Toc16204"/>
      <w:bookmarkEnd w:id="639"/>
      <w:bookmarkStart w:id="640" w:name="_Toc509667298"/>
      <w:bookmarkEnd w:id="640"/>
      <w:bookmarkStart w:id="641" w:name="_Toc455080147"/>
    </w:p>
    <w:p w14:paraId="192A7A9A">
      <w:pPr>
        <w:pStyle w:val="87"/>
        <w:keepNext w:val="0"/>
        <w:keepLines w:val="0"/>
        <w:adjustRightInd w:val="0"/>
        <w:snapToGrid w:val="0"/>
        <w:spacing w:before="0" w:line="440" w:lineRule="exact"/>
        <w:ind w:firstLine="105" w:firstLineChars="50"/>
        <w:rPr>
          <w:rFonts w:hint="eastAsia" w:ascii="宋体" w:hAnsi="宋体" w:eastAsia="宋体"/>
          <w:b/>
          <w:bCs w:val="0"/>
          <w:color w:val="auto"/>
          <w:sz w:val="21"/>
          <w:szCs w:val="21"/>
          <w:highlight w:val="none"/>
        </w:rPr>
      </w:pPr>
      <w:bookmarkStart w:id="642" w:name="_Toc12617"/>
      <w:bookmarkStart w:id="643" w:name="_Toc22528"/>
      <w:bookmarkStart w:id="644" w:name="_Toc15862"/>
      <w:bookmarkStart w:id="645" w:name="_Toc25064"/>
      <w:r>
        <w:rPr>
          <w:rFonts w:hint="eastAsia" w:ascii="宋体" w:hAnsi="宋体" w:eastAsia="宋体"/>
          <w:b/>
          <w:bCs w:val="0"/>
          <w:color w:val="auto"/>
          <w:sz w:val="21"/>
          <w:szCs w:val="21"/>
          <w:highlight w:val="none"/>
        </w:rPr>
        <w:t>9. 纪律和监督</w:t>
      </w:r>
      <w:bookmarkEnd w:id="641"/>
      <w:bookmarkEnd w:id="642"/>
      <w:bookmarkEnd w:id="643"/>
      <w:bookmarkEnd w:id="644"/>
      <w:bookmarkEnd w:id="645"/>
    </w:p>
    <w:p w14:paraId="6FEDF6BD">
      <w:pPr>
        <w:pStyle w:val="79"/>
        <w:keepNext w:val="0"/>
        <w:keepLines w:val="0"/>
        <w:adjustRightInd w:val="0"/>
        <w:snapToGrid w:val="0"/>
        <w:spacing w:line="440" w:lineRule="exact"/>
        <w:rPr>
          <w:rStyle w:val="69"/>
          <w:rFonts w:hint="eastAsia" w:ascii="宋体" w:hAnsi="宋体" w:cs="宋体"/>
          <w:color w:val="auto"/>
          <w:highlight w:val="none"/>
        </w:rPr>
      </w:pPr>
      <w:bookmarkStart w:id="646" w:name="_Toc1282"/>
      <w:bookmarkEnd w:id="646"/>
      <w:bookmarkStart w:id="647" w:name="_Toc152042351"/>
      <w:bookmarkEnd w:id="647"/>
      <w:bookmarkStart w:id="648" w:name="_Toc15592"/>
      <w:bookmarkEnd w:id="648"/>
      <w:bookmarkStart w:id="649" w:name="_Toc12992"/>
      <w:bookmarkEnd w:id="649"/>
      <w:bookmarkStart w:id="650" w:name="_Toc318450714"/>
      <w:bookmarkEnd w:id="650"/>
      <w:bookmarkStart w:id="651" w:name="_Toc152045575"/>
      <w:bookmarkEnd w:id="651"/>
      <w:bookmarkStart w:id="652" w:name="_Toc13970"/>
      <w:bookmarkEnd w:id="652"/>
      <w:bookmarkStart w:id="653" w:name="_Toc455867808"/>
      <w:bookmarkEnd w:id="653"/>
      <w:bookmarkStart w:id="654" w:name="_Toc20009"/>
      <w:bookmarkEnd w:id="654"/>
      <w:bookmarkStart w:id="655" w:name="_Toc509667299"/>
      <w:bookmarkEnd w:id="655"/>
      <w:bookmarkStart w:id="656" w:name="_Toc455080148"/>
      <w:bookmarkEnd w:id="656"/>
      <w:bookmarkStart w:id="657" w:name="_Toc144974543"/>
      <w:bookmarkEnd w:id="657"/>
      <w:bookmarkStart w:id="658" w:name="_Toc19159"/>
      <w:bookmarkEnd w:id="658"/>
      <w:bookmarkStart w:id="659" w:name="_Toc490667868"/>
      <w:bookmarkEnd w:id="659"/>
      <w:bookmarkStart w:id="660" w:name="_Toc129073500"/>
      <w:bookmarkStart w:id="661" w:name="_Toc466298131"/>
      <w:r>
        <w:rPr>
          <w:rStyle w:val="69"/>
          <w:rFonts w:hint="eastAsia" w:ascii="宋体" w:hAnsi="宋体" w:cs="宋体"/>
          <w:color w:val="auto"/>
          <w:highlight w:val="none"/>
        </w:rPr>
        <w:t>9.1 对采购人的纪律要求</w:t>
      </w:r>
    </w:p>
    <w:p w14:paraId="19A1BF85">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采购人不得泄漏招标投标活动中应当保密的情况和资料，不得与供应商串通损害国家利益、社会公共利益或者他人合法权益。</w:t>
      </w:r>
    </w:p>
    <w:p w14:paraId="03195F58">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有下列情形之一的，属于采购人与供应商串通投标：</w:t>
      </w:r>
    </w:p>
    <w:p w14:paraId="469BF528">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（一）采购人在开标前开启响应文件并将有关信息泄露给其他供应商；</w:t>
      </w:r>
    </w:p>
    <w:p w14:paraId="6236DDC8">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（二）采购人直接或者间接向供应商泄露标底、磋商小组成员等信息；</w:t>
      </w:r>
    </w:p>
    <w:p w14:paraId="08F2C45D">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（三）采购人明示或者暗示供应商压低或者抬高磋商报价；</w:t>
      </w:r>
    </w:p>
    <w:p w14:paraId="0AD46C5C">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（四）采购人授意供应商撤换、修改响应文件；</w:t>
      </w:r>
    </w:p>
    <w:p w14:paraId="6BD4BEE5">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（五）采购人明示或者暗示供应商为特定供应商中标提供方便；</w:t>
      </w:r>
    </w:p>
    <w:p w14:paraId="2277DEBA">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（六）采购人与供应商为谋求特定供应商中标而采取的其他串通行为。</w:t>
      </w:r>
    </w:p>
    <w:p w14:paraId="3925B88E">
      <w:pPr>
        <w:pStyle w:val="79"/>
        <w:keepNext w:val="0"/>
        <w:keepLines w:val="0"/>
        <w:adjustRightInd w:val="0"/>
        <w:snapToGrid w:val="0"/>
        <w:spacing w:line="440" w:lineRule="exact"/>
        <w:rPr>
          <w:rStyle w:val="69"/>
          <w:rFonts w:hint="eastAsia" w:ascii="宋体" w:hAnsi="宋体" w:cs="宋体"/>
          <w:color w:val="auto"/>
          <w:highlight w:val="none"/>
        </w:rPr>
      </w:pPr>
      <w:r>
        <w:rPr>
          <w:rStyle w:val="69"/>
          <w:rFonts w:hint="eastAsia" w:ascii="宋体" w:hAnsi="宋体" w:cs="宋体"/>
          <w:color w:val="auto"/>
          <w:highlight w:val="none"/>
        </w:rPr>
        <w:t>9.2 对供应商的纪律要求</w:t>
      </w:r>
    </w:p>
    <w:p w14:paraId="323CA408">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供应商不得相互串通投标或者与采购人串通投标，不得向采购人或者磋商小组成员行贿谋取中标，不得以他人名义投标或者以其他方式弄虚作假骗取中标；供应商不得以任何方式干扰、影响评审工作。</w:t>
      </w:r>
    </w:p>
    <w:p w14:paraId="458CA1D0">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9.2.1 有下列情形之一的，视为供应商相互串通投标，其投标无效：</w:t>
      </w:r>
    </w:p>
    <w:p w14:paraId="6A94F0B2">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（一）不同供应商的电子投标（响应）文件上传计算机的网卡MAC地址、CPU序列号和硬盘序列号等硬件信息相同的；</w:t>
      </w:r>
    </w:p>
    <w:p w14:paraId="1544E655">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（二）不同供应商的投标（响应）文件由同一电子设备编制、打印加密或者上传；</w:t>
      </w:r>
    </w:p>
    <w:p w14:paraId="0B67A83A">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（三）不同供应商的投标（响应）文件由同一人送达或者分发，或者不同供应商联系人为同一人或不同联系人的联系电话一致的；</w:t>
      </w:r>
    </w:p>
    <w:p w14:paraId="36F7CD0A">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w:t>
      </w:r>
      <w:r>
        <w:rPr>
          <w:rStyle w:val="69"/>
          <w:rFonts w:hint="eastAsia" w:ascii="宋体" w:hAnsi="宋体" w:cs="宋体"/>
          <w:b/>
          <w:bCs/>
          <w:color w:val="auto"/>
          <w:highlight w:val="none"/>
          <w:lang w:val="en-US" w:eastAsia="zh-CN"/>
        </w:rPr>
        <w:t>四</w:t>
      </w:r>
      <w:r>
        <w:rPr>
          <w:rStyle w:val="69"/>
          <w:rFonts w:hint="eastAsia" w:ascii="宋体" w:hAnsi="宋体" w:cs="宋体"/>
          <w:b/>
          <w:bCs/>
          <w:color w:val="auto"/>
          <w:highlight w:val="none"/>
        </w:rPr>
        <w:t>）不同供应商的投标（响应）文件的内容存在两处以上细节错误一致；</w:t>
      </w:r>
    </w:p>
    <w:p w14:paraId="0521DB71">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w:t>
      </w:r>
      <w:r>
        <w:rPr>
          <w:rStyle w:val="69"/>
          <w:rFonts w:hint="eastAsia" w:ascii="宋体" w:hAnsi="宋体" w:cs="宋体"/>
          <w:b/>
          <w:bCs/>
          <w:color w:val="auto"/>
          <w:highlight w:val="none"/>
          <w:lang w:val="en-US" w:eastAsia="zh-CN"/>
        </w:rPr>
        <w:t>五</w:t>
      </w:r>
      <w:r>
        <w:rPr>
          <w:rStyle w:val="69"/>
          <w:rFonts w:hint="eastAsia" w:ascii="宋体" w:hAnsi="宋体" w:cs="宋体"/>
          <w:b/>
          <w:bCs/>
          <w:color w:val="auto"/>
          <w:highlight w:val="none"/>
        </w:rPr>
        <w:t>）不同供应商的法定代表人、委托代理人、项目经理、项目负责人等由同一个单位缴纳社会保险或者领取报酬的；</w:t>
      </w:r>
    </w:p>
    <w:p w14:paraId="3D81CECE">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w:t>
      </w:r>
      <w:r>
        <w:rPr>
          <w:rStyle w:val="69"/>
          <w:rFonts w:hint="eastAsia" w:ascii="宋体" w:hAnsi="宋体" w:cs="宋体"/>
          <w:b/>
          <w:bCs/>
          <w:color w:val="auto"/>
          <w:highlight w:val="none"/>
          <w:lang w:val="en-US" w:eastAsia="zh-CN"/>
        </w:rPr>
        <w:t>六</w:t>
      </w:r>
      <w:r>
        <w:rPr>
          <w:rStyle w:val="69"/>
          <w:rFonts w:hint="eastAsia" w:ascii="宋体" w:hAnsi="宋体" w:cs="宋体"/>
          <w:b/>
          <w:bCs/>
          <w:color w:val="auto"/>
          <w:highlight w:val="none"/>
        </w:rPr>
        <w:t>）不同供应商投标（响应）文件中法定代表人或者负责人签字出自同一人之手；</w:t>
      </w:r>
    </w:p>
    <w:p w14:paraId="1363F9AA">
      <w:pPr>
        <w:adjustRightInd w:val="0"/>
        <w:snapToGrid w:val="0"/>
        <w:spacing w:line="440" w:lineRule="exact"/>
        <w:ind w:firstLine="422" w:firstLineChars="200"/>
        <w:rPr>
          <w:rStyle w:val="69"/>
          <w:rFonts w:hint="eastAsia" w:ascii="宋体" w:hAnsi="宋体" w:cs="宋体"/>
          <w:b/>
          <w:bCs/>
          <w:color w:val="auto"/>
          <w:highlight w:val="none"/>
        </w:rPr>
      </w:pPr>
      <w:r>
        <w:rPr>
          <w:rStyle w:val="69"/>
          <w:rFonts w:hint="eastAsia" w:ascii="宋体" w:hAnsi="宋体" w:cs="宋体"/>
          <w:b/>
          <w:bCs/>
          <w:color w:val="auto"/>
          <w:highlight w:val="none"/>
        </w:rPr>
        <w:t>（</w:t>
      </w:r>
      <w:r>
        <w:rPr>
          <w:rStyle w:val="69"/>
          <w:rFonts w:hint="eastAsia" w:ascii="宋体" w:hAnsi="宋体" w:cs="宋体"/>
          <w:b/>
          <w:bCs/>
          <w:color w:val="auto"/>
          <w:highlight w:val="none"/>
          <w:lang w:val="en-US" w:eastAsia="zh-CN"/>
        </w:rPr>
        <w:t>七</w:t>
      </w:r>
      <w:r>
        <w:rPr>
          <w:rStyle w:val="69"/>
          <w:rFonts w:hint="eastAsia" w:ascii="宋体" w:hAnsi="宋体" w:cs="宋体"/>
          <w:b/>
          <w:bCs/>
          <w:color w:val="auto"/>
          <w:highlight w:val="none"/>
        </w:rPr>
        <w:t>）其它涉嫌串通的情形。</w:t>
      </w:r>
    </w:p>
    <w:p w14:paraId="5F7028A2">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9.2.2 有下列情形之一的，属于以他人名义投标：</w:t>
      </w:r>
    </w:p>
    <w:p w14:paraId="51657A69">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（一）使用通过受让或者租借等方式获取的资格、资质证书投标的。</w:t>
      </w:r>
    </w:p>
    <w:p w14:paraId="72E1B9DD">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9.2.3有下列情形之一的，属于以其他方式弄虚作假的行为：</w:t>
      </w:r>
    </w:p>
    <w:p w14:paraId="36B9163F">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（一）使用伪造、变造的许可证件；</w:t>
      </w:r>
    </w:p>
    <w:p w14:paraId="05621D46">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（二）提供虚假的财务状况或者业绩；</w:t>
      </w:r>
    </w:p>
    <w:p w14:paraId="348129A5">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（三）提供虚假的项目负责人或者主要技术人员简历、劳动关系证明；</w:t>
      </w:r>
    </w:p>
    <w:p w14:paraId="3E451BA5">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（四）提供虚假的信用状况；</w:t>
      </w:r>
    </w:p>
    <w:p w14:paraId="161D0DDB">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（五）其他弄虚作假的行为。</w:t>
      </w:r>
    </w:p>
    <w:p w14:paraId="6A14D979">
      <w:pPr>
        <w:pStyle w:val="79"/>
        <w:keepNext w:val="0"/>
        <w:keepLines w:val="0"/>
        <w:adjustRightInd w:val="0"/>
        <w:snapToGrid w:val="0"/>
        <w:spacing w:line="440" w:lineRule="exact"/>
        <w:rPr>
          <w:rStyle w:val="69"/>
          <w:rFonts w:hint="eastAsia" w:ascii="宋体" w:hAnsi="宋体" w:cs="宋体"/>
          <w:color w:val="auto"/>
          <w:highlight w:val="none"/>
        </w:rPr>
      </w:pPr>
      <w:r>
        <w:rPr>
          <w:rStyle w:val="69"/>
          <w:rFonts w:hint="eastAsia" w:ascii="宋体" w:hAnsi="宋体" w:cs="宋体"/>
          <w:color w:val="auto"/>
          <w:highlight w:val="none"/>
        </w:rPr>
        <w:t>9.3 对磋商小组成员的纪律要求</w:t>
      </w:r>
    </w:p>
    <w:p w14:paraId="25F98903">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（一）确定参与评审至评审结束前私自接触供应商；</w:t>
      </w:r>
    </w:p>
    <w:p w14:paraId="482A50AE">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（二）接受供应商提出的与响应文件不一致的澄清或者说明；</w:t>
      </w:r>
    </w:p>
    <w:p w14:paraId="4717E11B">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（三）违反评审纪律发表倾向性意见或者征询采购人的倾向性意见；</w:t>
      </w:r>
    </w:p>
    <w:p w14:paraId="07973430">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（四）对需要专业判断的主观评审因素协商评分；</w:t>
      </w:r>
    </w:p>
    <w:p w14:paraId="632C9504">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（五）在评审过程中擅离职守，影响评审程序正常进行的；</w:t>
      </w:r>
    </w:p>
    <w:p w14:paraId="7E31957B">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（六）记录、复制或者带走任何评审资料；</w:t>
      </w:r>
    </w:p>
    <w:p w14:paraId="7B55C52E">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（七）其他不遵守评审纪律的行为。</w:t>
      </w:r>
    </w:p>
    <w:p w14:paraId="20012CDA">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磋商小组成员有前款第一至五项行为之一的，其评审意见无效，并不得获取评审劳务报酬和报销异地评审差旅费。</w:t>
      </w:r>
    </w:p>
    <w:p w14:paraId="6950C357">
      <w:pPr>
        <w:pStyle w:val="79"/>
        <w:keepNext w:val="0"/>
        <w:keepLines w:val="0"/>
        <w:adjustRightInd w:val="0"/>
        <w:snapToGrid w:val="0"/>
        <w:spacing w:line="440" w:lineRule="exact"/>
        <w:rPr>
          <w:rStyle w:val="69"/>
          <w:rFonts w:hint="eastAsia" w:ascii="宋体" w:hAnsi="宋体" w:cs="宋体"/>
          <w:color w:val="auto"/>
          <w:highlight w:val="none"/>
        </w:rPr>
      </w:pPr>
      <w:r>
        <w:rPr>
          <w:rStyle w:val="69"/>
          <w:rFonts w:hint="eastAsia" w:ascii="宋体" w:hAnsi="宋体" w:cs="宋体"/>
          <w:color w:val="auto"/>
          <w:highlight w:val="none"/>
        </w:rPr>
        <w:t>9.4 对与评审活动有关的工作人员的纪律要求</w:t>
      </w:r>
    </w:p>
    <w:p w14:paraId="15D25580">
      <w:pPr>
        <w:adjustRightInd w:val="0"/>
        <w:snapToGrid w:val="0"/>
        <w:spacing w:line="440" w:lineRule="exact"/>
        <w:ind w:firstLine="420" w:firstLineChars="200"/>
        <w:rPr>
          <w:rStyle w:val="69"/>
          <w:rFonts w:hint="eastAsia" w:ascii="宋体" w:hAnsi="宋体" w:cs="宋体"/>
          <w:color w:val="auto"/>
          <w:highlight w:val="none"/>
        </w:rPr>
      </w:pPr>
      <w:r>
        <w:rPr>
          <w:rStyle w:val="69"/>
          <w:rFonts w:hint="eastAsia" w:ascii="宋体" w:hAnsi="宋体" w:cs="宋体"/>
          <w:color w:val="auto"/>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36FCF01">
      <w:pPr>
        <w:adjustRightInd w:val="0"/>
        <w:snapToGrid w:val="0"/>
        <w:spacing w:line="440" w:lineRule="exact"/>
        <w:rPr>
          <w:rFonts w:hint="eastAsia" w:ascii="宋体" w:hAnsi="宋体"/>
          <w:b/>
          <w:bCs/>
          <w:color w:val="auto"/>
          <w:highlight w:val="none"/>
        </w:rPr>
      </w:pPr>
      <w:r>
        <w:rPr>
          <w:rFonts w:hint="eastAsia" w:ascii="宋体" w:hAnsi="宋体"/>
          <w:b/>
          <w:bCs/>
          <w:color w:val="auto"/>
          <w:highlight w:val="none"/>
        </w:rPr>
        <w:t>9.5 质疑和投诉</w:t>
      </w:r>
    </w:p>
    <w:p w14:paraId="1993B9FD">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9.5.1供应商认为竞争性磋商文件、采购过程和成交结果使自己的权益受到损害的，可以在知道或者应知其权益受到损害之日起七个工作日内，以书面形式向采购代理机构提出质疑。（格式见本章附件1）</w:t>
      </w:r>
    </w:p>
    <w:p w14:paraId="7B21F56E">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9.5.2供应商应知其权益受到损害之日，是指：</w:t>
      </w:r>
    </w:p>
    <w:p w14:paraId="441E3EFB">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（1）对可以质疑的竞争性磋商文件提出质疑的，为收到竞争性磋商文件之日或者竞争性磋商文件公告期限届满之日；</w:t>
      </w:r>
    </w:p>
    <w:p w14:paraId="20FFE8EF">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（2）对采购过程提出质疑的，为各采购程序环节结束之日；</w:t>
      </w:r>
    </w:p>
    <w:p w14:paraId="4AAAD1C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（3）对成交结果提出质疑的，为成交结果公告期限届满之日。</w:t>
      </w:r>
    </w:p>
    <w:p w14:paraId="38A361C8">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9.5.3质疑供应商应按照财政部制定的《政府采购质疑函范本》格式（可从财政部官方网站下载）或本章附件1格式及《政府采购质疑和投诉办法》的要求，以书面形式提出质疑，针对同一采购程序环节的质疑次数应符合供应商须知前附表的规定。</w:t>
      </w:r>
    </w:p>
    <w:p w14:paraId="3BFCC7A1">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9.5.4超出法定质疑期提交的质疑将被拒绝。重复或分次提出的、内容或形式不符合《政府采购质疑和投诉办法》的，质疑供应商将依法承担不利后果。</w:t>
      </w:r>
    </w:p>
    <w:p w14:paraId="6ECFF109">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9.5.5质疑函接收部门、联系电话和通讯地址，见供应商须知前附表。</w:t>
      </w:r>
    </w:p>
    <w:p w14:paraId="61670895">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9.5.6采购人或采购代理机构在收到供应商的书面质疑后七个工作日内作出答复，并以书面形式通知质疑供应商和其他有关供应商，答复内容不涉及商业秘密。</w:t>
      </w:r>
    </w:p>
    <w:p w14:paraId="1FA8B013">
      <w:pPr>
        <w:pStyle w:val="87"/>
        <w:keepNext w:val="0"/>
        <w:keepLines w:val="0"/>
        <w:adjustRightInd w:val="0"/>
        <w:snapToGrid w:val="0"/>
        <w:spacing w:before="0" w:line="440" w:lineRule="exact"/>
        <w:rPr>
          <w:rFonts w:hint="eastAsia" w:ascii="宋体" w:hAnsi="宋体" w:eastAsia="宋体"/>
          <w:b/>
          <w:bCs w:val="0"/>
          <w:color w:val="auto"/>
          <w:sz w:val="21"/>
          <w:szCs w:val="21"/>
          <w:highlight w:val="none"/>
        </w:rPr>
      </w:pPr>
      <w:bookmarkStart w:id="662" w:name="_Toc6259"/>
      <w:bookmarkStart w:id="663" w:name="_Toc20771"/>
      <w:bookmarkStart w:id="664" w:name="_Toc12972"/>
      <w:bookmarkStart w:id="665" w:name="_Toc17931"/>
      <w:r>
        <w:rPr>
          <w:rFonts w:hint="eastAsia" w:ascii="宋体" w:hAnsi="宋体" w:eastAsia="宋体"/>
          <w:b/>
          <w:bCs w:val="0"/>
          <w:color w:val="auto"/>
          <w:sz w:val="21"/>
          <w:szCs w:val="21"/>
          <w:highlight w:val="none"/>
        </w:rPr>
        <w:t>10. 需要补充的其他内容</w:t>
      </w:r>
      <w:bookmarkEnd w:id="662"/>
      <w:bookmarkEnd w:id="663"/>
      <w:bookmarkEnd w:id="664"/>
      <w:bookmarkEnd w:id="665"/>
    </w:p>
    <w:p w14:paraId="430D3371">
      <w:pPr>
        <w:adjustRightInd w:val="0"/>
        <w:snapToGrid w:val="0"/>
        <w:spacing w:line="440" w:lineRule="exact"/>
        <w:ind w:firstLine="420" w:firstLineChars="200"/>
        <w:rPr>
          <w:rFonts w:hint="eastAsia" w:ascii="宋体" w:hAnsi="宋体"/>
          <w:color w:val="auto"/>
          <w:highlight w:val="none"/>
        </w:rPr>
      </w:pPr>
      <w:r>
        <w:rPr>
          <w:rFonts w:hint="eastAsia" w:ascii="宋体" w:hAnsi="宋体"/>
          <w:color w:val="auto"/>
          <w:highlight w:val="none"/>
        </w:rPr>
        <w:t>需要补充的其他内容：见供应商须知前附表。</w:t>
      </w:r>
    </w:p>
    <w:bookmarkEnd w:id="660"/>
    <w:bookmarkEnd w:id="661"/>
    <w:p w14:paraId="36BFF901">
      <w:pPr>
        <w:spacing w:line="360" w:lineRule="auto"/>
        <w:ind w:firstLine="420" w:firstLineChars="200"/>
        <w:rPr>
          <w:rFonts w:hint="eastAsia" w:ascii="宋体" w:hAnsi="宋体"/>
          <w:color w:val="auto"/>
          <w:highlight w:val="none"/>
        </w:rPr>
      </w:pPr>
      <w:bookmarkStart w:id="666" w:name="_Toc152045598"/>
      <w:bookmarkEnd w:id="666"/>
      <w:bookmarkStart w:id="667" w:name="_Toc152042375"/>
      <w:bookmarkEnd w:id="667"/>
      <w:bookmarkStart w:id="668" w:name="_Toc144974565"/>
      <w:bookmarkEnd w:id="668"/>
    </w:p>
    <w:p w14:paraId="4136FE59">
      <w:pPr>
        <w:rPr>
          <w:rFonts w:hint="eastAsia" w:ascii="宋体" w:hAnsi="宋体"/>
          <w:color w:val="auto"/>
          <w:highlight w:val="none"/>
        </w:rPr>
      </w:pPr>
      <w:r>
        <w:rPr>
          <w:rFonts w:hint="eastAsia" w:ascii="宋体" w:hAnsi="宋体"/>
          <w:color w:val="auto"/>
          <w:highlight w:val="none"/>
        </w:rPr>
        <w:br w:type="page"/>
      </w:r>
    </w:p>
    <w:p w14:paraId="6A6C28E5">
      <w:pPr>
        <w:spacing w:line="360" w:lineRule="auto"/>
        <w:jc w:val="left"/>
        <w:rPr>
          <w:color w:val="auto"/>
          <w:highlight w:val="none"/>
        </w:rPr>
      </w:pPr>
      <w:bookmarkStart w:id="669" w:name="_Toc134452819"/>
      <w:r>
        <w:rPr>
          <w:rFonts w:hint="eastAsia"/>
          <w:color w:val="auto"/>
          <w:highlight w:val="none"/>
        </w:rPr>
        <w:t>附件1：质疑函格式（统一格式，需提供原件）</w:t>
      </w:r>
      <w:bookmarkEnd w:id="669"/>
    </w:p>
    <w:p w14:paraId="2F2D4BFB">
      <w:pPr>
        <w:autoSpaceDE w:val="0"/>
        <w:autoSpaceDN w:val="0"/>
        <w:adjustRightInd w:val="0"/>
        <w:snapToGrid w:val="0"/>
        <w:spacing w:line="360" w:lineRule="auto"/>
        <w:jc w:val="center"/>
        <w:rPr>
          <w:rFonts w:cs="宋体"/>
          <w:b/>
          <w:color w:val="auto"/>
          <w:kern w:val="0"/>
          <w:sz w:val="28"/>
          <w:szCs w:val="28"/>
          <w:highlight w:val="none"/>
        </w:rPr>
      </w:pPr>
      <w:r>
        <w:rPr>
          <w:rFonts w:hint="eastAsia" w:cs="宋体"/>
          <w:b/>
          <w:color w:val="auto"/>
          <w:kern w:val="0"/>
          <w:sz w:val="28"/>
          <w:szCs w:val="28"/>
          <w:highlight w:val="none"/>
        </w:rPr>
        <w:t>质 疑 函</w:t>
      </w:r>
    </w:p>
    <w:p w14:paraId="1D42EC7C">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一、质疑供应商基本信息</w:t>
      </w:r>
    </w:p>
    <w:p w14:paraId="1819036E">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质疑供应商：</w:t>
      </w:r>
    </w:p>
    <w:p w14:paraId="540EA2EE">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地址：               邮编：</w:t>
      </w:r>
    </w:p>
    <w:p w14:paraId="0CF8DDFC">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联系人：           联系电话：</w:t>
      </w:r>
    </w:p>
    <w:p w14:paraId="58BB44B2">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授权代表：</w:t>
      </w:r>
    </w:p>
    <w:p w14:paraId="5A76BE48">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联系电话：</w:t>
      </w:r>
    </w:p>
    <w:p w14:paraId="6E4BE65A">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地址：             邮编：</w:t>
      </w:r>
    </w:p>
    <w:p w14:paraId="27793D8E">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二、质疑项目基本信息</w:t>
      </w:r>
    </w:p>
    <w:p w14:paraId="384ADFF8">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质疑项目的名称：</w:t>
      </w:r>
    </w:p>
    <w:p w14:paraId="4D8C2F60">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质疑项目的编号：</w:t>
      </w:r>
    </w:p>
    <w:p w14:paraId="20F4AD1B">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包号：</w:t>
      </w:r>
    </w:p>
    <w:p w14:paraId="17EC5867">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采购人名称：</w:t>
      </w:r>
    </w:p>
    <w:p w14:paraId="098FF80F">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竞争性磋商文件获取日期：</w:t>
      </w:r>
    </w:p>
    <w:p w14:paraId="3E97F35E">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三、质疑事项具体内容</w:t>
      </w:r>
    </w:p>
    <w:p w14:paraId="670E3F3A">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质疑事项</w:t>
      </w:r>
      <w:r>
        <w:rPr>
          <w:rFonts w:cs="宋体"/>
          <w:color w:val="auto"/>
          <w:kern w:val="0"/>
          <w:highlight w:val="none"/>
        </w:rPr>
        <w:t>1</w:t>
      </w:r>
      <w:r>
        <w:rPr>
          <w:rFonts w:hint="eastAsia" w:cs="宋体"/>
          <w:color w:val="auto"/>
          <w:kern w:val="0"/>
          <w:highlight w:val="none"/>
        </w:rPr>
        <w:t>：</w:t>
      </w:r>
    </w:p>
    <w:p w14:paraId="4B606A38">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事实依据：</w:t>
      </w:r>
    </w:p>
    <w:p w14:paraId="79CF6428">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法律依据：</w:t>
      </w:r>
    </w:p>
    <w:p w14:paraId="24E06461">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质疑事项</w:t>
      </w:r>
      <w:r>
        <w:rPr>
          <w:rFonts w:cs="宋体"/>
          <w:color w:val="auto"/>
          <w:kern w:val="0"/>
          <w:highlight w:val="none"/>
        </w:rPr>
        <w:t>2</w:t>
      </w:r>
      <w:r>
        <w:rPr>
          <w:rFonts w:hint="eastAsia" w:cs="宋体"/>
          <w:color w:val="auto"/>
          <w:kern w:val="0"/>
          <w:highlight w:val="none"/>
        </w:rPr>
        <w:t>：</w:t>
      </w:r>
    </w:p>
    <w:p w14:paraId="5593F297">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w:t>
      </w:r>
    </w:p>
    <w:p w14:paraId="1A7AED03">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四、与质疑事项相关的质疑请求：</w:t>
      </w:r>
    </w:p>
    <w:p w14:paraId="11A4BB00">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签字（签章）：</w:t>
      </w:r>
    </w:p>
    <w:p w14:paraId="495009B9">
      <w:pPr>
        <w:autoSpaceDE w:val="0"/>
        <w:autoSpaceDN w:val="0"/>
        <w:adjustRightInd w:val="0"/>
        <w:snapToGrid w:val="0"/>
        <w:spacing w:line="360" w:lineRule="auto"/>
        <w:ind w:firstLine="420" w:firstLineChars="200"/>
        <w:jc w:val="left"/>
        <w:rPr>
          <w:rFonts w:cs="宋体"/>
          <w:color w:val="auto"/>
          <w:kern w:val="0"/>
          <w:highlight w:val="none"/>
        </w:rPr>
      </w:pPr>
      <w:r>
        <w:rPr>
          <w:rFonts w:hint="eastAsia" w:cs="宋体"/>
          <w:color w:val="auto"/>
          <w:kern w:val="0"/>
          <w:highlight w:val="none"/>
        </w:rPr>
        <w:t>公章：</w:t>
      </w:r>
    </w:p>
    <w:p w14:paraId="69590790">
      <w:pPr>
        <w:adjustRightInd w:val="0"/>
        <w:snapToGrid w:val="0"/>
        <w:spacing w:line="360" w:lineRule="auto"/>
        <w:ind w:firstLine="420" w:firstLineChars="200"/>
        <w:jc w:val="left"/>
        <w:rPr>
          <w:color w:val="auto"/>
          <w:highlight w:val="none"/>
        </w:rPr>
      </w:pPr>
      <w:r>
        <w:rPr>
          <w:rFonts w:hint="eastAsia"/>
          <w:color w:val="auto"/>
          <w:highlight w:val="none"/>
        </w:rPr>
        <w:t>日期：</w:t>
      </w:r>
    </w:p>
    <w:p w14:paraId="6FEA214A">
      <w:pPr>
        <w:adjustRightInd w:val="0"/>
        <w:snapToGrid w:val="0"/>
        <w:spacing w:line="360" w:lineRule="auto"/>
        <w:ind w:firstLine="420" w:firstLineChars="200"/>
        <w:jc w:val="left"/>
        <w:rPr>
          <w:color w:val="auto"/>
          <w:highlight w:val="none"/>
        </w:rPr>
      </w:pPr>
    </w:p>
    <w:p w14:paraId="2C705864">
      <w:pPr>
        <w:adjustRightInd w:val="0"/>
        <w:snapToGrid w:val="0"/>
        <w:spacing w:line="360" w:lineRule="auto"/>
        <w:ind w:firstLine="420" w:firstLineChars="200"/>
        <w:jc w:val="left"/>
        <w:rPr>
          <w:color w:val="auto"/>
          <w:highlight w:val="none"/>
        </w:rPr>
      </w:pPr>
    </w:p>
    <w:p w14:paraId="74247046">
      <w:pPr>
        <w:adjustRightInd w:val="0"/>
        <w:snapToGrid w:val="0"/>
        <w:spacing w:line="360" w:lineRule="auto"/>
        <w:ind w:firstLine="420" w:firstLineChars="200"/>
        <w:jc w:val="left"/>
        <w:rPr>
          <w:color w:val="auto"/>
          <w:highlight w:val="none"/>
        </w:rPr>
      </w:pPr>
    </w:p>
    <w:p w14:paraId="2B79DA3B">
      <w:pPr>
        <w:adjustRightInd w:val="0"/>
        <w:snapToGrid w:val="0"/>
        <w:spacing w:line="360" w:lineRule="auto"/>
        <w:ind w:firstLine="420" w:firstLineChars="200"/>
        <w:jc w:val="left"/>
        <w:rPr>
          <w:bCs/>
          <w:color w:val="auto"/>
          <w:highlight w:val="none"/>
        </w:rPr>
      </w:pPr>
      <w:r>
        <w:rPr>
          <w:rFonts w:hint="eastAsia"/>
          <w:bCs/>
          <w:color w:val="auto"/>
          <w:highlight w:val="none"/>
        </w:rPr>
        <w:t>质疑函制作说明：</w:t>
      </w:r>
    </w:p>
    <w:p w14:paraId="7715D4DC">
      <w:pPr>
        <w:adjustRightInd w:val="0"/>
        <w:snapToGrid w:val="0"/>
        <w:spacing w:line="360" w:lineRule="auto"/>
        <w:ind w:firstLine="420" w:firstLineChars="200"/>
        <w:jc w:val="left"/>
        <w:rPr>
          <w:bCs/>
          <w:color w:val="auto"/>
          <w:highlight w:val="none"/>
        </w:rPr>
      </w:pPr>
      <w:r>
        <w:rPr>
          <w:rFonts w:hint="eastAsia"/>
          <w:bCs/>
          <w:color w:val="auto"/>
          <w:highlight w:val="none"/>
        </w:rPr>
        <w:t>1.供应商提出质疑时，应提交质疑函和必要的证明材料。</w:t>
      </w:r>
    </w:p>
    <w:p w14:paraId="30ECEF38">
      <w:pPr>
        <w:adjustRightInd w:val="0"/>
        <w:snapToGrid w:val="0"/>
        <w:spacing w:line="360" w:lineRule="auto"/>
        <w:ind w:firstLine="420" w:firstLineChars="200"/>
        <w:jc w:val="left"/>
        <w:rPr>
          <w:bCs/>
          <w:color w:val="auto"/>
          <w:highlight w:val="none"/>
        </w:rPr>
      </w:pPr>
      <w:r>
        <w:rPr>
          <w:rFonts w:hint="eastAsia"/>
          <w:bCs/>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E2C189">
      <w:pPr>
        <w:adjustRightInd w:val="0"/>
        <w:snapToGrid w:val="0"/>
        <w:spacing w:line="360" w:lineRule="auto"/>
        <w:ind w:firstLine="420" w:firstLineChars="200"/>
        <w:jc w:val="left"/>
        <w:rPr>
          <w:bCs/>
          <w:color w:val="auto"/>
          <w:highlight w:val="none"/>
        </w:rPr>
      </w:pPr>
      <w:r>
        <w:rPr>
          <w:bCs/>
          <w:color w:val="auto"/>
          <w:highlight w:val="none"/>
        </w:rPr>
        <w:t>3</w:t>
      </w:r>
      <w:r>
        <w:rPr>
          <w:rFonts w:hint="eastAsia"/>
          <w:bCs/>
          <w:color w:val="auto"/>
          <w:highlight w:val="none"/>
        </w:rPr>
        <w:t>.质疑函的质疑事项应具体、明确，并有必要的事实依据和法律依据。</w:t>
      </w:r>
    </w:p>
    <w:p w14:paraId="51C09EB6">
      <w:pPr>
        <w:adjustRightInd w:val="0"/>
        <w:snapToGrid w:val="0"/>
        <w:spacing w:line="360" w:lineRule="auto"/>
        <w:ind w:firstLine="420" w:firstLineChars="200"/>
        <w:jc w:val="left"/>
        <w:rPr>
          <w:bCs/>
          <w:color w:val="auto"/>
          <w:highlight w:val="none"/>
        </w:rPr>
      </w:pPr>
      <w:r>
        <w:rPr>
          <w:bCs/>
          <w:color w:val="auto"/>
          <w:highlight w:val="none"/>
        </w:rPr>
        <w:t>4</w:t>
      </w:r>
      <w:r>
        <w:rPr>
          <w:rFonts w:hint="eastAsia"/>
          <w:bCs/>
          <w:color w:val="auto"/>
          <w:highlight w:val="none"/>
        </w:rPr>
        <w:t>.质疑函的质疑请求应与质疑事项相关。</w:t>
      </w:r>
    </w:p>
    <w:p w14:paraId="4A36A8EC">
      <w:pPr>
        <w:adjustRightInd w:val="0"/>
        <w:snapToGrid w:val="0"/>
        <w:spacing w:line="360" w:lineRule="auto"/>
        <w:ind w:firstLine="420" w:firstLineChars="200"/>
        <w:jc w:val="left"/>
        <w:rPr>
          <w:bCs/>
          <w:color w:val="auto"/>
          <w:highlight w:val="none"/>
        </w:rPr>
      </w:pPr>
      <w:r>
        <w:rPr>
          <w:bCs/>
          <w:color w:val="auto"/>
          <w:highlight w:val="none"/>
        </w:rPr>
        <w:t>5</w:t>
      </w:r>
      <w:r>
        <w:rPr>
          <w:rFonts w:hint="eastAsia"/>
          <w:bCs/>
          <w:color w:val="auto"/>
          <w:highlight w:val="none"/>
        </w:rPr>
        <w:t>.质疑供应商为自然人的，质疑函应由本人签字；质疑供应商为法人或者其他组织的，质疑函应由法定代表人、主要负责人或者他授权代表签字或者盖章，并加盖公章。</w:t>
      </w:r>
    </w:p>
    <w:p w14:paraId="2E4B8D50">
      <w:pPr>
        <w:spacing w:line="240" w:lineRule="auto"/>
        <w:jc w:val="left"/>
        <w:rPr>
          <w:rFonts w:hint="eastAsia" w:ascii="宋体" w:hAnsi="宋体" w:cs="宋体"/>
          <w:color w:val="auto"/>
          <w:kern w:val="0"/>
          <w:highlight w:val="none"/>
          <w:shd w:val="clear" w:color="auto" w:fill="F9F9F9"/>
        </w:rPr>
      </w:pPr>
      <w:r>
        <w:rPr>
          <w:highlight w:val="none"/>
        </w:rPr>
        <w:br w:type="page"/>
      </w:r>
      <w:r>
        <w:rPr>
          <w:rFonts w:hint="eastAsia" w:ascii="宋体" w:hAnsi="宋体" w:cs="宋体"/>
          <w:color w:val="auto"/>
          <w:kern w:val="0"/>
          <w:highlight w:val="none"/>
        </w:rPr>
        <w:t>附件2 中小企业划型标准规定</w:t>
      </w:r>
    </w:p>
    <w:p w14:paraId="5B6D3718">
      <w:pPr>
        <w:tabs>
          <w:tab w:val="left" w:pos="840"/>
        </w:tabs>
        <w:spacing w:line="416"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中小企业划分标准</w:t>
      </w:r>
    </w:p>
    <w:tbl>
      <w:tblPr>
        <w:tblStyle w:val="34"/>
        <w:tblW w:w="9896" w:type="dxa"/>
        <w:jc w:val="center"/>
        <w:shd w:val="clear" w:color="auto" w:fill="FFFFFF"/>
        <w:tblLayout w:type="autofit"/>
        <w:tblCellMar>
          <w:top w:w="0" w:type="dxa"/>
          <w:left w:w="0" w:type="dxa"/>
          <w:bottom w:w="0" w:type="dxa"/>
          <w:right w:w="0" w:type="dxa"/>
        </w:tblCellMar>
      </w:tblPr>
      <w:tblGrid>
        <w:gridCol w:w="1687"/>
        <w:gridCol w:w="1492"/>
        <w:gridCol w:w="728"/>
        <w:gridCol w:w="1245"/>
        <w:gridCol w:w="1965"/>
        <w:gridCol w:w="1756"/>
        <w:gridCol w:w="1023"/>
      </w:tblGrid>
      <w:tr w14:paraId="503FCA45">
        <w:tblPrEx>
          <w:shd w:val="clear" w:color="auto" w:fill="FFFFFF"/>
          <w:tblCellMar>
            <w:top w:w="0" w:type="dxa"/>
            <w:left w:w="0" w:type="dxa"/>
            <w:bottom w:w="0" w:type="dxa"/>
            <w:right w:w="0" w:type="dxa"/>
          </w:tblCellMar>
        </w:tblPrEx>
        <w:trPr>
          <w:trHeight w:val="653" w:hRule="atLeast"/>
          <w:jc w:val="center"/>
        </w:trPr>
        <w:tc>
          <w:tcPr>
            <w:tcW w:w="1687"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0A345745">
            <w:pPr>
              <w:keepNext w:val="0"/>
              <w:keepLines w:val="0"/>
              <w:widowControl/>
              <w:suppressLineNumbers w:val="0"/>
              <w:wordWrap w:val="0"/>
              <w:spacing w:before="100" w:beforeAutospacing="1" w:after="100" w:afterAutospacing="1"/>
              <w:ind w:left="0" w:right="0"/>
              <w:jc w:val="center"/>
              <w:rPr>
                <w:rFonts w:hint="eastAsia" w:ascii="宋体" w:hAnsi="宋体" w:cs="宋体"/>
                <w:color w:val="auto"/>
                <w:kern w:val="0"/>
                <w:highlight w:val="none"/>
              </w:rPr>
            </w:pPr>
            <w:r>
              <w:rPr>
                <w:rFonts w:hint="eastAsia" w:ascii="宋体" w:hAnsi="宋体" w:cs="宋体"/>
                <w:b/>
                <w:bCs/>
                <w:color w:val="auto"/>
                <w:kern w:val="0"/>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6E4A300">
            <w:pPr>
              <w:keepNext w:val="0"/>
              <w:keepLines w:val="0"/>
              <w:widowControl/>
              <w:suppressLineNumbers w:val="0"/>
              <w:wordWrap w:val="0"/>
              <w:spacing w:before="100" w:beforeAutospacing="1" w:after="100" w:afterAutospacing="1"/>
              <w:ind w:left="0" w:right="0"/>
              <w:jc w:val="center"/>
              <w:rPr>
                <w:rFonts w:hint="eastAsia" w:ascii="宋体" w:hAnsi="宋体" w:cs="宋体"/>
                <w:color w:val="auto"/>
                <w:kern w:val="0"/>
                <w:highlight w:val="none"/>
              </w:rPr>
            </w:pPr>
            <w:r>
              <w:rPr>
                <w:rFonts w:hint="eastAsia" w:ascii="宋体" w:hAnsi="宋体" w:cs="宋体"/>
                <w:b/>
                <w:bCs/>
                <w:color w:val="auto"/>
                <w:spacing w:val="8"/>
                <w:kern w:val="0"/>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361CE7F">
            <w:pPr>
              <w:keepNext w:val="0"/>
              <w:keepLines w:val="0"/>
              <w:widowControl/>
              <w:suppressLineNumbers w:val="0"/>
              <w:wordWrap w:val="0"/>
              <w:spacing w:before="100" w:beforeAutospacing="1" w:after="100" w:afterAutospacing="1"/>
              <w:ind w:left="0" w:right="0"/>
              <w:jc w:val="center"/>
              <w:rPr>
                <w:rFonts w:hint="eastAsia" w:ascii="宋体" w:hAnsi="宋体" w:cs="宋体"/>
                <w:color w:val="auto"/>
                <w:kern w:val="0"/>
                <w:highlight w:val="none"/>
              </w:rPr>
            </w:pPr>
            <w:r>
              <w:rPr>
                <w:rFonts w:hint="eastAsia" w:ascii="宋体" w:hAnsi="宋体" w:cs="宋体"/>
                <w:b/>
                <w:bCs/>
                <w:color w:val="auto"/>
                <w:spacing w:val="8"/>
                <w:kern w:val="0"/>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99BC652">
            <w:pPr>
              <w:keepNext w:val="0"/>
              <w:keepLines w:val="0"/>
              <w:widowControl/>
              <w:suppressLineNumbers w:val="0"/>
              <w:wordWrap w:val="0"/>
              <w:spacing w:before="100" w:beforeAutospacing="1" w:after="100" w:afterAutospacing="1"/>
              <w:ind w:left="0" w:right="0"/>
              <w:jc w:val="center"/>
              <w:rPr>
                <w:rFonts w:hint="eastAsia" w:ascii="宋体" w:hAnsi="宋体" w:cs="宋体"/>
                <w:color w:val="auto"/>
                <w:kern w:val="0"/>
                <w:highlight w:val="none"/>
              </w:rPr>
            </w:pPr>
            <w:r>
              <w:rPr>
                <w:rFonts w:hint="eastAsia" w:ascii="宋体" w:hAnsi="宋体" w:cs="宋体"/>
                <w:b/>
                <w:bCs/>
                <w:color w:val="auto"/>
                <w:spacing w:val="8"/>
                <w:kern w:val="0"/>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9659562">
            <w:pPr>
              <w:keepNext w:val="0"/>
              <w:keepLines w:val="0"/>
              <w:widowControl/>
              <w:suppressLineNumbers w:val="0"/>
              <w:wordWrap w:val="0"/>
              <w:spacing w:before="100" w:beforeAutospacing="1" w:after="100" w:afterAutospacing="1"/>
              <w:ind w:left="0" w:right="0"/>
              <w:jc w:val="center"/>
              <w:rPr>
                <w:rFonts w:hint="eastAsia" w:ascii="宋体" w:hAnsi="宋体" w:cs="宋体"/>
                <w:color w:val="auto"/>
                <w:kern w:val="0"/>
                <w:highlight w:val="none"/>
              </w:rPr>
            </w:pPr>
            <w:r>
              <w:rPr>
                <w:rFonts w:hint="eastAsia" w:ascii="宋体" w:hAnsi="宋体" w:cs="宋体"/>
                <w:b/>
                <w:bCs/>
                <w:color w:val="auto"/>
                <w:spacing w:val="8"/>
                <w:kern w:val="0"/>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A184940">
            <w:pPr>
              <w:keepNext w:val="0"/>
              <w:keepLines w:val="0"/>
              <w:widowControl/>
              <w:suppressLineNumbers w:val="0"/>
              <w:wordWrap w:val="0"/>
              <w:spacing w:before="100" w:beforeAutospacing="1" w:after="100" w:afterAutospacing="1"/>
              <w:ind w:left="0" w:right="0"/>
              <w:jc w:val="center"/>
              <w:rPr>
                <w:rFonts w:hint="eastAsia" w:ascii="宋体" w:hAnsi="宋体" w:cs="宋体"/>
                <w:color w:val="auto"/>
                <w:kern w:val="0"/>
                <w:highlight w:val="none"/>
              </w:rPr>
            </w:pPr>
            <w:r>
              <w:rPr>
                <w:rFonts w:hint="eastAsia" w:ascii="宋体" w:hAnsi="宋体" w:cs="宋体"/>
                <w:b/>
                <w:bCs/>
                <w:color w:val="auto"/>
                <w:spacing w:val="8"/>
                <w:kern w:val="0"/>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C50629E">
            <w:pPr>
              <w:keepNext w:val="0"/>
              <w:keepLines w:val="0"/>
              <w:widowControl/>
              <w:suppressLineNumbers w:val="0"/>
              <w:wordWrap w:val="0"/>
              <w:spacing w:before="100" w:beforeAutospacing="1" w:after="100" w:afterAutospacing="1"/>
              <w:ind w:left="0" w:right="0"/>
              <w:jc w:val="center"/>
              <w:rPr>
                <w:rFonts w:hint="eastAsia" w:ascii="宋体" w:hAnsi="宋体" w:cs="宋体"/>
                <w:color w:val="auto"/>
                <w:kern w:val="0"/>
                <w:highlight w:val="none"/>
              </w:rPr>
            </w:pPr>
            <w:r>
              <w:rPr>
                <w:rFonts w:hint="eastAsia" w:ascii="宋体" w:hAnsi="宋体" w:cs="宋体"/>
                <w:b/>
                <w:bCs/>
                <w:color w:val="auto"/>
                <w:spacing w:val="8"/>
                <w:kern w:val="0"/>
                <w:highlight w:val="none"/>
              </w:rPr>
              <w:t>微型</w:t>
            </w:r>
          </w:p>
        </w:tc>
      </w:tr>
      <w:tr w14:paraId="07AA2924">
        <w:tblPrEx>
          <w:tblCellMar>
            <w:top w:w="0" w:type="dxa"/>
            <w:left w:w="0" w:type="dxa"/>
            <w:bottom w:w="0" w:type="dxa"/>
            <w:right w:w="0" w:type="dxa"/>
          </w:tblCellMar>
        </w:tblPrEx>
        <w:trPr>
          <w:trHeight w:val="682" w:hRule="atLeast"/>
          <w:jc w:val="center"/>
        </w:trPr>
        <w:tc>
          <w:tcPr>
            <w:tcW w:w="1687"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2BAA9880">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5B9B4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A4110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196B8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5D2A8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37EFD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DBB3E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Y＜50</w:t>
            </w:r>
          </w:p>
        </w:tc>
      </w:tr>
      <w:tr w14:paraId="406855BD">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3234EF">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54051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BFDD1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BE3F2A">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0A7AB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628D8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2FDAC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X＜20</w:t>
            </w:r>
          </w:p>
        </w:tc>
      </w:tr>
      <w:tr w14:paraId="20597B2F">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5BD8569">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8400EC">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DCE85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A08D91">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55BA2B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3ADA5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339766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Y＜300</w:t>
            </w:r>
          </w:p>
        </w:tc>
      </w:tr>
      <w:tr w14:paraId="6AB02FC0">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8ED9AA0">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D2E44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72165C">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64552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23F04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F2850ED">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8E061D">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Y＜300</w:t>
            </w:r>
          </w:p>
        </w:tc>
      </w:tr>
      <w:tr w14:paraId="098C752B">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E01A1E9">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695D81">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F60F5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E8DCF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2BD9B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466AD">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B2A69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Z＜300</w:t>
            </w:r>
          </w:p>
        </w:tc>
      </w:tr>
      <w:tr w14:paraId="3E77B309">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F4F61B">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3B7F9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00DDEC">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42376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019AF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1E9DD7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4D2A8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X＜5</w:t>
            </w:r>
          </w:p>
        </w:tc>
      </w:tr>
      <w:tr w14:paraId="63C024B0">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88DEE9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23A1C8">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52EF5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6EBAF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24B81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37F029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94078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Y＜1000</w:t>
            </w:r>
          </w:p>
        </w:tc>
      </w:tr>
      <w:tr w14:paraId="560E58B8">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5BC9D9F">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53D471">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70F9DEA">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75DC1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04CBE2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FAFF0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09083C">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w:t>
            </w:r>
          </w:p>
        </w:tc>
      </w:tr>
      <w:tr w14:paraId="331888E5">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C28A30E">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18BB64">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51229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DD5C0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55E05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8C86B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C8F47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w:t>
            </w:r>
          </w:p>
        </w:tc>
      </w:tr>
      <w:tr w14:paraId="386A7D63">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01F1F74">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A0C3F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168B6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2D323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35121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F944F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101C6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X＜20</w:t>
            </w:r>
          </w:p>
        </w:tc>
      </w:tr>
      <w:tr w14:paraId="16423E02">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FCA9FC">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C500F5">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1E34F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233D91">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5D1B9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E4B8C9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2C1CF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Y＜200</w:t>
            </w:r>
          </w:p>
        </w:tc>
      </w:tr>
      <w:tr w14:paraId="087826C5">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562CD4E">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C0BDD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1643C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5E9EC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43A60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26D2BC">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ACF7D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X＜20</w:t>
            </w:r>
          </w:p>
        </w:tc>
      </w:tr>
      <w:tr w14:paraId="55628DDD">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2F21BC3">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1DB6CAA">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E4C7C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BD36CD">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309BF3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86908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62176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w:t>
            </w:r>
          </w:p>
        </w:tc>
      </w:tr>
      <w:tr w14:paraId="279267E5">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6EA98F4">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31E1E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55FF33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A3D06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8D6117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3FE732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A917CD">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X＜20</w:t>
            </w:r>
          </w:p>
        </w:tc>
      </w:tr>
      <w:tr w14:paraId="5573044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EEB1B49">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DCC2C4">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E622B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2779C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54EBC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780F5A">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51D02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w:t>
            </w:r>
          </w:p>
        </w:tc>
      </w:tr>
      <w:tr w14:paraId="359B8299">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14535F3">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986AE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6C27E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A9A92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E839A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503FD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C83A1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w:t>
            </w:r>
          </w:p>
        </w:tc>
      </w:tr>
      <w:tr w14:paraId="32005295">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40AA86B">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5BF857">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7AB77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676EDD">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7936E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99B8FF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BDAEE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w:t>
            </w:r>
          </w:p>
        </w:tc>
      </w:tr>
      <w:tr w14:paraId="3985D66C">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7218422">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47A1C1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59919C">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C306E2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50F054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1B484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93728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w:t>
            </w:r>
          </w:p>
        </w:tc>
      </w:tr>
      <w:tr w14:paraId="270C2DD0">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31DCD4F">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5BF687">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66270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96D6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87605E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2B089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30FB0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w:t>
            </w:r>
          </w:p>
        </w:tc>
      </w:tr>
      <w:tr w14:paraId="1ABC65F2">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1D0F622">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D0EFAD">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18D84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D1CD8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2533D1">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3BD0B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9BCCD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w:t>
            </w:r>
          </w:p>
        </w:tc>
      </w:tr>
      <w:tr w14:paraId="1B58BFD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BCDB20B">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B5C215">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A57431">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9537D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3B6E8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C0534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76B98DF">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w:t>
            </w:r>
          </w:p>
        </w:tc>
      </w:tr>
      <w:tr w14:paraId="7DE65FA9">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23CC21">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软件和信息技术服务业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3F2B9C">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DD1495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FBC7E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879CA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DF2A7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BF6A841">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w:t>
            </w:r>
          </w:p>
        </w:tc>
      </w:tr>
      <w:tr w14:paraId="2BDF068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03A623B">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36A09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0DC59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EC53B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53777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785FF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DA90E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Y＜50</w:t>
            </w:r>
          </w:p>
        </w:tc>
      </w:tr>
      <w:tr w14:paraId="514F75FB">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CFA603D">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16A73C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952B22C">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0492EA">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CD863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0062C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6AFD0A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Y＜100</w:t>
            </w:r>
          </w:p>
        </w:tc>
      </w:tr>
      <w:tr w14:paraId="22C62DDA">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F4A107A">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392473">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FD87DA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2C848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18F091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5F5821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629EBA">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Z＜2000</w:t>
            </w:r>
          </w:p>
        </w:tc>
      </w:tr>
      <w:tr w14:paraId="0E6945BC">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0C14B87">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4D351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4DD0E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2F52E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DD773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42A39A">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F700A6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X＜100</w:t>
            </w:r>
          </w:p>
        </w:tc>
      </w:tr>
      <w:tr w14:paraId="060D6539">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8F1AE05">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C2AFBA2">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EFA17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B76D359">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82A34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4AAB8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6D6D9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Y＜500</w:t>
            </w:r>
          </w:p>
        </w:tc>
      </w:tr>
      <w:tr w14:paraId="0D146E17">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B7A0F44">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4D9C7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393C1F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47C724B">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AB0C6">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C83B57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0F45DC2">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w:t>
            </w:r>
          </w:p>
        </w:tc>
      </w:tr>
      <w:tr w14:paraId="0B442075">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BADD052">
            <w:pPr>
              <w:keepNext w:val="0"/>
              <w:keepLines w:val="0"/>
              <w:suppressLineNumbers w:val="0"/>
              <w:spacing w:before="0" w:beforeAutospacing="0" w:after="0" w:afterAutospacing="0" w:line="360" w:lineRule="auto"/>
              <w:ind w:left="0" w:right="0"/>
              <w:jc w:val="center"/>
              <w:rPr>
                <w:rFonts w:hint="eastAsia" w:ascii="宋体" w:hAnsi="宋体" w:cs="宋体"/>
                <w:color w:val="auto"/>
                <w:kern w:val="0"/>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D86097">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CA3197">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25E38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F3796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8A2805">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AE1F58">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Z＜100</w:t>
            </w:r>
          </w:p>
        </w:tc>
      </w:tr>
      <w:tr w14:paraId="402FBCC4">
        <w:tblPrEx>
          <w:tblCellMar>
            <w:top w:w="0" w:type="dxa"/>
            <w:left w:w="0" w:type="dxa"/>
            <w:bottom w:w="0" w:type="dxa"/>
            <w:right w:w="0" w:type="dxa"/>
          </w:tblCellMar>
        </w:tblPrEx>
        <w:trPr>
          <w:trHeight w:val="668" w:hRule="atLeast"/>
          <w:jc w:val="center"/>
        </w:trPr>
        <w:tc>
          <w:tcPr>
            <w:tcW w:w="1687"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2E9B77">
            <w:pPr>
              <w:keepNext w:val="0"/>
              <w:keepLines w:val="0"/>
              <w:widowControl/>
              <w:suppressLineNumbers w:val="0"/>
              <w:wordWrap w:val="0"/>
              <w:spacing w:before="100" w:beforeAutospacing="1" w:after="100" w:afterAutospacing="1" w:line="240" w:lineRule="atLeast"/>
              <w:ind w:left="0" w:right="0"/>
              <w:jc w:val="center"/>
              <w:rPr>
                <w:rFonts w:hint="eastAsia" w:ascii="宋体" w:hAnsi="宋体" w:cs="宋体"/>
                <w:color w:val="auto"/>
                <w:kern w:val="0"/>
                <w:highlight w:val="none"/>
              </w:rPr>
            </w:pPr>
            <w:r>
              <w:rPr>
                <w:rFonts w:hint="eastAsia" w:ascii="宋体" w:hAnsi="宋体" w:cs="宋体"/>
                <w:color w:val="auto"/>
                <w:kern w:val="0"/>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A0A3C0">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689D303">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D2C594">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268C6E">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0A9B16A">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5D389D1">
            <w:pPr>
              <w:keepNext w:val="0"/>
              <w:keepLines w:val="0"/>
              <w:widowControl/>
              <w:suppressLineNumbers w:val="0"/>
              <w:wordWrap w:val="0"/>
              <w:spacing w:before="100" w:beforeAutospacing="1" w:after="100" w:afterAutospacing="1" w:line="360" w:lineRule="auto"/>
              <w:ind w:left="0" w:right="0"/>
              <w:jc w:val="center"/>
              <w:rPr>
                <w:rFonts w:hint="eastAsia" w:ascii="宋体" w:hAnsi="宋体" w:cs="宋体"/>
                <w:color w:val="auto"/>
                <w:kern w:val="0"/>
                <w:highlight w:val="none"/>
              </w:rPr>
            </w:pPr>
            <w:r>
              <w:rPr>
                <w:rFonts w:hint="eastAsia" w:ascii="宋体" w:hAnsi="宋体" w:cs="宋体"/>
                <w:color w:val="auto"/>
                <w:spacing w:val="8"/>
                <w:kern w:val="0"/>
                <w:highlight w:val="none"/>
              </w:rPr>
              <w:t>X＜10</w:t>
            </w:r>
          </w:p>
        </w:tc>
      </w:tr>
    </w:tbl>
    <w:p w14:paraId="12B3BFE0">
      <w:pPr>
        <w:spacing w:line="42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说明：1.大型、中型和小型企业须</w:t>
      </w:r>
      <w:r>
        <w:rPr>
          <w:rFonts w:hint="eastAsia" w:ascii="宋体" w:hAnsi="宋体" w:cs="宋体"/>
          <w:b/>
          <w:bCs/>
          <w:color w:val="auto"/>
          <w:kern w:val="0"/>
          <w:highlight w:val="none"/>
        </w:rPr>
        <w:t>同时满足所列指标的下限</w:t>
      </w:r>
      <w:r>
        <w:rPr>
          <w:rFonts w:hint="eastAsia" w:ascii="宋体" w:hAnsi="宋体" w:cs="宋体"/>
          <w:color w:val="auto"/>
          <w:kern w:val="0"/>
          <w:highlight w:val="none"/>
        </w:rPr>
        <w:t>，否则下划一档；微型企业只须满足所列</w:t>
      </w:r>
      <w:r>
        <w:rPr>
          <w:rFonts w:hint="eastAsia" w:ascii="宋体" w:hAnsi="宋体" w:cs="宋体"/>
          <w:color w:val="auto"/>
          <w:kern w:val="0"/>
          <w:highlight w:val="none"/>
          <w:lang w:eastAsia="zh-CN"/>
        </w:rPr>
        <w:t>指标</w:t>
      </w:r>
      <w:r>
        <w:rPr>
          <w:rFonts w:hint="eastAsia" w:ascii="宋体" w:hAnsi="宋体" w:cs="宋体"/>
          <w:color w:val="auto"/>
          <w:kern w:val="0"/>
          <w:highlight w:val="none"/>
        </w:rPr>
        <w:t>中的一项即可。</w:t>
      </w:r>
    </w:p>
    <w:p w14:paraId="5D26B07A">
      <w:pPr>
        <w:numPr>
          <w:ilvl w:val="0"/>
          <w:numId w:val="2"/>
        </w:numPr>
        <w:spacing w:line="42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附表中各行业的范围以《国民经济行业分类》（GB/T4754-2017）为准。</w:t>
      </w:r>
      <w:r>
        <w:rPr>
          <w:rFonts w:hint="eastAsia" w:ascii="宋体" w:hAnsi="宋体" w:cs="宋体"/>
          <w:b/>
          <w:bCs/>
          <w:color w:val="auto"/>
          <w:kern w:val="0"/>
          <w:highlight w:val="none"/>
        </w:rPr>
        <w:t>带*的项为行业组合类别</w:t>
      </w:r>
      <w:r>
        <w:rPr>
          <w:rFonts w:hint="eastAsia" w:ascii="宋体" w:hAnsi="宋体" w:cs="宋体"/>
          <w:color w:val="auto"/>
          <w:kern w:val="0"/>
          <w:highlight w:val="none"/>
        </w:rPr>
        <w:t>，其中，</w:t>
      </w:r>
      <w:r>
        <w:rPr>
          <w:rFonts w:hint="eastAsia" w:ascii="宋体" w:hAnsi="宋体" w:cs="宋体"/>
          <w:b/>
          <w:bCs/>
          <w:color w:val="auto"/>
          <w:kern w:val="0"/>
          <w:highlight w:val="none"/>
        </w:rPr>
        <w:t>工业</w:t>
      </w:r>
      <w:r>
        <w:rPr>
          <w:rFonts w:hint="eastAsia" w:ascii="宋体" w:hAnsi="宋体" w:cs="宋体"/>
          <w:color w:val="auto"/>
          <w:kern w:val="0"/>
          <w:highlight w:val="none"/>
        </w:rPr>
        <w:t>包括采矿业，制造业，电力、热力、燃气及水生产和供应业；</w:t>
      </w:r>
      <w:r>
        <w:rPr>
          <w:rFonts w:hint="eastAsia" w:ascii="宋体" w:hAnsi="宋体" w:cs="宋体"/>
          <w:b/>
          <w:bCs/>
          <w:color w:val="auto"/>
          <w:kern w:val="0"/>
          <w:highlight w:val="none"/>
        </w:rPr>
        <w:t>交通运输业</w:t>
      </w:r>
      <w:r>
        <w:rPr>
          <w:rFonts w:hint="eastAsia" w:ascii="宋体" w:hAnsi="宋体" w:cs="宋体"/>
          <w:color w:val="auto"/>
          <w:kern w:val="0"/>
          <w:highlight w:val="none"/>
        </w:rPr>
        <w:t>包括道路运输业，水上运输业，航空运输业，管道运输业，多式联运和运输代理业、装卸搬运，不包括铁路运输业；</w:t>
      </w:r>
      <w:r>
        <w:rPr>
          <w:rFonts w:hint="eastAsia" w:ascii="宋体" w:hAnsi="宋体" w:cs="宋体"/>
          <w:b/>
          <w:bCs/>
          <w:color w:val="auto"/>
          <w:kern w:val="0"/>
          <w:highlight w:val="none"/>
        </w:rPr>
        <w:t>仓储业</w:t>
      </w:r>
      <w:r>
        <w:rPr>
          <w:rFonts w:hint="eastAsia" w:ascii="宋体" w:hAnsi="宋体" w:cs="宋体"/>
          <w:color w:val="auto"/>
          <w:kern w:val="0"/>
          <w:highlight w:val="none"/>
        </w:rPr>
        <w:t>包括通用仓储，低温仓储，危险品仓储，谷物、棉花等农产品仓储，中药材仓储和其他仓储业；</w:t>
      </w:r>
      <w:r>
        <w:rPr>
          <w:rFonts w:hint="eastAsia" w:ascii="宋体" w:hAnsi="宋体" w:cs="宋体"/>
          <w:b/>
          <w:bCs/>
          <w:color w:val="auto"/>
          <w:kern w:val="0"/>
          <w:highlight w:val="none"/>
        </w:rPr>
        <w:t>信息传输业</w:t>
      </w:r>
      <w:r>
        <w:rPr>
          <w:rFonts w:hint="eastAsia" w:ascii="宋体" w:hAnsi="宋体" w:cs="宋体"/>
          <w:color w:val="auto"/>
          <w:kern w:val="0"/>
          <w:highlight w:val="none"/>
        </w:rPr>
        <w:t>包括电信、广播电视和卫星传输服务，互联网和相关服务；</w:t>
      </w:r>
      <w:r>
        <w:rPr>
          <w:rFonts w:hint="eastAsia" w:ascii="宋体" w:hAnsi="宋体" w:cs="宋体"/>
          <w:b/>
          <w:bCs/>
          <w:color w:val="auto"/>
          <w:kern w:val="0"/>
          <w:highlight w:val="none"/>
        </w:rPr>
        <w:t>其他未列明行业</w:t>
      </w:r>
      <w:r>
        <w:rPr>
          <w:rFonts w:hint="eastAsia" w:ascii="宋体" w:hAnsi="宋体" w:cs="宋体"/>
          <w:color w:val="auto"/>
          <w:kern w:val="0"/>
          <w:highlight w:val="none"/>
        </w:rPr>
        <w:t>包括科学研究和技术服务业，水利、环境和公共设施管理业，居民服务、修理和其他服务业，社会工作，文化、体育和娱乐业，以及房地产中介服务，其他房地产业等，不包括自有房地产经营活动。</w:t>
      </w:r>
    </w:p>
    <w:p w14:paraId="0EB3B337">
      <w:pPr>
        <w:numPr>
          <w:ilvl w:val="0"/>
          <w:numId w:val="2"/>
        </w:numPr>
        <w:spacing w:line="42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企业划分指标以现行统计制度为准。</w:t>
      </w:r>
    </w:p>
    <w:p w14:paraId="0F1DDA14">
      <w:pPr>
        <w:spacing w:line="42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（1）从业人员，是指期末从业人员数，没有期末从业人员数的，采用全年平均人员数代替。</w:t>
      </w:r>
    </w:p>
    <w:p w14:paraId="558955E3">
      <w:pPr>
        <w:spacing w:line="42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5A6B88F">
      <w:pPr>
        <w:spacing w:line="42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（3）资产总额，采用资产总计代替。</w:t>
      </w:r>
    </w:p>
    <w:p w14:paraId="792F57D9">
      <w:pPr>
        <w:spacing w:line="420" w:lineRule="exact"/>
        <w:ind w:firstLine="723" w:firstLineChars="200"/>
        <w:jc w:val="center"/>
        <w:outlineLvl w:val="0"/>
        <w:rPr>
          <w:rFonts w:hint="eastAsia" w:ascii="宋体" w:hAnsi="宋体"/>
          <w:bCs/>
          <w:color w:val="auto"/>
          <w:sz w:val="32"/>
          <w:szCs w:val="32"/>
          <w:highlight w:val="none"/>
        </w:rPr>
      </w:pPr>
      <w:bookmarkStart w:id="670" w:name="_Toc509667306"/>
      <w:bookmarkEnd w:id="670"/>
      <w:bookmarkStart w:id="671" w:name="_Toc283"/>
      <w:bookmarkStart w:id="672" w:name="_Toc2733"/>
      <w:bookmarkStart w:id="673" w:name="_Toc19902"/>
      <w:bookmarkStart w:id="674" w:name="_Toc21163"/>
      <w:bookmarkStart w:id="675" w:name="_Toc4689"/>
      <w:r>
        <w:rPr>
          <w:rFonts w:hint="eastAsia" w:ascii="宋体" w:hAnsi="宋体"/>
          <w:b/>
          <w:color w:val="auto"/>
          <w:kern w:val="44"/>
          <w:sz w:val="36"/>
          <w:szCs w:val="36"/>
          <w:highlight w:val="none"/>
        </w:rPr>
        <w:t>第三章  评标办法（综合评分法）</w:t>
      </w:r>
      <w:bookmarkEnd w:id="671"/>
      <w:bookmarkEnd w:id="672"/>
      <w:bookmarkEnd w:id="673"/>
      <w:bookmarkEnd w:id="674"/>
      <w:bookmarkEnd w:id="675"/>
    </w:p>
    <w:p w14:paraId="409B5E10">
      <w:pPr>
        <w:jc w:val="center"/>
        <w:rPr>
          <w:b/>
          <w:bCs/>
          <w:color w:val="auto"/>
          <w:sz w:val="28"/>
          <w:szCs w:val="28"/>
          <w:highlight w:val="none"/>
        </w:rPr>
      </w:pPr>
      <w:bookmarkStart w:id="676" w:name="_Toc455080156"/>
      <w:bookmarkEnd w:id="676"/>
      <w:bookmarkStart w:id="677" w:name="_Toc144974566"/>
      <w:bookmarkEnd w:id="677"/>
      <w:bookmarkStart w:id="678" w:name="_Toc281405527"/>
      <w:bookmarkEnd w:id="678"/>
      <w:bookmarkStart w:id="679" w:name="_Toc318450721"/>
      <w:bookmarkEnd w:id="679"/>
      <w:bookmarkStart w:id="680" w:name="_Toc4489"/>
      <w:bookmarkEnd w:id="680"/>
      <w:bookmarkStart w:id="681" w:name="_Toc466298139"/>
      <w:bookmarkEnd w:id="681"/>
      <w:bookmarkStart w:id="682" w:name="_Toc152045599"/>
      <w:bookmarkEnd w:id="682"/>
      <w:bookmarkStart w:id="683" w:name="_Toc152042376"/>
      <w:bookmarkEnd w:id="683"/>
      <w:bookmarkStart w:id="684" w:name="_Toc455867816"/>
      <w:bookmarkEnd w:id="684"/>
      <w:bookmarkStart w:id="685" w:name="_Toc24518"/>
      <w:bookmarkStart w:id="686" w:name="_Toc1638"/>
      <w:bookmarkStart w:id="687" w:name="_Toc28307"/>
      <w:bookmarkStart w:id="688" w:name="_Toc27806"/>
      <w:bookmarkStart w:id="689" w:name="_Toc25923"/>
      <w:r>
        <w:rPr>
          <w:rFonts w:hint="eastAsia"/>
          <w:b/>
          <w:bCs/>
          <w:color w:val="auto"/>
          <w:sz w:val="28"/>
          <w:szCs w:val="28"/>
          <w:highlight w:val="none"/>
        </w:rPr>
        <w:t>评审办法前附表</w:t>
      </w:r>
      <w:bookmarkEnd w:id="685"/>
      <w:bookmarkEnd w:id="686"/>
      <w:bookmarkEnd w:id="687"/>
      <w:bookmarkEnd w:id="688"/>
      <w:bookmarkEnd w:id="689"/>
    </w:p>
    <w:tbl>
      <w:tblPr>
        <w:tblStyle w:val="34"/>
        <w:tblW w:w="94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583"/>
        <w:gridCol w:w="2529"/>
        <w:gridCol w:w="5453"/>
      </w:tblGrid>
      <w:tr w14:paraId="43A45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8" w:type="dxa"/>
            <w:gridSpan w:val="2"/>
            <w:tcBorders>
              <w:top w:val="single" w:color="auto" w:sz="4" w:space="0"/>
              <w:left w:val="single" w:color="auto" w:sz="4" w:space="0"/>
              <w:bottom w:val="single" w:color="auto" w:sz="4" w:space="0"/>
              <w:right w:val="single" w:color="auto" w:sz="4" w:space="0"/>
            </w:tcBorders>
            <w:noWrap w:val="0"/>
            <w:vAlign w:val="center"/>
          </w:tcPr>
          <w:p w14:paraId="6903C9A9">
            <w:pPr>
              <w:keepNext w:val="0"/>
              <w:keepLines w:val="0"/>
              <w:suppressLineNumbers w:val="0"/>
              <w:adjustRightInd w:val="0"/>
              <w:spacing w:before="0" w:beforeAutospacing="0" w:after="0" w:afterAutospacing="0"/>
              <w:ind w:left="0" w:right="0"/>
              <w:jc w:val="center"/>
              <w:textAlignment w:val="baseline"/>
              <w:rPr>
                <w:rFonts w:hint="eastAsia" w:ascii="宋体" w:hAnsi="宋体"/>
                <w:b/>
                <w:bCs/>
                <w:color w:val="auto"/>
                <w:highlight w:val="none"/>
              </w:rPr>
            </w:pPr>
            <w:r>
              <w:rPr>
                <w:rFonts w:hint="eastAsia" w:ascii="宋体" w:hAnsi="宋体"/>
                <w:b/>
                <w:bCs/>
                <w:color w:val="auto"/>
                <w:highlight w:val="none"/>
              </w:rPr>
              <w:t>条款号</w:t>
            </w:r>
          </w:p>
        </w:tc>
        <w:tc>
          <w:tcPr>
            <w:tcW w:w="2529" w:type="dxa"/>
            <w:tcBorders>
              <w:top w:val="single" w:color="auto" w:sz="4" w:space="0"/>
              <w:left w:val="nil"/>
              <w:bottom w:val="single" w:color="auto" w:sz="4" w:space="0"/>
              <w:right w:val="single" w:color="auto" w:sz="4" w:space="0"/>
            </w:tcBorders>
            <w:noWrap w:val="0"/>
            <w:vAlign w:val="center"/>
          </w:tcPr>
          <w:p w14:paraId="2BEBEDC5">
            <w:pPr>
              <w:keepNext w:val="0"/>
              <w:keepLines w:val="0"/>
              <w:suppressLineNumbers w:val="0"/>
              <w:adjustRightInd w:val="0"/>
              <w:spacing w:before="0" w:beforeAutospacing="0" w:after="0" w:afterAutospacing="0"/>
              <w:ind w:left="0" w:right="0"/>
              <w:jc w:val="center"/>
              <w:textAlignment w:val="baseline"/>
              <w:rPr>
                <w:rFonts w:hint="eastAsia" w:ascii="宋体" w:hAnsi="宋体"/>
                <w:b/>
                <w:bCs/>
                <w:color w:val="auto"/>
                <w:highlight w:val="none"/>
              </w:rPr>
            </w:pPr>
            <w:r>
              <w:rPr>
                <w:rFonts w:hint="eastAsia" w:ascii="宋体" w:hAnsi="宋体"/>
                <w:b/>
                <w:bCs/>
                <w:color w:val="auto"/>
                <w:highlight w:val="none"/>
              </w:rPr>
              <w:t>评审因素</w:t>
            </w:r>
          </w:p>
        </w:tc>
        <w:tc>
          <w:tcPr>
            <w:tcW w:w="5453" w:type="dxa"/>
            <w:tcBorders>
              <w:top w:val="single" w:color="auto" w:sz="4" w:space="0"/>
              <w:left w:val="nil"/>
              <w:bottom w:val="single" w:color="auto" w:sz="4" w:space="0"/>
              <w:right w:val="single" w:color="auto" w:sz="4" w:space="0"/>
            </w:tcBorders>
            <w:noWrap w:val="0"/>
            <w:vAlign w:val="center"/>
          </w:tcPr>
          <w:p w14:paraId="402CFD00">
            <w:pPr>
              <w:keepNext w:val="0"/>
              <w:keepLines w:val="0"/>
              <w:suppressLineNumbers w:val="0"/>
              <w:adjustRightInd w:val="0"/>
              <w:spacing w:before="0" w:beforeAutospacing="0" w:after="0" w:afterAutospacing="0"/>
              <w:ind w:left="0" w:right="0"/>
              <w:jc w:val="center"/>
              <w:textAlignment w:val="baseline"/>
              <w:rPr>
                <w:rFonts w:hint="eastAsia" w:ascii="宋体" w:hAnsi="宋体"/>
                <w:b/>
                <w:bCs/>
                <w:color w:val="auto"/>
                <w:highlight w:val="none"/>
              </w:rPr>
            </w:pPr>
            <w:r>
              <w:rPr>
                <w:rFonts w:hint="eastAsia" w:ascii="宋体" w:hAnsi="宋体"/>
                <w:b/>
                <w:bCs/>
                <w:color w:val="auto"/>
                <w:highlight w:val="none"/>
              </w:rPr>
              <w:t>评审标准</w:t>
            </w:r>
          </w:p>
        </w:tc>
      </w:tr>
      <w:tr w14:paraId="61D8A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5" w:type="dxa"/>
            <w:vMerge w:val="restart"/>
            <w:tcBorders>
              <w:top w:val="nil"/>
              <w:left w:val="single" w:color="auto" w:sz="4" w:space="0"/>
              <w:bottom w:val="nil"/>
              <w:right w:val="single" w:color="auto" w:sz="4" w:space="0"/>
            </w:tcBorders>
            <w:noWrap w:val="0"/>
            <w:vAlign w:val="center"/>
          </w:tcPr>
          <w:p w14:paraId="1A4F0D94">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2.1.1</w:t>
            </w:r>
          </w:p>
        </w:tc>
        <w:tc>
          <w:tcPr>
            <w:tcW w:w="583" w:type="dxa"/>
            <w:vMerge w:val="restart"/>
            <w:tcBorders>
              <w:top w:val="nil"/>
              <w:left w:val="nil"/>
              <w:bottom w:val="nil"/>
              <w:right w:val="single" w:color="auto" w:sz="4" w:space="0"/>
            </w:tcBorders>
            <w:noWrap w:val="0"/>
            <w:vAlign w:val="center"/>
          </w:tcPr>
          <w:p w14:paraId="0BCA7D39">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资</w:t>
            </w:r>
          </w:p>
          <w:p w14:paraId="0A79978D">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格</w:t>
            </w:r>
          </w:p>
          <w:p w14:paraId="21253A37">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评</w:t>
            </w:r>
          </w:p>
          <w:p w14:paraId="2CBB53AC">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审</w:t>
            </w:r>
          </w:p>
          <w:p w14:paraId="5C998E78">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标</w:t>
            </w:r>
          </w:p>
          <w:p w14:paraId="1EAC5B39">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准</w:t>
            </w:r>
          </w:p>
        </w:tc>
        <w:tc>
          <w:tcPr>
            <w:tcW w:w="2529" w:type="dxa"/>
            <w:tcBorders>
              <w:top w:val="single" w:color="auto" w:sz="4" w:space="0"/>
              <w:left w:val="nil"/>
              <w:bottom w:val="nil"/>
              <w:right w:val="single" w:color="auto" w:sz="4" w:space="0"/>
            </w:tcBorders>
            <w:noWrap w:val="0"/>
            <w:vAlign w:val="center"/>
          </w:tcPr>
          <w:p w14:paraId="0B05C703">
            <w:pPr>
              <w:pStyle w:val="95"/>
              <w:keepNext w:val="0"/>
              <w:keepLines w:val="0"/>
              <w:widowControl/>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具有独立承担民事责任的能力</w:t>
            </w:r>
          </w:p>
        </w:tc>
        <w:tc>
          <w:tcPr>
            <w:tcW w:w="5453" w:type="dxa"/>
            <w:tcBorders>
              <w:top w:val="single" w:color="auto" w:sz="4" w:space="0"/>
              <w:left w:val="nil"/>
              <w:bottom w:val="single" w:color="auto" w:sz="4" w:space="0"/>
              <w:right w:val="single" w:color="auto" w:sz="4" w:space="0"/>
            </w:tcBorders>
            <w:noWrap w:val="0"/>
            <w:vAlign w:val="center"/>
          </w:tcPr>
          <w:p w14:paraId="4FCC94CE">
            <w:pPr>
              <w:pStyle w:val="97"/>
              <w:keepNext w:val="0"/>
              <w:keepLines w:val="0"/>
              <w:suppressLineNumbers w:val="0"/>
              <w:snapToGrid w:val="0"/>
              <w:spacing w:before="0" w:beforeAutospacing="0" w:after="0" w:afterAutospacing="0" w:line="360" w:lineRule="auto"/>
              <w:ind w:left="0" w:right="0"/>
              <w:rPr>
                <w:rFonts w:hint="eastAsia" w:cs="Times New Roman"/>
                <w:color w:val="auto"/>
                <w:sz w:val="21"/>
                <w:szCs w:val="21"/>
                <w:highlight w:val="none"/>
              </w:rPr>
            </w:pPr>
            <w:r>
              <w:rPr>
                <w:rFonts w:hint="eastAsia" w:cs="Times New Roman"/>
                <w:color w:val="auto"/>
                <w:sz w:val="21"/>
                <w:szCs w:val="21"/>
                <w:highlight w:val="none"/>
              </w:rPr>
              <w:t>提供法人或者其它组织的营业执照等证明文件</w:t>
            </w:r>
          </w:p>
        </w:tc>
      </w:tr>
      <w:tr w14:paraId="2B1F2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5" w:type="dxa"/>
            <w:vMerge w:val="continue"/>
            <w:tcBorders>
              <w:top w:val="nil"/>
              <w:left w:val="single" w:color="auto" w:sz="4" w:space="0"/>
              <w:bottom w:val="nil"/>
              <w:right w:val="single" w:color="auto" w:sz="4" w:space="0"/>
            </w:tcBorders>
            <w:noWrap w:val="0"/>
            <w:vAlign w:val="center"/>
          </w:tcPr>
          <w:p w14:paraId="65F6B048">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top w:val="nil"/>
              <w:left w:val="nil"/>
              <w:bottom w:val="nil"/>
              <w:right w:val="single" w:color="auto" w:sz="4" w:space="0"/>
            </w:tcBorders>
            <w:noWrap w:val="0"/>
            <w:vAlign w:val="center"/>
          </w:tcPr>
          <w:p w14:paraId="0AEAE7A5">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nil"/>
              <w:bottom w:val="nil"/>
              <w:right w:val="single" w:color="auto" w:sz="4" w:space="0"/>
            </w:tcBorders>
            <w:noWrap w:val="0"/>
            <w:vAlign w:val="center"/>
          </w:tcPr>
          <w:p w14:paraId="43D29399">
            <w:pPr>
              <w:pStyle w:val="95"/>
              <w:keepNext w:val="0"/>
              <w:keepLines w:val="0"/>
              <w:widowControl/>
              <w:suppressLineNumbers w:val="0"/>
              <w:spacing w:before="0" w:beforeAutospacing="0" w:after="0" w:afterAutospacing="0"/>
              <w:ind w:left="0" w:right="0"/>
              <w:jc w:val="center"/>
              <w:rPr>
                <w:rFonts w:hint="eastAsia" w:ascii="宋体" w:hAnsi="宋体"/>
                <w:color w:val="auto"/>
                <w:kern w:val="0"/>
                <w:highlight w:val="none"/>
              </w:rPr>
            </w:pPr>
            <w:r>
              <w:rPr>
                <w:rFonts w:hint="eastAsia" w:ascii="宋体" w:hAnsi="宋体"/>
                <w:color w:val="auto"/>
                <w:kern w:val="0"/>
                <w:highlight w:val="none"/>
              </w:rPr>
              <w:t>具有良好的商业信誉和健全的财务会计制度</w:t>
            </w:r>
          </w:p>
        </w:tc>
        <w:tc>
          <w:tcPr>
            <w:tcW w:w="5453" w:type="dxa"/>
            <w:tcBorders>
              <w:top w:val="single" w:color="auto" w:sz="4" w:space="0"/>
              <w:left w:val="nil"/>
              <w:bottom w:val="single" w:color="auto" w:sz="4" w:space="0"/>
              <w:right w:val="single" w:color="auto" w:sz="4" w:space="0"/>
            </w:tcBorders>
            <w:noWrap w:val="0"/>
            <w:vAlign w:val="center"/>
          </w:tcPr>
          <w:p w14:paraId="26C96309">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kern w:val="0"/>
                <w:highlight w:val="none"/>
              </w:rPr>
            </w:pPr>
            <w:r>
              <w:rPr>
                <w:rFonts w:hint="eastAsia" w:ascii="宋体" w:hAnsi="宋体"/>
                <w:color w:val="auto"/>
                <w:kern w:val="0"/>
                <w:highlight w:val="none"/>
                <w:lang w:eastAsia="zh-CN"/>
              </w:rPr>
              <w:t>提供2023年度经第三方审计机构出具的审计报告：至少包含资产负债表、利润表、现金流量表和财务报表附注，供应商成立不满一年可提供基本户银行开具的资信证明</w:t>
            </w:r>
          </w:p>
        </w:tc>
      </w:tr>
      <w:tr w14:paraId="13E2F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5" w:type="dxa"/>
            <w:vMerge w:val="continue"/>
            <w:tcBorders>
              <w:top w:val="nil"/>
              <w:left w:val="single" w:color="auto" w:sz="4" w:space="0"/>
              <w:bottom w:val="nil"/>
              <w:right w:val="single" w:color="auto" w:sz="4" w:space="0"/>
            </w:tcBorders>
            <w:noWrap w:val="0"/>
            <w:vAlign w:val="center"/>
          </w:tcPr>
          <w:p w14:paraId="1505B2F0">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top w:val="nil"/>
              <w:left w:val="nil"/>
              <w:bottom w:val="nil"/>
              <w:right w:val="single" w:color="auto" w:sz="4" w:space="0"/>
            </w:tcBorders>
            <w:noWrap w:val="0"/>
            <w:vAlign w:val="center"/>
          </w:tcPr>
          <w:p w14:paraId="19109A43">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nil"/>
              <w:bottom w:val="nil"/>
              <w:right w:val="single" w:color="auto" w:sz="4" w:space="0"/>
            </w:tcBorders>
            <w:noWrap w:val="0"/>
            <w:vAlign w:val="center"/>
          </w:tcPr>
          <w:p w14:paraId="32D44728">
            <w:pPr>
              <w:pStyle w:val="95"/>
              <w:keepNext w:val="0"/>
              <w:keepLines w:val="0"/>
              <w:widowControl/>
              <w:suppressLineNumbers w:val="0"/>
              <w:spacing w:before="0" w:beforeAutospacing="0" w:after="0" w:afterAutospacing="0"/>
              <w:ind w:left="0" w:right="0"/>
              <w:jc w:val="center"/>
              <w:rPr>
                <w:rFonts w:hint="eastAsia" w:ascii="宋体" w:hAnsi="宋体"/>
                <w:color w:val="auto"/>
                <w:kern w:val="0"/>
                <w:highlight w:val="none"/>
              </w:rPr>
            </w:pPr>
            <w:r>
              <w:rPr>
                <w:rFonts w:hint="eastAsia" w:ascii="宋体" w:hAnsi="宋体"/>
                <w:color w:val="auto"/>
                <w:kern w:val="0"/>
                <w:highlight w:val="none"/>
              </w:rPr>
              <w:t>具有履行合同所必需的设备和专业技术能力</w:t>
            </w:r>
          </w:p>
        </w:tc>
        <w:tc>
          <w:tcPr>
            <w:tcW w:w="5453" w:type="dxa"/>
            <w:tcBorders>
              <w:top w:val="single" w:color="auto" w:sz="4" w:space="0"/>
              <w:left w:val="nil"/>
              <w:bottom w:val="single" w:color="auto" w:sz="4" w:space="0"/>
              <w:right w:val="single" w:color="auto" w:sz="4" w:space="0"/>
            </w:tcBorders>
            <w:noWrap w:val="0"/>
            <w:vAlign w:val="center"/>
          </w:tcPr>
          <w:p w14:paraId="79612982">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kern w:val="0"/>
                <w:highlight w:val="none"/>
              </w:rPr>
            </w:pPr>
            <w:r>
              <w:rPr>
                <w:rFonts w:hint="eastAsia" w:ascii="宋体" w:hAnsi="宋体"/>
                <w:color w:val="auto"/>
                <w:kern w:val="0"/>
                <w:highlight w:val="none"/>
              </w:rPr>
              <w:t>具有履行合同所必需的设备和专业技术能力（自行承诺，格式自拟）</w:t>
            </w:r>
          </w:p>
        </w:tc>
      </w:tr>
      <w:tr w14:paraId="76EFB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895" w:type="dxa"/>
            <w:vMerge w:val="continue"/>
            <w:tcBorders>
              <w:top w:val="nil"/>
              <w:left w:val="single" w:color="auto" w:sz="4" w:space="0"/>
              <w:bottom w:val="nil"/>
              <w:right w:val="single" w:color="auto" w:sz="4" w:space="0"/>
            </w:tcBorders>
            <w:noWrap w:val="0"/>
            <w:vAlign w:val="center"/>
          </w:tcPr>
          <w:p w14:paraId="7D490840">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top w:val="nil"/>
              <w:left w:val="nil"/>
              <w:bottom w:val="nil"/>
              <w:right w:val="single" w:color="auto" w:sz="4" w:space="0"/>
            </w:tcBorders>
            <w:noWrap w:val="0"/>
            <w:vAlign w:val="center"/>
          </w:tcPr>
          <w:p w14:paraId="15CB2AE7">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nil"/>
              <w:bottom w:val="nil"/>
              <w:right w:val="single" w:color="auto" w:sz="4" w:space="0"/>
            </w:tcBorders>
            <w:noWrap w:val="0"/>
            <w:vAlign w:val="center"/>
          </w:tcPr>
          <w:p w14:paraId="29E8D1B2">
            <w:pPr>
              <w:pStyle w:val="95"/>
              <w:keepNext w:val="0"/>
              <w:keepLines w:val="0"/>
              <w:widowControl/>
              <w:suppressLineNumbers w:val="0"/>
              <w:spacing w:before="0" w:beforeAutospacing="0" w:after="0" w:afterAutospacing="0"/>
              <w:ind w:left="0" w:right="0"/>
              <w:jc w:val="center"/>
              <w:rPr>
                <w:rFonts w:hint="eastAsia" w:ascii="宋体" w:hAnsi="宋体"/>
                <w:color w:val="auto"/>
                <w:kern w:val="0"/>
                <w:highlight w:val="none"/>
              </w:rPr>
            </w:pPr>
            <w:r>
              <w:rPr>
                <w:rFonts w:hint="eastAsia" w:ascii="宋体" w:hAnsi="宋体"/>
                <w:color w:val="auto"/>
                <w:highlight w:val="none"/>
              </w:rPr>
              <w:t>具有依法缴纳税收和社会保障资金的良好记录</w:t>
            </w:r>
          </w:p>
        </w:tc>
        <w:tc>
          <w:tcPr>
            <w:tcW w:w="5453" w:type="dxa"/>
            <w:tcBorders>
              <w:top w:val="single" w:color="auto" w:sz="4" w:space="0"/>
              <w:left w:val="nil"/>
              <w:bottom w:val="single" w:color="auto" w:sz="4" w:space="0"/>
              <w:right w:val="single" w:color="auto" w:sz="4" w:space="0"/>
            </w:tcBorders>
            <w:noWrap w:val="0"/>
            <w:vAlign w:val="center"/>
          </w:tcPr>
          <w:p w14:paraId="53C7EFD9">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kern w:val="0"/>
                <w:highlight w:val="none"/>
              </w:rPr>
            </w:pPr>
            <w:r>
              <w:rPr>
                <w:rFonts w:hint="eastAsia" w:ascii="宋体" w:hAnsi="宋体"/>
                <w:color w:val="auto"/>
                <w:kern w:val="0"/>
                <w:highlight w:val="none"/>
              </w:rPr>
              <w:t>提供2024年1月以来任意1个月依法缴纳税收和社会保障资金的证明资料，依法免税或免缴社会保障资金的供应商，应提供相应文件证明其依法免税或免缴社会保障资金</w:t>
            </w:r>
          </w:p>
        </w:tc>
      </w:tr>
      <w:tr w14:paraId="4E8C1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5" w:type="dxa"/>
            <w:vMerge w:val="continue"/>
            <w:tcBorders>
              <w:top w:val="nil"/>
              <w:left w:val="single" w:color="auto" w:sz="4" w:space="0"/>
              <w:bottom w:val="nil"/>
              <w:right w:val="single" w:color="auto" w:sz="4" w:space="0"/>
            </w:tcBorders>
            <w:noWrap w:val="0"/>
            <w:vAlign w:val="center"/>
          </w:tcPr>
          <w:p w14:paraId="197C85CA">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top w:val="nil"/>
              <w:left w:val="nil"/>
              <w:bottom w:val="nil"/>
              <w:right w:val="single" w:color="auto" w:sz="4" w:space="0"/>
            </w:tcBorders>
            <w:noWrap w:val="0"/>
            <w:vAlign w:val="center"/>
          </w:tcPr>
          <w:p w14:paraId="2B5F1198">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nil"/>
              <w:bottom w:val="nil"/>
              <w:right w:val="single" w:color="auto" w:sz="4" w:space="0"/>
            </w:tcBorders>
            <w:noWrap w:val="0"/>
            <w:vAlign w:val="center"/>
          </w:tcPr>
          <w:p w14:paraId="0F22D0F6">
            <w:pPr>
              <w:pStyle w:val="95"/>
              <w:keepNext w:val="0"/>
              <w:keepLines w:val="0"/>
              <w:widowControl/>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参加政府采购活动前三年内，在经营活动中没有违法记录</w:t>
            </w:r>
          </w:p>
        </w:tc>
        <w:tc>
          <w:tcPr>
            <w:tcW w:w="5453" w:type="dxa"/>
            <w:tcBorders>
              <w:top w:val="single" w:color="auto" w:sz="4" w:space="0"/>
              <w:left w:val="nil"/>
              <w:bottom w:val="single" w:color="auto" w:sz="4" w:space="0"/>
              <w:right w:val="single" w:color="auto" w:sz="4" w:space="0"/>
            </w:tcBorders>
            <w:noWrap w:val="0"/>
            <w:vAlign w:val="center"/>
          </w:tcPr>
          <w:p w14:paraId="6B03B52A">
            <w:pPr>
              <w:keepNext w:val="0"/>
              <w:keepLines w:val="0"/>
              <w:suppressLineNumbers w:val="0"/>
              <w:adjustRightInd w:val="0"/>
              <w:snapToGrid w:val="0"/>
              <w:spacing w:before="0" w:beforeAutospacing="0" w:after="0" w:afterAutospacing="0" w:line="360" w:lineRule="auto"/>
              <w:ind w:left="0" w:right="0"/>
              <w:rPr>
                <w:rFonts w:hint="eastAsia" w:ascii="宋体" w:hAnsi="宋体"/>
                <w:color w:val="auto"/>
                <w:kern w:val="0"/>
                <w:highlight w:val="none"/>
              </w:rPr>
            </w:pPr>
            <w:r>
              <w:rPr>
                <w:rFonts w:hint="eastAsia" w:ascii="宋体" w:hAnsi="宋体"/>
                <w:color w:val="auto"/>
                <w:highlight w:val="none"/>
              </w:rPr>
              <w:t>参加政府采购活动前三年内，在经营活动中没有违法记录（自行承诺，</w:t>
            </w:r>
            <w:r>
              <w:rPr>
                <w:rFonts w:hint="eastAsia" w:ascii="宋体" w:hAnsi="宋体"/>
                <w:color w:val="auto"/>
                <w:kern w:val="0"/>
                <w:highlight w:val="none"/>
              </w:rPr>
              <w:t>格式自拟</w:t>
            </w:r>
            <w:r>
              <w:rPr>
                <w:rFonts w:hint="eastAsia" w:ascii="宋体" w:hAnsi="宋体"/>
                <w:color w:val="auto"/>
                <w:highlight w:val="none"/>
              </w:rPr>
              <w:t>）</w:t>
            </w:r>
          </w:p>
        </w:tc>
      </w:tr>
      <w:tr w14:paraId="6EE72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95" w:type="dxa"/>
            <w:vMerge w:val="continue"/>
            <w:tcBorders>
              <w:top w:val="nil"/>
              <w:left w:val="single" w:color="auto" w:sz="4" w:space="0"/>
              <w:bottom w:val="nil"/>
              <w:right w:val="single" w:color="auto" w:sz="4" w:space="0"/>
            </w:tcBorders>
            <w:noWrap w:val="0"/>
            <w:vAlign w:val="center"/>
          </w:tcPr>
          <w:p w14:paraId="15416BBA">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top w:val="nil"/>
              <w:left w:val="nil"/>
              <w:bottom w:val="nil"/>
              <w:right w:val="single" w:color="auto" w:sz="4" w:space="0"/>
            </w:tcBorders>
            <w:noWrap w:val="0"/>
            <w:vAlign w:val="center"/>
          </w:tcPr>
          <w:p w14:paraId="559324E8">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nil"/>
              <w:bottom w:val="nil"/>
              <w:right w:val="single" w:color="auto" w:sz="4" w:space="0"/>
            </w:tcBorders>
            <w:noWrap w:val="0"/>
            <w:vAlign w:val="center"/>
          </w:tcPr>
          <w:p w14:paraId="17C2ECAC">
            <w:pPr>
              <w:pStyle w:val="95"/>
              <w:keepNext w:val="0"/>
              <w:keepLines w:val="0"/>
              <w:widowControl/>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信誉要求</w:t>
            </w:r>
          </w:p>
        </w:tc>
        <w:tc>
          <w:tcPr>
            <w:tcW w:w="5453" w:type="dxa"/>
            <w:tcBorders>
              <w:top w:val="single" w:color="auto" w:sz="4" w:space="0"/>
              <w:left w:val="nil"/>
              <w:bottom w:val="single" w:color="auto" w:sz="4" w:space="0"/>
              <w:right w:val="single" w:color="auto" w:sz="4" w:space="0"/>
            </w:tcBorders>
            <w:noWrap w:val="0"/>
            <w:vAlign w:val="center"/>
          </w:tcPr>
          <w:p w14:paraId="66415C3C">
            <w:pPr>
              <w:keepNext w:val="0"/>
              <w:keepLines w:val="0"/>
              <w:widowControl/>
              <w:suppressLineNumbers w:val="0"/>
              <w:wordWrap w:val="0"/>
              <w:spacing w:before="0" w:beforeAutospacing="0" w:after="0" w:afterAutospacing="0"/>
              <w:ind w:left="0" w:right="0"/>
              <w:rPr>
                <w:rFonts w:hint="eastAsia" w:ascii="宋体" w:hAnsi="宋体"/>
                <w:color w:val="auto"/>
                <w:kern w:val="0"/>
                <w:highlight w:val="none"/>
              </w:rPr>
            </w:pPr>
            <w:r>
              <w:rPr>
                <w:rFonts w:hint="eastAsia" w:ascii="宋体" w:hAnsi="宋体" w:cs="宋体"/>
                <w:color w:val="auto"/>
                <w:highlight w:val="none"/>
              </w:rPr>
              <w:t>符合第二章“供应商须知前附表”第1.5.1项规定</w:t>
            </w:r>
          </w:p>
        </w:tc>
      </w:tr>
      <w:tr w14:paraId="0B457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95" w:type="dxa"/>
            <w:vMerge w:val="continue"/>
            <w:tcBorders>
              <w:top w:val="nil"/>
              <w:left w:val="single" w:color="auto" w:sz="4" w:space="0"/>
              <w:bottom w:val="nil"/>
              <w:right w:val="single" w:color="auto" w:sz="4" w:space="0"/>
            </w:tcBorders>
            <w:noWrap w:val="0"/>
            <w:vAlign w:val="center"/>
          </w:tcPr>
          <w:p w14:paraId="049D046C">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top w:val="nil"/>
              <w:left w:val="nil"/>
              <w:bottom w:val="nil"/>
              <w:right w:val="single" w:color="auto" w:sz="4" w:space="0"/>
            </w:tcBorders>
            <w:noWrap w:val="0"/>
            <w:vAlign w:val="center"/>
          </w:tcPr>
          <w:p w14:paraId="03FD102E">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nil"/>
              <w:bottom w:val="nil"/>
              <w:right w:val="single" w:color="auto" w:sz="4" w:space="0"/>
            </w:tcBorders>
            <w:noWrap w:val="0"/>
            <w:vAlign w:val="center"/>
          </w:tcPr>
          <w:p w14:paraId="49FDD8AD">
            <w:pPr>
              <w:pStyle w:val="95"/>
              <w:keepNext w:val="0"/>
              <w:keepLines w:val="0"/>
              <w:widowControl/>
              <w:suppressLineNumbers w:val="0"/>
              <w:spacing w:before="0" w:beforeAutospacing="0" w:after="0" w:afterAutospacing="0"/>
              <w:ind w:left="0" w:right="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其他要求</w:t>
            </w:r>
          </w:p>
        </w:tc>
        <w:tc>
          <w:tcPr>
            <w:tcW w:w="5453" w:type="dxa"/>
            <w:tcBorders>
              <w:top w:val="single" w:color="auto" w:sz="4" w:space="0"/>
              <w:left w:val="nil"/>
              <w:bottom w:val="single" w:color="auto" w:sz="4" w:space="0"/>
              <w:right w:val="single" w:color="auto" w:sz="4" w:space="0"/>
            </w:tcBorders>
            <w:noWrap w:val="0"/>
            <w:vAlign w:val="center"/>
          </w:tcPr>
          <w:p w14:paraId="19067B60">
            <w:pPr>
              <w:keepNext w:val="0"/>
              <w:keepLines w:val="0"/>
              <w:widowControl/>
              <w:suppressLineNumbers w:val="0"/>
              <w:wordWrap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符合磋商文件规定的其他要求</w:t>
            </w:r>
          </w:p>
        </w:tc>
      </w:tr>
      <w:tr w14:paraId="3DF29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95" w:type="dxa"/>
            <w:vMerge w:val="continue"/>
            <w:tcBorders>
              <w:top w:val="nil"/>
              <w:left w:val="single" w:color="auto" w:sz="4" w:space="0"/>
              <w:bottom w:val="single" w:color="auto" w:sz="4" w:space="0"/>
              <w:right w:val="single" w:color="auto" w:sz="4" w:space="0"/>
            </w:tcBorders>
            <w:noWrap w:val="0"/>
            <w:vAlign w:val="center"/>
          </w:tcPr>
          <w:p w14:paraId="0E44F541">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top w:val="nil"/>
              <w:left w:val="nil"/>
              <w:bottom w:val="single" w:color="auto" w:sz="4" w:space="0"/>
              <w:right w:val="single" w:color="auto" w:sz="4" w:space="0"/>
            </w:tcBorders>
            <w:noWrap w:val="0"/>
            <w:vAlign w:val="center"/>
          </w:tcPr>
          <w:p w14:paraId="500F76A7">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7982" w:type="dxa"/>
            <w:gridSpan w:val="2"/>
            <w:tcBorders>
              <w:top w:val="single" w:color="auto" w:sz="4" w:space="0"/>
              <w:left w:val="nil"/>
              <w:bottom w:val="single" w:color="auto" w:sz="4" w:space="0"/>
              <w:right w:val="single" w:color="auto" w:sz="4" w:space="0"/>
            </w:tcBorders>
            <w:noWrap w:val="0"/>
            <w:vAlign w:val="center"/>
          </w:tcPr>
          <w:p w14:paraId="3AD1A70E">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r>
              <w:rPr>
                <w:rFonts w:hint="eastAsia" w:ascii="宋体" w:hAnsi="宋体"/>
                <w:b/>
                <w:bCs/>
                <w:color w:val="auto"/>
                <w:kern w:val="0"/>
                <w:highlight w:val="none"/>
              </w:rPr>
              <w:t>注：磋商小组按以上资格评审标准对供应商的资格进行审查（以响应文件中所附相关证明材料的扫描件为准）。有一项不符合资格审查标准的，磋商小组应当否决其投标。</w:t>
            </w:r>
          </w:p>
        </w:tc>
      </w:tr>
      <w:tr w14:paraId="2003E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restart"/>
            <w:tcBorders>
              <w:top w:val="single" w:color="auto" w:sz="4" w:space="0"/>
              <w:left w:val="single" w:color="auto" w:sz="4" w:space="0"/>
              <w:right w:val="single" w:color="auto" w:sz="4" w:space="0"/>
            </w:tcBorders>
            <w:noWrap w:val="0"/>
            <w:vAlign w:val="center"/>
          </w:tcPr>
          <w:p w14:paraId="05EE4597">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2.1.2</w:t>
            </w:r>
          </w:p>
        </w:tc>
        <w:tc>
          <w:tcPr>
            <w:tcW w:w="583" w:type="dxa"/>
            <w:vMerge w:val="restart"/>
            <w:tcBorders>
              <w:top w:val="single" w:color="auto" w:sz="4" w:space="0"/>
              <w:left w:val="single" w:color="auto" w:sz="4" w:space="0"/>
              <w:right w:val="single" w:color="auto" w:sz="4" w:space="0"/>
            </w:tcBorders>
            <w:noWrap w:val="0"/>
            <w:vAlign w:val="center"/>
          </w:tcPr>
          <w:p w14:paraId="3B8A69D7">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符合性评</w:t>
            </w:r>
          </w:p>
          <w:p w14:paraId="326AC9D6">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审</w:t>
            </w:r>
          </w:p>
          <w:p w14:paraId="10A00B75">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标</w:t>
            </w:r>
          </w:p>
          <w:p w14:paraId="19E0CA1B">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准</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3107A55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标书雷同性分析</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55CEA3F2">
            <w:pPr>
              <w:keepNext w:val="0"/>
              <w:keepLines w:val="0"/>
              <w:suppressLineNumbers w:val="0"/>
              <w:adjustRightInd w:val="0"/>
              <w:spacing w:before="0" w:beforeAutospacing="0" w:after="0" w:afterAutospacing="0"/>
              <w:ind w:left="0" w:right="0"/>
              <w:jc w:val="left"/>
              <w:textAlignment w:val="baseline"/>
              <w:rPr>
                <w:rFonts w:hint="eastAsia" w:ascii="宋体" w:hAnsi="宋体"/>
                <w:color w:val="auto"/>
                <w:highlight w:val="none"/>
              </w:rPr>
            </w:pPr>
            <w:r>
              <w:rPr>
                <w:rFonts w:hint="eastAsia" w:ascii="宋体" w:hAnsi="宋体"/>
                <w:color w:val="auto"/>
                <w:highlight w:val="none"/>
              </w:rPr>
              <w:t>响应文件制作机器码不能一致，电子响应文件上传计算机的网卡MAC地址、CPU序列号和硬盘序列号等硬件信息不能相同</w:t>
            </w:r>
          </w:p>
        </w:tc>
      </w:tr>
      <w:tr w14:paraId="10E4B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0894A57C">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791CF22F">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057E35E8">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lang w:val="en-US" w:eastAsia="zh-CN"/>
              </w:rPr>
              <w:t>采购</w:t>
            </w:r>
            <w:r>
              <w:rPr>
                <w:rFonts w:hint="eastAsia" w:ascii="宋体" w:hAnsi="宋体"/>
                <w:color w:val="auto"/>
                <w:highlight w:val="none"/>
              </w:rPr>
              <w:t>内容</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5B480520">
            <w:pPr>
              <w:keepNext w:val="0"/>
              <w:keepLines w:val="0"/>
              <w:suppressLineNumbers w:val="0"/>
              <w:adjustRightInd w:val="0"/>
              <w:spacing w:before="0" w:beforeAutospacing="0" w:after="0" w:afterAutospacing="0"/>
              <w:ind w:left="0" w:right="0"/>
              <w:jc w:val="left"/>
              <w:textAlignment w:val="baseline"/>
              <w:rPr>
                <w:rFonts w:hint="eastAsia" w:ascii="宋体" w:hAnsi="宋体"/>
                <w:color w:val="auto"/>
                <w:highlight w:val="none"/>
              </w:rPr>
            </w:pPr>
            <w:r>
              <w:rPr>
                <w:rFonts w:hint="eastAsia" w:ascii="宋体" w:hAnsi="宋体"/>
                <w:color w:val="auto"/>
                <w:highlight w:val="none"/>
              </w:rPr>
              <w:t>符合第二章“供应商须知前附表”第1.4.1项规定</w:t>
            </w:r>
          </w:p>
        </w:tc>
      </w:tr>
      <w:tr w14:paraId="42312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6D4392E7">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50A447E8">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77D5C1C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交货地点</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686A5F89">
            <w:pPr>
              <w:keepNext w:val="0"/>
              <w:keepLines w:val="0"/>
              <w:suppressLineNumbers w:val="0"/>
              <w:adjustRightInd w:val="0"/>
              <w:spacing w:before="0" w:beforeAutospacing="0" w:after="0" w:afterAutospacing="0"/>
              <w:ind w:left="0" w:right="0"/>
              <w:jc w:val="left"/>
              <w:textAlignment w:val="baseline"/>
              <w:rPr>
                <w:rFonts w:hint="eastAsia" w:ascii="宋体" w:hAnsi="宋体"/>
                <w:color w:val="auto"/>
                <w:highlight w:val="none"/>
              </w:rPr>
            </w:pPr>
            <w:r>
              <w:rPr>
                <w:rFonts w:hint="eastAsia" w:ascii="宋体" w:hAnsi="宋体"/>
                <w:color w:val="auto"/>
                <w:highlight w:val="none"/>
              </w:rPr>
              <w:t>符合第二章“供应商须知前附表”第1.4.2项规定</w:t>
            </w:r>
          </w:p>
        </w:tc>
      </w:tr>
      <w:tr w14:paraId="4F481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1789C70F">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76019395">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67BA4FE8">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交货期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53E72642">
            <w:pPr>
              <w:keepNext w:val="0"/>
              <w:keepLines w:val="0"/>
              <w:suppressLineNumbers w:val="0"/>
              <w:adjustRightInd w:val="0"/>
              <w:spacing w:before="0" w:beforeAutospacing="0" w:after="0" w:afterAutospacing="0"/>
              <w:ind w:left="0" w:right="0"/>
              <w:jc w:val="left"/>
              <w:textAlignment w:val="baseline"/>
              <w:rPr>
                <w:rFonts w:hint="eastAsia" w:ascii="宋体" w:hAnsi="宋体"/>
                <w:color w:val="auto"/>
                <w:highlight w:val="none"/>
              </w:rPr>
            </w:pPr>
            <w:r>
              <w:rPr>
                <w:rFonts w:hint="eastAsia" w:ascii="宋体" w:hAnsi="宋体"/>
                <w:color w:val="auto"/>
                <w:highlight w:val="none"/>
              </w:rPr>
              <w:t>符合第二章“供应商须知前附表”第1.4.3项规定</w:t>
            </w:r>
          </w:p>
        </w:tc>
      </w:tr>
      <w:tr w14:paraId="59F04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04AA1A32">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67C1493E">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24F533E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质量要求</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553D1654">
            <w:pPr>
              <w:keepNext w:val="0"/>
              <w:keepLines w:val="0"/>
              <w:suppressLineNumbers w:val="0"/>
              <w:adjustRightInd w:val="0"/>
              <w:spacing w:before="0" w:beforeAutospacing="0" w:after="0" w:afterAutospacing="0"/>
              <w:ind w:left="0" w:right="0"/>
              <w:jc w:val="left"/>
              <w:textAlignment w:val="baseline"/>
              <w:rPr>
                <w:rFonts w:hint="eastAsia" w:ascii="宋体" w:hAnsi="宋体"/>
                <w:color w:val="auto"/>
                <w:highlight w:val="none"/>
              </w:rPr>
            </w:pPr>
            <w:r>
              <w:rPr>
                <w:rFonts w:hint="eastAsia" w:ascii="宋体" w:hAnsi="宋体"/>
                <w:color w:val="auto"/>
                <w:highlight w:val="none"/>
              </w:rPr>
              <w:t>符合第二章“供应商须知前附表”第1.4.4项规定</w:t>
            </w:r>
          </w:p>
        </w:tc>
      </w:tr>
      <w:tr w14:paraId="67BA2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00456731">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4E1F8DCD">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3E2F585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质保期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39814D25">
            <w:pPr>
              <w:keepNext w:val="0"/>
              <w:keepLines w:val="0"/>
              <w:suppressLineNumbers w:val="0"/>
              <w:adjustRightInd w:val="0"/>
              <w:spacing w:before="0" w:beforeAutospacing="0" w:after="0" w:afterAutospacing="0"/>
              <w:ind w:left="0" w:right="0"/>
              <w:jc w:val="left"/>
              <w:textAlignment w:val="baseline"/>
              <w:rPr>
                <w:rFonts w:hint="eastAsia" w:ascii="宋体" w:hAnsi="宋体"/>
                <w:color w:val="auto"/>
                <w:highlight w:val="none"/>
              </w:rPr>
            </w:pPr>
            <w:r>
              <w:rPr>
                <w:rFonts w:hint="eastAsia" w:ascii="宋体" w:hAnsi="宋体"/>
                <w:color w:val="auto"/>
                <w:highlight w:val="none"/>
              </w:rPr>
              <w:t>符合第二章“供应商须知前附表”第1.4.5项规定</w:t>
            </w:r>
          </w:p>
        </w:tc>
      </w:tr>
      <w:tr w14:paraId="58C37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049AB7BE">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7B21215B">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5C4842B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磋商有效期</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0C183CE7">
            <w:pPr>
              <w:keepNext w:val="0"/>
              <w:keepLines w:val="0"/>
              <w:suppressLineNumbers w:val="0"/>
              <w:adjustRightInd w:val="0"/>
              <w:spacing w:before="0" w:beforeAutospacing="0" w:after="0" w:afterAutospacing="0"/>
              <w:ind w:left="0" w:right="0"/>
              <w:jc w:val="left"/>
              <w:textAlignment w:val="baseline"/>
              <w:rPr>
                <w:rFonts w:hint="eastAsia" w:ascii="宋体" w:hAnsi="宋体"/>
                <w:color w:val="auto"/>
                <w:highlight w:val="none"/>
              </w:rPr>
            </w:pPr>
            <w:r>
              <w:rPr>
                <w:rFonts w:hint="eastAsia" w:ascii="宋体" w:hAnsi="宋体"/>
                <w:color w:val="auto"/>
                <w:highlight w:val="none"/>
              </w:rPr>
              <w:t>符合第二章“供应商须知前附表”第3.3.1项规定</w:t>
            </w:r>
          </w:p>
        </w:tc>
      </w:tr>
      <w:tr w14:paraId="02340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37238B61">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0805012D">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5DF7F21A">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签字盖章</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09093C90">
            <w:pPr>
              <w:pStyle w:val="97"/>
              <w:keepNext w:val="0"/>
              <w:keepLines w:val="0"/>
              <w:suppressLineNumbers w:val="0"/>
              <w:spacing w:before="0" w:beforeAutospacing="0" w:after="0" w:afterAutospacing="0"/>
              <w:ind w:left="0" w:right="0"/>
              <w:rPr>
                <w:rFonts w:hint="eastAsia" w:cs="Times New Roman"/>
                <w:color w:val="auto"/>
                <w:sz w:val="21"/>
                <w:szCs w:val="21"/>
                <w:highlight w:val="none"/>
              </w:rPr>
            </w:pPr>
            <w:r>
              <w:rPr>
                <w:rFonts w:hint="eastAsia" w:cs="Times New Roman"/>
                <w:color w:val="auto"/>
                <w:sz w:val="21"/>
                <w:szCs w:val="21"/>
                <w:highlight w:val="none"/>
              </w:rPr>
              <w:t>符合第二章“供应商须知</w:t>
            </w:r>
            <w:r>
              <w:rPr>
                <w:rFonts w:hint="eastAsia"/>
                <w:color w:val="auto"/>
                <w:sz w:val="21"/>
                <w:szCs w:val="21"/>
                <w:highlight w:val="none"/>
              </w:rPr>
              <w:t>前附表</w:t>
            </w:r>
            <w:r>
              <w:rPr>
                <w:rFonts w:hint="eastAsia" w:cs="Times New Roman"/>
                <w:color w:val="auto"/>
                <w:sz w:val="21"/>
                <w:szCs w:val="21"/>
                <w:highlight w:val="none"/>
              </w:rPr>
              <w:t>”第3.7.3项规定</w:t>
            </w:r>
          </w:p>
        </w:tc>
      </w:tr>
      <w:tr w14:paraId="134F8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576E2C03">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6C3D50FE">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1706EA1C">
            <w:pPr>
              <w:pStyle w:val="97"/>
              <w:keepNext w:val="0"/>
              <w:keepLines w:val="0"/>
              <w:suppressLineNumbers w:val="0"/>
              <w:spacing w:before="0" w:beforeAutospacing="0" w:after="0" w:afterAutospacing="0"/>
              <w:ind w:left="0" w:right="0"/>
              <w:jc w:val="center"/>
              <w:rPr>
                <w:rFonts w:hint="eastAsia" w:cs="Times New Roman"/>
                <w:color w:val="auto"/>
                <w:sz w:val="21"/>
                <w:szCs w:val="21"/>
                <w:highlight w:val="none"/>
              </w:rPr>
            </w:pPr>
            <w:r>
              <w:rPr>
                <w:rFonts w:hint="eastAsia" w:cs="Times New Roman"/>
                <w:color w:val="auto"/>
                <w:sz w:val="21"/>
                <w:szCs w:val="21"/>
                <w:highlight w:val="none"/>
              </w:rPr>
              <w:t>付款方式</w:t>
            </w:r>
          </w:p>
        </w:tc>
        <w:tc>
          <w:tcPr>
            <w:tcW w:w="5453" w:type="dxa"/>
            <w:tcBorders>
              <w:top w:val="single" w:color="auto" w:sz="4" w:space="0"/>
              <w:left w:val="single" w:color="auto" w:sz="4" w:space="0"/>
              <w:bottom w:val="single" w:color="auto" w:sz="4" w:space="0"/>
              <w:right w:val="single" w:color="auto" w:sz="4" w:space="0"/>
            </w:tcBorders>
            <w:noWrap w:val="0"/>
            <w:vAlign w:val="center"/>
          </w:tcPr>
          <w:p w14:paraId="5130AD20">
            <w:pPr>
              <w:pStyle w:val="97"/>
              <w:keepNext w:val="0"/>
              <w:keepLines w:val="0"/>
              <w:suppressLineNumbers w:val="0"/>
              <w:spacing w:before="0" w:beforeAutospacing="0" w:after="0" w:afterAutospacing="0"/>
              <w:ind w:left="0" w:right="0"/>
              <w:rPr>
                <w:rFonts w:hint="eastAsia" w:cs="Times New Roman"/>
                <w:color w:val="auto"/>
                <w:sz w:val="21"/>
                <w:szCs w:val="21"/>
                <w:highlight w:val="none"/>
              </w:rPr>
            </w:pPr>
            <w:r>
              <w:rPr>
                <w:rFonts w:hint="eastAsia" w:cs="Times New Roman"/>
                <w:color w:val="auto"/>
                <w:sz w:val="21"/>
                <w:szCs w:val="21"/>
                <w:highlight w:val="none"/>
              </w:rPr>
              <w:t>符合第二章“供应商须知</w:t>
            </w:r>
            <w:r>
              <w:rPr>
                <w:rFonts w:hint="eastAsia"/>
                <w:color w:val="auto"/>
                <w:sz w:val="21"/>
                <w:szCs w:val="21"/>
                <w:highlight w:val="none"/>
              </w:rPr>
              <w:t>前附表</w:t>
            </w:r>
            <w:r>
              <w:rPr>
                <w:rFonts w:hint="eastAsia" w:cs="Times New Roman"/>
                <w:color w:val="auto"/>
                <w:sz w:val="21"/>
                <w:szCs w:val="21"/>
                <w:highlight w:val="none"/>
              </w:rPr>
              <w:t>”第10.3项规定</w:t>
            </w:r>
          </w:p>
        </w:tc>
      </w:tr>
      <w:tr w14:paraId="1CF1F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2C045D7C">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7069A77F">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4724B3D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磋商报价</w:t>
            </w:r>
          </w:p>
        </w:tc>
        <w:tc>
          <w:tcPr>
            <w:tcW w:w="5453" w:type="dxa"/>
            <w:tcBorders>
              <w:top w:val="single" w:color="auto" w:sz="4" w:space="0"/>
              <w:left w:val="nil"/>
              <w:bottom w:val="single" w:color="auto" w:sz="4" w:space="0"/>
              <w:right w:val="single" w:color="auto" w:sz="4" w:space="0"/>
            </w:tcBorders>
            <w:noWrap w:val="0"/>
            <w:vAlign w:val="center"/>
          </w:tcPr>
          <w:p w14:paraId="28FC55F0">
            <w:pPr>
              <w:keepNext w:val="0"/>
              <w:keepLines w:val="0"/>
              <w:suppressLineNumbers w:val="0"/>
              <w:adjustRightInd w:val="0"/>
              <w:spacing w:before="0" w:beforeAutospacing="0" w:after="0" w:afterAutospacing="0"/>
              <w:ind w:left="0" w:right="0"/>
              <w:textAlignment w:val="baseline"/>
              <w:rPr>
                <w:rFonts w:hint="eastAsia" w:ascii="宋体" w:hAnsi="宋体"/>
                <w:color w:val="auto"/>
                <w:highlight w:val="none"/>
              </w:rPr>
            </w:pPr>
            <w:r>
              <w:rPr>
                <w:rFonts w:hint="eastAsia" w:ascii="宋体" w:hAnsi="宋体"/>
                <w:color w:val="auto"/>
                <w:highlight w:val="none"/>
              </w:rPr>
              <w:t>磋商报价在规定的报价范围之内，且未超出最高限价</w:t>
            </w:r>
          </w:p>
        </w:tc>
      </w:tr>
      <w:tr w14:paraId="23A71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right w:val="single" w:color="auto" w:sz="4" w:space="0"/>
            </w:tcBorders>
            <w:noWrap w:val="0"/>
            <w:vAlign w:val="center"/>
          </w:tcPr>
          <w:p w14:paraId="3A455FAC">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right w:val="single" w:color="auto" w:sz="4" w:space="0"/>
            </w:tcBorders>
            <w:noWrap w:val="0"/>
            <w:vAlign w:val="center"/>
          </w:tcPr>
          <w:p w14:paraId="2CD14FEB">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4D405BC8">
            <w:pPr>
              <w:keepNext w:val="0"/>
              <w:keepLines w:val="0"/>
              <w:suppressLineNumbers w:val="0"/>
              <w:spacing w:before="0" w:beforeAutospacing="0" w:after="0" w:afterAutospacing="0"/>
              <w:ind w:left="0" w:right="0"/>
              <w:jc w:val="center"/>
              <w:rPr>
                <w:rFonts w:hint="eastAsia" w:ascii="宋体" w:hAnsi="宋体" w:eastAsia="宋体"/>
                <w:color w:val="auto"/>
                <w:highlight w:val="none"/>
                <w:lang w:eastAsia="zh-CN"/>
              </w:rPr>
            </w:pPr>
            <w:r>
              <w:rPr>
                <w:rFonts w:hint="eastAsia" w:ascii="宋体" w:hAnsi="宋体"/>
                <w:color w:val="auto"/>
                <w:highlight w:val="none"/>
                <w:lang w:eastAsia="zh-CN"/>
              </w:rPr>
              <w:t>实质性指标响应</w:t>
            </w:r>
          </w:p>
        </w:tc>
        <w:tc>
          <w:tcPr>
            <w:tcW w:w="5453" w:type="dxa"/>
            <w:tcBorders>
              <w:top w:val="single" w:color="auto" w:sz="4" w:space="0"/>
              <w:left w:val="nil"/>
              <w:bottom w:val="single" w:color="auto" w:sz="4" w:space="0"/>
              <w:right w:val="single" w:color="auto" w:sz="4" w:space="0"/>
            </w:tcBorders>
            <w:noWrap w:val="0"/>
            <w:vAlign w:val="center"/>
          </w:tcPr>
          <w:p w14:paraId="18B81FCF">
            <w:pPr>
              <w:pStyle w:val="11"/>
              <w:keepNext w:val="0"/>
              <w:keepLines w:val="0"/>
              <w:numPr>
                <w:ilvl w:val="0"/>
                <w:numId w:val="0"/>
              </w:numPr>
              <w:suppressLineNumbers w:val="0"/>
              <w:adjustRightInd w:val="0"/>
              <w:snapToGrid w:val="0"/>
              <w:spacing w:before="0" w:beforeAutospacing="0" w:after="0" w:afterAutospacing="0" w:line="440" w:lineRule="exact"/>
              <w:ind w:left="0" w:right="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第五章 采购需求 中</w:t>
            </w:r>
            <w:r>
              <w:rPr>
                <w:rFonts w:hint="eastAsia" w:ascii="宋体" w:hAnsi="宋体"/>
                <w:color w:val="auto"/>
                <w:sz w:val="21"/>
                <w:szCs w:val="21"/>
                <w:highlight w:val="none"/>
              </w:rPr>
              <w:t>加★项</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商务服务要求</w:t>
            </w:r>
            <w:r>
              <w:rPr>
                <w:rFonts w:hint="eastAsia" w:ascii="宋体" w:hAnsi="宋体"/>
                <w:color w:val="auto"/>
                <w:sz w:val="21"/>
                <w:szCs w:val="21"/>
                <w:highlight w:val="none"/>
              </w:rPr>
              <w:t>不允许负</w:t>
            </w:r>
            <w:r>
              <w:rPr>
                <w:rFonts w:hint="eastAsia" w:ascii="宋体" w:hAnsi="宋体"/>
                <w:color w:val="auto"/>
                <w:sz w:val="21"/>
                <w:szCs w:val="21"/>
                <w:highlight w:val="none"/>
                <w:lang w:eastAsia="zh-CN"/>
              </w:rPr>
              <w:t>偏离</w:t>
            </w:r>
            <w:r>
              <w:rPr>
                <w:rFonts w:hint="eastAsia" w:ascii="宋体" w:hAnsi="宋体"/>
                <w:color w:val="auto"/>
                <w:sz w:val="21"/>
                <w:szCs w:val="21"/>
                <w:highlight w:val="none"/>
              </w:rPr>
              <w:t>，</w:t>
            </w:r>
            <w:r>
              <w:rPr>
                <w:rFonts w:hint="eastAsia" w:ascii="宋体" w:hAnsi="宋体"/>
                <w:color w:val="auto"/>
                <w:sz w:val="21"/>
                <w:szCs w:val="21"/>
                <w:highlight w:val="none"/>
                <w:lang w:eastAsia="zh-CN"/>
              </w:rPr>
              <w:t>以技术规格偏差表及商务条款偏离表中的响应为准，</w:t>
            </w:r>
            <w:r>
              <w:rPr>
                <w:rFonts w:hint="eastAsia" w:ascii="宋体" w:hAnsi="宋体"/>
                <w:color w:val="auto"/>
                <w:sz w:val="21"/>
                <w:szCs w:val="21"/>
                <w:highlight w:val="none"/>
                <w:lang w:val="en-US" w:eastAsia="zh-CN"/>
              </w:rPr>
              <w:t>如未响应，则为无效投标。</w:t>
            </w:r>
          </w:p>
          <w:p w14:paraId="5FC1EFAE">
            <w:pPr>
              <w:pStyle w:val="11"/>
              <w:keepNext w:val="0"/>
              <w:keepLines w:val="0"/>
              <w:numPr>
                <w:ilvl w:val="0"/>
                <w:numId w:val="0"/>
              </w:numPr>
              <w:suppressLineNumbers w:val="0"/>
              <w:adjustRightInd w:val="0"/>
              <w:snapToGrid w:val="0"/>
              <w:spacing w:before="0" w:beforeAutospacing="0" w:after="0" w:afterAutospacing="0" w:line="440" w:lineRule="exact"/>
              <w:ind w:left="0" w:right="0"/>
              <w:rPr>
                <w:rFonts w:hint="eastAsia" w:ascii="宋体" w:hAnsi="宋体"/>
                <w:color w:val="auto"/>
                <w:highlight w:val="none"/>
              </w:rPr>
            </w:pPr>
            <w:r>
              <w:rPr>
                <w:rFonts w:hint="eastAsia" w:ascii="宋体" w:hAnsi="宋体"/>
                <w:color w:val="auto"/>
                <w:sz w:val="21"/>
                <w:szCs w:val="21"/>
                <w:highlight w:val="none"/>
              </w:rPr>
              <w:t>其他项详见第三章评分标准及办法。</w:t>
            </w:r>
          </w:p>
        </w:tc>
      </w:tr>
      <w:tr w14:paraId="011CD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95" w:type="dxa"/>
            <w:vMerge w:val="continue"/>
            <w:tcBorders>
              <w:left w:val="single" w:color="auto" w:sz="4" w:space="0"/>
              <w:bottom w:val="single" w:color="auto" w:sz="4" w:space="0"/>
              <w:right w:val="single" w:color="auto" w:sz="4" w:space="0"/>
            </w:tcBorders>
            <w:noWrap w:val="0"/>
            <w:vAlign w:val="center"/>
          </w:tcPr>
          <w:p w14:paraId="4FD6A7CB">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583" w:type="dxa"/>
            <w:vMerge w:val="continue"/>
            <w:tcBorders>
              <w:left w:val="single" w:color="auto" w:sz="4" w:space="0"/>
              <w:bottom w:val="single" w:color="auto" w:sz="4" w:space="0"/>
              <w:right w:val="single" w:color="auto" w:sz="4" w:space="0"/>
            </w:tcBorders>
            <w:noWrap w:val="0"/>
            <w:vAlign w:val="center"/>
          </w:tcPr>
          <w:p w14:paraId="699FE798">
            <w:pPr>
              <w:keepNext w:val="0"/>
              <w:keepLines w:val="0"/>
              <w:widowControl/>
              <w:suppressLineNumbers w:val="0"/>
              <w:spacing w:before="0" w:beforeAutospacing="0" w:after="0" w:afterAutospacing="0"/>
              <w:ind w:left="0" w:right="0"/>
              <w:jc w:val="left"/>
              <w:rPr>
                <w:rFonts w:hint="eastAsia" w:ascii="宋体" w:hAnsi="宋体"/>
                <w:color w:val="auto"/>
                <w:kern w:val="0"/>
                <w:highlight w:val="none"/>
              </w:rPr>
            </w:pPr>
          </w:p>
        </w:tc>
        <w:tc>
          <w:tcPr>
            <w:tcW w:w="2529" w:type="dxa"/>
            <w:tcBorders>
              <w:top w:val="single" w:color="auto" w:sz="4" w:space="0"/>
              <w:left w:val="single" w:color="auto" w:sz="4" w:space="0"/>
              <w:bottom w:val="single" w:color="auto" w:sz="4" w:space="0"/>
              <w:right w:val="single" w:color="auto" w:sz="4" w:space="0"/>
            </w:tcBorders>
            <w:noWrap w:val="0"/>
            <w:vAlign w:val="center"/>
          </w:tcPr>
          <w:p w14:paraId="137D0DA8">
            <w:pPr>
              <w:pStyle w:val="95"/>
              <w:keepNext w:val="0"/>
              <w:keepLines w:val="0"/>
              <w:widowControl/>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其他</w:t>
            </w:r>
          </w:p>
        </w:tc>
        <w:tc>
          <w:tcPr>
            <w:tcW w:w="5453" w:type="dxa"/>
            <w:tcBorders>
              <w:top w:val="single" w:color="auto" w:sz="4" w:space="0"/>
              <w:left w:val="nil"/>
              <w:bottom w:val="single" w:color="auto" w:sz="4" w:space="0"/>
              <w:right w:val="single" w:color="auto" w:sz="4" w:space="0"/>
            </w:tcBorders>
            <w:noWrap w:val="0"/>
            <w:vAlign w:val="center"/>
          </w:tcPr>
          <w:p w14:paraId="033EFE71">
            <w:pPr>
              <w:keepNext w:val="0"/>
              <w:keepLines w:val="0"/>
              <w:suppressLineNumbers w:val="0"/>
              <w:autoSpaceDE w:val="0"/>
              <w:autoSpaceDN w:val="0"/>
              <w:spacing w:before="0" w:beforeAutospacing="0" w:after="0" w:afterAutospacing="0"/>
              <w:ind w:left="0" w:right="0"/>
              <w:jc w:val="left"/>
              <w:rPr>
                <w:rFonts w:hint="eastAsia" w:ascii="宋体" w:hAnsi="宋体"/>
                <w:color w:val="auto"/>
                <w:highlight w:val="none"/>
              </w:rPr>
            </w:pPr>
            <w:r>
              <w:rPr>
                <w:rFonts w:hint="eastAsia"/>
                <w:color w:val="auto"/>
                <w:highlight w:val="none"/>
              </w:rPr>
              <w:t>符合磋商文件中规定的其他实质性要求</w:t>
            </w:r>
          </w:p>
        </w:tc>
      </w:tr>
    </w:tbl>
    <w:p w14:paraId="7ACFC91F">
      <w:pPr>
        <w:snapToGrid w:val="0"/>
        <w:spacing w:line="360" w:lineRule="auto"/>
        <w:ind w:firstLine="442" w:firstLineChars="200"/>
        <w:rPr>
          <w:rFonts w:hint="eastAsia" w:ascii="宋体" w:hAnsi="宋体"/>
          <w:b/>
          <w:bCs/>
          <w:color w:val="auto"/>
          <w:sz w:val="22"/>
          <w:szCs w:val="22"/>
          <w:highlight w:val="none"/>
        </w:rPr>
      </w:pPr>
      <w:bookmarkStart w:id="690" w:name="_Toc318450722"/>
      <w:bookmarkEnd w:id="690"/>
      <w:bookmarkStart w:id="691" w:name="_Toc144974567"/>
      <w:bookmarkEnd w:id="691"/>
      <w:bookmarkStart w:id="692" w:name="_Toc152042377"/>
      <w:bookmarkEnd w:id="692"/>
      <w:bookmarkStart w:id="693" w:name="_Toc152045600"/>
      <w:bookmarkEnd w:id="693"/>
      <w:bookmarkStart w:id="694" w:name="_Toc281405528"/>
      <w:r>
        <w:rPr>
          <w:rFonts w:hint="eastAsia" w:ascii="宋体" w:hAnsi="宋体"/>
          <w:b/>
          <w:bCs/>
          <w:color w:val="auto"/>
          <w:sz w:val="22"/>
          <w:szCs w:val="22"/>
          <w:highlight w:val="none"/>
        </w:rPr>
        <w:t>注：以上评审标准未通过的供应商，不得进入下一步评审。</w:t>
      </w:r>
      <w:bookmarkEnd w:id="694"/>
    </w:p>
    <w:p w14:paraId="476F5FA5">
      <w:pPr>
        <w:snapToGrid w:val="0"/>
        <w:spacing w:line="360" w:lineRule="auto"/>
        <w:ind w:firstLine="420" w:firstLineChars="200"/>
        <w:rPr>
          <w:rFonts w:hint="eastAsia" w:ascii="宋体" w:hAnsi="宋体"/>
          <w:color w:val="auto"/>
          <w:sz w:val="24"/>
          <w:szCs w:val="24"/>
          <w:highlight w:val="none"/>
        </w:rPr>
      </w:pPr>
      <w:r>
        <w:rPr>
          <w:rFonts w:hint="eastAsia" w:ascii="宋体" w:hAnsi="宋体"/>
          <w:color w:val="auto"/>
          <w:highlight w:val="none"/>
        </w:rPr>
        <w:t>2.2在评审过程中，凡遇到磋商文件中无界定或界定不清、前后不一致使磋商小组意见有分歧且又难于协商一致的问题，均由磋商小组予以表决，获半数以上同意的即为通过，未获半数同意的即为否决。</w:t>
      </w:r>
    </w:p>
    <w:tbl>
      <w:tblPr>
        <w:tblStyle w:val="3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25"/>
        <w:gridCol w:w="1208"/>
        <w:gridCol w:w="6276"/>
      </w:tblGrid>
      <w:tr w14:paraId="6A0F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31B725EE">
            <w:pPr>
              <w:keepNext w:val="0"/>
              <w:keepLines w:val="0"/>
              <w:suppressLineNumbers w:val="0"/>
              <w:adjustRightInd w:val="0"/>
              <w:snapToGrid w:val="0"/>
              <w:spacing w:before="0" w:beforeAutospacing="0" w:after="0" w:afterAutospacing="0" w:line="440" w:lineRule="exact"/>
              <w:ind w:left="0" w:right="-208" w:rightChars="-99"/>
              <w:rPr>
                <w:rFonts w:hint="eastAsia" w:ascii="宋体" w:hAnsi="宋体" w:cs="宋体"/>
                <w:b/>
                <w:color w:val="auto"/>
                <w:highlight w:val="none"/>
              </w:rPr>
            </w:pPr>
            <w:bookmarkStart w:id="695" w:name="_Hlk129683989"/>
            <w:r>
              <w:rPr>
                <w:rFonts w:hint="eastAsia" w:ascii="宋体" w:hAnsi="宋体" w:cs="宋体"/>
                <w:b/>
                <w:color w:val="auto"/>
                <w:highlight w:val="none"/>
              </w:rPr>
              <w:t>条款号</w:t>
            </w: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14:paraId="2C479FF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
                <w:color w:val="auto"/>
                <w:highlight w:val="none"/>
              </w:rPr>
            </w:pPr>
            <w:r>
              <w:rPr>
                <w:rFonts w:hint="eastAsia" w:ascii="宋体" w:hAnsi="宋体" w:cs="宋体"/>
                <w:b/>
                <w:color w:val="auto"/>
                <w:highlight w:val="none"/>
              </w:rPr>
              <w:t>条款内容</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6892CEA7">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
                <w:color w:val="auto"/>
                <w:highlight w:val="none"/>
              </w:rPr>
            </w:pPr>
            <w:r>
              <w:rPr>
                <w:rFonts w:hint="eastAsia" w:ascii="宋体" w:hAnsi="宋体" w:cs="宋体"/>
                <w:b/>
                <w:color w:val="auto"/>
                <w:highlight w:val="none"/>
              </w:rPr>
              <w:t xml:space="preserve"> 编列内容</w:t>
            </w:r>
          </w:p>
        </w:tc>
      </w:tr>
      <w:tr w14:paraId="5253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65D6996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
                <w:color w:val="auto"/>
                <w:highlight w:val="none"/>
              </w:rPr>
            </w:pPr>
            <w:r>
              <w:rPr>
                <w:rFonts w:hint="eastAsia" w:ascii="宋体" w:hAnsi="宋体" w:cs="宋体"/>
                <w:b/>
                <w:color w:val="auto"/>
                <w:highlight w:val="none"/>
              </w:rPr>
              <w:t>2.2.1</w:t>
            </w: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14:paraId="7CC69BB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color w:val="auto"/>
                <w:highlight w:val="none"/>
              </w:rPr>
            </w:pPr>
            <w:r>
              <w:rPr>
                <w:rFonts w:hint="eastAsia" w:ascii="宋体" w:hAnsi="宋体" w:cs="宋体"/>
                <w:color w:val="auto"/>
                <w:kern w:val="0"/>
                <w:highlight w:val="none"/>
              </w:rPr>
              <w:t>分值构成</w:t>
            </w:r>
          </w:p>
          <w:p w14:paraId="104D7471">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
                <w:color w:val="auto"/>
                <w:highlight w:val="none"/>
              </w:rPr>
            </w:pPr>
            <w:r>
              <w:rPr>
                <w:rFonts w:hint="eastAsia" w:ascii="宋体" w:hAnsi="宋体" w:cs="宋体"/>
                <w:color w:val="auto"/>
                <w:kern w:val="0"/>
                <w:highlight w:val="none"/>
              </w:rPr>
              <w:t>(总分100分)</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73155430">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kern w:val="0"/>
                <w:highlight w:val="none"/>
              </w:rPr>
            </w:pPr>
            <w:r>
              <w:rPr>
                <w:rFonts w:hint="eastAsia" w:ascii="宋体" w:hAnsi="宋体" w:cs="宋体"/>
                <w:bCs/>
                <w:color w:val="auto"/>
                <w:kern w:val="0"/>
                <w:highlight w:val="none"/>
              </w:rPr>
              <w:t>磋商报价：30分</w:t>
            </w:r>
          </w:p>
          <w:p w14:paraId="7168EB24">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kern w:val="0"/>
                <w:highlight w:val="none"/>
              </w:rPr>
            </w:pPr>
            <w:r>
              <w:rPr>
                <w:rFonts w:hint="eastAsia" w:ascii="宋体" w:hAnsi="宋体" w:cs="宋体"/>
                <w:bCs/>
                <w:color w:val="auto"/>
                <w:kern w:val="0"/>
                <w:highlight w:val="none"/>
              </w:rPr>
              <w:t>技术部分：</w:t>
            </w:r>
            <w:r>
              <w:rPr>
                <w:rFonts w:hint="eastAsia" w:ascii="宋体" w:hAnsi="宋体" w:cs="宋体"/>
                <w:bCs/>
                <w:color w:val="auto"/>
                <w:kern w:val="0"/>
                <w:highlight w:val="none"/>
                <w:lang w:val="en-US" w:eastAsia="zh-CN"/>
              </w:rPr>
              <w:t>54</w:t>
            </w:r>
            <w:r>
              <w:rPr>
                <w:rFonts w:hint="eastAsia" w:ascii="宋体" w:hAnsi="宋体" w:cs="宋体"/>
                <w:bCs/>
                <w:color w:val="auto"/>
                <w:kern w:val="0"/>
                <w:highlight w:val="none"/>
              </w:rPr>
              <w:t>分</w:t>
            </w:r>
          </w:p>
          <w:p w14:paraId="4279DFB0">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
                <w:color w:val="auto"/>
                <w:highlight w:val="none"/>
              </w:rPr>
            </w:pPr>
            <w:r>
              <w:rPr>
                <w:rFonts w:hint="eastAsia" w:ascii="宋体" w:hAnsi="宋体" w:cs="宋体"/>
                <w:bCs/>
                <w:color w:val="auto"/>
                <w:kern w:val="0"/>
                <w:highlight w:val="none"/>
              </w:rPr>
              <w:t>商务部分：</w:t>
            </w:r>
            <w:r>
              <w:rPr>
                <w:rFonts w:hint="eastAsia" w:ascii="宋体" w:hAnsi="宋体" w:cs="宋体"/>
                <w:bCs/>
                <w:color w:val="auto"/>
                <w:kern w:val="0"/>
                <w:highlight w:val="none"/>
                <w:lang w:val="en-US" w:eastAsia="zh-CN"/>
              </w:rPr>
              <w:t>16</w:t>
            </w:r>
            <w:r>
              <w:rPr>
                <w:rFonts w:hint="eastAsia" w:ascii="宋体" w:hAnsi="宋体" w:cs="宋体"/>
                <w:bCs/>
                <w:color w:val="auto"/>
                <w:kern w:val="0"/>
                <w:highlight w:val="none"/>
              </w:rPr>
              <w:t>分</w:t>
            </w:r>
          </w:p>
        </w:tc>
      </w:tr>
      <w:tr w14:paraId="5994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Borders>
              <w:top w:val="single" w:color="auto" w:sz="4" w:space="0"/>
              <w:left w:val="single" w:color="auto" w:sz="4" w:space="0"/>
              <w:bottom w:val="single" w:color="auto" w:sz="4" w:space="0"/>
              <w:right w:val="single" w:color="auto" w:sz="4" w:space="0"/>
            </w:tcBorders>
            <w:noWrap w:val="0"/>
            <w:vAlign w:val="center"/>
          </w:tcPr>
          <w:p w14:paraId="0ED179F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2.2.2（1）</w:t>
            </w:r>
          </w:p>
        </w:tc>
        <w:tc>
          <w:tcPr>
            <w:tcW w:w="1833" w:type="dxa"/>
            <w:gridSpan w:val="2"/>
            <w:tcBorders>
              <w:top w:val="single" w:color="auto" w:sz="4" w:space="0"/>
              <w:left w:val="single" w:color="auto" w:sz="4" w:space="0"/>
              <w:bottom w:val="single" w:color="auto" w:sz="4" w:space="0"/>
              <w:right w:val="single" w:color="auto" w:sz="4" w:space="0"/>
            </w:tcBorders>
            <w:noWrap w:val="0"/>
            <w:vAlign w:val="center"/>
          </w:tcPr>
          <w:p w14:paraId="597724F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磋商报价</w:t>
            </w:r>
          </w:p>
          <w:p w14:paraId="06006C44">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30分</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59EAFC7B">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r>
              <w:rPr>
                <w:rFonts w:hint="eastAsia" w:ascii="宋体" w:hAnsi="宋体" w:cs="宋体"/>
                <w:bCs/>
                <w:color w:val="auto"/>
                <w:highlight w:val="none"/>
              </w:rPr>
              <w:t>价格分统一采用低价优先法，即满足竞争性磋商文件要求且磋商报价最低的磋商报价为评标基准价，其价格分为满分30分。其他供应商的价格分统一按照下列公式计算：</w:t>
            </w:r>
          </w:p>
          <w:p w14:paraId="0F80DE7D">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r>
              <w:rPr>
                <w:rFonts w:hint="eastAsia" w:ascii="宋体" w:hAnsi="宋体" w:cs="宋体"/>
                <w:bCs/>
                <w:color w:val="auto"/>
                <w:highlight w:val="none"/>
              </w:rPr>
              <w:t>磋商报价得分＝（评标基准价/磋商报价）×30×100%</w:t>
            </w:r>
          </w:p>
          <w:p w14:paraId="583B2E1E">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r>
              <w:rPr>
                <w:rFonts w:hint="eastAsia" w:ascii="宋体" w:hAnsi="宋体" w:cs="宋体"/>
                <w:bCs/>
                <w:color w:val="auto"/>
                <w:highlight w:val="none"/>
                <w:lang w:val="en-US" w:eastAsia="zh-CN"/>
              </w:rPr>
              <w:t>供应商提供的产品全部由</w:t>
            </w:r>
            <w:r>
              <w:rPr>
                <w:rFonts w:hint="eastAsia" w:ascii="宋体" w:hAnsi="宋体" w:cs="宋体"/>
                <w:bCs/>
                <w:color w:val="auto"/>
                <w:highlight w:val="none"/>
              </w:rPr>
              <w:t>小微型企业</w:t>
            </w:r>
            <w:r>
              <w:rPr>
                <w:rFonts w:hint="eastAsia" w:ascii="宋体" w:hAnsi="宋体" w:cs="宋体"/>
                <w:bCs/>
                <w:color w:val="auto"/>
                <w:highlight w:val="none"/>
                <w:lang w:val="en-US" w:eastAsia="zh-CN"/>
              </w:rPr>
              <w:t>生产且使用该小微型企业商号或者注册商标的</w:t>
            </w:r>
            <w:r>
              <w:rPr>
                <w:rFonts w:hint="eastAsia" w:ascii="宋体" w:hAnsi="宋体" w:cs="宋体"/>
                <w:bCs/>
                <w:color w:val="auto"/>
                <w:highlight w:val="none"/>
              </w:rPr>
              <w:t>，其磋商报价扣除10%后进行评审。</w:t>
            </w:r>
          </w:p>
          <w:p w14:paraId="1F7F8217">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r>
              <w:rPr>
                <w:rFonts w:hint="eastAsia" w:ascii="宋体" w:hAnsi="宋体" w:cs="宋体"/>
                <w:bCs/>
                <w:color w:val="auto"/>
                <w:highlight w:val="none"/>
              </w:rPr>
              <w:t>注：评审小组认为供应商的报价明显低于其他通过符合性审查供应商的报价，有可能影响产品</w:t>
            </w:r>
            <w:r>
              <w:rPr>
                <w:rFonts w:hint="eastAsia" w:ascii="宋体" w:hAnsi="宋体" w:cs="宋体"/>
                <w:bCs/>
                <w:color w:val="auto"/>
                <w:highlight w:val="none"/>
                <w:lang w:val="en-US" w:eastAsia="zh-CN"/>
              </w:rPr>
              <w:t>及服务</w:t>
            </w:r>
            <w:r>
              <w:rPr>
                <w:rFonts w:hint="eastAsia" w:ascii="宋体" w:hAnsi="宋体" w:cs="宋体"/>
                <w:bCs/>
                <w:color w:val="auto"/>
                <w:highlight w:val="none"/>
              </w:rPr>
              <w:t>质量或者不能诚信履约的，应当要求其在开标现场合理的时间内提供书面说明，必要时提交相关证明材料；供应商不能证明其报价合理性的，评审小组应当将其作为无效响应处理。</w:t>
            </w:r>
          </w:p>
        </w:tc>
      </w:tr>
      <w:tr w14:paraId="33C0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48" w:type="dxa"/>
            <w:vMerge w:val="restart"/>
            <w:tcBorders>
              <w:top w:val="nil"/>
              <w:left w:val="single" w:color="auto" w:sz="4" w:space="0"/>
              <w:bottom w:val="single" w:color="auto" w:sz="4" w:space="0"/>
              <w:right w:val="single" w:color="auto" w:sz="4" w:space="0"/>
            </w:tcBorders>
            <w:noWrap w:val="0"/>
            <w:vAlign w:val="center"/>
          </w:tcPr>
          <w:p w14:paraId="2930410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2.2.2（2）</w:t>
            </w:r>
          </w:p>
        </w:tc>
        <w:tc>
          <w:tcPr>
            <w:tcW w:w="625" w:type="dxa"/>
            <w:vMerge w:val="restart"/>
            <w:tcBorders>
              <w:top w:val="nil"/>
              <w:left w:val="single" w:color="auto" w:sz="4" w:space="0"/>
              <w:bottom w:val="single" w:color="auto" w:sz="4" w:space="0"/>
              <w:right w:val="single" w:color="auto" w:sz="4" w:space="0"/>
            </w:tcBorders>
            <w:noWrap w:val="0"/>
            <w:vAlign w:val="center"/>
          </w:tcPr>
          <w:p w14:paraId="3272EF45">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技术评分标准</w:t>
            </w:r>
            <w:r>
              <w:rPr>
                <w:rFonts w:hint="eastAsia" w:ascii="宋体" w:hAnsi="宋体" w:cs="宋体"/>
                <w:bCs/>
                <w:color w:val="auto"/>
                <w:highlight w:val="none"/>
                <w:lang w:val="en-US" w:eastAsia="zh-CN"/>
              </w:rPr>
              <w:t>54</w:t>
            </w:r>
            <w:r>
              <w:rPr>
                <w:rFonts w:hint="eastAsia" w:ascii="宋体" w:hAnsi="宋体" w:cs="宋体"/>
                <w:bCs/>
                <w:color w:val="auto"/>
                <w:highlight w:val="none"/>
              </w:rPr>
              <w:t>分</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768C2DA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color w:val="auto"/>
                <w:highlight w:val="none"/>
              </w:rPr>
            </w:pPr>
            <w:r>
              <w:rPr>
                <w:rFonts w:hint="eastAsia" w:ascii="宋体" w:hAnsi="宋体" w:cs="宋体"/>
                <w:color w:val="auto"/>
                <w:highlight w:val="none"/>
              </w:rPr>
              <w:t>技术参数和产品选型（</w:t>
            </w:r>
            <w:r>
              <w:rPr>
                <w:rFonts w:hint="eastAsia" w:ascii="宋体" w:hAnsi="宋体" w:cs="宋体"/>
                <w:color w:val="auto"/>
                <w:highlight w:val="none"/>
                <w:lang w:val="en-US" w:eastAsia="zh-CN"/>
              </w:rPr>
              <w:t>48.5</w:t>
            </w:r>
            <w:r>
              <w:rPr>
                <w:rFonts w:hint="eastAsia" w:ascii="宋体" w:hAnsi="宋体" w:cs="宋体"/>
                <w:color w:val="auto"/>
                <w:highlight w:val="none"/>
              </w:rPr>
              <w:t>分）</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7D00F85A">
            <w:pPr>
              <w:pStyle w:val="11"/>
              <w:keepNext w:val="0"/>
              <w:keepLines w:val="0"/>
              <w:numPr>
                <w:ilvl w:val="0"/>
                <w:numId w:val="0"/>
              </w:numPr>
              <w:suppressLineNumbers w:val="0"/>
              <w:adjustRightInd w:val="0"/>
              <w:snapToGrid w:val="0"/>
              <w:spacing w:before="0" w:beforeAutospacing="0" w:after="0" w:afterAutospacing="0" w:line="440" w:lineRule="exact"/>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olor w:val="auto"/>
                <w:sz w:val="21"/>
                <w:szCs w:val="21"/>
                <w:highlight w:val="none"/>
                <w:lang w:val="en-US" w:eastAsia="zh-CN"/>
              </w:rPr>
              <w:t>第五章 采购需求 中</w:t>
            </w:r>
            <w:r>
              <w:rPr>
                <w:rFonts w:hint="eastAsia" w:ascii="宋体" w:hAnsi="宋体"/>
                <w:color w:val="auto"/>
                <w:sz w:val="21"/>
                <w:szCs w:val="21"/>
                <w:highlight w:val="none"/>
              </w:rPr>
              <w:t>加★项</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商务服务要求</w:t>
            </w:r>
            <w:r>
              <w:rPr>
                <w:rFonts w:hint="eastAsia" w:ascii="宋体" w:hAnsi="宋体"/>
                <w:color w:val="auto"/>
                <w:sz w:val="21"/>
                <w:szCs w:val="21"/>
                <w:highlight w:val="none"/>
              </w:rPr>
              <w:t>不允许负</w:t>
            </w:r>
            <w:r>
              <w:rPr>
                <w:rFonts w:hint="eastAsia" w:ascii="宋体" w:hAnsi="宋体"/>
                <w:color w:val="auto"/>
                <w:sz w:val="21"/>
                <w:szCs w:val="21"/>
                <w:highlight w:val="none"/>
                <w:lang w:eastAsia="zh-CN"/>
              </w:rPr>
              <w:t>偏离</w:t>
            </w:r>
            <w:r>
              <w:rPr>
                <w:rFonts w:hint="eastAsia" w:ascii="宋体" w:hAnsi="宋体"/>
                <w:color w:val="auto"/>
                <w:sz w:val="21"/>
                <w:szCs w:val="21"/>
                <w:highlight w:val="none"/>
              </w:rPr>
              <w:t>，</w:t>
            </w:r>
            <w:r>
              <w:rPr>
                <w:rFonts w:hint="eastAsia" w:ascii="宋体" w:hAnsi="宋体"/>
                <w:color w:val="auto"/>
                <w:sz w:val="21"/>
                <w:szCs w:val="21"/>
                <w:highlight w:val="none"/>
                <w:lang w:eastAsia="zh-CN"/>
              </w:rPr>
              <w:t>以技术规格偏差表及商务条款偏离表中的响应为准，</w:t>
            </w:r>
            <w:r>
              <w:rPr>
                <w:rFonts w:hint="eastAsia" w:ascii="宋体" w:hAnsi="宋体"/>
                <w:color w:val="auto"/>
                <w:sz w:val="21"/>
                <w:szCs w:val="21"/>
                <w:highlight w:val="none"/>
                <w:lang w:val="en-US" w:eastAsia="zh-CN"/>
              </w:rPr>
              <w:t>如未响应，则为无效投标。</w:t>
            </w:r>
            <w:r>
              <w:rPr>
                <w:rFonts w:hint="eastAsia" w:ascii="宋体" w:hAnsi="宋体"/>
                <w:color w:val="auto"/>
                <w:sz w:val="21"/>
                <w:szCs w:val="21"/>
                <w:highlight w:val="none"/>
              </w:rPr>
              <w:t>其他项详见第三章评分标准及办法。</w:t>
            </w:r>
          </w:p>
          <w:p w14:paraId="0D3488C6">
            <w:pPr>
              <w:pStyle w:val="11"/>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2.第五章 采购需求1、设备采购配置及技术参数要求中</w:t>
            </w:r>
            <w:r>
              <w:rPr>
                <w:rFonts w:hint="eastAsia" w:ascii="宋体" w:hAnsi="宋体" w:cs="宋体"/>
                <w:b/>
                <w:bCs/>
                <w:color w:val="auto"/>
                <w:sz w:val="21"/>
                <w:szCs w:val="21"/>
                <w:highlight w:val="none"/>
                <w:lang w:val="en-US" w:eastAsia="zh-CN"/>
              </w:rPr>
              <w:t>“技术参数”标注“*”</w:t>
            </w:r>
            <w:r>
              <w:rPr>
                <w:rFonts w:hint="eastAsia" w:ascii="宋体" w:hAnsi="宋体" w:cs="宋体"/>
                <w:b w:val="0"/>
                <w:bCs w:val="0"/>
                <w:color w:val="auto"/>
                <w:sz w:val="21"/>
                <w:szCs w:val="21"/>
                <w:highlight w:val="none"/>
                <w:lang w:val="en-US" w:eastAsia="zh-CN"/>
              </w:rPr>
              <w:t>为</w:t>
            </w:r>
            <w:r>
              <w:rPr>
                <w:rFonts w:hint="eastAsia" w:ascii="宋体" w:hAnsi="宋体" w:cs="宋体"/>
                <w:b/>
                <w:bCs/>
                <w:color w:val="auto"/>
                <w:sz w:val="21"/>
                <w:szCs w:val="21"/>
                <w:highlight w:val="none"/>
                <w:lang w:val="en-US" w:eastAsia="zh-CN"/>
              </w:rPr>
              <w:t>重要技术参数，</w:t>
            </w:r>
            <w:r>
              <w:rPr>
                <w:rFonts w:hint="eastAsia" w:ascii="宋体" w:hAnsi="宋体" w:cs="宋体"/>
                <w:b w:val="0"/>
                <w:bCs w:val="0"/>
                <w:color w:val="auto"/>
                <w:sz w:val="21"/>
                <w:szCs w:val="21"/>
                <w:highlight w:val="none"/>
                <w:lang w:val="en-US" w:eastAsia="zh-CN"/>
              </w:rPr>
              <w:t>共4条，每条2分，共8分。均</w:t>
            </w:r>
            <w:r>
              <w:rPr>
                <w:rFonts w:hint="eastAsia" w:ascii="宋体" w:hAnsi="宋体" w:cs="宋体"/>
                <w:b w:val="0"/>
                <w:bCs w:val="0"/>
                <w:color w:val="000000"/>
                <w:sz w:val="21"/>
                <w:szCs w:val="21"/>
                <w:highlight w:val="none"/>
                <w:lang w:val="en-US" w:eastAsia="zh-CN"/>
              </w:rPr>
              <w:t>须提供</w:t>
            </w:r>
            <w:r>
              <w:rPr>
                <w:rFonts w:hint="eastAsia" w:ascii="宋体" w:hAnsi="宋体" w:cs="宋体"/>
                <w:b w:val="0"/>
                <w:bCs w:val="0"/>
                <w:color w:val="auto"/>
                <w:sz w:val="21"/>
                <w:szCs w:val="21"/>
                <w:highlight w:val="none"/>
                <w:lang w:val="en-US" w:eastAsia="zh-CN"/>
              </w:rPr>
              <w:t>客观证明资料</w:t>
            </w:r>
            <w:r>
              <w:rPr>
                <w:rFonts w:hint="eastAsia" w:ascii="宋体" w:hAnsi="宋体" w:cs="宋体"/>
                <w:color w:val="auto"/>
                <w:sz w:val="21"/>
                <w:szCs w:val="21"/>
                <w:highlight w:val="none"/>
                <w:lang w:val="en-US" w:eastAsia="zh-CN"/>
              </w:rPr>
              <w:t>，每有一项不满足或证明文件不齐全扣2分；</w:t>
            </w:r>
          </w:p>
          <w:p w14:paraId="6B973EF3">
            <w:pPr>
              <w:pStyle w:val="11"/>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3.第五章 采购需求1、设备采购配置及技术参数要求中</w:t>
            </w:r>
            <w:r>
              <w:rPr>
                <w:rFonts w:hint="eastAsia" w:ascii="宋体" w:hAnsi="宋体" w:cs="宋体"/>
                <w:b/>
                <w:bCs/>
                <w:color w:val="auto"/>
                <w:sz w:val="21"/>
                <w:szCs w:val="21"/>
                <w:highlight w:val="none"/>
                <w:lang w:val="en-US" w:eastAsia="zh-CN"/>
              </w:rPr>
              <w:t>“技术参数”未标注重要性的为一般技术参数，</w:t>
            </w:r>
            <w:r>
              <w:rPr>
                <w:rFonts w:hint="eastAsia" w:ascii="宋体" w:hAnsi="宋体" w:cs="宋体"/>
                <w:b w:val="0"/>
                <w:bCs w:val="0"/>
                <w:color w:val="auto"/>
                <w:sz w:val="21"/>
                <w:szCs w:val="21"/>
                <w:highlight w:val="none"/>
                <w:lang w:val="en-US" w:eastAsia="zh-CN"/>
              </w:rPr>
              <w:t>共27条，每条1.5分，共40.5分，均</w:t>
            </w:r>
            <w:r>
              <w:rPr>
                <w:rFonts w:hint="eastAsia" w:ascii="宋体" w:hAnsi="宋体" w:cs="宋体"/>
                <w:b w:val="0"/>
                <w:bCs w:val="0"/>
                <w:color w:val="000000"/>
                <w:sz w:val="21"/>
                <w:szCs w:val="21"/>
                <w:highlight w:val="none"/>
                <w:lang w:val="en-US" w:eastAsia="zh-CN"/>
              </w:rPr>
              <w:t>须提供</w:t>
            </w:r>
            <w:r>
              <w:rPr>
                <w:rFonts w:hint="eastAsia" w:ascii="宋体" w:hAnsi="宋体" w:cs="宋体"/>
                <w:b w:val="0"/>
                <w:bCs w:val="0"/>
                <w:color w:val="auto"/>
                <w:sz w:val="21"/>
                <w:szCs w:val="21"/>
                <w:highlight w:val="none"/>
                <w:lang w:val="en-US" w:eastAsia="zh-CN"/>
              </w:rPr>
              <w:t>客观证明资料</w:t>
            </w:r>
            <w:r>
              <w:rPr>
                <w:rFonts w:hint="eastAsia" w:ascii="宋体" w:hAnsi="宋体" w:cs="宋体"/>
                <w:b/>
                <w:bCs/>
                <w:color w:val="auto"/>
                <w:sz w:val="21"/>
                <w:szCs w:val="21"/>
                <w:highlight w:val="none"/>
                <w:lang w:val="en-US" w:eastAsia="zh-CN"/>
              </w:rPr>
              <w:t>（明确要求无需提供的除外）</w:t>
            </w:r>
            <w:r>
              <w:rPr>
                <w:rFonts w:hint="eastAsia" w:ascii="宋体" w:hAnsi="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每有一项不满足或证明文件不齐全扣1.5分。</w:t>
            </w:r>
          </w:p>
          <w:p w14:paraId="7D8D4A31">
            <w:pPr>
              <w:pStyle w:val="11"/>
              <w:keepNext w:val="0"/>
              <w:keepLines w:val="0"/>
              <w:suppressLineNumbers w:val="0"/>
              <w:adjustRightInd w:val="0"/>
              <w:snapToGrid w:val="0"/>
              <w:spacing w:before="0" w:beforeAutospacing="0" w:after="0" w:afterAutospacing="0" w:line="440" w:lineRule="exact"/>
              <w:ind w:left="0" w:right="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4.核心产品老化测试系统</w:t>
            </w:r>
            <w:r>
              <w:rPr>
                <w:rFonts w:hint="eastAsia" w:ascii="宋体" w:hAnsi="宋体" w:cs="宋体"/>
                <w:b w:val="0"/>
                <w:bCs w:val="0"/>
                <w:color w:val="auto"/>
                <w:sz w:val="21"/>
                <w:szCs w:val="21"/>
                <w:highlight w:val="none"/>
                <w:lang w:val="en-US" w:eastAsia="zh-CN"/>
              </w:rPr>
              <w:t>技术参数</w:t>
            </w:r>
            <w:r>
              <w:rPr>
                <w:rFonts w:hint="eastAsia" w:ascii="宋体" w:hAnsi="宋体" w:cs="宋体"/>
                <w:color w:val="auto"/>
                <w:sz w:val="21"/>
                <w:szCs w:val="21"/>
                <w:highlight w:val="none"/>
                <w:lang w:val="en-US" w:eastAsia="zh-CN"/>
              </w:rPr>
              <w:t>（共21条），如有5条及以上负偏</w:t>
            </w:r>
            <w:r>
              <w:rPr>
                <w:rFonts w:hint="eastAsia" w:ascii="宋体" w:hAnsi="宋体" w:eastAsia="宋体" w:cs="宋体"/>
                <w:color w:val="auto"/>
                <w:sz w:val="21"/>
                <w:szCs w:val="21"/>
                <w:highlight w:val="none"/>
                <w:lang w:val="en-US" w:eastAsia="zh-CN"/>
              </w:rPr>
              <w:t>离，则</w:t>
            </w:r>
            <w:r>
              <w:rPr>
                <w:rFonts w:hint="eastAsia" w:ascii="宋体" w:hAnsi="宋体" w:eastAsia="宋体" w:cs="宋体"/>
                <w:b/>
                <w:bCs/>
                <w:color w:val="auto"/>
                <w:sz w:val="21"/>
                <w:szCs w:val="21"/>
                <w:highlight w:val="none"/>
              </w:rPr>
              <w:t>技术参数和产品选型</w:t>
            </w:r>
            <w:r>
              <w:rPr>
                <w:rFonts w:hint="eastAsia" w:ascii="宋体" w:hAnsi="宋体" w:eastAsia="宋体" w:cs="宋体"/>
                <w:color w:val="auto"/>
                <w:sz w:val="21"/>
                <w:szCs w:val="21"/>
                <w:highlight w:val="none"/>
                <w:lang w:val="en-US" w:eastAsia="zh-CN"/>
              </w:rPr>
              <w:t>不得分。</w:t>
            </w:r>
          </w:p>
          <w:p w14:paraId="0318B313">
            <w:pPr>
              <w:pStyle w:val="11"/>
              <w:keepNext w:val="0"/>
              <w:keepLines w:val="0"/>
              <w:suppressLineNumbers w:val="0"/>
              <w:adjustRightInd w:val="0"/>
              <w:snapToGrid w:val="0"/>
              <w:spacing w:before="0" w:beforeAutospacing="0" w:after="0" w:afterAutospacing="0" w:line="440" w:lineRule="exact"/>
              <w:ind w:left="0" w:right="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1）对于技术参数中对客观证明资料（技术支持资料）有明确要求的，供应商应在投标文件中提供设备技术参数中明确要求提供的客观证明资料（技术支持资料）；未作明确要求的，可选择以下任意形式作为客观证明材料（技术支持资料）</w:t>
            </w:r>
            <w:r>
              <w:rPr>
                <w:rFonts w:hint="eastAsia" w:ascii="宋体" w:hAnsi="宋体" w:eastAsia="宋体" w:cs="宋体"/>
                <w:b/>
                <w:bCs/>
                <w:color w:val="auto"/>
                <w:sz w:val="21"/>
                <w:szCs w:val="21"/>
                <w:highlight w:val="none"/>
                <w:lang w:val="en-US" w:eastAsia="zh-CN"/>
              </w:rPr>
              <w:t>：a.国家认可的检验检测认证机构出具的认证证书、检测报告；b.投标产品制造商公开发布的印刷技术资料（彩页或技术白皮书）、设备实物图片</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c.投标产品制造商官网发布的技术资料网页版打印件（显示网页网址）。</w:t>
            </w:r>
          </w:p>
          <w:p w14:paraId="6E951E8A">
            <w:pPr>
              <w:pStyle w:val="11"/>
              <w:keepNext w:val="0"/>
              <w:keepLines w:val="0"/>
              <w:suppressLineNumbers w:val="0"/>
              <w:adjustRightInd w:val="0"/>
              <w:snapToGrid w:val="0"/>
              <w:spacing w:before="0" w:beforeAutospacing="0" w:after="0" w:afterAutospacing="0" w:line="440" w:lineRule="exact"/>
              <w:ind w:left="0" w:right="0"/>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认证证书、检测报告与其他资料不一致时，以认证证书、检测报告为准。对于定制的产品，供应商也可以提供此前完成的类似项目的合同技术规格及最终的性能检验报告（应加盖用户单位公章）作为客观证据材料。上述客观证据材料应是中文，如是外文应提供对应的中文翻译说明，评标以中文翻译内容为准。</w:t>
            </w:r>
          </w:p>
          <w:p w14:paraId="1C806CA4">
            <w:pPr>
              <w:pStyle w:val="11"/>
              <w:keepNext w:val="0"/>
              <w:keepLines w:val="0"/>
              <w:numPr>
                <w:ilvl w:val="0"/>
                <w:numId w:val="3"/>
              </w:numPr>
              <w:suppressLineNumbers w:val="0"/>
              <w:adjustRightInd w:val="0"/>
              <w:snapToGrid w:val="0"/>
              <w:spacing w:before="0" w:beforeAutospacing="0" w:after="0" w:afterAutospacing="0" w:line="440" w:lineRule="exact"/>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供应商必须</w:t>
            </w:r>
            <w:r>
              <w:rPr>
                <w:rFonts w:hint="eastAsia" w:ascii="宋体" w:hAnsi="宋体" w:cs="宋体"/>
                <w:b/>
                <w:bCs/>
                <w:color w:val="auto"/>
                <w:sz w:val="21"/>
                <w:szCs w:val="21"/>
                <w:highlight w:val="none"/>
                <w:lang w:val="en-US" w:eastAsia="zh-CN"/>
              </w:rPr>
              <w:t>对磋商</w:t>
            </w:r>
            <w:r>
              <w:rPr>
                <w:rFonts w:hint="eastAsia" w:ascii="宋体" w:hAnsi="宋体" w:cs="宋体"/>
                <w:b/>
                <w:bCs/>
                <w:color w:val="auto"/>
                <w:sz w:val="21"/>
                <w:szCs w:val="21"/>
                <w:highlight w:val="none"/>
              </w:rPr>
              <w:t>文件采购需求中列明的技术要求内容作出一对一应答，要求真实、准确，应答要有具体内容，并在响应文件格式“</w:t>
            </w:r>
            <w:r>
              <w:rPr>
                <w:rFonts w:hint="eastAsia" w:ascii="宋体" w:hAnsi="宋体" w:cs="宋体"/>
                <w:b/>
                <w:bCs/>
                <w:color w:val="auto"/>
                <w:sz w:val="21"/>
                <w:szCs w:val="21"/>
                <w:highlight w:val="none"/>
                <w:lang w:eastAsia="zh-CN"/>
              </w:rPr>
              <w:t>技术规格偏差表</w:t>
            </w:r>
            <w:r>
              <w:rPr>
                <w:rFonts w:hint="eastAsia" w:ascii="宋体" w:hAnsi="宋体" w:cs="宋体"/>
                <w:b/>
                <w:bCs/>
                <w:color w:val="auto"/>
                <w:sz w:val="21"/>
                <w:szCs w:val="21"/>
                <w:highlight w:val="none"/>
              </w:rPr>
              <w:t>”中的“结论”处填写“正偏离/负偏离/无偏离”，然后在“</w:t>
            </w:r>
            <w:r>
              <w:rPr>
                <w:rFonts w:hint="eastAsia" w:ascii="宋体" w:hAnsi="宋体" w:cs="宋体"/>
                <w:b/>
                <w:bCs/>
                <w:color w:val="auto"/>
                <w:sz w:val="21"/>
                <w:szCs w:val="21"/>
                <w:highlight w:val="none"/>
                <w:lang w:eastAsia="zh-CN"/>
              </w:rPr>
              <w:t>技术规格偏差表</w:t>
            </w:r>
            <w:r>
              <w:rPr>
                <w:rFonts w:hint="eastAsia" w:ascii="宋体" w:hAnsi="宋体" w:cs="宋体"/>
                <w:b/>
                <w:bCs/>
                <w:color w:val="auto"/>
                <w:sz w:val="21"/>
                <w:szCs w:val="21"/>
                <w:highlight w:val="none"/>
              </w:rPr>
              <w:t>”中注明技术证明材料对应响应文件页码，并在该页面相应位置做出醒目标注，因供应商标注不准确或排列混乱导致磋商小组做出不利于供应商的评审后果由其自行负责。</w:t>
            </w:r>
          </w:p>
          <w:p w14:paraId="683B8EC6">
            <w:pPr>
              <w:pStyle w:val="11"/>
              <w:keepNext w:val="0"/>
              <w:keepLines w:val="0"/>
              <w:numPr>
                <w:ilvl w:val="0"/>
                <w:numId w:val="3"/>
              </w:numPr>
              <w:suppressLineNumbers w:val="0"/>
              <w:adjustRightInd w:val="0"/>
              <w:snapToGrid w:val="0"/>
              <w:spacing w:before="0" w:beforeAutospacing="0" w:after="0" w:afterAutospacing="0" w:line="440" w:lineRule="exact"/>
              <w:ind w:left="0" w:right="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一般技术参数如明确要求无需提供证明材料的，以技术规格偏差表中响应的为准。</w:t>
            </w:r>
          </w:p>
        </w:tc>
      </w:tr>
      <w:tr w14:paraId="409C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vMerge w:val="continue"/>
            <w:tcBorders>
              <w:top w:val="nil"/>
              <w:left w:val="single" w:color="auto" w:sz="4" w:space="0"/>
              <w:bottom w:val="single" w:color="auto" w:sz="4" w:space="0"/>
              <w:right w:val="single" w:color="auto" w:sz="4" w:space="0"/>
            </w:tcBorders>
            <w:noWrap w:val="0"/>
            <w:vAlign w:val="center"/>
          </w:tcPr>
          <w:p w14:paraId="737E135B">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625" w:type="dxa"/>
            <w:vMerge w:val="continue"/>
            <w:tcBorders>
              <w:top w:val="nil"/>
              <w:left w:val="single" w:color="auto" w:sz="4" w:space="0"/>
              <w:bottom w:val="single" w:color="auto" w:sz="4" w:space="0"/>
              <w:right w:val="single" w:color="auto" w:sz="4" w:space="0"/>
            </w:tcBorders>
            <w:noWrap w:val="0"/>
            <w:vAlign w:val="center"/>
          </w:tcPr>
          <w:p w14:paraId="2E77F3AF">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1FE5610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color w:val="auto"/>
                <w:highlight w:val="none"/>
              </w:rPr>
            </w:pPr>
            <w:r>
              <w:rPr>
                <w:rFonts w:hint="eastAsia" w:ascii="宋体" w:hAnsi="宋体" w:cs="宋体"/>
                <w:color w:val="auto"/>
                <w:highlight w:val="none"/>
                <w:lang w:val="en-US" w:eastAsia="zh-CN"/>
              </w:rPr>
              <w:t>供货、安装、调试方案</w:t>
            </w:r>
            <w:r>
              <w:rPr>
                <w:rFonts w:hint="eastAsia" w:ascii="宋体" w:hAnsi="宋体" w:cs="宋体"/>
                <w:color w:val="auto"/>
                <w:highlight w:val="none"/>
              </w:rPr>
              <w:t>（</w:t>
            </w:r>
            <w:r>
              <w:rPr>
                <w:rFonts w:hint="eastAsia" w:ascii="宋体" w:hAnsi="宋体" w:cs="宋体"/>
                <w:color w:val="auto"/>
                <w:highlight w:val="none"/>
                <w:lang w:val="en-US" w:eastAsia="zh-CN"/>
              </w:rPr>
              <w:t>3.5</w:t>
            </w:r>
            <w:r>
              <w:rPr>
                <w:rFonts w:hint="eastAsia" w:ascii="宋体" w:hAnsi="宋体" w:cs="宋体"/>
                <w:color w:val="auto"/>
                <w:highlight w:val="none"/>
              </w:rPr>
              <w:t>分）</w:t>
            </w:r>
          </w:p>
        </w:tc>
        <w:tc>
          <w:tcPr>
            <w:tcW w:w="6276" w:type="dxa"/>
            <w:tcBorders>
              <w:top w:val="single" w:color="auto" w:sz="4" w:space="0"/>
              <w:left w:val="single" w:color="auto" w:sz="4" w:space="0"/>
              <w:bottom w:val="single" w:color="auto" w:sz="4" w:space="0"/>
              <w:right w:val="single" w:color="auto" w:sz="4" w:space="0"/>
            </w:tcBorders>
            <w:noWrap w:val="0"/>
            <w:vAlign w:val="top"/>
          </w:tcPr>
          <w:p w14:paraId="4C2F9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供货、安装、调试</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lang w:eastAsia="zh-CN"/>
              </w:rPr>
              <w:t>包括但不限于①供货计划、②货物包装方式、运输方式、③安装调试流程、时间安排方案、④人员安排等内容。</w:t>
            </w:r>
          </w:p>
          <w:p w14:paraId="28CC3AD5">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供应商提供的</w:t>
            </w:r>
            <w:r>
              <w:rPr>
                <w:rFonts w:hint="eastAsia" w:ascii="宋体" w:hAnsi="宋体" w:eastAsia="宋体" w:cs="宋体"/>
                <w:sz w:val="21"/>
                <w:szCs w:val="21"/>
                <w:highlight w:val="none"/>
              </w:rPr>
              <w:t>安装调试的方案内容详实具体、安装调试充分且高效、人数充足，满足项目实施的得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p w14:paraId="637533E9">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有较具体的安装调试方案，内容较详实，满足项目需求</w:t>
            </w:r>
            <w:r>
              <w:rPr>
                <w:rFonts w:hint="eastAsia" w:ascii="宋体" w:hAnsi="宋体" w:cs="宋体"/>
                <w:color w:val="auto"/>
                <w:sz w:val="21"/>
                <w:szCs w:val="21"/>
                <w:highlight w:val="none"/>
                <w:lang w:eastAsia="zh-CN"/>
              </w:rPr>
              <w:t>，但个别地方需要完善</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p w14:paraId="22DF49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方案欠完备，内容一般，</w:t>
            </w:r>
            <w:r>
              <w:rPr>
                <w:rFonts w:hint="eastAsia" w:ascii="宋体" w:hAnsi="宋体" w:cs="宋体"/>
                <w:bCs/>
                <w:color w:val="auto"/>
                <w:highlight w:val="none"/>
              </w:rPr>
              <w:t>多处内容需要完善的</w:t>
            </w:r>
            <w:r>
              <w:rPr>
                <w:rFonts w:hint="eastAsia" w:ascii="宋体" w:hAnsi="宋体" w:cs="宋体"/>
                <w:bCs/>
                <w:color w:val="auto"/>
                <w:highlight w:val="none"/>
                <w:lang w:eastAsia="zh-CN"/>
              </w:rPr>
              <w:t>，</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6A134C8B">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不提供的不得分。</w:t>
            </w:r>
          </w:p>
        </w:tc>
      </w:tr>
      <w:tr w14:paraId="5D02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vMerge w:val="continue"/>
            <w:tcBorders>
              <w:top w:val="nil"/>
              <w:left w:val="single" w:color="auto" w:sz="4" w:space="0"/>
              <w:bottom w:val="single" w:color="auto" w:sz="4" w:space="0"/>
              <w:right w:val="single" w:color="auto" w:sz="4" w:space="0"/>
            </w:tcBorders>
            <w:noWrap w:val="0"/>
            <w:vAlign w:val="center"/>
          </w:tcPr>
          <w:p w14:paraId="03433A8C">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625" w:type="dxa"/>
            <w:vMerge w:val="continue"/>
            <w:tcBorders>
              <w:top w:val="nil"/>
              <w:left w:val="single" w:color="auto" w:sz="4" w:space="0"/>
              <w:bottom w:val="single" w:color="auto" w:sz="4" w:space="0"/>
              <w:right w:val="single" w:color="auto" w:sz="4" w:space="0"/>
            </w:tcBorders>
            <w:noWrap w:val="0"/>
            <w:vAlign w:val="center"/>
          </w:tcPr>
          <w:p w14:paraId="308AA35C">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6E46F2F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color w:val="auto"/>
                <w:highlight w:val="none"/>
              </w:rPr>
            </w:pPr>
            <w:r>
              <w:rPr>
                <w:rFonts w:hint="eastAsia" w:ascii="宋体" w:hAnsi="宋体" w:cs="宋体"/>
                <w:color w:val="auto"/>
                <w:highlight w:val="none"/>
              </w:rPr>
              <w:t>人员配备方案(</w:t>
            </w:r>
            <w:r>
              <w:rPr>
                <w:rFonts w:hint="eastAsia" w:ascii="宋体" w:hAnsi="宋体" w:cs="宋体"/>
                <w:color w:val="auto"/>
                <w:highlight w:val="none"/>
                <w:lang w:val="en-US" w:eastAsia="zh-CN"/>
              </w:rPr>
              <w:t>2</w:t>
            </w:r>
            <w:r>
              <w:rPr>
                <w:rFonts w:hint="eastAsia" w:ascii="宋体" w:hAnsi="宋体" w:cs="宋体"/>
                <w:color w:val="auto"/>
                <w:highlight w:val="none"/>
              </w:rPr>
              <w:t>分)</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596AAF3D">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根据各供应商提供的人员配备方案，包括但不限于在项目对接、供货、验收、售后、培训等各个阶段的项目组织管理、人员及机构设置。按以下标准进行评审：</w:t>
            </w:r>
          </w:p>
          <w:p w14:paraId="66287196">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1.供应商提供详细的项目组织管理、人员及机构设置，内容齐全且详细、人员力量配备充足、全面且专业得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3F0AA462">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2.供应商提供项目组织管理、人员及机构设置</w:t>
            </w:r>
            <w:r>
              <w:rPr>
                <w:rFonts w:hint="eastAsia" w:ascii="宋体" w:hAnsi="宋体" w:cs="宋体"/>
                <w:bCs/>
                <w:color w:val="auto"/>
                <w:highlight w:val="none"/>
                <w:lang w:eastAsia="zh-CN"/>
              </w:rPr>
              <w:t>个别</w:t>
            </w:r>
            <w:r>
              <w:rPr>
                <w:rFonts w:hint="eastAsia" w:ascii="宋体" w:hAnsi="宋体" w:cs="宋体"/>
                <w:bCs/>
                <w:color w:val="auto"/>
                <w:highlight w:val="none"/>
              </w:rPr>
              <w:t>细节需要完善的</w:t>
            </w:r>
            <w:r>
              <w:rPr>
                <w:rFonts w:hint="eastAsia" w:ascii="宋体" w:hAnsi="宋体" w:cs="宋体"/>
                <w:bCs/>
                <w:color w:val="auto"/>
                <w:highlight w:val="none"/>
                <w:lang w:eastAsia="zh-CN"/>
              </w:rPr>
              <w:t>，</w:t>
            </w:r>
            <w:r>
              <w:rPr>
                <w:rFonts w:hint="eastAsia" w:ascii="宋体" w:hAnsi="宋体" w:cs="宋体"/>
                <w:color w:val="auto"/>
                <w:highlight w:val="none"/>
              </w:rPr>
              <w:t>得</w:t>
            </w:r>
            <w:r>
              <w:rPr>
                <w:rFonts w:hint="eastAsia" w:ascii="宋体" w:hAnsi="宋体" w:cs="宋体"/>
                <w:color w:val="auto"/>
                <w:highlight w:val="none"/>
                <w:lang w:val="en-US" w:eastAsia="zh-CN"/>
              </w:rPr>
              <w:t>1.5</w:t>
            </w:r>
            <w:r>
              <w:rPr>
                <w:rFonts w:hint="eastAsia" w:ascii="宋体" w:hAnsi="宋体" w:cs="宋体"/>
                <w:color w:val="auto"/>
                <w:highlight w:val="none"/>
              </w:rPr>
              <w:t>分；</w:t>
            </w:r>
          </w:p>
          <w:p w14:paraId="0B0D34ED">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bCs/>
                <w:color w:val="auto"/>
                <w:highlight w:val="none"/>
              </w:rPr>
              <w:t>方案描述详细</w:t>
            </w:r>
            <w:r>
              <w:rPr>
                <w:rFonts w:hint="eastAsia" w:ascii="宋体" w:hAnsi="宋体" w:cs="宋体"/>
                <w:bCs/>
                <w:color w:val="auto"/>
                <w:highlight w:val="none"/>
                <w:lang w:eastAsia="zh-CN"/>
              </w:rPr>
              <w:t>基本</w:t>
            </w:r>
            <w:r>
              <w:rPr>
                <w:rFonts w:hint="eastAsia" w:ascii="宋体" w:hAnsi="宋体" w:cs="宋体"/>
                <w:bCs/>
                <w:color w:val="auto"/>
                <w:highlight w:val="none"/>
              </w:rPr>
              <w:t>明确、完整、合理</w:t>
            </w:r>
            <w:r>
              <w:rPr>
                <w:rFonts w:hint="eastAsia" w:ascii="宋体" w:hAnsi="宋体" w:cs="宋体"/>
                <w:bCs/>
                <w:color w:val="auto"/>
                <w:highlight w:val="none"/>
                <w:lang w:eastAsia="zh-CN"/>
              </w:rPr>
              <w:t>，</w:t>
            </w:r>
            <w:r>
              <w:rPr>
                <w:rFonts w:hint="eastAsia" w:ascii="宋体" w:hAnsi="宋体" w:cs="宋体"/>
                <w:bCs/>
                <w:color w:val="auto"/>
                <w:highlight w:val="none"/>
              </w:rPr>
              <w:t>多处内容需要完善的</w:t>
            </w:r>
            <w:r>
              <w:rPr>
                <w:rFonts w:hint="eastAsia" w:ascii="宋体" w:hAnsi="宋体" w:cs="宋体"/>
                <w:bCs/>
                <w:color w:val="auto"/>
                <w:highlight w:val="none"/>
                <w:lang w:eastAsia="zh-CN"/>
              </w:rPr>
              <w:t>，</w:t>
            </w:r>
            <w:r>
              <w:rPr>
                <w:rFonts w:hint="eastAsia" w:ascii="宋体" w:hAnsi="宋体" w:cs="宋体"/>
                <w:color w:val="auto"/>
                <w:highlight w:val="none"/>
              </w:rPr>
              <w:t>得1分；</w:t>
            </w:r>
          </w:p>
          <w:p w14:paraId="62F500A2">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4.不提供的不得分。</w:t>
            </w:r>
          </w:p>
        </w:tc>
      </w:tr>
      <w:tr w14:paraId="0131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Merge w:val="restart"/>
            <w:tcBorders>
              <w:top w:val="nil"/>
              <w:left w:val="single" w:color="auto" w:sz="4" w:space="0"/>
              <w:right w:val="single" w:color="auto" w:sz="4" w:space="0"/>
            </w:tcBorders>
            <w:noWrap w:val="0"/>
            <w:vAlign w:val="center"/>
          </w:tcPr>
          <w:p w14:paraId="482A631C">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2.2.2（3）</w:t>
            </w:r>
          </w:p>
        </w:tc>
        <w:tc>
          <w:tcPr>
            <w:tcW w:w="625" w:type="dxa"/>
            <w:vMerge w:val="restart"/>
            <w:tcBorders>
              <w:top w:val="nil"/>
              <w:left w:val="single" w:color="auto" w:sz="4" w:space="0"/>
              <w:right w:val="single" w:color="auto" w:sz="4" w:space="0"/>
            </w:tcBorders>
            <w:noWrap w:val="0"/>
            <w:vAlign w:val="center"/>
          </w:tcPr>
          <w:p w14:paraId="2950C23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kern w:val="0"/>
                <w:highlight w:val="none"/>
              </w:rPr>
              <w:t>商务部分</w:t>
            </w:r>
          </w:p>
          <w:p w14:paraId="5B48076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标准</w:t>
            </w:r>
            <w:r>
              <w:rPr>
                <w:rFonts w:hint="eastAsia" w:ascii="宋体" w:hAnsi="宋体" w:cs="宋体"/>
                <w:bCs/>
                <w:color w:val="auto"/>
                <w:highlight w:val="none"/>
                <w:lang w:val="en-US" w:eastAsia="zh-CN"/>
              </w:rPr>
              <w:t>16</w:t>
            </w:r>
            <w:r>
              <w:rPr>
                <w:rFonts w:hint="eastAsia" w:ascii="宋体" w:hAnsi="宋体" w:cs="宋体"/>
                <w:bCs/>
                <w:color w:val="auto"/>
                <w:highlight w:val="none"/>
              </w:rPr>
              <w:t>分</w:t>
            </w:r>
          </w:p>
        </w:tc>
        <w:tc>
          <w:tcPr>
            <w:tcW w:w="1208" w:type="dxa"/>
            <w:tcBorders>
              <w:top w:val="single" w:color="auto" w:sz="4" w:space="0"/>
              <w:left w:val="single" w:color="auto" w:sz="4" w:space="0"/>
              <w:bottom w:val="single" w:color="auto" w:sz="4" w:space="0"/>
              <w:right w:val="single" w:color="auto" w:sz="4" w:space="0"/>
            </w:tcBorders>
            <w:noWrap w:val="0"/>
            <w:vAlign w:val="center"/>
          </w:tcPr>
          <w:p w14:paraId="2C5D897F">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r>
              <w:rPr>
                <w:rFonts w:hint="eastAsia" w:ascii="宋体" w:hAnsi="宋体" w:cs="宋体"/>
                <w:bCs/>
                <w:color w:val="auto"/>
                <w:highlight w:val="none"/>
              </w:rPr>
              <w:t>体系证书（</w:t>
            </w:r>
            <w:r>
              <w:rPr>
                <w:rFonts w:hint="eastAsia" w:ascii="宋体" w:hAnsi="宋体" w:cs="宋体"/>
                <w:bCs/>
                <w:color w:val="auto"/>
                <w:highlight w:val="none"/>
                <w:lang w:val="en-US" w:eastAsia="zh-CN"/>
              </w:rPr>
              <w:t>1</w:t>
            </w:r>
            <w:r>
              <w:rPr>
                <w:rFonts w:hint="eastAsia" w:ascii="宋体" w:hAnsi="宋体" w:cs="宋体"/>
                <w:bCs/>
                <w:color w:val="auto"/>
                <w:highlight w:val="none"/>
              </w:rPr>
              <w:t>分）</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4FCE32D5">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供应商具有有效的质量管理体系认证证书、环境管理体系认证证书、职业健康安全管理体系认证证书，上述证书提供齐全者得</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分，缺项不得分。</w:t>
            </w:r>
            <w:r>
              <w:rPr>
                <w:rFonts w:hint="eastAsia" w:ascii="宋体" w:hAnsi="宋体" w:cs="宋体"/>
                <w:b/>
                <w:bCs/>
                <w:color w:val="auto"/>
                <w:kern w:val="0"/>
                <w:highlight w:val="none"/>
              </w:rPr>
              <w:t>（响应文件中提供证书的扫描件加盖企业电子章）</w:t>
            </w:r>
          </w:p>
        </w:tc>
      </w:tr>
      <w:tr w14:paraId="5593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48" w:type="dxa"/>
            <w:vMerge w:val="continue"/>
            <w:tcBorders>
              <w:left w:val="single" w:color="auto" w:sz="4" w:space="0"/>
              <w:right w:val="single" w:color="auto" w:sz="4" w:space="0"/>
            </w:tcBorders>
            <w:noWrap w:val="0"/>
            <w:vAlign w:val="center"/>
          </w:tcPr>
          <w:p w14:paraId="7298BB38">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p>
        </w:tc>
        <w:tc>
          <w:tcPr>
            <w:tcW w:w="625" w:type="dxa"/>
            <w:vMerge w:val="continue"/>
            <w:tcBorders>
              <w:left w:val="single" w:color="auto" w:sz="4" w:space="0"/>
              <w:right w:val="single" w:color="auto" w:sz="4" w:space="0"/>
            </w:tcBorders>
            <w:noWrap w:val="0"/>
            <w:vAlign w:val="center"/>
          </w:tcPr>
          <w:p w14:paraId="6DE00FB0">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cs="宋体"/>
                <w:bCs/>
                <w:color w:val="auto"/>
                <w:highlight w:val="none"/>
              </w:rPr>
            </w:pPr>
          </w:p>
        </w:tc>
        <w:tc>
          <w:tcPr>
            <w:tcW w:w="1208" w:type="dxa"/>
            <w:tcBorders>
              <w:top w:val="single" w:color="auto" w:sz="4" w:space="0"/>
              <w:left w:val="single" w:color="auto" w:sz="4" w:space="0"/>
              <w:right w:val="single" w:color="auto" w:sz="4" w:space="0"/>
            </w:tcBorders>
            <w:noWrap w:val="0"/>
            <w:vAlign w:val="center"/>
          </w:tcPr>
          <w:p w14:paraId="059ABFF9">
            <w:pPr>
              <w:keepNext w:val="0"/>
              <w:keepLines w:val="0"/>
              <w:suppressLineNumbers w:val="0"/>
              <w:adjustRightInd w:val="0"/>
              <w:snapToGrid w:val="0"/>
              <w:spacing w:before="0" w:beforeAutospacing="0" w:after="0" w:afterAutospacing="0" w:line="440" w:lineRule="exact"/>
              <w:ind w:left="0" w:right="0"/>
              <w:jc w:val="center"/>
              <w:textAlignment w:val="center"/>
              <w:rPr>
                <w:rFonts w:hint="eastAsia" w:ascii="宋体" w:hAnsi="宋体" w:cs="宋体"/>
                <w:color w:val="auto"/>
                <w:highlight w:val="none"/>
                <w:lang w:val="zh-CN"/>
              </w:rPr>
            </w:pPr>
            <w:r>
              <w:rPr>
                <w:rFonts w:hint="eastAsia" w:ascii="宋体" w:hAnsi="宋体" w:cs="宋体"/>
                <w:color w:val="auto"/>
                <w:highlight w:val="none"/>
                <w:lang w:val="en-US" w:eastAsia="zh-CN"/>
              </w:rPr>
              <w:t>供应商</w:t>
            </w:r>
            <w:r>
              <w:rPr>
                <w:rFonts w:hint="eastAsia" w:ascii="宋体" w:hAnsi="宋体" w:cs="宋体"/>
                <w:color w:val="auto"/>
                <w:highlight w:val="none"/>
                <w:lang w:val="zh-CN"/>
              </w:rPr>
              <w:t>业绩要求（</w:t>
            </w:r>
            <w:r>
              <w:rPr>
                <w:rFonts w:hint="eastAsia" w:ascii="宋体" w:hAnsi="宋体" w:cs="宋体"/>
                <w:color w:val="auto"/>
                <w:highlight w:val="none"/>
                <w:lang w:val="en-US" w:eastAsia="zh-CN"/>
              </w:rPr>
              <w:t>3</w:t>
            </w:r>
            <w:r>
              <w:rPr>
                <w:rFonts w:hint="eastAsia" w:ascii="宋体" w:hAnsi="宋体" w:cs="宋体"/>
                <w:color w:val="auto"/>
                <w:highlight w:val="none"/>
              </w:rPr>
              <w:t>分</w:t>
            </w:r>
            <w:r>
              <w:rPr>
                <w:rFonts w:hint="eastAsia" w:ascii="宋体" w:hAnsi="宋体" w:cs="宋体"/>
                <w:color w:val="auto"/>
                <w:highlight w:val="none"/>
                <w:lang w:val="zh-CN"/>
              </w:rPr>
              <w:t>）</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46022056">
            <w:pPr>
              <w:keepNext w:val="0"/>
              <w:keepLines w:val="0"/>
              <w:suppressLineNumbers w:val="0"/>
              <w:adjustRightInd w:val="0"/>
              <w:snapToGrid w:val="0"/>
              <w:spacing w:before="0" w:beforeAutospacing="0" w:after="0" w:afterAutospacing="0" w:line="440" w:lineRule="exact"/>
              <w:ind w:left="0" w:right="0"/>
              <w:jc w:val="left"/>
              <w:textAlignment w:val="center"/>
              <w:rPr>
                <w:rFonts w:hint="eastAsia" w:ascii="宋体" w:hAnsi="宋体" w:cs="宋体"/>
                <w:color w:val="auto"/>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提供202</w:t>
            </w:r>
            <w:r>
              <w:rPr>
                <w:rFonts w:hint="eastAsia" w:ascii="宋体" w:hAnsi="宋体" w:cs="宋体"/>
                <w:color w:val="auto"/>
                <w:highlight w:val="none"/>
                <w:lang w:val="en-US" w:eastAsia="zh-CN"/>
              </w:rPr>
              <w:t>2</w:t>
            </w:r>
            <w:r>
              <w:rPr>
                <w:rFonts w:hint="eastAsia" w:ascii="宋体" w:hAnsi="宋体" w:cs="宋体"/>
                <w:color w:val="auto"/>
                <w:highlight w:val="none"/>
              </w:rPr>
              <w:t>年1月1日以来</w:t>
            </w:r>
            <w:r>
              <w:rPr>
                <w:rFonts w:hint="eastAsia" w:ascii="宋体" w:hAnsi="宋体" w:cs="宋体"/>
                <w:color w:val="auto"/>
                <w:highlight w:val="none"/>
                <w:lang w:val="en-US" w:eastAsia="zh-CN"/>
              </w:rPr>
              <w:t>同类</w:t>
            </w:r>
            <w:r>
              <w:rPr>
                <w:rFonts w:hint="eastAsia" w:ascii="宋体" w:hAnsi="宋体" w:cs="宋体"/>
                <w:color w:val="auto"/>
                <w:highlight w:val="none"/>
              </w:rPr>
              <w:t>项目供货业绩合同，每提供一份得1</w:t>
            </w:r>
            <w:r>
              <w:rPr>
                <w:rFonts w:hint="eastAsia" w:ascii="宋体" w:hAnsi="宋体" w:cs="宋体"/>
                <w:color w:val="auto"/>
                <w:highlight w:val="none"/>
                <w:lang w:val="en-US" w:eastAsia="zh-CN"/>
              </w:rPr>
              <w:t>.5</w:t>
            </w:r>
            <w:r>
              <w:rPr>
                <w:rFonts w:hint="eastAsia" w:ascii="宋体" w:hAnsi="宋体" w:cs="宋体"/>
                <w:color w:val="auto"/>
                <w:highlight w:val="none"/>
              </w:rPr>
              <w:t>分，本项最高得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57F415F3">
            <w:pPr>
              <w:keepNext w:val="0"/>
              <w:keepLines w:val="0"/>
              <w:suppressLineNumbers w:val="0"/>
              <w:adjustRightInd w:val="0"/>
              <w:snapToGrid w:val="0"/>
              <w:spacing w:before="0" w:beforeAutospacing="0" w:after="0" w:afterAutospacing="0" w:line="440" w:lineRule="exact"/>
              <w:ind w:left="0" w:right="0"/>
              <w:jc w:val="left"/>
              <w:textAlignment w:val="center"/>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注：同类项目的供货业绩指至少包含本次招标核心产品（老化测试系统）；</w:t>
            </w:r>
            <w:r>
              <w:rPr>
                <w:rFonts w:hint="eastAsia" w:ascii="宋体" w:hAnsi="宋体" w:cs="宋体"/>
                <w:b/>
                <w:bCs/>
                <w:color w:val="auto"/>
                <w:highlight w:val="none"/>
              </w:rPr>
              <w:t>响应文件中需提供</w:t>
            </w:r>
            <w:r>
              <w:rPr>
                <w:rFonts w:hint="eastAsia" w:ascii="宋体" w:hAnsi="宋体" w:cs="宋体"/>
                <w:b/>
                <w:bCs/>
                <w:color w:val="auto"/>
                <w:highlight w:val="none"/>
                <w:lang w:val="en-US" w:eastAsia="zh-CN"/>
              </w:rPr>
              <w:t>验收报告及</w:t>
            </w:r>
            <w:r>
              <w:rPr>
                <w:rFonts w:hint="eastAsia" w:ascii="宋体" w:hAnsi="宋体" w:cs="宋体"/>
                <w:b/>
                <w:bCs/>
                <w:color w:val="auto"/>
                <w:highlight w:val="none"/>
              </w:rPr>
              <w:t>合同</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合同包括合同内容页</w:t>
            </w:r>
            <w:r>
              <w:rPr>
                <w:rFonts w:hint="eastAsia" w:ascii="宋体" w:hAnsi="宋体" w:cs="宋体"/>
                <w:b/>
                <w:bCs/>
                <w:color w:val="auto"/>
                <w:highlight w:val="none"/>
              </w:rPr>
              <w:t>、盖章页扫描件加盖企业电子章，否则不得分。</w:t>
            </w:r>
            <w:r>
              <w:rPr>
                <w:rFonts w:hint="eastAsia" w:ascii="宋体" w:hAnsi="宋体" w:cs="宋体"/>
                <w:b/>
                <w:bCs/>
                <w:color w:val="auto"/>
                <w:highlight w:val="none"/>
                <w:lang w:eastAsia="zh-CN"/>
              </w:rPr>
              <w:t>时间</w:t>
            </w:r>
            <w:r>
              <w:rPr>
                <w:rFonts w:hint="eastAsia" w:ascii="宋体" w:hAnsi="宋体" w:cs="宋体"/>
                <w:b/>
                <w:bCs/>
                <w:color w:val="auto"/>
                <w:highlight w:val="none"/>
                <w:lang w:val="en-US" w:eastAsia="zh-CN"/>
              </w:rPr>
              <w:t>以</w:t>
            </w:r>
            <w:r>
              <w:rPr>
                <w:rFonts w:hint="eastAsia" w:ascii="宋体" w:hAnsi="宋体" w:cs="宋体"/>
                <w:b/>
                <w:bCs/>
                <w:color w:val="auto"/>
                <w:highlight w:val="none"/>
              </w:rPr>
              <w:t>合同签订时间</w:t>
            </w:r>
            <w:r>
              <w:rPr>
                <w:rFonts w:hint="eastAsia" w:ascii="宋体" w:hAnsi="宋体" w:cs="宋体"/>
                <w:b/>
                <w:bCs/>
                <w:color w:val="auto"/>
                <w:highlight w:val="none"/>
                <w:lang w:val="en-US" w:eastAsia="zh-CN"/>
              </w:rPr>
              <w:t>为准。</w:t>
            </w:r>
          </w:p>
        </w:tc>
      </w:tr>
      <w:tr w14:paraId="07F9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vMerge w:val="continue"/>
            <w:tcBorders>
              <w:left w:val="single" w:color="auto" w:sz="4" w:space="0"/>
              <w:right w:val="single" w:color="auto" w:sz="4" w:space="0"/>
            </w:tcBorders>
            <w:noWrap w:val="0"/>
            <w:vAlign w:val="center"/>
          </w:tcPr>
          <w:p w14:paraId="49A1F0F2">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625" w:type="dxa"/>
            <w:vMerge w:val="continue"/>
            <w:tcBorders>
              <w:left w:val="single" w:color="auto" w:sz="4" w:space="0"/>
              <w:right w:val="single" w:color="auto" w:sz="4" w:space="0"/>
            </w:tcBorders>
            <w:noWrap w:val="0"/>
            <w:vAlign w:val="center"/>
          </w:tcPr>
          <w:p w14:paraId="13E52AE5">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14:paraId="31283ADF">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培训计划（</w:t>
            </w:r>
            <w:r>
              <w:rPr>
                <w:rFonts w:hint="eastAsia" w:ascii="宋体" w:hAnsi="宋体" w:cs="宋体"/>
                <w:color w:val="auto"/>
                <w:highlight w:val="none"/>
                <w:lang w:val="en-US" w:eastAsia="zh-CN"/>
              </w:rPr>
              <w:t>2</w:t>
            </w:r>
            <w:r>
              <w:rPr>
                <w:rFonts w:hint="eastAsia" w:ascii="宋体" w:hAnsi="宋体" w:cs="宋体"/>
                <w:color w:val="auto"/>
                <w:highlight w:val="none"/>
              </w:rPr>
              <w:t>分）</w:t>
            </w:r>
          </w:p>
        </w:tc>
        <w:tc>
          <w:tcPr>
            <w:tcW w:w="6276" w:type="dxa"/>
            <w:tcBorders>
              <w:top w:val="single" w:color="auto" w:sz="4" w:space="0"/>
              <w:left w:val="single" w:color="auto" w:sz="4" w:space="0"/>
              <w:bottom w:val="single" w:color="auto" w:sz="4" w:space="0"/>
              <w:right w:val="single" w:color="auto" w:sz="4" w:space="0"/>
            </w:tcBorders>
            <w:noWrap w:val="0"/>
            <w:vAlign w:val="center"/>
          </w:tcPr>
          <w:p w14:paraId="0E660342">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有详细可行的技术培训方案，培训人员、培训内容、培训方式、培训时间、培训资料等，磋商小组对各响应文件的详细合理程度按以下标准进行评审：</w:t>
            </w:r>
          </w:p>
          <w:p w14:paraId="5F621253">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1.培训计划合理、详细、可行的得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125F7489">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2.培训计划合理性一般、较为详细、较为可行</w:t>
            </w:r>
            <w:r>
              <w:rPr>
                <w:rFonts w:hint="eastAsia" w:ascii="宋体" w:hAnsi="宋体" w:cs="宋体"/>
                <w:color w:val="auto"/>
                <w:highlight w:val="none"/>
                <w:lang w:eastAsia="zh-CN"/>
              </w:rPr>
              <w:t>，个别细节需要完善</w:t>
            </w:r>
            <w:r>
              <w:rPr>
                <w:rFonts w:hint="eastAsia" w:ascii="宋体" w:hAnsi="宋体" w:cs="宋体"/>
                <w:color w:val="auto"/>
                <w:highlight w:val="none"/>
              </w:rPr>
              <w:t>的</w:t>
            </w:r>
            <w:r>
              <w:rPr>
                <w:rFonts w:hint="eastAsia" w:ascii="宋体" w:hAnsi="宋体" w:cs="宋体"/>
                <w:color w:val="auto"/>
                <w:highlight w:val="none"/>
                <w:lang w:eastAsia="zh-CN"/>
              </w:rPr>
              <w:t>，</w:t>
            </w:r>
            <w:r>
              <w:rPr>
                <w:rFonts w:hint="eastAsia" w:ascii="宋体" w:hAnsi="宋体" w:cs="宋体"/>
                <w:color w:val="auto"/>
                <w:highlight w:val="none"/>
              </w:rPr>
              <w:t>得</w:t>
            </w:r>
            <w:r>
              <w:rPr>
                <w:rFonts w:hint="eastAsia" w:ascii="宋体" w:hAnsi="宋体" w:cs="宋体"/>
                <w:color w:val="auto"/>
                <w:highlight w:val="none"/>
                <w:lang w:val="en-US" w:eastAsia="zh-CN"/>
              </w:rPr>
              <w:t>1.5</w:t>
            </w:r>
            <w:r>
              <w:rPr>
                <w:rFonts w:hint="eastAsia" w:ascii="宋体" w:hAnsi="宋体" w:cs="宋体"/>
                <w:color w:val="auto"/>
                <w:highlight w:val="none"/>
              </w:rPr>
              <w:t>分；</w:t>
            </w:r>
          </w:p>
          <w:p w14:paraId="7EFC7D9A">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bCs/>
                <w:color w:val="auto"/>
                <w:highlight w:val="none"/>
                <w:lang w:eastAsia="zh-CN"/>
              </w:rPr>
              <w:t>计划方案</w:t>
            </w:r>
            <w:r>
              <w:rPr>
                <w:rFonts w:hint="eastAsia" w:ascii="宋体" w:hAnsi="宋体" w:cs="宋体"/>
                <w:bCs/>
                <w:color w:val="auto"/>
                <w:highlight w:val="none"/>
              </w:rPr>
              <w:t>描述详细</w:t>
            </w:r>
            <w:r>
              <w:rPr>
                <w:rFonts w:hint="eastAsia" w:ascii="宋体" w:hAnsi="宋体" w:cs="宋体"/>
                <w:bCs/>
                <w:color w:val="auto"/>
                <w:highlight w:val="none"/>
                <w:lang w:eastAsia="zh-CN"/>
              </w:rPr>
              <w:t>基本</w:t>
            </w:r>
            <w:r>
              <w:rPr>
                <w:rFonts w:hint="eastAsia" w:ascii="宋体" w:hAnsi="宋体" w:cs="宋体"/>
                <w:bCs/>
                <w:color w:val="auto"/>
                <w:highlight w:val="none"/>
              </w:rPr>
              <w:t>明确、完整、合理</w:t>
            </w:r>
            <w:r>
              <w:rPr>
                <w:rFonts w:hint="eastAsia" w:ascii="宋体" w:hAnsi="宋体" w:cs="宋体"/>
                <w:bCs/>
                <w:color w:val="auto"/>
                <w:highlight w:val="none"/>
                <w:lang w:eastAsia="zh-CN"/>
              </w:rPr>
              <w:t>，</w:t>
            </w:r>
            <w:r>
              <w:rPr>
                <w:rFonts w:hint="eastAsia" w:ascii="宋体" w:hAnsi="宋体" w:cs="宋体"/>
                <w:bCs/>
                <w:color w:val="auto"/>
                <w:highlight w:val="none"/>
              </w:rPr>
              <w:t>多处内容需要完善的</w:t>
            </w:r>
            <w:r>
              <w:rPr>
                <w:rFonts w:hint="eastAsia" w:ascii="宋体" w:hAnsi="宋体" w:cs="宋体"/>
                <w:color w:val="auto"/>
                <w:highlight w:val="none"/>
              </w:rPr>
              <w:t>，得1分；</w:t>
            </w:r>
          </w:p>
          <w:p w14:paraId="689276AD">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4.不提供的不得分。</w:t>
            </w:r>
          </w:p>
        </w:tc>
      </w:tr>
      <w:tr w14:paraId="7785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vMerge w:val="continue"/>
            <w:tcBorders>
              <w:left w:val="single" w:color="auto" w:sz="4" w:space="0"/>
              <w:right w:val="single" w:color="auto" w:sz="4" w:space="0"/>
            </w:tcBorders>
            <w:noWrap w:val="0"/>
            <w:vAlign w:val="center"/>
          </w:tcPr>
          <w:p w14:paraId="26767E67">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625" w:type="dxa"/>
            <w:vMerge w:val="continue"/>
            <w:tcBorders>
              <w:left w:val="single" w:color="auto" w:sz="4" w:space="0"/>
              <w:right w:val="single" w:color="auto" w:sz="4" w:space="0"/>
            </w:tcBorders>
            <w:noWrap w:val="0"/>
            <w:vAlign w:val="center"/>
          </w:tcPr>
          <w:p w14:paraId="3878C648">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1208" w:type="dxa"/>
            <w:vMerge w:val="restart"/>
            <w:tcBorders>
              <w:top w:val="single" w:color="auto" w:sz="4" w:space="0"/>
              <w:left w:val="single" w:color="auto" w:sz="4" w:space="0"/>
              <w:right w:val="single" w:color="auto" w:sz="4" w:space="0"/>
            </w:tcBorders>
            <w:noWrap w:val="0"/>
            <w:vAlign w:val="center"/>
          </w:tcPr>
          <w:p w14:paraId="3618F8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售后服务</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lang w:eastAsia="zh-CN"/>
              </w:rPr>
              <w:t>）</w:t>
            </w:r>
          </w:p>
          <w:p w14:paraId="604A815A">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p>
        </w:tc>
        <w:tc>
          <w:tcPr>
            <w:tcW w:w="6276" w:type="dxa"/>
            <w:tcBorders>
              <w:top w:val="single" w:color="auto" w:sz="4" w:space="0"/>
              <w:left w:val="single" w:color="auto" w:sz="4" w:space="0"/>
              <w:bottom w:val="single" w:color="auto" w:sz="4" w:space="0"/>
              <w:right w:val="single" w:color="auto" w:sz="4" w:space="0"/>
            </w:tcBorders>
            <w:noWrap w:val="0"/>
            <w:vAlign w:val="center"/>
          </w:tcPr>
          <w:p w14:paraId="3E88A40D">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lang w:val="en-US" w:eastAsia="zh-CN"/>
              </w:rPr>
            </w:pPr>
            <w:r>
              <w:rPr>
                <w:rFonts w:hint="eastAsia" w:ascii="宋体" w:hAnsi="宋体" w:cs="宋体"/>
                <w:color w:val="auto"/>
                <w:kern w:val="0"/>
                <w:highlight w:val="none"/>
                <w:lang w:val="en-US" w:eastAsia="zh-CN"/>
              </w:rPr>
              <w:t>a</w:t>
            </w:r>
            <w:r>
              <w:rPr>
                <w:rFonts w:hint="eastAsia" w:ascii="宋体" w:hAnsi="宋体" w:cs="宋体"/>
                <w:color w:val="auto"/>
                <w:kern w:val="0"/>
                <w:highlight w:val="none"/>
                <w:lang w:eastAsia="zh-CN"/>
              </w:rPr>
              <w:t>）</w:t>
            </w:r>
            <w:r>
              <w:rPr>
                <w:rFonts w:hint="eastAsia" w:ascii="宋体" w:hAnsi="宋体" w:cs="宋体"/>
                <w:color w:val="auto"/>
                <w:kern w:val="0"/>
                <w:highlight w:val="none"/>
              </w:rPr>
              <w:t>质保期</w:t>
            </w:r>
            <w:r>
              <w:rPr>
                <w:rFonts w:hint="eastAsia" w:ascii="宋体" w:hAnsi="宋体" w:cs="宋体"/>
                <w:color w:val="auto"/>
                <w:kern w:val="0"/>
                <w:highlight w:val="none"/>
                <w:lang w:eastAsia="zh-CN"/>
              </w:rPr>
              <w:t>内</w:t>
            </w:r>
            <w:r>
              <w:rPr>
                <w:rFonts w:hint="eastAsia" w:ascii="宋体" w:hAnsi="宋体" w:cs="宋体"/>
                <w:color w:val="auto"/>
                <w:kern w:val="0"/>
                <w:highlight w:val="none"/>
              </w:rPr>
              <w:t>售后服务</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3分</w:t>
            </w:r>
            <w:r>
              <w:rPr>
                <w:rFonts w:hint="eastAsia" w:ascii="宋体" w:hAnsi="宋体" w:cs="宋体"/>
                <w:color w:val="auto"/>
                <w:kern w:val="0"/>
                <w:highlight w:val="none"/>
                <w:lang w:eastAsia="zh-CN"/>
              </w:rPr>
              <w:t>）</w:t>
            </w:r>
          </w:p>
          <w:p w14:paraId="38FBD4BA">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根据各供应商提供的质保期内售后服务方案，包括但不限于质保期内的售后安排、内容、形式、故障响应时间、到达现场响应时间、应急维修措施等方案。按以下标准进行评审：</w:t>
            </w:r>
          </w:p>
          <w:p w14:paraId="07AF19E2">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1.供应商提供的质保期内售后服务方案内容完整、考虑全面周到，形式灵活、多样，响应及时，完全满足或优于采购人需求，得</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分；</w:t>
            </w:r>
          </w:p>
          <w:p w14:paraId="35BE66F2">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2.供应商提供的质保期内售后服务方案基本满足采购人需求，</w:t>
            </w:r>
            <w:r>
              <w:rPr>
                <w:rFonts w:hint="eastAsia" w:ascii="宋体" w:hAnsi="宋体" w:cs="宋体"/>
                <w:bCs/>
                <w:color w:val="auto"/>
                <w:highlight w:val="none"/>
                <w:lang w:eastAsia="zh-CN"/>
              </w:rPr>
              <w:t>个别</w:t>
            </w:r>
            <w:r>
              <w:rPr>
                <w:rFonts w:hint="eastAsia" w:ascii="宋体" w:hAnsi="宋体" w:cs="宋体"/>
                <w:bCs/>
                <w:color w:val="auto"/>
                <w:highlight w:val="none"/>
              </w:rPr>
              <w:t>细节需要完善的</w:t>
            </w:r>
            <w:r>
              <w:rPr>
                <w:rFonts w:hint="eastAsia" w:ascii="宋体" w:hAnsi="宋体" w:cs="宋体"/>
                <w:color w:val="auto"/>
                <w:kern w:val="0"/>
                <w:highlight w:val="none"/>
              </w:rPr>
              <w:t>得2分；</w:t>
            </w:r>
          </w:p>
          <w:p w14:paraId="3D00EAD6">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3.供应商提供的质保期内售后服务方案内容</w:t>
            </w:r>
            <w:r>
              <w:rPr>
                <w:rFonts w:hint="eastAsia" w:ascii="宋体" w:hAnsi="宋体" w:cs="宋体"/>
                <w:color w:val="auto"/>
                <w:kern w:val="0"/>
                <w:highlight w:val="none"/>
                <w:lang w:val="en-US" w:eastAsia="zh-CN"/>
              </w:rPr>
              <w:t>完整性、灵活性、适用性一般</w:t>
            </w:r>
            <w:r>
              <w:rPr>
                <w:rFonts w:hint="eastAsia" w:ascii="宋体" w:hAnsi="宋体" w:cs="宋体"/>
                <w:color w:val="auto"/>
                <w:kern w:val="0"/>
                <w:highlight w:val="none"/>
              </w:rPr>
              <w:t>，</w:t>
            </w:r>
            <w:r>
              <w:rPr>
                <w:rFonts w:hint="eastAsia" w:ascii="宋体" w:hAnsi="宋体" w:cs="宋体"/>
                <w:bCs/>
                <w:color w:val="auto"/>
                <w:highlight w:val="none"/>
              </w:rPr>
              <w:t>多处内容需要完善</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得 1 分；</w:t>
            </w:r>
          </w:p>
          <w:p w14:paraId="795299AD">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4.不提供的不得分。</w:t>
            </w:r>
          </w:p>
        </w:tc>
      </w:tr>
      <w:tr w14:paraId="3E53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7" w:hRule="atLeast"/>
          <w:jc w:val="center"/>
        </w:trPr>
        <w:tc>
          <w:tcPr>
            <w:tcW w:w="848" w:type="dxa"/>
            <w:vMerge w:val="continue"/>
            <w:tcBorders>
              <w:left w:val="single" w:color="auto" w:sz="4" w:space="0"/>
              <w:right w:val="single" w:color="auto" w:sz="4" w:space="0"/>
            </w:tcBorders>
            <w:noWrap w:val="0"/>
            <w:vAlign w:val="center"/>
          </w:tcPr>
          <w:p w14:paraId="558FC8BC">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625" w:type="dxa"/>
            <w:vMerge w:val="continue"/>
            <w:tcBorders>
              <w:left w:val="single" w:color="auto" w:sz="4" w:space="0"/>
              <w:right w:val="single" w:color="auto" w:sz="4" w:space="0"/>
            </w:tcBorders>
            <w:noWrap w:val="0"/>
            <w:vAlign w:val="center"/>
          </w:tcPr>
          <w:p w14:paraId="0D49A9A9">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1208" w:type="dxa"/>
            <w:vMerge w:val="continue"/>
            <w:tcBorders>
              <w:left w:val="single" w:color="auto" w:sz="4" w:space="0"/>
              <w:right w:val="single" w:color="auto" w:sz="4" w:space="0"/>
            </w:tcBorders>
            <w:noWrap w:val="0"/>
            <w:vAlign w:val="center"/>
          </w:tcPr>
          <w:p w14:paraId="70F1B52A">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p>
        </w:tc>
        <w:tc>
          <w:tcPr>
            <w:tcW w:w="6276" w:type="dxa"/>
            <w:tcBorders>
              <w:top w:val="single" w:color="auto" w:sz="4" w:space="0"/>
              <w:left w:val="single" w:color="auto" w:sz="4" w:space="0"/>
              <w:bottom w:val="single" w:color="auto" w:sz="4" w:space="0"/>
              <w:right w:val="single" w:color="auto" w:sz="4" w:space="0"/>
            </w:tcBorders>
            <w:noWrap w:val="0"/>
            <w:vAlign w:val="top"/>
          </w:tcPr>
          <w:p w14:paraId="384768A2">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lang w:val="en-US" w:eastAsia="zh-CN"/>
              </w:rPr>
              <w:t>b)</w:t>
            </w:r>
            <w:r>
              <w:rPr>
                <w:rFonts w:hint="eastAsia" w:ascii="宋体" w:hAnsi="宋体" w:cs="宋体"/>
                <w:color w:val="auto"/>
                <w:kern w:val="0"/>
                <w:highlight w:val="none"/>
              </w:rPr>
              <w:t>质保期</w:t>
            </w:r>
            <w:r>
              <w:rPr>
                <w:rFonts w:hint="eastAsia" w:ascii="宋体" w:hAnsi="宋体" w:cs="宋体"/>
                <w:color w:val="auto"/>
                <w:kern w:val="0"/>
                <w:highlight w:val="none"/>
                <w:lang w:eastAsia="zh-CN"/>
              </w:rPr>
              <w:t>外</w:t>
            </w:r>
            <w:r>
              <w:rPr>
                <w:rFonts w:hint="eastAsia" w:ascii="宋体" w:hAnsi="宋体" w:cs="宋体"/>
                <w:color w:val="auto"/>
                <w:kern w:val="0"/>
                <w:highlight w:val="none"/>
              </w:rPr>
              <w:t>售后服务</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3分</w:t>
            </w:r>
            <w:r>
              <w:rPr>
                <w:rFonts w:hint="eastAsia" w:ascii="宋体" w:hAnsi="宋体" w:cs="宋体"/>
                <w:color w:val="auto"/>
                <w:kern w:val="0"/>
                <w:highlight w:val="none"/>
                <w:lang w:eastAsia="zh-CN"/>
              </w:rPr>
              <w:t>）</w:t>
            </w:r>
          </w:p>
          <w:p w14:paraId="2EF89F29">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根据各供应商提供的质保期外售后服务方案，包括但不限于质保期外服务的保障措施、服务内容、定期巡检、升级服务、备品备件配备情况等情况。按以下标准进行评审：</w:t>
            </w:r>
          </w:p>
          <w:p w14:paraId="60FEBB63">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1.供应商提供的质保期外售后服务方案内容完整、考虑全面周到，措施灵活、多样，响应及时，备品备件配备完善、价格合理，完全满足或优于采购人需求，得3分；</w:t>
            </w:r>
          </w:p>
          <w:p w14:paraId="28123E51">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rPr>
              <w:t>2.供应商提供的质保期外售后服务方案内容完整性、全面性、详细性，措施灵活性、多样性，备品备件配备</w:t>
            </w:r>
            <w:r>
              <w:rPr>
                <w:rFonts w:hint="eastAsia" w:ascii="宋体" w:hAnsi="宋体" w:cs="宋体"/>
                <w:color w:val="auto"/>
                <w:kern w:val="0"/>
                <w:highlight w:val="none"/>
                <w:lang w:val="en-US" w:eastAsia="zh-CN"/>
              </w:rPr>
              <w:t>等</w:t>
            </w:r>
            <w:r>
              <w:rPr>
                <w:rFonts w:hint="eastAsia" w:ascii="宋体" w:hAnsi="宋体" w:cs="宋体"/>
                <w:color w:val="auto"/>
                <w:kern w:val="0"/>
                <w:highlight w:val="none"/>
              </w:rPr>
              <w:t>，基本满足采购人需求，</w:t>
            </w:r>
            <w:r>
              <w:rPr>
                <w:rFonts w:hint="eastAsia" w:ascii="宋体" w:hAnsi="宋体" w:cs="宋体"/>
                <w:bCs/>
                <w:color w:val="auto"/>
                <w:highlight w:val="none"/>
                <w:lang w:eastAsia="zh-CN"/>
              </w:rPr>
              <w:t>个别</w:t>
            </w:r>
            <w:r>
              <w:rPr>
                <w:rFonts w:hint="eastAsia" w:ascii="宋体" w:hAnsi="宋体" w:cs="宋体"/>
                <w:bCs/>
                <w:color w:val="auto"/>
                <w:highlight w:val="none"/>
              </w:rPr>
              <w:t>细节需要完善的</w:t>
            </w:r>
            <w:r>
              <w:rPr>
                <w:rFonts w:hint="eastAsia" w:ascii="宋体" w:hAnsi="宋体" w:cs="宋体"/>
                <w:color w:val="auto"/>
                <w:kern w:val="0"/>
                <w:highlight w:val="none"/>
              </w:rPr>
              <w:t>得</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分；</w:t>
            </w:r>
          </w:p>
          <w:p w14:paraId="0B42B735">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3.供应商提供的质保期外售后服务方案内容完整性、全面性、详细性，措施灵活性、多样性</w:t>
            </w:r>
            <w:r>
              <w:rPr>
                <w:rFonts w:hint="eastAsia" w:ascii="宋体" w:hAnsi="宋体" w:cs="宋体"/>
                <w:color w:val="auto"/>
                <w:kern w:val="0"/>
                <w:highlight w:val="none"/>
                <w:lang w:val="en-US" w:eastAsia="zh-CN"/>
              </w:rPr>
              <w:t>及备品备件配备方案一般</w:t>
            </w:r>
            <w:r>
              <w:rPr>
                <w:rFonts w:hint="eastAsia" w:ascii="宋体" w:hAnsi="宋体" w:cs="宋体"/>
                <w:color w:val="auto"/>
                <w:kern w:val="0"/>
                <w:highlight w:val="none"/>
              </w:rPr>
              <w:t>，</w:t>
            </w:r>
            <w:r>
              <w:rPr>
                <w:rFonts w:hint="eastAsia" w:ascii="宋体" w:hAnsi="宋体" w:cs="宋体"/>
                <w:bCs/>
                <w:color w:val="auto"/>
                <w:highlight w:val="none"/>
              </w:rPr>
              <w:t>多处内容需要完善</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得1分；</w:t>
            </w:r>
          </w:p>
          <w:p w14:paraId="388C46D7">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不提供的不得分。</w:t>
            </w:r>
          </w:p>
        </w:tc>
      </w:tr>
      <w:tr w14:paraId="3EBC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8" w:type="dxa"/>
            <w:vMerge w:val="continue"/>
            <w:tcBorders>
              <w:left w:val="single" w:color="auto" w:sz="4" w:space="0"/>
              <w:right w:val="single" w:color="auto" w:sz="4" w:space="0"/>
            </w:tcBorders>
            <w:noWrap w:val="0"/>
            <w:vAlign w:val="center"/>
          </w:tcPr>
          <w:p w14:paraId="337C93D8">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625" w:type="dxa"/>
            <w:vMerge w:val="continue"/>
            <w:tcBorders>
              <w:left w:val="single" w:color="auto" w:sz="4" w:space="0"/>
              <w:right w:val="single" w:color="auto" w:sz="4" w:space="0"/>
            </w:tcBorders>
            <w:noWrap w:val="0"/>
            <w:vAlign w:val="center"/>
          </w:tcPr>
          <w:p w14:paraId="21DEAACB">
            <w:pPr>
              <w:keepNext w:val="0"/>
              <w:keepLines w:val="0"/>
              <w:suppressLineNumbers w:val="0"/>
              <w:adjustRightInd w:val="0"/>
              <w:snapToGrid w:val="0"/>
              <w:spacing w:before="0" w:beforeAutospacing="0" w:after="0" w:afterAutospacing="0" w:line="440" w:lineRule="exact"/>
              <w:ind w:left="0" w:right="0"/>
              <w:jc w:val="left"/>
              <w:rPr>
                <w:rFonts w:hint="eastAsia" w:ascii="宋体" w:hAnsi="宋体" w:cs="宋体"/>
                <w:bCs/>
                <w:color w:val="auto"/>
                <w:highlight w:val="none"/>
              </w:rPr>
            </w:pPr>
          </w:p>
        </w:tc>
        <w:tc>
          <w:tcPr>
            <w:tcW w:w="1208" w:type="dxa"/>
            <w:vMerge w:val="continue"/>
            <w:tcBorders>
              <w:left w:val="single" w:color="auto" w:sz="4" w:space="0"/>
              <w:bottom w:val="single" w:color="auto" w:sz="4" w:space="0"/>
              <w:right w:val="single" w:color="auto" w:sz="4" w:space="0"/>
            </w:tcBorders>
            <w:noWrap w:val="0"/>
            <w:vAlign w:val="center"/>
          </w:tcPr>
          <w:p w14:paraId="04F48BFB">
            <w:pPr>
              <w:keepNext w:val="0"/>
              <w:keepLines w:val="0"/>
              <w:suppressLineNumbers w:val="0"/>
              <w:adjustRightInd w:val="0"/>
              <w:snapToGrid w:val="0"/>
              <w:spacing w:before="0" w:beforeAutospacing="0" w:after="0" w:afterAutospacing="0" w:line="440" w:lineRule="exact"/>
              <w:ind w:left="0" w:right="0"/>
              <w:rPr>
                <w:rFonts w:hint="eastAsia" w:ascii="宋体" w:hAnsi="宋体" w:cs="宋体"/>
                <w:color w:val="auto"/>
                <w:kern w:val="0"/>
                <w:highlight w:val="none"/>
              </w:rPr>
            </w:pPr>
          </w:p>
        </w:tc>
        <w:tc>
          <w:tcPr>
            <w:tcW w:w="6276" w:type="dxa"/>
            <w:tcBorders>
              <w:top w:val="single" w:color="auto" w:sz="4" w:space="0"/>
              <w:left w:val="single" w:color="auto" w:sz="4" w:space="0"/>
              <w:bottom w:val="single" w:color="auto" w:sz="4" w:space="0"/>
              <w:right w:val="single" w:color="auto" w:sz="4" w:space="0"/>
            </w:tcBorders>
            <w:noWrap w:val="0"/>
            <w:vAlign w:val="top"/>
          </w:tcPr>
          <w:p w14:paraId="03F42330">
            <w:pPr>
              <w:keepNext w:val="0"/>
              <w:keepLines w:val="0"/>
              <w:suppressLineNumbers w:val="0"/>
              <w:adjustRightInd w:val="0"/>
              <w:snapToGrid w:val="0"/>
              <w:spacing w:before="0" w:beforeAutospacing="0" w:after="0" w:afterAutospacing="0" w:line="44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c）承诺</w:t>
            </w:r>
            <w:r>
              <w:rPr>
                <w:rFonts w:hint="eastAsia" w:ascii="宋体" w:hAnsi="宋体" w:cs="宋体"/>
                <w:b/>
                <w:bCs/>
                <w:color w:val="auto"/>
                <w:kern w:val="0"/>
                <w:sz w:val="21"/>
                <w:szCs w:val="21"/>
                <w:highlight w:val="none"/>
                <w:lang w:val="en-US" w:eastAsia="zh-CN"/>
              </w:rPr>
              <w:t>所有投标产品</w:t>
            </w:r>
            <w:r>
              <w:rPr>
                <w:rFonts w:hint="eastAsia" w:ascii="宋体" w:hAnsi="宋体" w:eastAsia="宋体" w:cs="宋体"/>
                <w:color w:val="auto"/>
                <w:kern w:val="0"/>
                <w:sz w:val="21"/>
                <w:szCs w:val="21"/>
                <w:highlight w:val="none"/>
              </w:rPr>
              <w:t>在满足</w:t>
            </w:r>
            <w:r>
              <w:rPr>
                <w:rFonts w:hint="eastAsia" w:ascii="宋体" w:hAnsi="宋体" w:eastAsia="宋体" w:cs="宋体"/>
                <w:color w:val="auto"/>
                <w:kern w:val="0"/>
                <w:sz w:val="21"/>
                <w:szCs w:val="21"/>
                <w:highlight w:val="none"/>
                <w:lang w:val="en-US" w:eastAsia="zh-CN"/>
              </w:rPr>
              <w:t>竞争性磋商</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整体质保期要求</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eastAsia="zh-CN"/>
              </w:rPr>
              <w:t>验收合格后原厂质保一年（</w:t>
            </w:r>
            <w:r>
              <w:rPr>
                <w:rFonts w:hint="eastAsia" w:ascii="宋体" w:hAnsi="宋体" w:cs="宋体"/>
                <w:color w:val="auto"/>
                <w:kern w:val="0"/>
                <w:sz w:val="21"/>
                <w:szCs w:val="21"/>
                <w:highlight w:val="none"/>
                <w:lang w:val="en-US" w:eastAsia="zh-CN"/>
              </w:rPr>
              <w:t>自验收合格之日起计算</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的基础上每增加1年</w:t>
            </w:r>
            <w:r>
              <w:rPr>
                <w:rFonts w:hint="eastAsia" w:cs="宋体"/>
                <w:b w:val="0"/>
                <w:bCs w:val="0"/>
                <w:color w:val="auto"/>
                <w:kern w:val="0"/>
                <w:sz w:val="21"/>
                <w:szCs w:val="21"/>
                <w:highlight w:val="none"/>
                <w:lang w:eastAsia="zh-CN"/>
              </w:rPr>
              <w:t>质保期</w:t>
            </w:r>
            <w:r>
              <w:rPr>
                <w:rFonts w:hint="eastAsia" w:ascii="宋体" w:hAnsi="宋体" w:eastAsia="宋体" w:cs="宋体"/>
                <w:color w:val="auto"/>
                <w:kern w:val="0"/>
                <w:sz w:val="21"/>
                <w:szCs w:val="21"/>
                <w:highlight w:val="none"/>
              </w:rPr>
              <w:t>的</w:t>
            </w:r>
            <w:r>
              <w:rPr>
                <w:rFonts w:hint="eastAsia" w:ascii="宋体" w:hAnsi="宋体" w:cs="宋体"/>
                <w:color w:val="auto"/>
                <w:kern w:val="0"/>
                <w:sz w:val="21"/>
                <w:szCs w:val="21"/>
                <w:highlight w:val="none"/>
                <w:lang w:eastAsia="zh-CN"/>
              </w:rPr>
              <w:t>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分，最</w:t>
            </w:r>
            <w:r>
              <w:rPr>
                <w:rFonts w:hint="eastAsia" w:ascii="宋体" w:hAnsi="宋体" w:cs="宋体"/>
                <w:color w:val="auto"/>
                <w:kern w:val="0"/>
                <w:sz w:val="21"/>
                <w:szCs w:val="21"/>
                <w:highlight w:val="none"/>
                <w:lang w:val="en-US" w:eastAsia="zh-CN"/>
              </w:rPr>
              <w:t>多得4</w:t>
            </w:r>
            <w:r>
              <w:rPr>
                <w:rFonts w:hint="eastAsia" w:ascii="宋体" w:hAnsi="宋体" w:eastAsia="宋体" w:cs="宋体"/>
                <w:color w:val="auto"/>
                <w:kern w:val="0"/>
                <w:sz w:val="21"/>
                <w:szCs w:val="21"/>
                <w:highlight w:val="none"/>
              </w:rPr>
              <w:t>分。</w:t>
            </w:r>
          </w:p>
        </w:tc>
      </w:tr>
      <w:bookmarkEnd w:id="695"/>
    </w:tbl>
    <w:p w14:paraId="358F97B3">
      <w:pPr>
        <w:adjustRightInd w:val="0"/>
        <w:ind w:firstLine="482"/>
        <w:rPr>
          <w:rFonts w:hint="eastAsia" w:ascii="宋体" w:hAnsi="宋体"/>
          <w:b/>
          <w:color w:val="auto"/>
          <w:sz w:val="24"/>
          <w:szCs w:val="24"/>
          <w:highlight w:val="none"/>
        </w:rPr>
      </w:pPr>
    </w:p>
    <w:p w14:paraId="25906C29">
      <w:pPr>
        <w:adjustRightInd w:val="0"/>
        <w:ind w:firstLine="482"/>
        <w:rPr>
          <w:rFonts w:hint="eastAsia" w:ascii="宋体" w:hAnsi="宋体"/>
          <w:b/>
          <w:color w:val="auto"/>
          <w:sz w:val="24"/>
          <w:szCs w:val="24"/>
          <w:highlight w:val="none"/>
        </w:rPr>
      </w:pPr>
    </w:p>
    <w:p w14:paraId="348A3FAD">
      <w:pPr>
        <w:pStyle w:val="87"/>
        <w:spacing w:line="360" w:lineRule="auto"/>
        <w:rPr>
          <w:rFonts w:hint="eastAsia" w:ascii="宋体" w:hAnsi="宋体" w:eastAsia="宋体"/>
          <w:b/>
          <w:bCs w:val="0"/>
          <w:color w:val="auto"/>
          <w:sz w:val="21"/>
          <w:szCs w:val="21"/>
          <w:highlight w:val="none"/>
        </w:rPr>
      </w:pPr>
      <w:bookmarkStart w:id="696" w:name="_Toc1952"/>
      <w:r>
        <w:rPr>
          <w:rFonts w:hint="eastAsia" w:ascii="宋体" w:hAnsi="宋体" w:eastAsia="宋体"/>
          <w:b/>
          <w:bCs w:val="0"/>
          <w:color w:val="auto"/>
          <w:sz w:val="21"/>
          <w:szCs w:val="21"/>
          <w:highlight w:val="none"/>
        </w:rPr>
        <w:t>1.评审方法</w:t>
      </w:r>
      <w:bookmarkEnd w:id="696"/>
    </w:p>
    <w:p w14:paraId="7088A2F8">
      <w:pPr>
        <w:spacing w:line="360" w:lineRule="auto"/>
        <w:ind w:firstLine="420" w:firstLineChars="200"/>
        <w:rPr>
          <w:rFonts w:hint="eastAsia" w:ascii="宋体" w:hAnsi="宋体"/>
          <w:color w:val="auto"/>
          <w:highlight w:val="none"/>
        </w:rPr>
      </w:pPr>
      <w:r>
        <w:rPr>
          <w:rFonts w:hint="eastAsia" w:ascii="宋体" w:hAnsi="宋体"/>
          <w:color w:val="auto"/>
          <w:highlight w:val="none"/>
        </w:rPr>
        <w:t>本次评审采用综合评分法。磋商小组对满足磋商文件实质性要求的响应文件，按照本章规定的评分标准进行打分，并按得分由高到低顺序推荐成交候选人，</w:t>
      </w:r>
      <w:r>
        <w:rPr>
          <w:rFonts w:hint="eastAsia" w:ascii="宋体" w:hAnsi="宋体"/>
          <w:color w:val="auto"/>
          <w:kern w:val="0"/>
          <w:highlight w:val="none"/>
        </w:rPr>
        <w:t>综合评分相等时，以报价得分高的优先；报价得分也相等的，由采购人自行确定。</w:t>
      </w:r>
    </w:p>
    <w:p w14:paraId="695223AA">
      <w:pPr>
        <w:pStyle w:val="87"/>
        <w:spacing w:line="360" w:lineRule="auto"/>
        <w:rPr>
          <w:rFonts w:hint="eastAsia" w:ascii="宋体" w:hAnsi="宋体" w:eastAsia="宋体"/>
          <w:b/>
          <w:bCs w:val="0"/>
          <w:color w:val="auto"/>
          <w:sz w:val="21"/>
          <w:szCs w:val="21"/>
          <w:highlight w:val="none"/>
        </w:rPr>
      </w:pPr>
      <w:bookmarkStart w:id="697" w:name="_Toc152042378"/>
      <w:bookmarkEnd w:id="697"/>
      <w:bookmarkStart w:id="698" w:name="_Toc24936"/>
      <w:bookmarkEnd w:id="698"/>
      <w:bookmarkStart w:id="699" w:name="_Toc281405529"/>
      <w:bookmarkEnd w:id="699"/>
      <w:bookmarkStart w:id="700" w:name="_Toc15132"/>
      <w:bookmarkEnd w:id="700"/>
      <w:bookmarkStart w:id="701" w:name="_Toc455867817"/>
      <w:bookmarkEnd w:id="701"/>
      <w:bookmarkStart w:id="702" w:name="_Toc509667307"/>
      <w:bookmarkEnd w:id="702"/>
      <w:bookmarkStart w:id="703" w:name="_Toc152045601"/>
      <w:bookmarkEnd w:id="703"/>
      <w:bookmarkStart w:id="704" w:name="_Toc455080157"/>
      <w:bookmarkEnd w:id="704"/>
      <w:bookmarkStart w:id="705" w:name="_Toc490667876"/>
      <w:bookmarkEnd w:id="705"/>
      <w:bookmarkStart w:id="706" w:name="_Toc466298140"/>
      <w:bookmarkEnd w:id="706"/>
      <w:bookmarkStart w:id="707" w:name="_Toc144974568"/>
      <w:bookmarkEnd w:id="707"/>
      <w:bookmarkStart w:id="708" w:name="_Toc318450723"/>
      <w:bookmarkStart w:id="709" w:name="_Toc5180"/>
      <w:bookmarkStart w:id="710" w:name="_Toc5189"/>
      <w:bookmarkStart w:id="711" w:name="_Toc6215"/>
      <w:bookmarkStart w:id="712" w:name="_Toc32037"/>
      <w:bookmarkStart w:id="713" w:name="_Toc1648"/>
      <w:r>
        <w:rPr>
          <w:rFonts w:hint="eastAsia" w:ascii="宋体" w:hAnsi="宋体" w:eastAsia="宋体"/>
          <w:b/>
          <w:bCs w:val="0"/>
          <w:color w:val="auto"/>
          <w:sz w:val="21"/>
          <w:szCs w:val="21"/>
          <w:highlight w:val="none"/>
        </w:rPr>
        <w:t>2. 评审标准</w:t>
      </w:r>
      <w:bookmarkEnd w:id="708"/>
      <w:bookmarkEnd w:id="709"/>
      <w:bookmarkEnd w:id="710"/>
      <w:bookmarkEnd w:id="711"/>
      <w:bookmarkEnd w:id="712"/>
      <w:bookmarkEnd w:id="713"/>
    </w:p>
    <w:p w14:paraId="438805ED">
      <w:pPr>
        <w:pStyle w:val="74"/>
        <w:spacing w:line="360" w:lineRule="auto"/>
        <w:rPr>
          <w:rFonts w:hint="eastAsia" w:ascii="宋体" w:hAnsi="宋体" w:eastAsia="宋体"/>
          <w:color w:val="auto"/>
          <w:sz w:val="21"/>
          <w:szCs w:val="21"/>
          <w:highlight w:val="none"/>
        </w:rPr>
      </w:pPr>
      <w:bookmarkStart w:id="714" w:name="_Toc21120"/>
      <w:bookmarkEnd w:id="714"/>
      <w:bookmarkStart w:id="715" w:name="_Toc19934"/>
      <w:bookmarkEnd w:id="715"/>
      <w:bookmarkStart w:id="716" w:name="_Toc455080158"/>
      <w:bookmarkEnd w:id="716"/>
      <w:bookmarkStart w:id="717" w:name="_Toc455867818"/>
      <w:bookmarkEnd w:id="717"/>
      <w:bookmarkStart w:id="718" w:name="_Toc509667308"/>
      <w:bookmarkEnd w:id="718"/>
      <w:bookmarkStart w:id="719" w:name="_Toc31037"/>
      <w:bookmarkEnd w:id="719"/>
      <w:bookmarkStart w:id="720" w:name="_Toc490667877"/>
      <w:bookmarkEnd w:id="720"/>
      <w:bookmarkStart w:id="721" w:name="_Toc281405530"/>
      <w:bookmarkEnd w:id="721"/>
      <w:bookmarkStart w:id="722" w:name="_Toc152045602"/>
      <w:bookmarkEnd w:id="722"/>
      <w:bookmarkStart w:id="723" w:name="_Toc25637"/>
      <w:bookmarkEnd w:id="723"/>
      <w:bookmarkStart w:id="724" w:name="_Toc144974569"/>
      <w:bookmarkEnd w:id="724"/>
      <w:bookmarkStart w:id="725" w:name="_Toc318450724"/>
      <w:bookmarkEnd w:id="725"/>
      <w:bookmarkStart w:id="726" w:name="_Toc466298141"/>
      <w:bookmarkEnd w:id="726"/>
      <w:bookmarkStart w:id="727" w:name="_Toc15813"/>
      <w:bookmarkEnd w:id="727"/>
      <w:bookmarkStart w:id="728" w:name="_Toc29460"/>
      <w:bookmarkStart w:id="729" w:name="_Toc152042379"/>
      <w:bookmarkStart w:id="730" w:name="_Toc129073510"/>
      <w:r>
        <w:rPr>
          <w:rFonts w:hint="eastAsia" w:ascii="宋体" w:hAnsi="宋体" w:eastAsia="宋体"/>
          <w:color w:val="auto"/>
          <w:sz w:val="21"/>
          <w:szCs w:val="21"/>
          <w:highlight w:val="none"/>
        </w:rPr>
        <w:t>2.1 初步评审标准</w:t>
      </w:r>
      <w:bookmarkEnd w:id="728"/>
      <w:bookmarkEnd w:id="729"/>
      <w:bookmarkEnd w:id="730"/>
    </w:p>
    <w:p w14:paraId="5F5D0E72">
      <w:pPr>
        <w:spacing w:line="360" w:lineRule="auto"/>
        <w:ind w:firstLine="420" w:firstLineChars="200"/>
        <w:rPr>
          <w:rFonts w:hint="eastAsia" w:ascii="宋体" w:hAnsi="宋体"/>
          <w:color w:val="auto"/>
          <w:highlight w:val="none"/>
        </w:rPr>
      </w:pPr>
      <w:r>
        <w:rPr>
          <w:rFonts w:hint="eastAsia" w:ascii="宋体" w:hAnsi="宋体"/>
          <w:color w:val="auto"/>
          <w:highlight w:val="none"/>
        </w:rPr>
        <w:t>2.1.1 资格性检查评审标准：见评审办法前附表。</w:t>
      </w:r>
    </w:p>
    <w:p w14:paraId="0EB28760">
      <w:pPr>
        <w:spacing w:line="360" w:lineRule="auto"/>
        <w:ind w:firstLine="420" w:firstLineChars="200"/>
        <w:rPr>
          <w:rFonts w:hint="eastAsia" w:ascii="宋体" w:hAnsi="宋体"/>
          <w:color w:val="auto"/>
          <w:highlight w:val="none"/>
        </w:rPr>
      </w:pPr>
      <w:r>
        <w:rPr>
          <w:rFonts w:hint="eastAsia" w:ascii="宋体" w:hAnsi="宋体"/>
          <w:color w:val="auto"/>
          <w:highlight w:val="none"/>
        </w:rPr>
        <w:t>2.1.2 符合性检查评审标准：见评审办法前附表。</w:t>
      </w:r>
    </w:p>
    <w:p w14:paraId="323494FE">
      <w:pPr>
        <w:pStyle w:val="74"/>
        <w:spacing w:line="360" w:lineRule="auto"/>
        <w:rPr>
          <w:rFonts w:hint="eastAsia" w:ascii="宋体" w:hAnsi="宋体" w:eastAsia="宋体"/>
          <w:color w:val="auto"/>
          <w:sz w:val="21"/>
          <w:szCs w:val="21"/>
          <w:highlight w:val="none"/>
        </w:rPr>
      </w:pPr>
      <w:bookmarkStart w:id="731" w:name="_Toc455080159"/>
      <w:bookmarkEnd w:id="731"/>
      <w:bookmarkStart w:id="732" w:name="_Toc30189"/>
      <w:bookmarkEnd w:id="732"/>
      <w:bookmarkStart w:id="733" w:name="_Toc25492"/>
      <w:bookmarkEnd w:id="733"/>
      <w:bookmarkStart w:id="734" w:name="_Toc12013"/>
      <w:bookmarkEnd w:id="734"/>
      <w:bookmarkStart w:id="735" w:name="_Toc152042380"/>
      <w:bookmarkEnd w:id="735"/>
      <w:bookmarkStart w:id="736" w:name="_Toc318450725"/>
      <w:bookmarkEnd w:id="736"/>
      <w:bookmarkStart w:id="737" w:name="_Toc22439"/>
      <w:bookmarkEnd w:id="737"/>
      <w:bookmarkStart w:id="738" w:name="_Toc144974570"/>
      <w:bookmarkEnd w:id="738"/>
      <w:bookmarkStart w:id="739" w:name="_Toc455867819"/>
      <w:bookmarkEnd w:id="739"/>
      <w:bookmarkStart w:id="740" w:name="_Toc466298142"/>
      <w:bookmarkEnd w:id="740"/>
      <w:bookmarkStart w:id="741" w:name="_Toc281405531"/>
      <w:bookmarkEnd w:id="741"/>
      <w:bookmarkStart w:id="742" w:name="_Toc509667309"/>
      <w:bookmarkEnd w:id="742"/>
      <w:bookmarkStart w:id="743" w:name="_Toc11061"/>
      <w:bookmarkEnd w:id="743"/>
      <w:bookmarkStart w:id="744" w:name="_Toc152045603"/>
      <w:bookmarkEnd w:id="744"/>
      <w:bookmarkStart w:id="745" w:name="_Toc129073511"/>
      <w:bookmarkStart w:id="746" w:name="_Toc490667878"/>
      <w:bookmarkStart w:id="747" w:name="_Toc3544"/>
      <w:r>
        <w:rPr>
          <w:rFonts w:hint="eastAsia" w:ascii="宋体" w:hAnsi="宋体" w:eastAsia="宋体"/>
          <w:color w:val="auto"/>
          <w:sz w:val="21"/>
          <w:szCs w:val="21"/>
          <w:highlight w:val="none"/>
        </w:rPr>
        <w:t>2.2 分值构成与评分标准</w:t>
      </w:r>
      <w:bookmarkEnd w:id="745"/>
      <w:bookmarkEnd w:id="746"/>
      <w:bookmarkEnd w:id="747"/>
    </w:p>
    <w:p w14:paraId="5D344E56">
      <w:pPr>
        <w:spacing w:line="360" w:lineRule="auto"/>
        <w:ind w:firstLine="420" w:firstLineChars="200"/>
        <w:rPr>
          <w:rFonts w:hint="eastAsia" w:ascii="宋体" w:hAnsi="宋体"/>
          <w:color w:val="auto"/>
          <w:highlight w:val="none"/>
        </w:rPr>
      </w:pPr>
      <w:r>
        <w:rPr>
          <w:rFonts w:hint="eastAsia" w:ascii="宋体" w:hAnsi="宋体"/>
          <w:color w:val="auto"/>
          <w:highlight w:val="none"/>
        </w:rPr>
        <w:t>（1）磋商报价：见评审办法前附表</w:t>
      </w:r>
    </w:p>
    <w:p w14:paraId="401D6B6E">
      <w:pPr>
        <w:spacing w:line="360" w:lineRule="auto"/>
        <w:ind w:firstLine="420" w:firstLineChars="200"/>
        <w:rPr>
          <w:rFonts w:hint="eastAsia" w:ascii="宋体" w:hAnsi="宋体"/>
          <w:color w:val="auto"/>
          <w:highlight w:val="none"/>
        </w:rPr>
      </w:pPr>
      <w:r>
        <w:rPr>
          <w:rFonts w:hint="eastAsia" w:ascii="宋体" w:hAnsi="宋体"/>
          <w:color w:val="auto"/>
          <w:highlight w:val="none"/>
        </w:rPr>
        <w:t>（2）技术部分：见评审办法前附表；</w:t>
      </w:r>
    </w:p>
    <w:p w14:paraId="0F472CA6">
      <w:pPr>
        <w:spacing w:line="360" w:lineRule="auto"/>
        <w:ind w:firstLine="420" w:firstLineChars="200"/>
        <w:rPr>
          <w:rFonts w:hint="eastAsia" w:ascii="宋体" w:hAnsi="宋体"/>
          <w:color w:val="auto"/>
          <w:highlight w:val="none"/>
        </w:rPr>
      </w:pPr>
      <w:r>
        <w:rPr>
          <w:rFonts w:hint="eastAsia" w:ascii="宋体" w:hAnsi="宋体"/>
          <w:color w:val="auto"/>
          <w:highlight w:val="none"/>
        </w:rPr>
        <w:t>（3）商务部分：见评审办法前附表；</w:t>
      </w:r>
    </w:p>
    <w:p w14:paraId="1AA3B748">
      <w:pPr>
        <w:pStyle w:val="87"/>
        <w:spacing w:line="360" w:lineRule="auto"/>
        <w:rPr>
          <w:rFonts w:hint="eastAsia" w:ascii="宋体" w:hAnsi="宋体" w:eastAsia="宋体"/>
          <w:b/>
          <w:bCs w:val="0"/>
          <w:color w:val="auto"/>
          <w:sz w:val="21"/>
          <w:szCs w:val="21"/>
          <w:highlight w:val="none"/>
        </w:rPr>
      </w:pPr>
      <w:bookmarkStart w:id="748" w:name="_Toc490667879"/>
      <w:bookmarkEnd w:id="748"/>
      <w:bookmarkStart w:id="749" w:name="_Toc318450726"/>
      <w:bookmarkEnd w:id="749"/>
      <w:bookmarkStart w:id="750" w:name="_Toc509667310"/>
      <w:bookmarkEnd w:id="750"/>
      <w:bookmarkStart w:id="751" w:name="_Toc281405532"/>
      <w:bookmarkEnd w:id="751"/>
      <w:bookmarkStart w:id="752" w:name="_Toc17308"/>
      <w:bookmarkEnd w:id="752"/>
      <w:bookmarkStart w:id="753" w:name="_Toc466298143"/>
      <w:bookmarkEnd w:id="753"/>
      <w:bookmarkStart w:id="754" w:name="_Toc455867820"/>
      <w:bookmarkEnd w:id="754"/>
      <w:bookmarkStart w:id="755" w:name="_Toc455080160"/>
      <w:bookmarkEnd w:id="755"/>
      <w:bookmarkStart w:id="756" w:name="_Toc2305"/>
      <w:bookmarkStart w:id="757" w:name="_Toc21443"/>
      <w:bookmarkStart w:id="758" w:name="_Toc26213"/>
      <w:bookmarkStart w:id="759" w:name="_Toc26163"/>
      <w:bookmarkStart w:id="760" w:name="_Toc16505"/>
      <w:bookmarkStart w:id="761" w:name="_Toc5017"/>
      <w:r>
        <w:rPr>
          <w:rFonts w:hint="eastAsia" w:ascii="宋体" w:hAnsi="宋体" w:eastAsia="宋体"/>
          <w:b/>
          <w:bCs w:val="0"/>
          <w:color w:val="auto"/>
          <w:sz w:val="21"/>
          <w:szCs w:val="21"/>
          <w:highlight w:val="none"/>
        </w:rPr>
        <w:t>3. 评审程序</w:t>
      </w:r>
      <w:bookmarkEnd w:id="756"/>
      <w:bookmarkEnd w:id="757"/>
      <w:bookmarkEnd w:id="758"/>
      <w:bookmarkEnd w:id="759"/>
      <w:bookmarkEnd w:id="760"/>
      <w:bookmarkEnd w:id="761"/>
    </w:p>
    <w:p w14:paraId="560247EA">
      <w:pPr>
        <w:pStyle w:val="74"/>
        <w:spacing w:line="360" w:lineRule="auto"/>
        <w:rPr>
          <w:rFonts w:hint="eastAsia" w:ascii="宋体" w:hAnsi="宋体" w:eastAsia="宋体"/>
          <w:b/>
          <w:bCs/>
          <w:color w:val="auto"/>
          <w:sz w:val="21"/>
          <w:szCs w:val="21"/>
          <w:highlight w:val="none"/>
        </w:rPr>
      </w:pPr>
      <w:bookmarkStart w:id="762" w:name="_Toc466298144"/>
      <w:bookmarkEnd w:id="762"/>
      <w:bookmarkStart w:id="763" w:name="_Toc14633"/>
      <w:bookmarkEnd w:id="763"/>
      <w:bookmarkStart w:id="764" w:name="_Toc281405533"/>
      <w:bookmarkEnd w:id="764"/>
      <w:bookmarkStart w:id="765" w:name="_Toc318450727"/>
      <w:bookmarkEnd w:id="765"/>
      <w:bookmarkStart w:id="766" w:name="_Toc509667311"/>
      <w:bookmarkEnd w:id="766"/>
      <w:bookmarkStart w:id="767" w:name="_Toc455867821"/>
      <w:bookmarkEnd w:id="767"/>
      <w:bookmarkStart w:id="768" w:name="_Toc490667880"/>
      <w:bookmarkEnd w:id="768"/>
      <w:bookmarkStart w:id="769" w:name="_Toc455080161"/>
      <w:bookmarkEnd w:id="769"/>
      <w:bookmarkStart w:id="770" w:name="_Toc18886"/>
      <w:bookmarkEnd w:id="770"/>
      <w:bookmarkStart w:id="771" w:name="_Toc7272"/>
      <w:bookmarkEnd w:id="771"/>
      <w:bookmarkStart w:id="772" w:name="_Toc29614"/>
      <w:bookmarkEnd w:id="772"/>
      <w:bookmarkStart w:id="773" w:name="_Toc30986"/>
      <w:bookmarkEnd w:id="773"/>
      <w:bookmarkStart w:id="774" w:name="_Toc23431"/>
      <w:bookmarkStart w:id="775" w:name="_Toc5427"/>
      <w:bookmarkStart w:id="776" w:name="_Toc129073513"/>
      <w:r>
        <w:rPr>
          <w:rFonts w:hint="eastAsia" w:ascii="宋体" w:hAnsi="宋体" w:eastAsia="宋体"/>
          <w:b/>
          <w:bCs/>
          <w:color w:val="auto"/>
          <w:sz w:val="21"/>
          <w:szCs w:val="21"/>
          <w:highlight w:val="none"/>
        </w:rPr>
        <w:t>3.1 初步评审</w:t>
      </w:r>
      <w:bookmarkEnd w:id="774"/>
      <w:bookmarkEnd w:id="775"/>
      <w:bookmarkEnd w:id="776"/>
    </w:p>
    <w:p w14:paraId="04C73801">
      <w:pPr>
        <w:spacing w:line="360" w:lineRule="auto"/>
        <w:ind w:firstLine="420" w:firstLineChars="200"/>
        <w:rPr>
          <w:rFonts w:hint="eastAsia" w:ascii="宋体" w:hAnsi="宋体"/>
          <w:color w:val="auto"/>
          <w:highlight w:val="none"/>
        </w:rPr>
      </w:pPr>
      <w:r>
        <w:rPr>
          <w:rFonts w:hint="eastAsia" w:ascii="宋体" w:hAnsi="宋体"/>
          <w:color w:val="auto"/>
          <w:highlight w:val="none"/>
        </w:rPr>
        <w:t>3.1.1 磋商小组依据本章第2.1款规定的标准对响应文件进行初步评审。有一项不符合评审标准的，作无效处理。</w:t>
      </w:r>
    </w:p>
    <w:p w14:paraId="5FDA99BC">
      <w:pPr>
        <w:spacing w:line="360" w:lineRule="auto"/>
        <w:ind w:firstLine="420" w:firstLineChars="200"/>
        <w:rPr>
          <w:rFonts w:hint="eastAsia" w:ascii="宋体" w:hAnsi="宋体"/>
          <w:color w:val="auto"/>
          <w:highlight w:val="none"/>
        </w:rPr>
      </w:pPr>
      <w:r>
        <w:rPr>
          <w:rFonts w:hint="eastAsia" w:ascii="宋体" w:hAnsi="宋体"/>
          <w:color w:val="auto"/>
          <w:highlight w:val="none"/>
        </w:rPr>
        <w:t>3.1.2 供应商有以下情形之一的，其响应文件作无效处理：</w:t>
      </w:r>
    </w:p>
    <w:p w14:paraId="41C94BD0">
      <w:pPr>
        <w:spacing w:line="360" w:lineRule="auto"/>
        <w:ind w:firstLine="420" w:firstLineChars="200"/>
        <w:rPr>
          <w:rFonts w:hint="eastAsia" w:ascii="宋体" w:hAnsi="宋体"/>
          <w:color w:val="auto"/>
          <w:highlight w:val="none"/>
        </w:rPr>
      </w:pPr>
      <w:r>
        <w:rPr>
          <w:rFonts w:hint="eastAsia" w:ascii="宋体" w:hAnsi="宋体"/>
          <w:color w:val="auto"/>
          <w:highlight w:val="none"/>
        </w:rPr>
        <w:t>（1）串通或弄虚作假或有其他违法行为的；</w:t>
      </w:r>
    </w:p>
    <w:p w14:paraId="62A26CEF">
      <w:pPr>
        <w:spacing w:line="360" w:lineRule="auto"/>
        <w:ind w:firstLine="420" w:firstLineChars="200"/>
        <w:rPr>
          <w:rFonts w:hint="eastAsia" w:ascii="宋体" w:hAnsi="宋体"/>
          <w:color w:val="auto"/>
          <w:highlight w:val="none"/>
        </w:rPr>
      </w:pPr>
      <w:r>
        <w:rPr>
          <w:rFonts w:hint="eastAsia" w:ascii="宋体" w:hAnsi="宋体"/>
          <w:color w:val="auto"/>
          <w:highlight w:val="none"/>
        </w:rPr>
        <w:t>（2）不按磋商小组要求澄清、说明或补正的；</w:t>
      </w:r>
    </w:p>
    <w:p w14:paraId="4F869BC3">
      <w:pPr>
        <w:spacing w:line="360" w:lineRule="auto"/>
        <w:ind w:firstLine="420" w:firstLineChars="200"/>
        <w:rPr>
          <w:rFonts w:hint="eastAsia" w:ascii="宋体" w:hAnsi="宋体"/>
          <w:color w:val="auto"/>
          <w:highlight w:val="none"/>
        </w:rPr>
      </w:pPr>
      <w:r>
        <w:rPr>
          <w:rFonts w:hint="eastAsia" w:ascii="宋体" w:hAnsi="宋体"/>
          <w:color w:val="auto"/>
          <w:highlight w:val="none"/>
        </w:rPr>
        <w:t>（3）未按规定格式填写、内容不全或关键字迹模糊、无法辨认的；</w:t>
      </w:r>
    </w:p>
    <w:p w14:paraId="5A13C945">
      <w:pPr>
        <w:spacing w:line="360" w:lineRule="auto"/>
        <w:ind w:firstLine="420" w:firstLineChars="200"/>
        <w:rPr>
          <w:rFonts w:hint="eastAsia" w:ascii="宋体" w:hAnsi="宋体"/>
          <w:color w:val="auto"/>
          <w:highlight w:val="none"/>
        </w:rPr>
      </w:pPr>
      <w:r>
        <w:rPr>
          <w:rFonts w:hint="eastAsia" w:ascii="宋体" w:hAnsi="宋体"/>
          <w:color w:val="auto"/>
          <w:highlight w:val="none"/>
        </w:rPr>
        <w:t>（4）响应文件附有采购人不能接受的条件；</w:t>
      </w:r>
    </w:p>
    <w:p w14:paraId="2BFEAF2C">
      <w:pPr>
        <w:spacing w:line="360" w:lineRule="auto"/>
        <w:ind w:firstLine="420" w:firstLineChars="200"/>
        <w:rPr>
          <w:rFonts w:hint="eastAsia" w:ascii="宋体" w:hAnsi="宋体"/>
          <w:color w:val="auto"/>
          <w:highlight w:val="none"/>
        </w:rPr>
      </w:pPr>
      <w:r>
        <w:rPr>
          <w:rFonts w:hint="eastAsia" w:ascii="宋体" w:hAnsi="宋体"/>
          <w:color w:val="auto"/>
          <w:highlight w:val="none"/>
        </w:rPr>
        <w:t>（5）不符合磋商文件规定的其他实质性要求。</w:t>
      </w:r>
    </w:p>
    <w:p w14:paraId="69815705">
      <w:pPr>
        <w:pStyle w:val="74"/>
        <w:spacing w:line="360" w:lineRule="auto"/>
        <w:rPr>
          <w:rFonts w:hint="eastAsia" w:ascii="宋体" w:hAnsi="宋体" w:eastAsia="宋体"/>
          <w:b/>
          <w:bCs/>
          <w:color w:val="auto"/>
          <w:sz w:val="21"/>
          <w:szCs w:val="21"/>
          <w:highlight w:val="none"/>
        </w:rPr>
      </w:pPr>
      <w:bookmarkStart w:id="777" w:name="_Toc490667881"/>
      <w:bookmarkEnd w:id="777"/>
      <w:bookmarkStart w:id="778" w:name="_Toc281405534"/>
      <w:bookmarkEnd w:id="778"/>
      <w:bookmarkStart w:id="779" w:name="_Toc10692"/>
      <w:bookmarkEnd w:id="779"/>
      <w:bookmarkStart w:id="780" w:name="_Toc21032"/>
      <w:bookmarkEnd w:id="780"/>
      <w:bookmarkStart w:id="781" w:name="_Toc7121"/>
      <w:bookmarkEnd w:id="781"/>
      <w:bookmarkStart w:id="782" w:name="_Toc466298145"/>
      <w:bookmarkEnd w:id="782"/>
      <w:bookmarkStart w:id="783" w:name="_Toc12406"/>
      <w:bookmarkEnd w:id="783"/>
      <w:bookmarkStart w:id="784" w:name="_Toc455867822"/>
      <w:bookmarkEnd w:id="784"/>
      <w:bookmarkStart w:id="785" w:name="_Toc318450728"/>
      <w:bookmarkEnd w:id="785"/>
      <w:bookmarkStart w:id="786" w:name="_Toc509667312"/>
      <w:bookmarkEnd w:id="786"/>
      <w:bookmarkStart w:id="787" w:name="_Toc455080162"/>
      <w:bookmarkEnd w:id="787"/>
      <w:bookmarkStart w:id="788" w:name="_Toc21570"/>
      <w:bookmarkEnd w:id="788"/>
      <w:bookmarkStart w:id="789" w:name="_Toc26049"/>
      <w:bookmarkStart w:id="790" w:name="_Toc129073514"/>
      <w:bookmarkStart w:id="791" w:name="_Toc8993"/>
      <w:r>
        <w:rPr>
          <w:rFonts w:hint="eastAsia" w:ascii="宋体" w:hAnsi="宋体" w:eastAsia="宋体"/>
          <w:b/>
          <w:bCs/>
          <w:color w:val="auto"/>
          <w:sz w:val="21"/>
          <w:szCs w:val="21"/>
          <w:highlight w:val="none"/>
        </w:rPr>
        <w:t>3.2 详细评审</w:t>
      </w:r>
      <w:bookmarkEnd w:id="789"/>
      <w:bookmarkEnd w:id="790"/>
      <w:bookmarkEnd w:id="791"/>
    </w:p>
    <w:p w14:paraId="3E2D3B52">
      <w:pPr>
        <w:spacing w:line="360" w:lineRule="auto"/>
        <w:ind w:firstLine="420" w:firstLineChars="200"/>
        <w:rPr>
          <w:rFonts w:hint="eastAsia" w:ascii="宋体" w:hAnsi="宋体"/>
          <w:color w:val="auto"/>
          <w:highlight w:val="none"/>
        </w:rPr>
      </w:pPr>
      <w:r>
        <w:rPr>
          <w:rFonts w:hint="eastAsia" w:ascii="宋体" w:hAnsi="宋体"/>
          <w:color w:val="auto"/>
          <w:highlight w:val="none"/>
        </w:rPr>
        <w:t>3.2.1 磋商小组按本章第2.2款规定的量化因素和分值进行打分，并计算出综合评分得分。</w:t>
      </w:r>
    </w:p>
    <w:p w14:paraId="3C62F208">
      <w:pPr>
        <w:spacing w:line="360" w:lineRule="auto"/>
        <w:ind w:firstLine="480"/>
        <w:rPr>
          <w:rFonts w:hint="eastAsia" w:ascii="宋体" w:hAnsi="宋体"/>
          <w:color w:val="auto"/>
          <w:highlight w:val="none"/>
        </w:rPr>
      </w:pPr>
      <w:r>
        <w:rPr>
          <w:rFonts w:hint="eastAsia" w:ascii="宋体" w:hAnsi="宋体"/>
          <w:color w:val="auto"/>
          <w:highlight w:val="none"/>
        </w:rPr>
        <w:t>（1）按本章第 2.2.2（1）目规定的评审因素和分值对磋商报价计算出得分 A；</w:t>
      </w:r>
    </w:p>
    <w:p w14:paraId="6255D74D">
      <w:pPr>
        <w:spacing w:line="360" w:lineRule="auto"/>
        <w:ind w:firstLine="480"/>
        <w:rPr>
          <w:rFonts w:hint="eastAsia" w:ascii="宋体" w:hAnsi="宋体"/>
          <w:color w:val="auto"/>
          <w:highlight w:val="none"/>
        </w:rPr>
      </w:pPr>
      <w:r>
        <w:rPr>
          <w:rFonts w:hint="eastAsia" w:ascii="宋体" w:hAnsi="宋体"/>
          <w:color w:val="auto"/>
          <w:highlight w:val="none"/>
        </w:rPr>
        <w:t>（2）按本章第 2.2.2（2）目规定的评审因素和分值对技术部分计算出得分 B；</w:t>
      </w:r>
    </w:p>
    <w:p w14:paraId="7F469CAC">
      <w:pPr>
        <w:spacing w:line="360" w:lineRule="auto"/>
        <w:ind w:firstLine="480"/>
        <w:rPr>
          <w:rFonts w:hint="eastAsia" w:ascii="宋体" w:hAnsi="宋体"/>
          <w:color w:val="auto"/>
          <w:highlight w:val="none"/>
        </w:rPr>
      </w:pPr>
      <w:r>
        <w:rPr>
          <w:rFonts w:hint="eastAsia" w:ascii="宋体" w:hAnsi="宋体"/>
          <w:color w:val="auto"/>
          <w:highlight w:val="none"/>
        </w:rPr>
        <w:t>（3）按本章第 2.2.2（3）目规定的评审因素和分值对商务部分计算出得分 C；</w:t>
      </w:r>
    </w:p>
    <w:p w14:paraId="0475AEED">
      <w:pPr>
        <w:spacing w:line="360" w:lineRule="auto"/>
        <w:ind w:firstLine="420" w:firstLineChars="200"/>
        <w:rPr>
          <w:rFonts w:hint="eastAsia" w:ascii="宋体" w:hAnsi="宋体"/>
          <w:color w:val="auto"/>
          <w:highlight w:val="none"/>
        </w:rPr>
      </w:pPr>
      <w:r>
        <w:rPr>
          <w:rFonts w:hint="eastAsia" w:ascii="宋体" w:hAnsi="宋体"/>
          <w:color w:val="auto"/>
          <w:highlight w:val="none"/>
        </w:rPr>
        <w:t>3.2.2 评分分值计算保留小数点后两位，小数点后第三位“四舍五入”。</w:t>
      </w:r>
    </w:p>
    <w:p w14:paraId="7C57C121">
      <w:pPr>
        <w:spacing w:line="360" w:lineRule="auto"/>
        <w:ind w:firstLine="480"/>
        <w:rPr>
          <w:rFonts w:hint="eastAsia" w:ascii="宋体" w:hAnsi="宋体"/>
          <w:color w:val="auto"/>
          <w:highlight w:val="none"/>
        </w:rPr>
      </w:pPr>
      <w:r>
        <w:rPr>
          <w:rFonts w:hint="eastAsia" w:ascii="宋体" w:hAnsi="宋体"/>
          <w:color w:val="auto"/>
          <w:highlight w:val="none"/>
        </w:rPr>
        <w:t>3.2.3 供应商得分=A+B+C。</w:t>
      </w:r>
    </w:p>
    <w:p w14:paraId="19A66A73">
      <w:pPr>
        <w:spacing w:line="360" w:lineRule="auto"/>
        <w:ind w:firstLine="420" w:firstLineChars="200"/>
        <w:rPr>
          <w:rFonts w:hint="eastAsia" w:ascii="宋体" w:hAnsi="宋体"/>
          <w:color w:val="auto"/>
          <w:highlight w:val="none"/>
        </w:rPr>
      </w:pPr>
      <w:r>
        <w:rPr>
          <w:rFonts w:hint="eastAsia" w:ascii="宋体" w:hAnsi="宋体"/>
          <w:color w:val="auto"/>
          <w:highlight w:val="none"/>
        </w:rPr>
        <w:t>3.2.4在磋商过程中，凡遇到磋商文件中无界定或界定不清、前后不一致使磋商小组意见有分歧且又难以协商一致的问题，均由磋商小组予以表决，获半数以上同意的即为通过，未获半数同意的即为否决。</w:t>
      </w:r>
    </w:p>
    <w:p w14:paraId="327C148F">
      <w:pPr>
        <w:pStyle w:val="74"/>
        <w:spacing w:line="360" w:lineRule="auto"/>
        <w:rPr>
          <w:rFonts w:hint="eastAsia" w:ascii="宋体" w:hAnsi="宋体" w:eastAsia="宋体"/>
          <w:b/>
          <w:bCs/>
          <w:color w:val="auto"/>
          <w:sz w:val="21"/>
          <w:szCs w:val="21"/>
          <w:highlight w:val="none"/>
        </w:rPr>
      </w:pPr>
      <w:bookmarkStart w:id="792" w:name="_Toc509667313"/>
      <w:bookmarkEnd w:id="792"/>
      <w:bookmarkStart w:id="793" w:name="_Toc28633"/>
      <w:bookmarkEnd w:id="793"/>
      <w:bookmarkStart w:id="794" w:name="_Toc318450729"/>
      <w:bookmarkEnd w:id="794"/>
      <w:bookmarkStart w:id="795" w:name="_Toc466298146"/>
      <w:bookmarkEnd w:id="795"/>
      <w:bookmarkStart w:id="796" w:name="_Toc455867823"/>
      <w:bookmarkEnd w:id="796"/>
      <w:bookmarkStart w:id="797" w:name="_Toc11958"/>
      <w:bookmarkEnd w:id="797"/>
      <w:bookmarkStart w:id="798" w:name="_Toc10153"/>
      <w:bookmarkEnd w:id="798"/>
      <w:bookmarkStart w:id="799" w:name="_Toc24862"/>
      <w:bookmarkEnd w:id="799"/>
      <w:bookmarkStart w:id="800" w:name="_Toc455080163"/>
      <w:bookmarkEnd w:id="800"/>
      <w:bookmarkStart w:id="801" w:name="_Toc8342"/>
      <w:bookmarkEnd w:id="801"/>
      <w:bookmarkStart w:id="802" w:name="_Toc281405535"/>
      <w:bookmarkEnd w:id="802"/>
      <w:bookmarkStart w:id="803" w:name="_Toc8813"/>
      <w:bookmarkEnd w:id="803"/>
      <w:bookmarkStart w:id="804" w:name="_Toc11607"/>
      <w:bookmarkStart w:id="805" w:name="_Toc490667882"/>
      <w:bookmarkStart w:id="806" w:name="_Toc129073515"/>
      <w:r>
        <w:rPr>
          <w:rFonts w:hint="eastAsia" w:ascii="宋体" w:hAnsi="宋体" w:eastAsia="宋体"/>
          <w:b/>
          <w:bCs/>
          <w:color w:val="auto"/>
          <w:sz w:val="21"/>
          <w:szCs w:val="21"/>
          <w:highlight w:val="none"/>
        </w:rPr>
        <w:t>3.3 响应文件的澄清和补正</w:t>
      </w:r>
    </w:p>
    <w:p w14:paraId="4A2E29D1">
      <w:pPr>
        <w:spacing w:line="360" w:lineRule="auto"/>
        <w:ind w:firstLine="420" w:firstLineChars="200"/>
        <w:rPr>
          <w:rFonts w:hint="eastAsia" w:ascii="宋体" w:hAnsi="宋体"/>
          <w:color w:val="auto"/>
          <w:highlight w:val="none"/>
        </w:rPr>
      </w:pPr>
      <w:r>
        <w:rPr>
          <w:rFonts w:hint="eastAsia" w:ascii="宋体" w:hAnsi="宋体"/>
          <w:color w:val="auto"/>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069B8699">
      <w:pPr>
        <w:spacing w:line="360" w:lineRule="auto"/>
        <w:ind w:firstLine="420" w:firstLineChars="200"/>
        <w:rPr>
          <w:rFonts w:hint="eastAsia" w:ascii="宋体" w:hAnsi="宋体"/>
          <w:color w:val="auto"/>
          <w:highlight w:val="none"/>
        </w:rPr>
      </w:pPr>
      <w:r>
        <w:rPr>
          <w:rFonts w:hint="eastAsia" w:ascii="宋体" w:hAnsi="宋体"/>
          <w:color w:val="auto"/>
          <w:highlight w:val="none"/>
        </w:rPr>
        <w:t>3.3.2 澄清、说明和补正不得超出响应文件的范围或者改变响应文件的实质性内容（算术性错误修正的除外）。供应商的书面澄清、说明和补正属于响应文件的组成部分。</w:t>
      </w:r>
    </w:p>
    <w:p w14:paraId="09ABE7F4">
      <w:pPr>
        <w:spacing w:line="360" w:lineRule="auto"/>
        <w:ind w:firstLine="420" w:firstLineChars="200"/>
        <w:rPr>
          <w:rFonts w:hint="eastAsia" w:ascii="宋体" w:hAnsi="宋体"/>
          <w:color w:val="auto"/>
          <w:highlight w:val="none"/>
        </w:rPr>
      </w:pPr>
      <w:r>
        <w:rPr>
          <w:rFonts w:hint="eastAsia" w:ascii="宋体" w:hAnsi="宋体"/>
          <w:color w:val="auto"/>
          <w:highlight w:val="none"/>
        </w:rPr>
        <w:t>3.3.3 磋商小组对供应商提交的澄清、说明或补正有疑问的，可以要求供应商进一步澄清、说明或补正，直至满足磋商小组的要求。</w:t>
      </w:r>
    </w:p>
    <w:p w14:paraId="4A9990AA">
      <w:pPr>
        <w:pStyle w:val="74"/>
        <w:spacing w:line="360" w:lineRule="auto"/>
        <w:rPr>
          <w:rFonts w:hint="eastAsia" w:ascii="宋体" w:hAnsi="宋体" w:eastAsia="宋体"/>
          <w:b/>
          <w:bCs/>
          <w:color w:val="auto"/>
          <w:sz w:val="21"/>
          <w:szCs w:val="21"/>
          <w:highlight w:val="none"/>
        </w:rPr>
      </w:pPr>
      <w:bookmarkStart w:id="807" w:name="_Toc1857"/>
      <w:bookmarkStart w:id="808" w:name="_Toc129073516"/>
      <w:bookmarkStart w:id="809" w:name="_Toc12949"/>
      <w:r>
        <w:rPr>
          <w:rFonts w:hint="eastAsia" w:ascii="宋体" w:hAnsi="宋体" w:eastAsia="宋体"/>
          <w:b/>
          <w:bCs/>
          <w:color w:val="auto"/>
          <w:sz w:val="21"/>
          <w:szCs w:val="21"/>
          <w:highlight w:val="none"/>
        </w:rPr>
        <w:t>3.4 评审结果</w:t>
      </w:r>
      <w:bookmarkEnd w:id="807"/>
      <w:bookmarkEnd w:id="808"/>
      <w:bookmarkEnd w:id="809"/>
    </w:p>
    <w:p w14:paraId="16A0FB1A">
      <w:pPr>
        <w:spacing w:line="360" w:lineRule="auto"/>
        <w:ind w:firstLine="420" w:firstLineChars="200"/>
        <w:rPr>
          <w:rFonts w:hint="eastAsia" w:ascii="宋体" w:hAnsi="宋体"/>
          <w:color w:val="auto"/>
          <w:highlight w:val="none"/>
        </w:rPr>
      </w:pPr>
      <w:r>
        <w:rPr>
          <w:rFonts w:hint="eastAsia" w:ascii="宋体" w:hAnsi="宋体"/>
          <w:color w:val="auto"/>
          <w:highlight w:val="none"/>
        </w:rPr>
        <w:t>3.4.1除第二章“供应商须知”前附表授权直接确定成交人外，磋商小组按照得分由高到低的顺序推荐成交候选人。</w:t>
      </w:r>
    </w:p>
    <w:p w14:paraId="556D3D92">
      <w:pPr>
        <w:spacing w:line="360" w:lineRule="auto"/>
        <w:ind w:firstLine="420" w:firstLineChars="200"/>
        <w:rPr>
          <w:rFonts w:hint="eastAsia" w:ascii="宋体" w:hAnsi="宋体"/>
          <w:color w:val="auto"/>
          <w:highlight w:val="none"/>
        </w:rPr>
        <w:sectPr>
          <w:pgSz w:w="11905" w:h="16838"/>
          <w:pgMar w:top="1440" w:right="1800" w:bottom="1440" w:left="1800" w:header="794" w:footer="794" w:gutter="0"/>
          <w:pgNumType w:fmt="decimal"/>
          <w:cols w:space="720" w:num="1"/>
          <w:docGrid w:type="lines" w:linePitch="318" w:charSpace="0"/>
        </w:sectPr>
      </w:pPr>
      <w:r>
        <w:rPr>
          <w:rFonts w:hint="eastAsia" w:ascii="宋体" w:hAnsi="宋体"/>
          <w:color w:val="auto"/>
          <w:highlight w:val="none"/>
        </w:rPr>
        <w:t>3.4.2 磋商小组完成评审后，应当向采购人提交书面评审报告。</w:t>
      </w:r>
    </w:p>
    <w:p w14:paraId="78D70C2C">
      <w:pPr>
        <w:pStyle w:val="4"/>
        <w:spacing w:before="120" w:after="120" w:line="400" w:lineRule="exact"/>
        <w:jc w:val="center"/>
        <w:rPr>
          <w:rFonts w:hint="eastAsia" w:ascii="宋体" w:hAnsi="宋体"/>
          <w:bCs w:val="0"/>
          <w:color w:val="auto"/>
          <w:sz w:val="28"/>
          <w:szCs w:val="28"/>
          <w:highlight w:val="none"/>
        </w:rPr>
      </w:pPr>
      <w:bookmarkStart w:id="810" w:name="_Toc2239"/>
      <w:bookmarkEnd w:id="810"/>
      <w:bookmarkStart w:id="811" w:name="_Toc144974577"/>
      <w:bookmarkEnd w:id="811"/>
      <w:bookmarkStart w:id="812" w:name="_Toc152045609"/>
      <w:bookmarkEnd w:id="812"/>
      <w:bookmarkStart w:id="813" w:name="_Toc152042387"/>
      <w:bookmarkEnd w:id="813"/>
      <w:bookmarkStart w:id="814" w:name="_Toc509667315"/>
      <w:bookmarkStart w:id="815" w:name="_Toc8809"/>
      <w:bookmarkStart w:id="816" w:name="_Toc16844"/>
      <w:bookmarkStart w:id="817" w:name="_Toc20744"/>
      <w:bookmarkStart w:id="818" w:name="_Toc9624"/>
      <w:r>
        <w:rPr>
          <w:rFonts w:hint="eastAsia" w:ascii="宋体" w:hAnsi="宋体"/>
          <w:bCs w:val="0"/>
          <w:color w:val="auto"/>
          <w:sz w:val="28"/>
          <w:szCs w:val="28"/>
          <w:highlight w:val="none"/>
        </w:rPr>
        <w:t>第四章  合同条款及格式</w:t>
      </w:r>
      <w:bookmarkEnd w:id="814"/>
      <w:bookmarkEnd w:id="815"/>
      <w:bookmarkEnd w:id="816"/>
      <w:bookmarkEnd w:id="817"/>
      <w:bookmarkEnd w:id="818"/>
    </w:p>
    <w:p w14:paraId="58B7E175">
      <w:pPr>
        <w:bidi w:val="0"/>
        <w:rPr>
          <w:rFonts w:hint="eastAsia"/>
          <w:color w:val="auto"/>
          <w:highlight w:val="none"/>
        </w:rPr>
      </w:pPr>
    </w:p>
    <w:p w14:paraId="19A25CA6">
      <w:pPr>
        <w:pStyle w:val="2"/>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2B0222B0">
      <w:pPr>
        <w:rPr>
          <w:rFonts w:ascii="宋体" w:hAnsi="宋体" w:cs="宋体"/>
          <w:b/>
          <w:bCs/>
          <w:color w:val="auto"/>
          <w:spacing w:val="-20"/>
          <w:kern w:val="44"/>
          <w:sz w:val="40"/>
          <w:szCs w:val="40"/>
          <w:highlight w:val="none"/>
        </w:rPr>
      </w:pPr>
    </w:p>
    <w:p w14:paraId="495D62BF">
      <w:pPr>
        <w:pStyle w:val="94"/>
        <w:rPr>
          <w:rFonts w:ascii="宋体" w:hAnsi="宋体" w:cs="宋体"/>
          <w:b/>
          <w:bCs/>
          <w:color w:val="auto"/>
          <w:spacing w:val="-20"/>
          <w:kern w:val="44"/>
          <w:sz w:val="40"/>
          <w:szCs w:val="40"/>
          <w:highlight w:val="none"/>
        </w:rPr>
      </w:pPr>
    </w:p>
    <w:p w14:paraId="56B39CEF">
      <w:pPr>
        <w:pStyle w:val="94"/>
        <w:rPr>
          <w:rFonts w:ascii="宋体" w:hAnsi="宋体" w:cs="宋体"/>
          <w:b/>
          <w:bCs/>
          <w:color w:val="auto"/>
          <w:spacing w:val="-20"/>
          <w:kern w:val="44"/>
          <w:sz w:val="40"/>
          <w:szCs w:val="40"/>
          <w:highlight w:val="none"/>
        </w:rPr>
      </w:pPr>
    </w:p>
    <w:p w14:paraId="5A166A66">
      <w:pPr>
        <w:pStyle w:val="94"/>
        <w:rPr>
          <w:rFonts w:ascii="宋体" w:hAnsi="宋体" w:cs="宋体"/>
          <w:b/>
          <w:bCs/>
          <w:color w:val="auto"/>
          <w:spacing w:val="-20"/>
          <w:kern w:val="44"/>
          <w:sz w:val="40"/>
          <w:szCs w:val="40"/>
          <w:highlight w:val="none"/>
        </w:rPr>
      </w:pPr>
    </w:p>
    <w:p w14:paraId="12C56A29">
      <w:pPr>
        <w:pStyle w:val="94"/>
        <w:rPr>
          <w:rFonts w:ascii="宋体" w:hAnsi="宋体" w:cs="宋体"/>
          <w:b/>
          <w:bCs/>
          <w:color w:val="auto"/>
          <w:spacing w:val="-20"/>
          <w:kern w:val="44"/>
          <w:sz w:val="40"/>
          <w:szCs w:val="40"/>
          <w:highlight w:val="none"/>
        </w:rPr>
      </w:pPr>
    </w:p>
    <w:p w14:paraId="72F4F656">
      <w:pPr>
        <w:pStyle w:val="94"/>
        <w:rPr>
          <w:rFonts w:ascii="宋体" w:hAnsi="宋体" w:cs="宋体"/>
          <w:b/>
          <w:bCs/>
          <w:color w:val="auto"/>
          <w:spacing w:val="-20"/>
          <w:kern w:val="44"/>
          <w:sz w:val="40"/>
          <w:szCs w:val="40"/>
          <w:highlight w:val="none"/>
        </w:rPr>
      </w:pPr>
    </w:p>
    <w:p w14:paraId="50B902B7">
      <w:pPr>
        <w:pStyle w:val="94"/>
        <w:rPr>
          <w:rFonts w:ascii="宋体" w:hAnsi="宋体" w:cs="宋体"/>
          <w:b/>
          <w:bCs/>
          <w:color w:val="auto"/>
          <w:spacing w:val="-20"/>
          <w:kern w:val="44"/>
          <w:sz w:val="40"/>
          <w:szCs w:val="40"/>
          <w:highlight w:val="none"/>
        </w:rPr>
      </w:pPr>
    </w:p>
    <w:p w14:paraId="25DAE82E">
      <w:pPr>
        <w:pStyle w:val="94"/>
        <w:rPr>
          <w:rFonts w:ascii="宋体" w:hAnsi="宋体" w:cs="宋体"/>
          <w:b/>
          <w:bCs/>
          <w:color w:val="auto"/>
          <w:spacing w:val="-20"/>
          <w:kern w:val="44"/>
          <w:sz w:val="40"/>
          <w:szCs w:val="40"/>
          <w:highlight w:val="none"/>
        </w:rPr>
      </w:pPr>
    </w:p>
    <w:p w14:paraId="4124E7EF">
      <w:pPr>
        <w:pStyle w:val="94"/>
        <w:rPr>
          <w:rFonts w:ascii="宋体" w:hAnsi="宋体" w:cs="宋体"/>
          <w:b/>
          <w:bCs/>
          <w:color w:val="auto"/>
          <w:spacing w:val="-20"/>
          <w:kern w:val="44"/>
          <w:sz w:val="40"/>
          <w:szCs w:val="40"/>
          <w:highlight w:val="none"/>
        </w:rPr>
      </w:pPr>
    </w:p>
    <w:p w14:paraId="772CB5BB">
      <w:pPr>
        <w:pStyle w:val="94"/>
        <w:rPr>
          <w:rFonts w:ascii="宋体" w:hAnsi="宋体" w:cs="宋体"/>
          <w:b/>
          <w:bCs/>
          <w:color w:val="auto"/>
          <w:spacing w:val="-20"/>
          <w:kern w:val="44"/>
          <w:sz w:val="40"/>
          <w:szCs w:val="40"/>
          <w:highlight w:val="none"/>
        </w:rPr>
      </w:pPr>
    </w:p>
    <w:p w14:paraId="212B628F">
      <w:pPr>
        <w:rPr>
          <w:rFonts w:ascii="宋体" w:hAnsi="宋体" w:cs="宋体"/>
          <w:b/>
          <w:bCs/>
          <w:color w:val="auto"/>
          <w:spacing w:val="-20"/>
          <w:kern w:val="44"/>
          <w:sz w:val="40"/>
          <w:szCs w:val="40"/>
          <w:highlight w:val="none"/>
        </w:rPr>
      </w:pPr>
    </w:p>
    <w:p w14:paraId="5FFF91DE">
      <w:pPr>
        <w:rPr>
          <w:rFonts w:ascii="宋体" w:hAnsi="宋体" w:cs="宋体"/>
          <w:b/>
          <w:bCs/>
          <w:color w:val="auto"/>
          <w:spacing w:val="-20"/>
          <w:kern w:val="44"/>
          <w:sz w:val="40"/>
          <w:szCs w:val="40"/>
          <w:highlight w:val="none"/>
        </w:rPr>
      </w:pPr>
    </w:p>
    <w:p w14:paraId="31392994">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r>
        <w:rPr>
          <w:rFonts w:hint="eastAsia"/>
          <w:color w:val="auto"/>
          <w:sz w:val="32"/>
          <w:szCs w:val="32"/>
          <w:highlight w:val="none"/>
          <w:u w:val="single"/>
          <w:lang w:eastAsia="zh-CN"/>
        </w:rPr>
        <w:t>河南省科学院激光制造研究所先进激光医疗系统及关键技术研究平台建设一期项目</w:t>
      </w:r>
      <w:r>
        <w:rPr>
          <w:rFonts w:hint="eastAsia"/>
          <w:color w:val="auto"/>
          <w:sz w:val="32"/>
          <w:szCs w:val="32"/>
          <w:highlight w:val="none"/>
          <w:u w:val="single"/>
        </w:rPr>
        <w:t xml:space="preserve"> </w:t>
      </w:r>
    </w:p>
    <w:p w14:paraId="080240C7">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2CE9CD02">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r>
        <w:rPr>
          <w:rFonts w:hint="eastAsia"/>
          <w:color w:val="auto"/>
          <w:sz w:val="32"/>
          <w:szCs w:val="32"/>
          <w:highlight w:val="none"/>
          <w:u w:val="single"/>
          <w:lang w:eastAsia="zh-CN"/>
        </w:rPr>
        <w:t>河南省科学院激光制造研究所</w:t>
      </w:r>
      <w:r>
        <w:rPr>
          <w:rFonts w:hint="eastAsia"/>
          <w:color w:val="auto"/>
          <w:sz w:val="32"/>
          <w:szCs w:val="32"/>
          <w:highlight w:val="none"/>
          <w:u w:val="single"/>
        </w:rPr>
        <w:t xml:space="preserve">  </w:t>
      </w:r>
      <w:r>
        <w:rPr>
          <w:rFonts w:hint="eastAsia"/>
          <w:color w:val="auto"/>
          <w:sz w:val="32"/>
          <w:szCs w:val="32"/>
          <w:highlight w:val="none"/>
          <w:u w:val="none"/>
        </w:rPr>
        <w:t xml:space="preserve">           </w:t>
      </w:r>
      <w:r>
        <w:rPr>
          <w:rFonts w:hint="eastAsia"/>
          <w:color w:val="auto"/>
          <w:sz w:val="32"/>
          <w:szCs w:val="32"/>
          <w:highlight w:val="none"/>
          <w:u w:val="single"/>
        </w:rPr>
        <w:t xml:space="preserve">    </w:t>
      </w:r>
    </w:p>
    <w:p w14:paraId="3354E780">
      <w:pPr>
        <w:spacing w:line="360" w:lineRule="auto"/>
        <w:ind w:left="420" w:leftChars="200"/>
        <w:rPr>
          <w:rFonts w:hint="eastAsia"/>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D181752">
      <w:pPr>
        <w:spacing w:line="360" w:lineRule="auto"/>
        <w:ind w:left="420" w:leftChars="200"/>
        <w:rPr>
          <w:rFonts w:hint="eastAsia" w:ascii="宋体" w:hAnsi="宋体" w:cs="宋体"/>
          <w:color w:val="auto"/>
          <w:kern w:val="0"/>
          <w:sz w:val="32"/>
          <w:szCs w:val="32"/>
          <w:highlight w:val="none"/>
          <w:u w:val="single"/>
          <w:lang w:val="en-US" w:eastAsia="zh-CN"/>
        </w:rPr>
      </w:pPr>
      <w:r>
        <w:rPr>
          <w:rFonts w:hint="eastAsia" w:ascii="宋体" w:hAnsi="宋体" w:cs="宋体"/>
          <w:color w:val="auto"/>
          <w:kern w:val="0"/>
          <w:sz w:val="32"/>
          <w:szCs w:val="32"/>
          <w:highlight w:val="none"/>
          <w:lang w:val="en-US" w:eastAsia="zh-CN"/>
        </w:rPr>
        <w:t>签 订 地：</w:t>
      </w:r>
      <w:r>
        <w:rPr>
          <w:rFonts w:hint="eastAsia" w:ascii="宋体" w:hAnsi="宋体" w:cs="宋体"/>
          <w:color w:val="auto"/>
          <w:kern w:val="0"/>
          <w:sz w:val="32"/>
          <w:szCs w:val="32"/>
          <w:highlight w:val="none"/>
          <w:u w:val="single"/>
        </w:rPr>
        <w:t xml:space="preserve">                             </w:t>
      </w:r>
    </w:p>
    <w:p w14:paraId="5A6FB04D">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5FFF3490">
      <w:pPr>
        <w:rPr>
          <w:color w:val="auto"/>
          <w:highlight w:val="none"/>
        </w:rPr>
      </w:pPr>
    </w:p>
    <w:p w14:paraId="6DF4B4E2">
      <w:pPr>
        <w:bidi w:val="0"/>
        <w:jc w:val="center"/>
        <w:rPr>
          <w:rFonts w:hint="eastAsia" w:ascii="黑体" w:hAnsi="华文中宋" w:eastAsia="黑体"/>
          <w:b w:val="0"/>
          <w:bCs w:val="0"/>
          <w:color w:val="auto"/>
          <w:szCs w:val="28"/>
          <w:highlight w:val="none"/>
        </w:rPr>
      </w:pPr>
      <w:r>
        <w:rPr>
          <w:highlight w:val="none"/>
        </w:rPr>
        <w:br w:type="page"/>
      </w:r>
      <w:bookmarkStart w:id="819" w:name="_Toc22209"/>
      <w:r>
        <w:rPr>
          <w:rFonts w:hint="eastAsia"/>
          <w:b/>
          <w:bCs/>
          <w:color w:val="auto"/>
          <w:sz w:val="28"/>
          <w:szCs w:val="28"/>
          <w:highlight w:val="none"/>
        </w:rPr>
        <w:t>第一节 政府采购合同协议书</w:t>
      </w:r>
      <w:bookmarkEnd w:id="819"/>
    </w:p>
    <w:p w14:paraId="2FC145E8">
      <w:pPr>
        <w:bidi w:val="0"/>
        <w:rPr>
          <w:rFonts w:hint="eastAsia"/>
          <w:color w:val="auto"/>
          <w:highlight w:val="none"/>
        </w:rPr>
      </w:pPr>
    </w:p>
    <w:p w14:paraId="314D62A4">
      <w:pPr>
        <w:rPr>
          <w:rFonts w:hint="default" w:ascii="Times New Roman" w:hAnsi="Times New Roman" w:eastAsia="宋体" w:cs="Times New Roman"/>
          <w:color w:val="000000"/>
          <w:szCs w:val="21"/>
          <w:highlight w:val="none"/>
          <w:u w:val="single"/>
        </w:rPr>
      </w:pPr>
      <w:r>
        <w:rPr>
          <w:rFonts w:hint="default" w:ascii="Times New Roman" w:hAnsi="Times New Roman" w:eastAsia="宋体" w:cs="Times New Roman"/>
          <w:color w:val="000000"/>
          <w:szCs w:val="21"/>
          <w:highlight w:val="none"/>
        </w:rPr>
        <w:t>甲方</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 xml:space="preserve">                        </w:t>
      </w:r>
    </w:p>
    <w:p w14:paraId="73449516">
      <w:pPr>
        <w:pStyle w:val="94"/>
        <w:ind w:firstLine="0" w:firstLineChars="0"/>
        <w:rPr>
          <w:rFonts w:hint="default" w:ascii="Times New Roman" w:hAnsi="Times New Roman" w:eastAsia="宋体" w:cs="Times New Roman"/>
          <w:color w:val="000000"/>
          <w:highlight w:val="none"/>
          <w:u w:val="single"/>
        </w:rPr>
      </w:pPr>
      <w:r>
        <w:rPr>
          <w:rFonts w:hint="default" w:ascii="Times New Roman" w:hAnsi="Times New Roman" w:eastAsia="宋体" w:cs="Times New Roman"/>
          <w:color w:val="000000"/>
          <w:kern w:val="2"/>
          <w:sz w:val="21"/>
          <w:highlight w:val="none"/>
        </w:rPr>
        <w:t>乙方</w:t>
      </w:r>
      <w:r>
        <w:rPr>
          <w:rFonts w:hint="default" w:ascii="Times New Roman" w:hAnsi="Times New Roman" w:eastAsia="宋体" w:cs="Times New Roman"/>
          <w:color w:val="000000"/>
          <w:kern w:val="2"/>
          <w:sz w:val="21"/>
          <w:highlight w:val="none"/>
          <w:lang w:eastAsia="zh-CN"/>
        </w:rPr>
        <w:t>：</w:t>
      </w:r>
      <w:r>
        <w:rPr>
          <w:rFonts w:hint="default" w:ascii="Times New Roman" w:hAnsi="Times New Roman" w:eastAsia="宋体" w:cs="Times New Roman"/>
          <w:color w:val="000000"/>
          <w:highlight w:val="none"/>
          <w:u w:val="single"/>
        </w:rPr>
        <w:t xml:space="preserve">                       </w:t>
      </w:r>
    </w:p>
    <w:p w14:paraId="4387FFAD">
      <w:pPr>
        <w:pStyle w:val="94"/>
        <w:ind w:firstLine="0" w:firstLineChars="0"/>
        <w:rPr>
          <w:rFonts w:hint="default" w:ascii="Times New Roman" w:hAnsi="Times New Roman" w:eastAsia="宋体" w:cs="Times New Roman"/>
          <w:color w:val="000000"/>
          <w:highlight w:val="none"/>
          <w:u w:val="single"/>
        </w:rPr>
      </w:pPr>
    </w:p>
    <w:p w14:paraId="6117A3FE">
      <w:pPr>
        <w:pStyle w:val="13"/>
        <w:adjustRightInd w:val="0"/>
        <w:snapToGrid w:val="0"/>
        <w:spacing w:line="400" w:lineRule="exact"/>
        <w:ind w:left="0" w:leftChars="0"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rPr>
        <w:t xml:space="preserve">     </w:t>
      </w:r>
    </w:p>
    <w:p w14:paraId="5D6070D4">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项目信息</w:t>
      </w:r>
    </w:p>
    <w:p w14:paraId="6678A14B">
      <w:pPr>
        <w:pStyle w:val="13"/>
        <w:numPr>
          <w:ilvl w:val="0"/>
          <w:numId w:val="6"/>
        </w:numPr>
        <w:adjustRightInd w:val="0"/>
        <w:snapToGrid w:val="0"/>
        <w:spacing w:line="400" w:lineRule="exact"/>
        <w:ind w:left="0" w:leftChars="0" w:firstLine="420" w:firstLineChars="200"/>
        <w:rPr>
          <w:rFonts w:hint="default" w:ascii="Times New Roman" w:hAnsi="Times New Roman" w:eastAsia="宋体" w:cs="Times New Roman"/>
          <w:color w:val="000000"/>
          <w:szCs w:val="21"/>
          <w:highlight w:val="none"/>
          <w:u w:val="single"/>
        </w:rPr>
      </w:pPr>
      <w:r>
        <w:rPr>
          <w:rFonts w:hint="default" w:ascii="Times New Roman" w:hAnsi="Times New Roman" w:eastAsia="宋体" w:cs="Times New Roman"/>
          <w:color w:val="000000"/>
          <w:szCs w:val="21"/>
          <w:highlight w:val="none"/>
        </w:rPr>
        <w:t>采购项目名称</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 xml:space="preserve"> </w:t>
      </w:r>
      <w:r>
        <w:rPr>
          <w:rFonts w:hint="default" w:ascii="Times New Roman" w:hAnsi="Times New Roman" w:eastAsia="宋体" w:cs="Times New Roman"/>
          <w:color w:val="000000"/>
          <w:szCs w:val="21"/>
          <w:highlight w:val="none"/>
          <w:u w:val="single"/>
          <w:lang w:eastAsia="zh-CN"/>
        </w:rPr>
        <w:t>河南省科学院激光制造研究所先进激光医疗系统及关键技术研究平台建设一期项目</w:t>
      </w:r>
      <w:r>
        <w:rPr>
          <w:rFonts w:hint="default" w:ascii="Times New Roman" w:hAnsi="Times New Roman" w:eastAsia="宋体" w:cs="Times New Roman"/>
          <w:color w:val="000000"/>
          <w:szCs w:val="21"/>
          <w:highlight w:val="none"/>
          <w:u w:val="single"/>
        </w:rPr>
        <w:t xml:space="preserve">  </w:t>
      </w:r>
    </w:p>
    <w:p w14:paraId="737C516F">
      <w:pPr>
        <w:pStyle w:val="13"/>
        <w:numPr>
          <w:ilvl w:val="0"/>
          <w:numId w:val="0"/>
        </w:numPr>
        <w:tabs>
          <w:tab w:val="left" w:pos="999"/>
        </w:tabs>
        <w:adjustRightInd w:val="0"/>
        <w:snapToGrid w:val="0"/>
        <w:spacing w:line="400" w:lineRule="exac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 xml:space="preserve">         采购项目编号</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 xml:space="preserve">                                          </w:t>
      </w:r>
    </w:p>
    <w:p w14:paraId="148F3B5F">
      <w:pPr>
        <w:pStyle w:val="13"/>
        <w:adjustRightInd w:val="0"/>
        <w:snapToGrid w:val="0"/>
        <w:spacing w:line="400" w:lineRule="exact"/>
        <w:ind w:left="0" w:leftChars="0"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（2）采购计划编号</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 xml:space="preserve">                                          </w:t>
      </w:r>
      <w:r>
        <w:rPr>
          <w:rFonts w:hint="default" w:ascii="Times New Roman" w:hAnsi="Times New Roman" w:eastAsia="宋体" w:cs="Times New Roman"/>
          <w:color w:val="000000"/>
          <w:szCs w:val="21"/>
          <w:highlight w:val="none"/>
        </w:rPr>
        <w:t xml:space="preserve"> </w:t>
      </w:r>
    </w:p>
    <w:p w14:paraId="164F5D75">
      <w:pPr>
        <w:adjustRightInd w:val="0"/>
        <w:snapToGrid w:val="0"/>
        <w:spacing w:line="400" w:lineRule="exact"/>
        <w:ind w:firstLine="420" w:firstLineChars="200"/>
        <w:rPr>
          <w:rFonts w:hint="default" w:ascii="Times New Roman" w:hAnsi="Times New Roman" w:eastAsia="宋体" w:cs="Times New Roman"/>
          <w:color w:val="000000"/>
          <w:szCs w:val="21"/>
          <w:highlight w:val="none"/>
          <w:lang w:eastAsia="zh-CN"/>
        </w:rPr>
      </w:pPr>
      <w:r>
        <w:rPr>
          <w:rFonts w:hint="default" w:ascii="Times New Roman" w:hAnsi="Times New Roman" w:eastAsia="宋体" w:cs="Times New Roman"/>
          <w:color w:val="000000"/>
          <w:szCs w:val="21"/>
          <w:highlight w:val="none"/>
        </w:rPr>
        <w:t>（3）项目内容</w:t>
      </w:r>
      <w:r>
        <w:rPr>
          <w:rFonts w:hint="default" w:ascii="Times New Roman" w:hAnsi="Times New Roman" w:cs="Times New Roman"/>
          <w:color w:val="000000"/>
          <w:szCs w:val="21"/>
          <w:highlight w:val="none"/>
          <w:lang w:eastAsia="zh-CN"/>
        </w:rPr>
        <w:t>：</w:t>
      </w:r>
    </w:p>
    <w:p w14:paraId="71B59E12">
      <w:pPr>
        <w:spacing w:line="400" w:lineRule="exact"/>
        <w:ind w:firstLine="840" w:firstLineChars="4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采购标的及数量（台/套</w:t>
      </w:r>
      <w:r>
        <w:rPr>
          <w:rFonts w:hint="default" w:ascii="Times New Roman" w:hAnsi="Times New Roman" w:eastAsia="宋体" w:cs="Times New Roman"/>
          <w:color w:val="000000"/>
          <w:szCs w:val="21"/>
          <w:highlight w:val="none"/>
          <w:lang w:val="en"/>
        </w:rPr>
        <w:t>/个/架/组等</w:t>
      </w:r>
      <w:r>
        <w:rPr>
          <w:rFonts w:hint="default" w:ascii="Times New Roman" w:hAnsi="Times New Roman" w:eastAsia="宋体" w:cs="Times New Roman"/>
          <w:color w:val="000000"/>
          <w:szCs w:val="21"/>
          <w:highlight w:val="none"/>
        </w:rPr>
        <w:t>）、品牌、规格型号、原产地、技术参数等见附件（附件1</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rPr>
        <w:t>货物分项报价一览表  附件2</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rPr>
        <w:t>配置清单  附件3</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rPr>
        <w:t>技术参数  附件4</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rPr>
        <w:t>售后服务  附件5</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rPr>
        <w:t>授权委托书等）。</w:t>
      </w:r>
    </w:p>
    <w:p w14:paraId="1572C006">
      <w:pPr>
        <w:pStyle w:val="94"/>
        <w:numPr>
          <w:ilvl w:val="0"/>
          <w:numId w:val="0"/>
        </w:numPr>
        <w:snapToGrid w:val="0"/>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sz w:val="21"/>
          <w:highlight w:val="none"/>
        </w:rPr>
        <w:t xml:space="preserve">    （</w:t>
      </w:r>
      <w:r>
        <w:rPr>
          <w:rFonts w:hint="default" w:ascii="Times New Roman" w:hAnsi="Times New Roman" w:eastAsia="宋体" w:cs="Times New Roman"/>
          <w:color w:val="000000"/>
          <w:sz w:val="21"/>
          <w:highlight w:val="none"/>
          <w:lang w:val="en"/>
        </w:rPr>
        <w:t>4</w:t>
      </w:r>
      <w:r>
        <w:rPr>
          <w:rFonts w:hint="default" w:ascii="Times New Roman" w:hAnsi="Times New Roman" w:eastAsia="宋体" w:cs="Times New Roman"/>
          <w:color w:val="000000"/>
          <w:sz w:val="21"/>
          <w:highlight w:val="none"/>
        </w:rPr>
        <w:t>）政府采购组织形式</w:t>
      </w:r>
      <w:r>
        <w:rPr>
          <w:rFonts w:hint="default" w:ascii="Times New Roman" w:hAnsi="Times New Roman" w:eastAsia="宋体" w:cs="Times New Roman"/>
          <w:color w:val="000000"/>
          <w:sz w:val="21"/>
          <w:highlight w:val="none"/>
          <w:lang w:eastAsia="zh-CN"/>
        </w:rPr>
        <w:t>：</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政府集中采购  </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部门集中采购  </w:t>
      </w:r>
      <w:r>
        <w:rPr>
          <w:rFonts w:hint="default" w:ascii="Times New Roman" w:hAnsi="Times New Roman" w:eastAsia="宋体" w:cs="Times New Roman"/>
          <w:color w:val="000000"/>
          <w:sz w:val="21"/>
          <w:highlight w:val="none"/>
        </w:rPr>
        <w:sym w:font="Wingdings" w:char="00FE"/>
      </w:r>
      <w:r>
        <w:rPr>
          <w:rFonts w:hint="default" w:ascii="Times New Roman" w:hAnsi="Times New Roman" w:eastAsia="宋体" w:cs="Times New Roman"/>
          <w:color w:val="000000"/>
          <w:sz w:val="21"/>
          <w:highlight w:val="none"/>
        </w:rPr>
        <w:t>分散采购</w:t>
      </w:r>
    </w:p>
    <w:p w14:paraId="7F5AB868">
      <w:pPr>
        <w:pStyle w:val="94"/>
        <w:numPr>
          <w:ilvl w:val="0"/>
          <w:numId w:val="0"/>
        </w:numPr>
        <w:snapToGrid w:val="0"/>
        <w:ind w:firstLine="420"/>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sz w:val="21"/>
          <w:highlight w:val="none"/>
        </w:rPr>
        <w:t>（</w:t>
      </w:r>
      <w:r>
        <w:rPr>
          <w:rFonts w:hint="default" w:ascii="Times New Roman" w:hAnsi="Times New Roman" w:eastAsia="宋体" w:cs="Times New Roman"/>
          <w:color w:val="000000"/>
          <w:sz w:val="21"/>
          <w:highlight w:val="none"/>
          <w:lang w:val="en"/>
        </w:rPr>
        <w:t>5</w:t>
      </w:r>
      <w:r>
        <w:rPr>
          <w:rFonts w:hint="default" w:ascii="Times New Roman" w:hAnsi="Times New Roman" w:eastAsia="宋体" w:cs="Times New Roman"/>
          <w:color w:val="000000"/>
          <w:sz w:val="21"/>
          <w:highlight w:val="none"/>
        </w:rPr>
        <w:t>）政府采购方式</w:t>
      </w:r>
      <w:r>
        <w:rPr>
          <w:rFonts w:hint="default" w:ascii="Times New Roman" w:hAnsi="Times New Roman" w:eastAsia="宋体" w:cs="Times New Roman"/>
          <w:color w:val="000000"/>
          <w:sz w:val="21"/>
          <w:highlight w:val="none"/>
          <w:lang w:eastAsia="zh-CN"/>
        </w:rPr>
        <w:t>：</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公开招标 </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邀请招标 </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竞争性谈判 </w:t>
      </w:r>
      <w:r>
        <w:rPr>
          <w:rFonts w:hint="default" w:ascii="Times New Roman" w:hAnsi="Times New Roman" w:eastAsia="宋体" w:cs="Times New Roman"/>
          <w:color w:val="000000"/>
          <w:sz w:val="21"/>
          <w:highlight w:val="none"/>
        </w:rPr>
        <w:sym w:font="Wingdings" w:char="00FE"/>
      </w:r>
      <w:r>
        <w:rPr>
          <w:rFonts w:hint="default" w:ascii="Times New Roman" w:hAnsi="Times New Roman" w:eastAsia="宋体" w:cs="Times New Roman"/>
          <w:color w:val="000000"/>
          <w:sz w:val="21"/>
          <w:highlight w:val="none"/>
        </w:rPr>
        <w:t>竞争性磋商</w:t>
      </w:r>
    </w:p>
    <w:p w14:paraId="3921BE09">
      <w:pPr>
        <w:pStyle w:val="94"/>
        <w:numPr>
          <w:ilvl w:val="0"/>
          <w:numId w:val="0"/>
        </w:numPr>
        <w:snapToGrid w:val="0"/>
        <w:ind w:firstLine="420"/>
        <w:rPr>
          <w:rFonts w:hint="default" w:ascii="Times New Roman" w:hAnsi="Times New Roman" w:eastAsia="宋体" w:cs="Times New Roman"/>
          <w:color w:val="000000"/>
          <w:sz w:val="21"/>
          <w:highlight w:val="none"/>
          <w:u w:val="single"/>
        </w:rPr>
      </w:pPr>
      <w:r>
        <w:rPr>
          <w:rFonts w:hint="default" w:ascii="Times New Roman" w:hAnsi="Times New Roman" w:eastAsia="宋体" w:cs="Times New Roman"/>
          <w:color w:val="000000"/>
          <w:highlight w:val="none"/>
        </w:rPr>
        <w:t xml:space="preserve">                  </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询价 </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单一来源 </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 xml:space="preserve">框架协议 </w:t>
      </w:r>
      <w:r>
        <w:rPr>
          <w:rFonts w:hint="default" w:ascii="Times New Roman" w:hAnsi="Times New Roman" w:eastAsia="宋体" w:cs="Times New Roman"/>
          <w:color w:val="000000"/>
          <w:sz w:val="21"/>
          <w:highlight w:val="none"/>
        </w:rPr>
        <w:sym w:font="Wingdings" w:char="00A8"/>
      </w:r>
      <w:r>
        <w:rPr>
          <w:rFonts w:hint="default" w:ascii="Times New Roman" w:hAnsi="Times New Roman" w:eastAsia="宋体" w:cs="Times New Roman"/>
          <w:color w:val="000000"/>
          <w:sz w:val="21"/>
          <w:highlight w:val="none"/>
        </w:rPr>
        <w:t>其他</w:t>
      </w:r>
      <w:r>
        <w:rPr>
          <w:rFonts w:hint="default" w:ascii="Times New Roman" w:hAnsi="Times New Roman" w:eastAsia="宋体" w:cs="Times New Roman"/>
          <w:color w:val="000000"/>
          <w:sz w:val="21"/>
          <w:highlight w:val="none"/>
          <w:lang w:eastAsia="zh-CN"/>
        </w:rPr>
        <w:t>：</w:t>
      </w:r>
      <w:r>
        <w:rPr>
          <w:rFonts w:hint="default" w:ascii="Times New Roman" w:hAnsi="Times New Roman" w:eastAsia="宋体" w:cs="Times New Roman"/>
          <w:color w:val="000000"/>
          <w:sz w:val="21"/>
          <w:highlight w:val="none"/>
          <w:u w:val="single"/>
        </w:rPr>
        <w:t xml:space="preserve">          </w:t>
      </w:r>
    </w:p>
    <w:p w14:paraId="4550B79F">
      <w:pPr>
        <w:pStyle w:val="94"/>
        <w:numPr>
          <w:ilvl w:val="0"/>
          <w:numId w:val="0"/>
        </w:numPr>
        <w:snapToGrid w:val="0"/>
        <w:ind w:firstLine="440" w:firstLineChars="200"/>
        <w:rPr>
          <w:rFonts w:hint="default" w:ascii="Times New Roman" w:hAnsi="Times New Roman" w:eastAsia="宋体" w:cs="Times New Roman"/>
          <w:color w:val="000000"/>
          <w:kern w:val="2"/>
          <w:sz w:val="21"/>
          <w:highlight w:val="none"/>
        </w:rPr>
      </w:pP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highlight w:val="none"/>
          <w:lang w:val="en"/>
        </w:rPr>
        <w:t>6</w:t>
      </w:r>
      <w:r>
        <w:rPr>
          <w:rFonts w:hint="default" w:ascii="Times New Roman" w:hAnsi="Times New Roman" w:eastAsia="宋体" w:cs="Times New Roman"/>
          <w:color w:val="000000"/>
          <w:highlight w:val="none"/>
        </w:rPr>
        <w:t>）</w:t>
      </w:r>
      <w:r>
        <w:rPr>
          <w:rFonts w:hint="default" w:ascii="Times New Roman" w:hAnsi="Times New Roman" w:eastAsia="宋体" w:cs="Times New Roman"/>
          <w:color w:val="000000"/>
          <w:kern w:val="2"/>
          <w:sz w:val="21"/>
          <w:highlight w:val="none"/>
        </w:rPr>
        <w:t>乙方企业规模</w:t>
      </w:r>
      <w:r>
        <w:rPr>
          <w:rFonts w:hint="default" w:ascii="Times New Roman" w:hAnsi="Times New Roman" w:eastAsia="宋体" w:cs="Times New Roman"/>
          <w:color w:val="000000"/>
          <w:kern w:val="2"/>
          <w:sz w:val="21"/>
          <w:highlight w:val="none"/>
          <w:lang w:eastAsia="zh-CN"/>
        </w:rPr>
        <w:t>：</w:t>
      </w:r>
      <w:r>
        <w:rPr>
          <w:rFonts w:hint="default" w:ascii="Times New Roman" w:hAnsi="Times New Roman" w:eastAsia="宋体" w:cs="Times New Roman"/>
          <w:iCs/>
          <w:color w:val="000000"/>
          <w:highlight w:val="none"/>
        </w:rPr>
        <w:t xml:space="preserve"> </w:t>
      </w:r>
      <w:r>
        <w:rPr>
          <w:rFonts w:hint="default" w:ascii="Times New Roman" w:hAnsi="Times New Roman" w:eastAsia="宋体" w:cs="Times New Roman"/>
          <w:iCs/>
          <w:color w:val="000000"/>
          <w:highlight w:val="none"/>
        </w:rPr>
        <w:sym w:font="Wingdings" w:char="00A8"/>
      </w:r>
      <w:r>
        <w:rPr>
          <w:rFonts w:hint="default" w:ascii="Times New Roman" w:hAnsi="Times New Roman" w:eastAsia="宋体" w:cs="Times New Roman"/>
          <w:iCs/>
          <w:color w:val="000000"/>
          <w:highlight w:val="none"/>
        </w:rPr>
        <w:t xml:space="preserve">大型企业  </w:t>
      </w:r>
      <w:r>
        <w:rPr>
          <w:rFonts w:hint="default" w:ascii="Times New Roman" w:hAnsi="Times New Roman" w:eastAsia="宋体" w:cs="Times New Roman"/>
          <w:iCs/>
          <w:color w:val="000000"/>
          <w:highlight w:val="none"/>
        </w:rPr>
        <w:sym w:font="Wingdings" w:char="00A8"/>
      </w:r>
      <w:r>
        <w:rPr>
          <w:rFonts w:hint="default" w:ascii="Times New Roman" w:hAnsi="Times New Roman" w:eastAsia="宋体" w:cs="Times New Roman"/>
          <w:iCs/>
          <w:color w:val="000000"/>
          <w:highlight w:val="none"/>
        </w:rPr>
        <w:t xml:space="preserve">中型企业  </w:t>
      </w:r>
      <w:r>
        <w:rPr>
          <w:rFonts w:hint="default" w:ascii="Times New Roman" w:hAnsi="Times New Roman" w:eastAsia="宋体" w:cs="Times New Roman"/>
          <w:iCs/>
          <w:color w:val="000000"/>
          <w:highlight w:val="none"/>
        </w:rPr>
        <w:sym w:font="Wingdings" w:char="00A8"/>
      </w:r>
      <w:r>
        <w:rPr>
          <w:rFonts w:hint="default" w:ascii="Times New Roman" w:hAnsi="Times New Roman" w:eastAsia="宋体" w:cs="Times New Roman"/>
          <w:iCs/>
          <w:color w:val="000000"/>
          <w:highlight w:val="none"/>
        </w:rPr>
        <w:t xml:space="preserve">小型企业  </w:t>
      </w:r>
      <w:r>
        <w:rPr>
          <w:rFonts w:hint="default" w:ascii="Times New Roman" w:hAnsi="Times New Roman" w:eastAsia="宋体" w:cs="Times New Roman"/>
          <w:iCs/>
          <w:color w:val="000000"/>
          <w:highlight w:val="none"/>
        </w:rPr>
        <w:sym w:font="Wingdings" w:char="00A8"/>
      </w:r>
      <w:r>
        <w:rPr>
          <w:rFonts w:hint="default" w:ascii="Times New Roman" w:hAnsi="Times New Roman" w:eastAsia="宋体" w:cs="Times New Roman"/>
          <w:iCs/>
          <w:color w:val="000000"/>
          <w:highlight w:val="none"/>
        </w:rPr>
        <w:t>微型企业</w:t>
      </w:r>
    </w:p>
    <w:p w14:paraId="53B89134">
      <w:pPr>
        <w:numPr>
          <w:ilvl w:val="0"/>
          <w:numId w:val="0"/>
        </w:numPr>
        <w:adjustRightInd w:val="0"/>
        <w:snapToGrid w:val="0"/>
        <w:spacing w:line="400" w:lineRule="exact"/>
        <w:rPr>
          <w:rFonts w:hint="default" w:ascii="Times New Roman" w:hAnsi="Times New Roman" w:eastAsia="宋体" w:cs="Times New Roman"/>
          <w:iCs/>
          <w:color w:val="000000"/>
          <w:szCs w:val="21"/>
          <w:highlight w:val="none"/>
        </w:rPr>
      </w:pPr>
      <w:r>
        <w:rPr>
          <w:rFonts w:hint="default" w:ascii="Times New Roman" w:hAnsi="Times New Roman" w:eastAsia="宋体" w:cs="Times New Roman"/>
          <w:color w:val="000000"/>
          <w:szCs w:val="21"/>
          <w:highlight w:val="none"/>
        </w:rPr>
        <w:t xml:space="preserve">    本合同是否为专门面向中小企业的采购合同（中小企业预留合同）</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iCs/>
          <w:color w:val="000000"/>
          <w:szCs w:val="21"/>
          <w:highlight w:val="none"/>
        </w:rPr>
        <w:sym w:font="Wingdings" w:char="00A8"/>
      </w:r>
      <w:r>
        <w:rPr>
          <w:rFonts w:hint="default" w:ascii="Times New Roman" w:hAnsi="Times New Roman" w:eastAsia="宋体" w:cs="Times New Roman"/>
          <w:iCs/>
          <w:color w:val="000000"/>
          <w:szCs w:val="21"/>
          <w:highlight w:val="none"/>
        </w:rPr>
        <w:t>是</w:t>
      </w:r>
      <w:r>
        <w:rPr>
          <w:rFonts w:hint="default" w:ascii="Times New Roman" w:hAnsi="Times New Roman" w:cs="Times New Roman"/>
          <w:iCs/>
          <w:color w:val="000000"/>
          <w:szCs w:val="21"/>
          <w:highlight w:val="none"/>
          <w:lang w:val="en-US" w:eastAsia="zh-CN"/>
        </w:rPr>
        <w:t xml:space="preserve">  </w:t>
      </w:r>
      <w:r>
        <w:rPr>
          <w:rFonts w:hint="default" w:ascii="Times New Roman" w:hAnsi="Times New Roman" w:eastAsia="宋体" w:cs="Times New Roman"/>
          <w:iCs/>
          <w:color w:val="000000"/>
          <w:szCs w:val="21"/>
          <w:highlight w:val="none"/>
        </w:rPr>
        <w:t xml:space="preserve"> </w:t>
      </w:r>
      <w:r>
        <w:rPr>
          <w:rFonts w:hint="default" w:ascii="Times New Roman" w:hAnsi="Times New Roman" w:eastAsia="宋体" w:cs="Times New Roman"/>
          <w:iCs/>
          <w:color w:val="000000"/>
          <w:szCs w:val="21"/>
          <w:highlight w:val="none"/>
        </w:rPr>
        <w:sym w:font="Wingdings" w:char="00A8"/>
      </w:r>
      <w:r>
        <w:rPr>
          <w:rFonts w:hint="default" w:ascii="Times New Roman" w:hAnsi="Times New Roman" w:eastAsia="宋体" w:cs="Times New Roman"/>
          <w:iCs/>
          <w:color w:val="000000"/>
          <w:szCs w:val="21"/>
          <w:highlight w:val="none"/>
        </w:rPr>
        <w:t>否</w:t>
      </w:r>
    </w:p>
    <w:p w14:paraId="49966ABA">
      <w:pPr>
        <w:numPr>
          <w:ilvl w:val="0"/>
          <w:numId w:val="0"/>
        </w:numPr>
        <w:adjustRightInd w:val="0"/>
        <w:snapToGrid w:val="0"/>
        <w:spacing w:line="400" w:lineRule="exac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 xml:space="preserve">    若本项目不专门面向中小企业采购，是否给予小微企业评审优惠</w:t>
      </w:r>
      <w:r>
        <w:rPr>
          <w:rFonts w:hint="default" w:ascii="Times New Roman" w:hAnsi="Times New Roman" w:cs="Times New Roman"/>
          <w:color w:val="000000"/>
          <w:highlight w:val="none"/>
          <w:lang w:eastAsia="zh-CN"/>
        </w:rPr>
        <w:t>：</w:t>
      </w:r>
      <w:r>
        <w:rPr>
          <w:rFonts w:hint="default" w:ascii="Times New Roman" w:hAnsi="Times New Roman" w:eastAsia="宋体" w:cs="Times New Roman"/>
          <w:iCs/>
          <w:color w:val="000000"/>
          <w:szCs w:val="21"/>
          <w:highlight w:val="none"/>
        </w:rPr>
        <w:sym w:font="Wingdings" w:char="00FE"/>
      </w:r>
      <w:r>
        <w:rPr>
          <w:rFonts w:hint="default" w:ascii="Times New Roman" w:hAnsi="Times New Roman" w:eastAsia="宋体" w:cs="Times New Roman"/>
          <w:iCs/>
          <w:color w:val="000000"/>
          <w:szCs w:val="21"/>
          <w:highlight w:val="none"/>
        </w:rPr>
        <w:t xml:space="preserve">是   </w:t>
      </w:r>
      <w:r>
        <w:rPr>
          <w:rFonts w:hint="default" w:ascii="Times New Roman" w:hAnsi="Times New Roman" w:eastAsia="宋体" w:cs="Times New Roman"/>
          <w:iCs/>
          <w:color w:val="000000"/>
          <w:szCs w:val="21"/>
          <w:highlight w:val="none"/>
        </w:rPr>
        <w:sym w:font="Wingdings" w:char="00A8"/>
      </w:r>
      <w:r>
        <w:rPr>
          <w:rFonts w:hint="default" w:ascii="Times New Roman" w:hAnsi="Times New Roman" w:eastAsia="宋体" w:cs="Times New Roman"/>
          <w:iCs/>
          <w:color w:val="000000"/>
          <w:szCs w:val="21"/>
          <w:highlight w:val="none"/>
        </w:rPr>
        <w:t>否</w:t>
      </w:r>
    </w:p>
    <w:p w14:paraId="21C27478">
      <w:pPr>
        <w:pStyle w:val="94"/>
        <w:numPr>
          <w:ilvl w:val="0"/>
          <w:numId w:val="7"/>
        </w:numPr>
        <w:snapToGrid w:val="0"/>
        <w:ind w:firstLine="420" w:firstLineChars="0"/>
        <w:rPr>
          <w:rFonts w:hint="default" w:ascii="Times New Roman" w:hAnsi="Times New Roman" w:eastAsia="宋体" w:cs="Times New Roman"/>
          <w:color w:val="000000"/>
          <w:kern w:val="2"/>
          <w:sz w:val="21"/>
          <w:highlight w:val="none"/>
        </w:rPr>
      </w:pPr>
      <w:r>
        <w:rPr>
          <w:rFonts w:hint="default" w:ascii="Times New Roman" w:hAnsi="Times New Roman" w:eastAsia="宋体" w:cs="Times New Roman"/>
          <w:color w:val="000000"/>
          <w:sz w:val="21"/>
          <w:highlight w:val="none"/>
        </w:rPr>
        <w:t>合同授予类型</w:t>
      </w:r>
      <w:r>
        <w:rPr>
          <w:rFonts w:hint="default" w:ascii="Times New Roman" w:hAnsi="Times New Roman" w:eastAsia="宋体" w:cs="Times New Roman"/>
          <w:color w:val="000000"/>
          <w:sz w:val="21"/>
          <w:highlight w:val="none"/>
          <w:lang w:eastAsia="zh-CN"/>
        </w:rPr>
        <w:t>：</w:t>
      </w:r>
      <w:r>
        <w:rPr>
          <w:rFonts w:hint="default" w:ascii="Times New Roman" w:hAnsi="Times New Roman" w:eastAsia="宋体" w:cs="Times New Roman"/>
          <w:color w:val="000000"/>
          <w:kern w:val="2"/>
          <w:sz w:val="21"/>
          <w:highlight w:val="none"/>
        </w:rPr>
        <w:sym w:font="Wingdings" w:char="00A8"/>
      </w:r>
      <w:r>
        <w:rPr>
          <w:rFonts w:hint="default" w:ascii="Times New Roman" w:hAnsi="Times New Roman" w:eastAsia="宋体" w:cs="Times New Roman"/>
          <w:color w:val="000000"/>
          <w:kern w:val="2"/>
          <w:sz w:val="21"/>
          <w:highlight w:val="none"/>
        </w:rPr>
        <w:t xml:space="preserve">省内      </w:t>
      </w:r>
      <w:r>
        <w:rPr>
          <w:rFonts w:hint="default" w:ascii="Times New Roman" w:hAnsi="Times New Roman" w:eastAsia="宋体" w:cs="Times New Roman"/>
          <w:color w:val="000000"/>
          <w:kern w:val="2"/>
          <w:sz w:val="21"/>
          <w:highlight w:val="none"/>
        </w:rPr>
        <w:sym w:font="Wingdings" w:char="00A8"/>
      </w:r>
      <w:r>
        <w:rPr>
          <w:rFonts w:hint="default" w:ascii="Times New Roman" w:hAnsi="Times New Roman" w:eastAsia="宋体" w:cs="Times New Roman"/>
          <w:color w:val="000000"/>
          <w:kern w:val="2"/>
          <w:sz w:val="21"/>
          <w:highlight w:val="none"/>
        </w:rPr>
        <w:t>省外</w:t>
      </w:r>
    </w:p>
    <w:p w14:paraId="72CC05E8">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合同金额</w:t>
      </w:r>
    </w:p>
    <w:p w14:paraId="77113054">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（1）合同金额大写</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 xml:space="preserve">                           </w:t>
      </w:r>
    </w:p>
    <w:p w14:paraId="1D2F441D">
      <w:pPr>
        <w:adjustRightInd w:val="0"/>
        <w:snapToGrid w:val="0"/>
        <w:spacing w:line="400" w:lineRule="exact"/>
        <w:rPr>
          <w:rFonts w:hint="default" w:ascii="Times New Roman" w:hAnsi="Times New Roman" w:eastAsia="宋体" w:cs="Times New Roman"/>
          <w:color w:val="000000"/>
          <w:szCs w:val="21"/>
          <w:highlight w:val="none"/>
          <w:u w:val="single"/>
        </w:rPr>
      </w:pPr>
      <w:r>
        <w:rPr>
          <w:rFonts w:hint="default" w:ascii="Times New Roman" w:hAnsi="Times New Roman" w:eastAsia="宋体" w:cs="Times New Roman"/>
          <w:color w:val="000000"/>
          <w:szCs w:val="21"/>
          <w:highlight w:val="none"/>
        </w:rPr>
        <w:t xml:space="preserve">                 小写</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 xml:space="preserve">                           </w:t>
      </w:r>
    </w:p>
    <w:p w14:paraId="40106A56">
      <w:pPr>
        <w:pStyle w:val="99"/>
        <w:spacing w:line="400" w:lineRule="exact"/>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rPr>
        <w:t>（2）付款方式（按项目实际勾选填写）</w:t>
      </w:r>
      <w:r>
        <w:rPr>
          <w:rFonts w:hint="default" w:ascii="Times New Roman" w:hAnsi="Times New Roman" w:eastAsia="宋体" w:cs="Times New Roman"/>
          <w:color w:val="000000"/>
          <w:highlight w:val="none"/>
          <w:lang w:eastAsia="zh-CN"/>
        </w:rPr>
        <w:t>：</w:t>
      </w:r>
    </w:p>
    <w:p w14:paraId="2E9AE03C">
      <w:pPr>
        <w:snapToGrid w:val="0"/>
        <w:spacing w:line="400" w:lineRule="exact"/>
        <w:ind w:firstLine="630" w:firstLineChars="300"/>
        <w:rPr>
          <w:rFonts w:hint="eastAsia" w:ascii="Times New Roman" w:hAnsi="Times New Roman" w:eastAsia="宋体" w:cs="Times New Roman"/>
          <w:color w:val="000000"/>
          <w:szCs w:val="21"/>
          <w:highlight w:val="none"/>
          <w:u w:val="single"/>
          <w:lang w:eastAsia="zh-CN"/>
        </w:rPr>
      </w:pPr>
      <w:r>
        <w:rPr>
          <w:rFonts w:hint="default" w:ascii="Times New Roman" w:hAnsi="Times New Roman" w:eastAsia="宋体" w:cs="Times New Roman"/>
          <w:color w:val="000000"/>
          <w:szCs w:val="21"/>
          <w:highlight w:val="none"/>
        </w:rPr>
        <w:sym w:font="Wingdings" w:char="00FE"/>
      </w:r>
      <w:r>
        <w:rPr>
          <w:rFonts w:hint="default" w:ascii="Times New Roman" w:hAnsi="Times New Roman" w:eastAsia="宋体" w:cs="Times New Roman"/>
          <w:color w:val="000000"/>
          <w:szCs w:val="21"/>
          <w:highlight w:val="none"/>
        </w:rPr>
        <w:t>分期付款</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合同生效后</w:t>
      </w:r>
      <w:r>
        <w:rPr>
          <w:rFonts w:hint="eastAsia" w:ascii="Times New Roman" w:hAnsi="Times New Roman" w:cs="Times New Roman"/>
          <w:color w:val="000000"/>
          <w:szCs w:val="21"/>
          <w:highlight w:val="none"/>
          <w:u w:val="single"/>
          <w:lang w:val="en-US" w:eastAsia="zh-CN"/>
        </w:rPr>
        <w:t>15日内</w:t>
      </w:r>
      <w:r>
        <w:rPr>
          <w:rFonts w:hint="default" w:ascii="Times New Roman" w:hAnsi="Times New Roman" w:eastAsia="宋体" w:cs="Times New Roman"/>
          <w:color w:val="000000"/>
          <w:szCs w:val="21"/>
          <w:highlight w:val="none"/>
          <w:u w:val="single"/>
        </w:rPr>
        <w:t>，由</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提供本合同金额30%的预付款保函（银行保函形式，保函有效期至</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收货、验收合格后），</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收到预付款保函、合同备案通过30日内支付合同总额30%作为预付款支付给</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，同时</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向</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开具预付款收据；</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在验收合格之日起15日内，按照合同金额的100%向</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开具发票，</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收到全额发票30日内支付合同总额的70%给</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并退还</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预付款保函，在</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完成其合同义务包括任何保证义务至质保期结束无质量问题，退还</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履约保证金（银行保函）。 如逾期未开具预付款保函，视为放弃预付款；供应商在验收合格之日起15 日内，按照合同金额的100%向采购人开具发票，采购人收到全额发票30日内支付合同总额的100%给供应商，在供应商完成其合同义务包括任何保证义务至质保期结束无质量问题，退还供应商履约保证金(银行保函)</w:t>
      </w:r>
      <w:r>
        <w:rPr>
          <w:rFonts w:hint="eastAsia" w:ascii="Times New Roman" w:hAnsi="Times New Roman" w:cs="Times New Roman"/>
          <w:color w:val="000000"/>
          <w:szCs w:val="21"/>
          <w:highlight w:val="none"/>
          <w:u w:val="single"/>
          <w:lang w:eastAsia="zh-CN"/>
        </w:rPr>
        <w:t>。</w:t>
      </w:r>
    </w:p>
    <w:p w14:paraId="10C4A7D3">
      <w:pPr>
        <w:snapToGrid w:val="0"/>
        <w:spacing w:line="400" w:lineRule="exact"/>
        <w:ind w:firstLine="630" w:firstLineChars="300"/>
        <w:rPr>
          <w:rFonts w:hint="default" w:ascii="Times New Roman" w:hAnsi="Times New Roman" w:eastAsia="宋体" w:cs="Times New Roman"/>
          <w:color w:val="000000"/>
          <w:szCs w:val="21"/>
          <w:highlight w:val="none"/>
          <w:u w:val="single"/>
        </w:rPr>
      </w:pPr>
      <w:r>
        <w:rPr>
          <w:rFonts w:hint="default" w:ascii="Times New Roman" w:hAnsi="Times New Roman" w:eastAsia="宋体" w:cs="Times New Roman"/>
          <w:color w:val="000000"/>
          <w:szCs w:val="21"/>
          <w:highlight w:val="none"/>
        </w:rPr>
        <w:t>（3）其他事项</w:t>
      </w:r>
      <w:r>
        <w:rPr>
          <w:rFonts w:hint="default" w:ascii="Times New Roman" w:hAnsi="Times New Roman" w:cs="Times New Roman"/>
          <w:color w:val="000000"/>
          <w:szCs w:val="21"/>
          <w:highlight w:val="none"/>
          <w:lang w:eastAsia="zh-CN"/>
        </w:rPr>
        <w:t>：</w:t>
      </w:r>
      <w:r>
        <w:rPr>
          <w:rFonts w:hint="default" w:ascii="Times New Roman" w:hAnsi="Times New Roman" w:eastAsia="宋体" w:cs="Times New Roman"/>
          <w:color w:val="000000"/>
          <w:szCs w:val="21"/>
          <w:highlight w:val="none"/>
          <w:u w:val="single"/>
        </w:rPr>
        <w:t>因</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单位性质，需要按照国家、省级项目资金支付规定执行，</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应对此清楚知晓，</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尽量保证按照本协议约定履行义务，如因以上原因导致无法按时支付款项的，</w:t>
      </w:r>
      <w:r>
        <w:rPr>
          <w:rFonts w:hint="default" w:ascii="Times New Roman" w:hAnsi="Times New Roman" w:cs="Times New Roman"/>
          <w:color w:val="000000"/>
          <w:szCs w:val="21"/>
          <w:highlight w:val="none"/>
          <w:u w:val="single"/>
          <w:lang w:val="en-US" w:eastAsia="zh-CN"/>
        </w:rPr>
        <w:t>供应商</w:t>
      </w:r>
      <w:r>
        <w:rPr>
          <w:rFonts w:hint="default" w:ascii="Times New Roman" w:hAnsi="Times New Roman" w:eastAsia="宋体" w:cs="Times New Roman"/>
          <w:color w:val="000000"/>
          <w:szCs w:val="21"/>
          <w:highlight w:val="none"/>
          <w:u w:val="single"/>
        </w:rPr>
        <w:t>承诺不追究</w:t>
      </w:r>
      <w:r>
        <w:rPr>
          <w:rFonts w:hint="default" w:ascii="Times New Roman" w:hAnsi="Times New Roman" w:cs="Times New Roman"/>
          <w:color w:val="000000"/>
          <w:szCs w:val="21"/>
          <w:highlight w:val="none"/>
          <w:u w:val="single"/>
          <w:lang w:val="en-US" w:eastAsia="zh-CN"/>
        </w:rPr>
        <w:t>采购人</w:t>
      </w:r>
      <w:r>
        <w:rPr>
          <w:rFonts w:hint="default" w:ascii="Times New Roman" w:hAnsi="Times New Roman" w:eastAsia="宋体" w:cs="Times New Roman"/>
          <w:color w:val="000000"/>
          <w:szCs w:val="21"/>
          <w:highlight w:val="none"/>
          <w:u w:val="single"/>
        </w:rPr>
        <w:t>违约责任。</w:t>
      </w:r>
    </w:p>
    <w:p w14:paraId="11471E4F">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u w:val="single"/>
        </w:rPr>
      </w:pPr>
      <w:r>
        <w:rPr>
          <w:rFonts w:hint="default" w:ascii="Times New Roman" w:hAnsi="Times New Roman" w:eastAsia="宋体" w:cs="Times New Roman"/>
          <w:b/>
          <w:color w:val="000000"/>
          <w:szCs w:val="21"/>
          <w:highlight w:val="none"/>
        </w:rPr>
        <w:t>合同履行</w:t>
      </w:r>
    </w:p>
    <w:p w14:paraId="0104AC6B">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w:t>
      </w:r>
      <w:r>
        <w:rPr>
          <w:rFonts w:hint="eastAsia" w:ascii="宋体" w:hAnsi="宋体" w:cs="宋体"/>
          <w:color w:val="auto"/>
          <w:kern w:val="0"/>
          <w:highlight w:val="none"/>
        </w:rPr>
        <w:t>交货期：</w:t>
      </w:r>
      <w:r>
        <w:rPr>
          <w:rFonts w:hint="eastAsia" w:ascii="宋体" w:hAnsi="宋体" w:cs="宋体"/>
          <w:color w:val="auto"/>
          <w:kern w:val="0"/>
          <w:highlight w:val="none"/>
          <w:lang w:eastAsia="zh-CN"/>
        </w:rPr>
        <w:t>自合同生效之日起7个月内供货完成，供货后1个月内安装调试完成。</w:t>
      </w:r>
    </w:p>
    <w:p w14:paraId="037EB016">
      <w:pPr>
        <w:adjustRightInd w:val="0"/>
        <w:snapToGrid w:val="0"/>
        <w:spacing w:line="400" w:lineRule="exact"/>
        <w:ind w:firstLine="420" w:firstLineChars="200"/>
        <w:rPr>
          <w:rFonts w:hint="default" w:ascii="Times New Roman" w:hAnsi="Times New Roman" w:eastAsia="宋体" w:cs="Times New Roman"/>
          <w:color w:val="000000"/>
          <w:szCs w:val="21"/>
          <w:highlight w:val="none"/>
          <w:u w:val="single"/>
        </w:rPr>
      </w:pPr>
      <w:r>
        <w:rPr>
          <w:rFonts w:hint="default" w:ascii="Times New Roman" w:hAnsi="Times New Roman" w:eastAsia="宋体" w:cs="Times New Roman"/>
          <w:color w:val="000000"/>
          <w:szCs w:val="21"/>
          <w:highlight w:val="none"/>
        </w:rPr>
        <w:t>（2）</w:t>
      </w:r>
      <w:r>
        <w:rPr>
          <w:rFonts w:hint="default" w:ascii="Times New Roman" w:hAnsi="Times New Roman" w:eastAsia="宋体" w:cs="Times New Roman"/>
          <w:color w:val="000000"/>
          <w:szCs w:val="21"/>
          <w:highlight w:val="none"/>
          <w:lang w:val="en-US"/>
        </w:rPr>
        <w:t>履约地点</w:t>
      </w:r>
      <w:r>
        <w:rPr>
          <w:rFonts w:hint="eastAsia" w:cs="Times New Roman"/>
          <w:color w:val="000000"/>
          <w:szCs w:val="21"/>
          <w:highlight w:val="none"/>
          <w:lang w:val="en-US" w:eastAsia="zh-CN"/>
        </w:rPr>
        <w:t>：</w:t>
      </w:r>
      <w:r>
        <w:rPr>
          <w:rFonts w:hint="eastAsia" w:cs="Times New Roman"/>
          <w:color w:val="000000"/>
          <w:szCs w:val="21"/>
          <w:highlight w:val="none"/>
          <w:u w:val="single"/>
          <w:lang w:val="en-US" w:eastAsia="zh-CN"/>
        </w:rPr>
        <w:t>合同履行地</w:t>
      </w:r>
      <w:r>
        <w:rPr>
          <w:rFonts w:hint="eastAsia" w:cs="Times New Roman"/>
          <w:bCs/>
          <w:color w:val="000000"/>
          <w:szCs w:val="21"/>
          <w:highlight w:val="none"/>
          <w:u w:val="single"/>
          <w:lang w:eastAsia="zh-CN"/>
        </w:rPr>
        <w:t>（</w:t>
      </w:r>
      <w:r>
        <w:rPr>
          <w:rFonts w:hint="eastAsia" w:ascii="宋体" w:hAnsi="宋体" w:cs="宋体"/>
          <w:color w:val="auto"/>
          <w:kern w:val="0"/>
          <w:highlight w:val="none"/>
          <w:u w:val="single"/>
          <w:lang w:eastAsia="zh-CN"/>
        </w:rPr>
        <w:t>郑州市郑东新区汉月街26号中原量子谷</w:t>
      </w:r>
      <w:r>
        <w:rPr>
          <w:rFonts w:hint="eastAsia" w:cs="Times New Roman"/>
          <w:bCs/>
          <w:color w:val="000000"/>
          <w:szCs w:val="21"/>
          <w:highlight w:val="none"/>
          <w:u w:val="single"/>
          <w:lang w:eastAsia="zh-CN"/>
        </w:rPr>
        <w:t>）</w:t>
      </w:r>
      <w:r>
        <w:rPr>
          <w:rFonts w:hint="default" w:ascii="Times New Roman" w:hAnsi="Times New Roman" w:eastAsia="宋体" w:cs="Times New Roman"/>
          <w:color w:val="000000"/>
          <w:szCs w:val="21"/>
          <w:highlight w:val="none"/>
          <w:u w:val="single"/>
        </w:rPr>
        <w:t xml:space="preserve">    </w:t>
      </w:r>
    </w:p>
    <w:p w14:paraId="72EE7111">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bCs/>
          <w:color w:val="000000"/>
          <w:szCs w:val="21"/>
          <w:highlight w:val="none"/>
        </w:rPr>
        <w:t>（3）履约担保</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color w:val="000000"/>
          <w:highlight w:val="none"/>
        </w:rPr>
        <w:t>是否收取履约保证金</w:t>
      </w:r>
      <w:r>
        <w:rPr>
          <w:rFonts w:hint="default" w:ascii="Times New Roman" w:hAnsi="Times New Roman" w:cs="Times New Roman"/>
          <w:color w:val="000000"/>
          <w:highlight w:val="none"/>
          <w:lang w:eastAsia="zh-CN"/>
        </w:rPr>
        <w:t>：</w:t>
      </w:r>
      <w:r>
        <w:rPr>
          <w:rFonts w:hint="default" w:ascii="Times New Roman" w:hAnsi="Times New Roman" w:eastAsia="宋体" w:cs="Times New Roman"/>
          <w:color w:val="000000"/>
          <w:szCs w:val="21"/>
          <w:highlight w:val="none"/>
        </w:rPr>
        <w:sym w:font="Wingdings" w:char="00FE"/>
      </w:r>
      <w:r>
        <w:rPr>
          <w:rFonts w:hint="default" w:ascii="Times New Roman" w:hAnsi="Times New Roman" w:eastAsia="宋体" w:cs="Times New Roman"/>
          <w:color w:val="000000"/>
          <w:szCs w:val="21"/>
          <w:highlight w:val="none"/>
        </w:rPr>
        <w:t xml:space="preserve">是    </w:t>
      </w:r>
      <w:r>
        <w:rPr>
          <w:rFonts w:hint="default" w:ascii="Times New Roman" w:hAnsi="Times New Roman" w:eastAsia="宋体" w:cs="Times New Roman"/>
          <w:color w:val="000000"/>
          <w:szCs w:val="21"/>
          <w:highlight w:val="none"/>
        </w:rPr>
        <w:sym w:font="Wingdings" w:char="00A8"/>
      </w:r>
      <w:r>
        <w:rPr>
          <w:rFonts w:hint="default" w:ascii="Times New Roman" w:hAnsi="Times New Roman" w:eastAsia="宋体" w:cs="Times New Roman"/>
          <w:color w:val="000000"/>
          <w:szCs w:val="21"/>
          <w:highlight w:val="none"/>
        </w:rPr>
        <w:t>否</w:t>
      </w:r>
    </w:p>
    <w:p w14:paraId="605C9BD5">
      <w:pPr>
        <w:pStyle w:val="94"/>
        <w:rPr>
          <w:rFonts w:hint="default" w:ascii="Times New Roman" w:hAnsi="Times New Roman" w:eastAsia="宋体" w:cs="Times New Roman"/>
          <w:color w:val="000000"/>
          <w:sz w:val="21"/>
          <w:highlight w:val="none"/>
        </w:rPr>
      </w:pPr>
      <w:r>
        <w:rPr>
          <w:rFonts w:hint="default" w:ascii="Times New Roman" w:hAnsi="Times New Roman" w:eastAsia="宋体" w:cs="Times New Roman"/>
          <w:bCs/>
          <w:color w:val="000000"/>
          <w:highlight w:val="none"/>
        </w:rPr>
        <w:t xml:space="preserve">  </w:t>
      </w:r>
      <w:r>
        <w:rPr>
          <w:rFonts w:hint="default" w:ascii="Times New Roman" w:hAnsi="Times New Roman" w:eastAsia="宋体" w:cs="Times New Roman"/>
          <w:color w:val="000000"/>
          <w:sz w:val="21"/>
          <w:highlight w:val="none"/>
        </w:rPr>
        <w:t xml:space="preserve">  收取履约保证金形式</w:t>
      </w:r>
      <w:r>
        <w:rPr>
          <w:rFonts w:hint="default" w:ascii="Times New Roman" w:hAnsi="Times New Roman" w:eastAsia="宋体" w:cs="Times New Roman"/>
          <w:color w:val="000000"/>
          <w:sz w:val="21"/>
          <w:highlight w:val="none"/>
          <w:lang w:eastAsia="zh-CN"/>
        </w:rPr>
        <w:t>：</w:t>
      </w:r>
      <w:r>
        <w:rPr>
          <w:rFonts w:hint="default" w:ascii="Times New Roman" w:hAnsi="Times New Roman" w:eastAsia="宋体" w:cs="Times New Roman"/>
          <w:bCs/>
          <w:color w:val="000000"/>
          <w:sz w:val="21"/>
          <w:highlight w:val="none"/>
          <w:u w:val="single"/>
        </w:rPr>
        <w:t xml:space="preserve">  银行保函  </w:t>
      </w:r>
    </w:p>
    <w:p w14:paraId="1CE26FF0">
      <w:pPr>
        <w:pStyle w:val="94"/>
        <w:ind w:firstLine="420"/>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sz w:val="21"/>
          <w:highlight w:val="none"/>
        </w:rPr>
        <w:t xml:space="preserve">    收取履约保证金金额或比例</w:t>
      </w:r>
      <w:r>
        <w:rPr>
          <w:rFonts w:hint="default" w:ascii="Times New Roman" w:hAnsi="Times New Roman" w:eastAsia="宋体" w:cs="Times New Roman"/>
          <w:color w:val="000000"/>
          <w:sz w:val="21"/>
          <w:highlight w:val="none"/>
          <w:lang w:eastAsia="zh-CN"/>
        </w:rPr>
        <w:t>：</w:t>
      </w:r>
      <w:r>
        <w:rPr>
          <w:rFonts w:hint="default" w:ascii="Times New Roman" w:hAnsi="Times New Roman" w:eastAsia="宋体" w:cs="Times New Roman"/>
          <w:bCs/>
          <w:color w:val="000000"/>
          <w:sz w:val="21"/>
          <w:highlight w:val="none"/>
          <w:u w:val="single"/>
        </w:rPr>
        <w:t xml:space="preserve">  合同金额的5% </w:t>
      </w:r>
    </w:p>
    <w:p w14:paraId="621C22DA">
      <w:pPr>
        <w:snapToGrid w:val="0"/>
        <w:spacing w:line="400" w:lineRule="exact"/>
        <w:ind w:firstLine="420" w:firstLineChars="200"/>
        <w:rPr>
          <w:rFonts w:hint="default" w:ascii="Times New Roman" w:hAnsi="Times New Roman" w:eastAsia="宋体" w:cs="Times New Roman"/>
          <w:color w:val="000000"/>
          <w:highlight w:val="none"/>
        </w:rPr>
      </w:pPr>
      <w:r>
        <w:rPr>
          <w:rFonts w:hint="default" w:ascii="Times New Roman" w:hAnsi="Times New Roman" w:eastAsia="宋体" w:cs="Times New Roman"/>
          <w:bCs/>
          <w:color w:val="000000"/>
          <w:szCs w:val="21"/>
          <w:highlight w:val="none"/>
        </w:rPr>
        <w:t xml:space="preserve">    履约担保期限</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bCs/>
          <w:color w:val="000000"/>
          <w:kern w:val="0"/>
          <w:szCs w:val="21"/>
          <w:highlight w:val="none"/>
          <w:u w:val="single"/>
        </w:rPr>
        <w:t xml:space="preserve"> 自中标通知书发放之日起至质保期结束之日止 </w:t>
      </w:r>
      <w:r>
        <w:rPr>
          <w:rFonts w:hint="default" w:ascii="Times New Roman" w:hAnsi="Times New Roman" w:eastAsia="宋体" w:cs="Times New Roman"/>
          <w:bCs/>
          <w:color w:val="000000"/>
          <w:szCs w:val="21"/>
          <w:highlight w:val="none"/>
          <w:u w:val="single"/>
        </w:rPr>
        <w:t xml:space="preserve"> </w:t>
      </w:r>
    </w:p>
    <w:p w14:paraId="55B0EECB">
      <w:pPr>
        <w:adjustRightInd w:val="0"/>
        <w:snapToGrid w:val="0"/>
        <w:spacing w:line="400" w:lineRule="exact"/>
        <w:ind w:firstLine="420" w:firstLineChars="200"/>
        <w:rPr>
          <w:rFonts w:hint="default" w:ascii="Times New Roman" w:hAnsi="Times New Roman" w:eastAsia="宋体" w:cs="Times New Roman"/>
          <w:bCs/>
          <w:color w:val="000000"/>
          <w:szCs w:val="21"/>
          <w:highlight w:val="none"/>
          <w:u w:val="single"/>
        </w:rPr>
      </w:pPr>
      <w:r>
        <w:rPr>
          <w:rFonts w:hint="default" w:ascii="Times New Roman" w:hAnsi="Times New Roman" w:eastAsia="宋体" w:cs="Times New Roman"/>
          <w:bCs/>
          <w:color w:val="000000"/>
          <w:szCs w:val="21"/>
          <w:highlight w:val="none"/>
        </w:rPr>
        <w:t>（4）分期履行要求</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bCs/>
          <w:color w:val="000000"/>
          <w:szCs w:val="21"/>
          <w:highlight w:val="none"/>
          <w:u w:val="single"/>
        </w:rPr>
        <w:t xml:space="preserve">                                                        </w:t>
      </w:r>
    </w:p>
    <w:p w14:paraId="21A20666">
      <w:pPr>
        <w:pStyle w:val="94"/>
        <w:ind w:firstLine="420"/>
        <w:rPr>
          <w:rFonts w:hint="default" w:ascii="Times New Roman" w:hAnsi="Times New Roman" w:eastAsia="宋体" w:cs="Times New Roman"/>
          <w:color w:val="000000"/>
          <w:highlight w:val="none"/>
          <w:u w:val="single"/>
        </w:rPr>
      </w:pPr>
      <w:r>
        <w:rPr>
          <w:rFonts w:hint="default" w:ascii="Times New Roman" w:hAnsi="Times New Roman" w:eastAsia="宋体" w:cs="Times New Roman"/>
          <w:bCs/>
          <w:color w:val="000000"/>
          <w:kern w:val="2"/>
          <w:sz w:val="21"/>
          <w:highlight w:val="none"/>
        </w:rPr>
        <w:t>（5）风险处置措施和替代方案</w:t>
      </w:r>
      <w:r>
        <w:rPr>
          <w:rFonts w:hint="default" w:ascii="Times New Roman" w:hAnsi="Times New Roman" w:eastAsia="宋体" w:cs="Times New Roman"/>
          <w:b/>
          <w:color w:val="000000"/>
          <w:kern w:val="2"/>
          <w:sz w:val="21"/>
          <w:highlight w:val="none"/>
          <w:lang w:eastAsia="zh-CN"/>
        </w:rPr>
        <w:t>：</w:t>
      </w:r>
      <w:r>
        <w:rPr>
          <w:rFonts w:hint="default" w:ascii="Times New Roman" w:hAnsi="Times New Roman" w:eastAsia="宋体" w:cs="Times New Roman"/>
          <w:b/>
          <w:color w:val="000000"/>
          <w:highlight w:val="none"/>
          <w:u w:val="single"/>
        </w:rPr>
        <w:t xml:space="preserve">  a.本合同附件1所列的货物在在安装调试测试完成之前的货物灭失风险由</w:t>
      </w:r>
      <w:r>
        <w:rPr>
          <w:rFonts w:hint="default" w:ascii="Times New Roman" w:hAnsi="Times New Roman" w:eastAsia="宋体" w:cs="Times New Roman"/>
          <w:b/>
          <w:color w:val="000000"/>
          <w:highlight w:val="none"/>
          <w:u w:val="single"/>
          <w:lang w:eastAsia="zh-CN"/>
        </w:rPr>
        <w:t>乙方</w:t>
      </w:r>
      <w:r>
        <w:rPr>
          <w:rFonts w:hint="default" w:ascii="Times New Roman" w:hAnsi="Times New Roman" w:eastAsia="宋体" w:cs="Times New Roman"/>
          <w:b/>
          <w:color w:val="000000"/>
          <w:highlight w:val="none"/>
          <w:u w:val="single"/>
        </w:rPr>
        <w:t>负责；b.</w:t>
      </w:r>
      <w:r>
        <w:rPr>
          <w:rFonts w:hint="default" w:ascii="Times New Roman" w:hAnsi="Times New Roman" w:eastAsia="宋体" w:cs="Times New Roman"/>
          <w:b/>
          <w:color w:val="000000"/>
          <w:highlight w:val="none"/>
          <w:u w:val="single"/>
          <w:lang w:eastAsia="zh-CN"/>
        </w:rPr>
        <w:t>乙方</w:t>
      </w:r>
      <w:r>
        <w:rPr>
          <w:rFonts w:hint="default" w:ascii="Times New Roman" w:hAnsi="Times New Roman" w:eastAsia="宋体" w:cs="Times New Roman"/>
          <w:b/>
          <w:color w:val="000000"/>
          <w:highlight w:val="none"/>
          <w:u w:val="single"/>
        </w:rPr>
        <w:t>可对途中运输的货物向保险公司投保商业保险，保险费用由</w:t>
      </w:r>
      <w:r>
        <w:rPr>
          <w:rFonts w:hint="default" w:ascii="Times New Roman" w:hAnsi="Times New Roman" w:eastAsia="宋体" w:cs="Times New Roman"/>
          <w:b/>
          <w:color w:val="000000"/>
          <w:highlight w:val="none"/>
          <w:u w:val="single"/>
          <w:lang w:eastAsia="zh-CN"/>
        </w:rPr>
        <w:t>乙方</w:t>
      </w:r>
      <w:r>
        <w:rPr>
          <w:rFonts w:hint="default" w:ascii="Times New Roman" w:hAnsi="Times New Roman" w:eastAsia="宋体" w:cs="Times New Roman"/>
          <w:b/>
          <w:color w:val="000000"/>
          <w:highlight w:val="none"/>
          <w:u w:val="single"/>
        </w:rPr>
        <w:t>承担。</w:t>
      </w:r>
      <w:r>
        <w:rPr>
          <w:rFonts w:hint="default" w:ascii="Times New Roman" w:hAnsi="Times New Roman" w:eastAsia="宋体" w:cs="Times New Roman"/>
          <w:color w:val="000000"/>
          <w:highlight w:val="none"/>
          <w:u w:val="single"/>
        </w:rPr>
        <w:t xml:space="preserve"> </w:t>
      </w:r>
    </w:p>
    <w:p w14:paraId="56BCB62D">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合同验收</w:t>
      </w:r>
    </w:p>
    <w:p w14:paraId="25CF36D0">
      <w:pPr>
        <w:numPr>
          <w:ilvl w:val="0"/>
          <w:numId w:val="8"/>
        </w:numPr>
        <w:adjustRightInd w:val="0"/>
        <w:snapToGrid w:val="0"/>
        <w:spacing w:line="400" w:lineRule="exact"/>
        <w:ind w:firstLine="420" w:firstLineChars="200"/>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验收组织方式</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bCs/>
          <w:color w:val="000000"/>
          <w:szCs w:val="21"/>
          <w:highlight w:val="none"/>
        </w:rPr>
        <w:t>自行组织</w:t>
      </w:r>
    </w:p>
    <w:p w14:paraId="6A9D81D3">
      <w:pPr>
        <w:adjustRightInd w:val="0"/>
        <w:snapToGrid w:val="0"/>
        <w:spacing w:line="400" w:lineRule="exact"/>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 xml:space="preserve">         验收主体</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bCs/>
          <w:color w:val="000000"/>
          <w:szCs w:val="21"/>
          <w:highlight w:val="none"/>
          <w:u w:val="single"/>
        </w:rPr>
        <w:t xml:space="preserve"> </w:t>
      </w:r>
      <w:r>
        <w:rPr>
          <w:rFonts w:hint="default" w:ascii="Times New Roman" w:hAnsi="Times New Roman" w:cs="Times New Roman"/>
          <w:bCs/>
          <w:color w:val="000000"/>
          <w:szCs w:val="21"/>
          <w:highlight w:val="none"/>
          <w:u w:val="single"/>
          <w:lang w:val="en-US" w:eastAsia="zh-CN"/>
        </w:rPr>
        <w:t>河南省科学院激光制造研究所</w:t>
      </w:r>
      <w:r>
        <w:rPr>
          <w:rFonts w:hint="default" w:ascii="Times New Roman" w:hAnsi="Times New Roman" w:eastAsia="宋体" w:cs="Times New Roman"/>
          <w:bCs/>
          <w:color w:val="000000"/>
          <w:szCs w:val="21"/>
          <w:highlight w:val="none"/>
          <w:u w:val="single"/>
        </w:rPr>
        <w:t xml:space="preserve"> </w:t>
      </w:r>
    </w:p>
    <w:p w14:paraId="4267974C">
      <w:pPr>
        <w:adjustRightInd w:val="0"/>
        <w:snapToGrid w:val="0"/>
        <w:spacing w:line="400" w:lineRule="exact"/>
        <w:ind w:firstLine="420" w:firstLineChars="200"/>
        <w:rPr>
          <w:rFonts w:hint="default" w:ascii="Times New Roman" w:hAnsi="Times New Roman" w:eastAsia="宋体" w:cs="Times New Roman"/>
          <w:bCs/>
          <w:color w:val="000000"/>
          <w:szCs w:val="21"/>
          <w:highlight w:val="none"/>
          <w:u w:val="single"/>
        </w:rPr>
      </w:pPr>
      <w:r>
        <w:rPr>
          <w:rFonts w:hint="default" w:ascii="Times New Roman" w:hAnsi="Times New Roman" w:eastAsia="宋体" w:cs="Times New Roman"/>
          <w:bCs/>
          <w:color w:val="000000"/>
          <w:szCs w:val="21"/>
          <w:highlight w:val="none"/>
        </w:rPr>
        <w:t>（2）履约验收时间</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bCs/>
          <w:color w:val="000000"/>
          <w:szCs w:val="21"/>
          <w:highlight w:val="none"/>
          <w:u w:val="single"/>
        </w:rPr>
        <w:t xml:space="preserve">（设备安装调试完成后1个月内） </w:t>
      </w:r>
    </w:p>
    <w:p w14:paraId="6E368B52">
      <w:pPr>
        <w:adjustRightInd w:val="0"/>
        <w:snapToGrid w:val="0"/>
        <w:spacing w:line="400" w:lineRule="exact"/>
        <w:ind w:firstLine="420" w:firstLineChars="200"/>
        <w:rPr>
          <w:rFonts w:hint="default" w:ascii="Times New Roman" w:hAnsi="Times New Roman" w:eastAsia="宋体" w:cs="Times New Roman"/>
          <w:bCs/>
          <w:color w:val="000000"/>
          <w:szCs w:val="21"/>
          <w:highlight w:val="none"/>
          <w:u w:val="single"/>
          <w:lang w:eastAsia="zh-CN"/>
        </w:rPr>
      </w:pPr>
      <w:r>
        <w:rPr>
          <w:rFonts w:hint="default" w:ascii="Times New Roman" w:hAnsi="Times New Roman" w:eastAsia="宋体" w:cs="Times New Roman"/>
          <w:bCs/>
          <w:color w:val="000000"/>
          <w:szCs w:val="21"/>
          <w:highlight w:val="none"/>
        </w:rPr>
        <w:t>（3）履约验收方式</w:t>
      </w:r>
      <w:r>
        <w:rPr>
          <w:rFonts w:hint="default" w:ascii="Times New Roman" w:hAnsi="Times New Roman" w:eastAsia="宋体" w:cs="Times New Roman"/>
          <w:bCs/>
          <w:color w:val="000000"/>
          <w:szCs w:val="21"/>
          <w:highlight w:val="none"/>
          <w:u w:val="none"/>
        </w:rPr>
        <w:t>和程序</w:t>
      </w:r>
      <w:r>
        <w:rPr>
          <w:rFonts w:hint="default" w:ascii="Times New Roman" w:hAnsi="Times New Roman" w:cs="Times New Roman"/>
          <w:bCs/>
          <w:color w:val="000000"/>
          <w:szCs w:val="21"/>
          <w:highlight w:val="none"/>
          <w:lang w:eastAsia="zh-CN"/>
        </w:rPr>
        <w:t>：</w:t>
      </w:r>
    </w:p>
    <w:p w14:paraId="033C1AAD">
      <w:pPr>
        <w:adjustRightInd w:val="0"/>
        <w:snapToGrid w:val="0"/>
        <w:spacing w:line="400" w:lineRule="exact"/>
        <w:ind w:firstLine="420" w:firstLineChars="200"/>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u w:val="single"/>
        </w:rPr>
        <w:t>技术性验收</w:t>
      </w:r>
      <w:r>
        <w:rPr>
          <w:rFonts w:hint="default" w:ascii="Times New Roman" w:hAnsi="Times New Roman" w:cs="Times New Roman"/>
          <w:bCs/>
          <w:color w:val="000000"/>
          <w:szCs w:val="21"/>
          <w:highlight w:val="none"/>
          <w:u w:val="single"/>
          <w:lang w:eastAsia="zh-CN"/>
        </w:rPr>
        <w:t>：</w:t>
      </w:r>
      <w:r>
        <w:rPr>
          <w:rFonts w:hint="default" w:ascii="Times New Roman" w:hAnsi="Times New Roman" w:eastAsia="宋体" w:cs="Times New Roman"/>
          <w:bCs/>
          <w:color w:val="000000"/>
          <w:szCs w:val="21"/>
          <w:highlight w:val="none"/>
          <w:u w:val="single"/>
        </w:rPr>
        <w:t>接</w:t>
      </w:r>
      <w:r>
        <w:rPr>
          <w:rFonts w:hint="default" w:ascii="Times New Roman" w:hAnsi="Times New Roman" w:cs="Times New Roman"/>
          <w:bCs/>
          <w:color w:val="000000"/>
          <w:szCs w:val="21"/>
          <w:highlight w:val="none"/>
          <w:u w:val="single"/>
          <w:lang w:val="en-US" w:eastAsia="zh-CN"/>
        </w:rPr>
        <w:t>乙方</w:t>
      </w:r>
      <w:r>
        <w:rPr>
          <w:rFonts w:hint="default" w:ascii="Times New Roman" w:hAnsi="Times New Roman" w:eastAsia="宋体" w:cs="Times New Roman"/>
          <w:bCs/>
          <w:color w:val="000000"/>
          <w:szCs w:val="21"/>
          <w:highlight w:val="none"/>
          <w:u w:val="single"/>
        </w:rPr>
        <w:t>通知后，</w:t>
      </w:r>
      <w:r>
        <w:rPr>
          <w:rFonts w:hint="default" w:ascii="Times New Roman" w:hAnsi="Times New Roman" w:cs="Times New Roman"/>
          <w:bCs/>
          <w:color w:val="000000"/>
          <w:szCs w:val="21"/>
          <w:highlight w:val="none"/>
          <w:u w:val="single"/>
          <w:lang w:val="en-US" w:eastAsia="zh-CN"/>
        </w:rPr>
        <w:t>甲方</w:t>
      </w:r>
      <w:r>
        <w:rPr>
          <w:rFonts w:hint="default" w:ascii="Times New Roman" w:hAnsi="Times New Roman" w:eastAsia="宋体" w:cs="Times New Roman"/>
          <w:bCs/>
          <w:color w:val="000000"/>
          <w:szCs w:val="21"/>
          <w:highlight w:val="none"/>
          <w:u w:val="single"/>
        </w:rPr>
        <w:t>根据合同、招标文件、投标文件对相关货物数量（规模）和仪器设备安装调试及使用人员情况进行验收、对设备运行是否能够满足采购需求进行现场测试。符合性验收</w:t>
      </w:r>
      <w:r>
        <w:rPr>
          <w:rFonts w:hint="default" w:ascii="Times New Roman" w:hAnsi="Times New Roman" w:cs="Times New Roman"/>
          <w:bCs/>
          <w:color w:val="000000"/>
          <w:szCs w:val="21"/>
          <w:highlight w:val="none"/>
          <w:u w:val="single"/>
          <w:lang w:eastAsia="zh-CN"/>
        </w:rPr>
        <w:t>：</w:t>
      </w:r>
      <w:r>
        <w:rPr>
          <w:rFonts w:hint="default" w:ascii="Times New Roman" w:hAnsi="Times New Roman" w:eastAsia="宋体" w:cs="Times New Roman"/>
          <w:bCs/>
          <w:color w:val="000000"/>
          <w:szCs w:val="21"/>
          <w:highlight w:val="none"/>
          <w:u w:val="single"/>
        </w:rPr>
        <w:t>技术性验收合格后，在技术性验收报告的基础上进行的实地、实物符合性验收。</w:t>
      </w:r>
    </w:p>
    <w:p w14:paraId="6E539282">
      <w:pPr>
        <w:adjustRightInd w:val="0"/>
        <w:snapToGrid w:val="0"/>
        <w:spacing w:line="400" w:lineRule="exact"/>
        <w:ind w:firstLine="420" w:firstLineChars="200"/>
        <w:rPr>
          <w:rFonts w:hint="default" w:ascii="Times New Roman" w:hAnsi="Times New Roman" w:eastAsia="宋体" w:cs="Times New Roman"/>
          <w:bCs/>
          <w:color w:val="000000"/>
          <w:szCs w:val="21"/>
          <w:highlight w:val="none"/>
          <w:u w:val="single"/>
        </w:rPr>
      </w:pPr>
      <w:r>
        <w:rPr>
          <w:rFonts w:hint="default" w:ascii="Times New Roman" w:hAnsi="Times New Roman" w:eastAsia="宋体" w:cs="Times New Roman"/>
          <w:bCs/>
          <w:color w:val="000000"/>
          <w:szCs w:val="21"/>
          <w:highlight w:val="none"/>
        </w:rPr>
        <w:t>（4）履约验收的内容</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bCs/>
          <w:color w:val="000000"/>
          <w:szCs w:val="21"/>
          <w:highlight w:val="none"/>
          <w:u w:val="single"/>
        </w:rPr>
        <w:t xml:space="preserve"> 合同、投标文件、招标文件货物数量、技术规格以及商务服务要求。</w:t>
      </w:r>
    </w:p>
    <w:p w14:paraId="23A8796D">
      <w:pPr>
        <w:adjustRightInd w:val="0"/>
        <w:snapToGrid w:val="0"/>
        <w:spacing w:line="400" w:lineRule="exact"/>
        <w:ind w:firstLine="420" w:firstLineChars="200"/>
        <w:rPr>
          <w:rFonts w:hint="default" w:ascii="Times New Roman" w:hAnsi="Times New Roman" w:eastAsia="宋体" w:cs="Times New Roman"/>
          <w:bCs/>
          <w:color w:val="000000"/>
          <w:szCs w:val="21"/>
          <w:highlight w:val="none"/>
          <w:u w:val="single"/>
        </w:rPr>
      </w:pPr>
      <w:r>
        <w:rPr>
          <w:rFonts w:hint="default" w:ascii="Times New Roman" w:hAnsi="Times New Roman" w:eastAsia="宋体" w:cs="Times New Roman"/>
          <w:bCs/>
          <w:color w:val="000000"/>
          <w:szCs w:val="21"/>
          <w:highlight w:val="none"/>
        </w:rPr>
        <w:t>（5）履约验收标准</w:t>
      </w:r>
      <w:r>
        <w:rPr>
          <w:rFonts w:hint="default" w:ascii="Times New Roman" w:hAnsi="Times New Roman" w:cs="Times New Roman"/>
          <w:bCs/>
          <w:color w:val="000000"/>
          <w:szCs w:val="21"/>
          <w:highlight w:val="none"/>
          <w:lang w:eastAsia="zh-CN"/>
        </w:rPr>
        <w:t>：</w:t>
      </w:r>
      <w:r>
        <w:rPr>
          <w:rFonts w:hint="default" w:ascii="Times New Roman" w:hAnsi="Times New Roman" w:eastAsia="宋体" w:cs="Times New Roman"/>
          <w:bCs/>
          <w:color w:val="000000"/>
          <w:szCs w:val="21"/>
          <w:highlight w:val="none"/>
          <w:u w:val="single"/>
        </w:rPr>
        <w:t xml:space="preserve"> 满足国家有关规定，符合合同、投标文件、招标文件货物数量、技术规格以及商务服务要求。 </w:t>
      </w:r>
    </w:p>
    <w:p w14:paraId="0F19D430">
      <w:pPr>
        <w:adjustRightInd w:val="0"/>
        <w:snapToGrid w:val="0"/>
        <w:spacing w:line="400" w:lineRule="exact"/>
        <w:ind w:firstLine="420" w:firstLineChars="200"/>
        <w:rPr>
          <w:rFonts w:hint="default" w:ascii="Times New Roman" w:hAnsi="Times New Roman" w:eastAsia="宋体" w:cs="Times New Roman"/>
          <w:bCs/>
          <w:color w:val="000000"/>
          <w:szCs w:val="21"/>
          <w:highlight w:val="none"/>
          <w:u w:val="single"/>
        </w:rPr>
      </w:pPr>
      <w:r>
        <w:rPr>
          <w:rFonts w:hint="default" w:ascii="Times New Roman" w:hAnsi="Times New Roman" w:eastAsia="宋体" w:cs="Times New Roman"/>
          <w:bCs/>
          <w:color w:val="000000"/>
          <w:szCs w:val="21"/>
          <w:highlight w:val="none"/>
        </w:rPr>
        <w:t>（6）履约验收其他事项</w:t>
      </w:r>
      <w:r>
        <w:rPr>
          <w:rFonts w:hint="default" w:ascii="Times New Roman" w:hAnsi="Times New Roman" w:cs="Times New Roman"/>
          <w:bCs/>
          <w:color w:val="000000"/>
          <w:szCs w:val="21"/>
          <w:highlight w:val="none"/>
          <w:lang w:eastAsia="zh-CN"/>
        </w:rPr>
        <w:t>：</w:t>
      </w:r>
      <w:r>
        <w:rPr>
          <w:rFonts w:hint="default" w:ascii="Times New Roman" w:hAnsi="Times New Roman" w:cs="Times New Roman"/>
          <w:bCs/>
          <w:color w:val="000000"/>
          <w:szCs w:val="21"/>
          <w:highlight w:val="none"/>
          <w:u w:val="single"/>
          <w:lang w:val="en-US" w:eastAsia="zh-CN"/>
        </w:rPr>
        <w:t>甲方</w:t>
      </w:r>
      <w:r>
        <w:rPr>
          <w:rFonts w:hint="default" w:ascii="Times New Roman" w:hAnsi="Times New Roman" w:eastAsia="宋体" w:cs="Times New Roman"/>
          <w:bCs/>
          <w:color w:val="000000"/>
          <w:szCs w:val="21"/>
          <w:highlight w:val="none"/>
          <w:u w:val="single"/>
        </w:rPr>
        <w:t>根据国家有关规定、招标文件、中标人的投标文件以及合同约定的内容和验收标准进行验收，</w:t>
      </w:r>
      <w:r>
        <w:rPr>
          <w:rFonts w:hint="default" w:ascii="Times New Roman" w:hAnsi="Times New Roman" w:cs="Times New Roman"/>
          <w:bCs/>
          <w:color w:val="000000"/>
          <w:szCs w:val="21"/>
          <w:highlight w:val="none"/>
          <w:u w:val="single"/>
          <w:lang w:val="en-US" w:eastAsia="zh-CN"/>
        </w:rPr>
        <w:t>甲方</w:t>
      </w:r>
      <w:r>
        <w:rPr>
          <w:rFonts w:hint="default" w:ascii="Times New Roman" w:hAnsi="Times New Roman" w:eastAsia="宋体" w:cs="Times New Roman"/>
          <w:bCs/>
          <w:color w:val="000000"/>
          <w:szCs w:val="21"/>
          <w:highlight w:val="none"/>
          <w:u w:val="single"/>
        </w:rPr>
        <w:t>可以视项目情况邀请第三方机构或者参加本项目投标的落标人参与验收。验收情况作为支付货款的依据。如有异议，以相关质量技术检验检测机构的检验结果为准，如产生检验检测费用，则该费用由过失方承担。</w:t>
      </w:r>
    </w:p>
    <w:p w14:paraId="34107A3A">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组成合同的文件</w:t>
      </w:r>
    </w:p>
    <w:p w14:paraId="7DEDEE02">
      <w:pPr>
        <w:adjustRightInd w:val="0"/>
        <w:snapToGrid w:val="0"/>
        <w:spacing w:line="400" w:lineRule="exact"/>
        <w:ind w:firstLine="420" w:firstLineChars="200"/>
        <w:rPr>
          <w:rFonts w:hint="default" w:ascii="Times New Roman" w:hAnsi="Times New Roman" w:eastAsia="宋体" w:cs="Times New Roman"/>
          <w:color w:val="000000"/>
          <w:szCs w:val="21"/>
          <w:highlight w:val="none"/>
          <w:lang w:eastAsia="zh-CN"/>
        </w:rPr>
      </w:pPr>
      <w:r>
        <w:rPr>
          <w:rFonts w:hint="default" w:ascii="Times New Roman" w:hAnsi="Times New Roman" w:eastAsia="宋体" w:cs="Times New Roman"/>
          <w:color w:val="000000"/>
          <w:szCs w:val="21"/>
          <w:highlight w:val="none"/>
        </w:rPr>
        <w:t>本协议书与下列文件一起构成合同文件，如下述文件之间有任何抵触、矛盾或歧义，应按以下顺序解释</w:t>
      </w:r>
      <w:r>
        <w:rPr>
          <w:rFonts w:hint="default" w:ascii="Times New Roman" w:hAnsi="Times New Roman" w:cs="Times New Roman"/>
          <w:color w:val="000000"/>
          <w:szCs w:val="21"/>
          <w:highlight w:val="none"/>
          <w:lang w:eastAsia="zh-CN"/>
        </w:rPr>
        <w:t>：</w:t>
      </w:r>
    </w:p>
    <w:p w14:paraId="23619DEF">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（1）政府采购合同协议书及其变更、补充协议</w:t>
      </w:r>
    </w:p>
    <w:p w14:paraId="122128AF">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（2）政府采购合同专用条款</w:t>
      </w:r>
    </w:p>
    <w:p w14:paraId="6E2DE04E">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（3）政府采购合同通用条款</w:t>
      </w:r>
    </w:p>
    <w:p w14:paraId="6B49ADF3">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（4）中标（成交）通知书</w:t>
      </w:r>
    </w:p>
    <w:p w14:paraId="45D21007">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（5）投标（响应）文件</w:t>
      </w:r>
    </w:p>
    <w:p w14:paraId="6C915D20">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（6）采购文件</w:t>
      </w:r>
    </w:p>
    <w:p w14:paraId="0B6918B8">
      <w:pPr>
        <w:adjustRightInd w:val="0"/>
        <w:snapToGrid w:val="0"/>
        <w:spacing w:line="400" w:lineRule="exact"/>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（7）有关技术文件，图纸</w:t>
      </w:r>
    </w:p>
    <w:p w14:paraId="4C5C1331">
      <w:pPr>
        <w:pStyle w:val="94"/>
        <w:ind w:firstLine="420"/>
        <w:rPr>
          <w:rFonts w:hint="default" w:ascii="Times New Roman" w:hAnsi="Times New Roman" w:eastAsia="宋体" w:cs="Times New Roman"/>
          <w:color w:val="000000"/>
          <w:kern w:val="2"/>
          <w:sz w:val="21"/>
          <w:highlight w:val="none"/>
        </w:rPr>
      </w:pPr>
      <w:r>
        <w:rPr>
          <w:rFonts w:hint="default" w:ascii="Times New Roman" w:hAnsi="Times New Roman" w:eastAsia="宋体" w:cs="Times New Roman"/>
          <w:color w:val="000000"/>
          <w:sz w:val="21"/>
          <w:highlight w:val="none"/>
        </w:rPr>
        <w:t>（8）</w:t>
      </w:r>
      <w:r>
        <w:rPr>
          <w:rFonts w:hint="default" w:ascii="Times New Roman" w:hAnsi="Times New Roman" w:eastAsia="宋体" w:cs="Times New Roman"/>
          <w:color w:val="000000"/>
          <w:kern w:val="2"/>
          <w:sz w:val="21"/>
          <w:highlight w:val="none"/>
        </w:rPr>
        <w:t>国家法律、行政法规和规章制度规定或合同约定的作为合同组成部分的其他文件</w:t>
      </w:r>
    </w:p>
    <w:p w14:paraId="47FDC205">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合同的履行、变更和解除</w:t>
      </w:r>
    </w:p>
    <w:p w14:paraId="47F189A5">
      <w:pPr>
        <w:pStyle w:val="76"/>
        <w:spacing w:line="360" w:lineRule="auto"/>
        <w:ind w:firstLine="420" w:firstLineChars="200"/>
        <w:jc w:val="both"/>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（1）合同签订后并经甲方备案通过即具法律效力，甲乙双方均须认真履行，不得随意解除合同，如甲方备案未能通过的，双方应就本协议另行约定处理方案。</w:t>
      </w:r>
    </w:p>
    <w:p w14:paraId="3CC83332">
      <w:pPr>
        <w:pStyle w:val="76"/>
        <w:spacing w:line="360" w:lineRule="auto"/>
        <w:ind w:firstLine="420" w:firstLineChars="200"/>
        <w:jc w:val="both"/>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（2）甲乙双方不得擅自变更合同。如因项目实际情况确需变更，须经双方书面认可方可变更并备案通过后生效。</w:t>
      </w:r>
    </w:p>
    <w:p w14:paraId="2CE9D31B">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违约责任</w:t>
      </w:r>
    </w:p>
    <w:p w14:paraId="748CFF15">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（1）除如因战争、严重火灾、水灾、台风、地震和其他甲乙双方认可的不可抗力事件外，甲乙双方不得随意解除合同，否则按违约处理。</w:t>
      </w:r>
    </w:p>
    <w:p w14:paraId="2B33EF6F">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乙方提供的货物（设备）不符合合同约定的质量标准或存在产品质量缺陷，甲方有权要求乙方及时修理、重作、更换，乙方应承担因此而发生的一切费用，同时甲方有权拒收并追究乙方责任。因乙方更换而造成逾期交货，则按逾期交货处理。</w:t>
      </w:r>
    </w:p>
    <w:p w14:paraId="69454FAD">
      <w:pPr>
        <w:pStyle w:val="94"/>
        <w:spacing w:line="360" w:lineRule="auto"/>
        <w:ind w:firstLine="420"/>
        <w:rPr>
          <w:rFonts w:hint="default" w:ascii="Times New Roman" w:hAnsi="Times New Roman" w:eastAsia="宋体" w:cs="Times New Roman"/>
          <w:color w:val="000000"/>
          <w:kern w:val="2"/>
          <w:sz w:val="21"/>
          <w:highlight w:val="none"/>
        </w:rPr>
      </w:pPr>
      <w:r>
        <w:rPr>
          <w:rFonts w:hint="default" w:ascii="Times New Roman" w:hAnsi="Times New Roman" w:eastAsia="宋体" w:cs="Times New Roman"/>
          <w:color w:val="000000"/>
          <w:kern w:val="2"/>
          <w:sz w:val="21"/>
          <w:highlight w:val="none"/>
        </w:rPr>
        <w:t>（3）乙方应保证货物（设备）由原厂生产的全新产品，无侵权行为，表面无划痕、无任何缺陷隐患，在中国境内可依常规安全合法使用，</w:t>
      </w:r>
      <w:r>
        <w:rPr>
          <w:rFonts w:hint="default" w:ascii="Times New Roman" w:hAnsi="Times New Roman" w:eastAsia="宋体" w:cs="Times New Roman"/>
          <w:b/>
          <w:bCs/>
          <w:color w:val="000000"/>
          <w:kern w:val="2"/>
          <w:sz w:val="21"/>
          <w:highlight w:val="none"/>
        </w:rPr>
        <w:t>乙方应保证进货渠道的合法性。</w:t>
      </w:r>
      <w:r>
        <w:rPr>
          <w:rFonts w:hint="default" w:ascii="Times New Roman" w:hAnsi="Times New Roman" w:eastAsia="宋体" w:cs="Times New Roman"/>
          <w:color w:val="000000"/>
          <w:kern w:val="2"/>
          <w:sz w:val="21"/>
          <w:highlight w:val="none"/>
        </w:rPr>
        <w:t>一经发现存在上述问题，甲方有权要求按照货物（设备）原值退货退款，乙方需承担由此产生的一切费用和损失。</w:t>
      </w:r>
    </w:p>
    <w:p w14:paraId="0C235AB2">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（4）乙方应按照本合同规定的时间、地点交货和提供相关服务。在履行合同过程中，如遇不可抗力，</w:t>
      </w:r>
      <w:r>
        <w:rPr>
          <w:rFonts w:hint="default" w:ascii="Times New Roman" w:hAnsi="Times New Roman" w:eastAsia="宋体" w:cs="Times New Roman"/>
          <w:b/>
          <w:bCs/>
          <w:color w:val="000000"/>
          <w:szCs w:val="21"/>
          <w:highlight w:val="none"/>
        </w:rPr>
        <w:t>应及时以书面形式将迟延的事实、可能迟延的期限和理由通知甲方</w:t>
      </w:r>
      <w:r>
        <w:rPr>
          <w:rFonts w:hint="default" w:ascii="Times New Roman" w:hAnsi="Times New Roman" w:eastAsia="宋体" w:cs="Times New Roman"/>
          <w:color w:val="000000"/>
          <w:szCs w:val="21"/>
          <w:highlight w:val="none"/>
        </w:rPr>
        <w:t>。</w:t>
      </w:r>
    </w:p>
    <w:p w14:paraId="66093CAE">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（5）无正当理由逾期交付货物（供货、安装调试完毕），每逾期1周（7日）乙方向甲方偿付逾期交货部分货款总额的5‰的违约金，不足1周（7天）的按日折算，乙方需在3日内将违约金支付给甲方。</w:t>
      </w:r>
    </w:p>
    <w:p w14:paraId="35BA55CE">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6）如乙方逾期交付货物（供货、安装调试完毕）达70天。甲方有权单方解除合同，甲方解除合同通知自到达乙方时生效。乙方向甲方偿付合同总额5%的违约金，乙方需在3日内将违约金支付给甲方，并退还甲方已支付的预付款。</w:t>
      </w:r>
    </w:p>
    <w:p w14:paraId="433F5D5C">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验收过程中，甲乙双方因质量问题发生争议，由甲方所在地或上一级质量技术鉴定单位进行质量鉴定。经鉴定质量合格，鉴定费由甲方承担；鉴定质量不合格，鉴定费用由乙方承担。鉴定质量不合格的，甲方有权拒收、有权单方解除合同并要求乙方赔偿因此造成的一切损失，乙方应在3日内向甲方偿付合同总额5%的违约金，并退还甲方已支付的预付款。在此情况下，乙方给甲方造成的实际损失高于违约金的，对高出违约金的部分乙方应予以赔偿。</w:t>
      </w:r>
    </w:p>
    <w:p w14:paraId="7282A882">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（8）当违约金超过履约保证金时，超过部分甲方有权从合同总价款中扣除，用于补偿违约金不足的部分。</w:t>
      </w:r>
    </w:p>
    <w:p w14:paraId="2C75AB25">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合同争议的解决</w:t>
      </w:r>
    </w:p>
    <w:p w14:paraId="04BEFAB9">
      <w:pPr>
        <w:tabs>
          <w:tab w:val="left" w:pos="630"/>
        </w:tabs>
        <w:spacing w:line="360" w:lineRule="auto"/>
        <w:ind w:firstLine="420" w:firstLineChars="200"/>
        <w:rPr>
          <w:rFonts w:hint="default" w:ascii="Times New Roman" w:hAnsi="Times New Roman" w:eastAsia="宋体" w:cs="Times New Roman"/>
          <w:color w:val="000000"/>
          <w:szCs w:val="21"/>
          <w:highlight w:val="none"/>
          <w:lang w:eastAsia="zh-CN"/>
        </w:rPr>
      </w:pPr>
      <w:r>
        <w:rPr>
          <w:rFonts w:hint="default" w:ascii="Times New Roman" w:hAnsi="Times New Roman" w:eastAsia="宋体" w:cs="Times New Roman"/>
          <w:color w:val="000000"/>
          <w:szCs w:val="21"/>
          <w:highlight w:val="none"/>
        </w:rPr>
        <w:t>本合同履行过程中发生的任何争议，双方当事人均可通过和解或者调解解决；不愿和解、调解或者和解、调解不成的，可以选择下列第</w:t>
      </w:r>
      <w:r>
        <w:rPr>
          <w:rFonts w:hint="default" w:ascii="Times New Roman" w:hAnsi="Times New Roman" w:eastAsia="宋体" w:cs="Times New Roman"/>
          <w:color w:val="000000"/>
          <w:szCs w:val="21"/>
          <w:highlight w:val="none"/>
          <w:u w:val="single"/>
        </w:rPr>
        <w:t xml:space="preserve"> （2） </w:t>
      </w:r>
      <w:r>
        <w:rPr>
          <w:rFonts w:hint="default" w:ascii="Times New Roman" w:hAnsi="Times New Roman" w:eastAsia="宋体" w:cs="Times New Roman"/>
          <w:color w:val="000000"/>
          <w:szCs w:val="21"/>
          <w:highlight w:val="none"/>
        </w:rPr>
        <w:t>种方式解决</w:t>
      </w:r>
      <w:r>
        <w:rPr>
          <w:rFonts w:hint="default" w:ascii="Times New Roman" w:hAnsi="Times New Roman" w:cs="Times New Roman"/>
          <w:color w:val="000000"/>
          <w:szCs w:val="21"/>
          <w:highlight w:val="none"/>
          <w:lang w:eastAsia="zh-CN"/>
        </w:rPr>
        <w:t>：</w:t>
      </w:r>
    </w:p>
    <w:p w14:paraId="43573866">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 将争议提交</w:t>
      </w:r>
      <w:r>
        <w:rPr>
          <w:rFonts w:hint="default" w:ascii="Times New Roman" w:hAnsi="Times New Roman" w:eastAsia="宋体" w:cs="Times New Roman"/>
          <w:color w:val="000000"/>
          <w:szCs w:val="21"/>
          <w:highlight w:val="none"/>
          <w:u w:val="single"/>
        </w:rPr>
        <w:t xml:space="preserve">  /  </w:t>
      </w:r>
      <w:r>
        <w:rPr>
          <w:rFonts w:hint="default" w:ascii="Times New Roman" w:hAnsi="Times New Roman" w:eastAsia="宋体" w:cs="Times New Roman"/>
          <w:color w:val="000000"/>
          <w:szCs w:val="21"/>
          <w:highlight w:val="none"/>
        </w:rPr>
        <w:t>仲裁委员会依申请仲裁时其现行有效的仲裁规则裁决；</w:t>
      </w:r>
    </w:p>
    <w:p w14:paraId="5B3D148A">
      <w:pPr>
        <w:tabs>
          <w:tab w:val="left" w:pos="630"/>
        </w:tabs>
        <w:spacing w:line="360" w:lineRule="auto"/>
        <w:ind w:firstLine="420" w:firstLineChars="20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 向</w:t>
      </w:r>
      <w:r>
        <w:rPr>
          <w:rFonts w:hint="eastAsia" w:cs="Times New Roman"/>
          <w:color w:val="auto"/>
          <w:szCs w:val="21"/>
          <w:highlight w:val="none"/>
          <w:u w:val="single"/>
          <w:lang w:val="en-US" w:eastAsia="zh-CN"/>
        </w:rPr>
        <w:t>合同履行地</w:t>
      </w:r>
      <w:r>
        <w:rPr>
          <w:rFonts w:hint="default" w:ascii="Times New Roman" w:hAnsi="Times New Roman" w:eastAsia="宋体" w:cs="Times New Roman"/>
          <w:color w:val="000000"/>
          <w:szCs w:val="21"/>
          <w:highlight w:val="none"/>
        </w:rPr>
        <w:t>人民法院起诉。</w:t>
      </w:r>
    </w:p>
    <w:p w14:paraId="103EDC27">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合同生效</w:t>
      </w:r>
    </w:p>
    <w:p w14:paraId="3E2FA3DB">
      <w:pPr>
        <w:tabs>
          <w:tab w:val="left" w:pos="630"/>
        </w:tabs>
        <w:spacing w:line="360" w:lineRule="auto"/>
        <w:ind w:firstLine="420"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color w:val="000000"/>
          <w:szCs w:val="21"/>
          <w:highlight w:val="none"/>
        </w:rPr>
        <w:t>本合同自</w:t>
      </w:r>
      <w:r>
        <w:rPr>
          <w:rFonts w:hint="default" w:ascii="Times New Roman" w:hAnsi="Times New Roman" w:eastAsia="宋体" w:cs="Times New Roman"/>
          <w:color w:val="000000"/>
          <w:szCs w:val="21"/>
          <w:highlight w:val="none"/>
          <w:lang w:val="en-US" w:eastAsia="zh-CN"/>
        </w:rPr>
        <w:t>双方当事人签字加盖单位印章并经甲方备案通过后生效</w:t>
      </w:r>
      <w:r>
        <w:rPr>
          <w:rFonts w:hint="default" w:ascii="Times New Roman" w:hAnsi="Times New Roman" w:eastAsia="宋体" w:cs="Times New Roman"/>
          <w:color w:val="000000"/>
          <w:szCs w:val="21"/>
          <w:highlight w:val="none"/>
        </w:rPr>
        <w:t>（如授权代表代为签字，应将《授权委托书》作为附件）。</w:t>
      </w:r>
    </w:p>
    <w:p w14:paraId="7DC7F1DB">
      <w:pPr>
        <w:numPr>
          <w:ilvl w:val="0"/>
          <w:numId w:val="5"/>
        </w:numPr>
        <w:adjustRightInd w:val="0"/>
        <w:snapToGrid w:val="0"/>
        <w:spacing w:line="400" w:lineRule="exact"/>
        <w:ind w:firstLine="422" w:firstLineChars="200"/>
        <w:rPr>
          <w:rFonts w:hint="default" w:ascii="Times New Roman" w:hAnsi="Times New Roman" w:eastAsia="宋体" w:cs="Times New Roman"/>
          <w:b/>
          <w:color w:val="000000"/>
          <w:szCs w:val="21"/>
          <w:highlight w:val="none"/>
        </w:rPr>
      </w:pPr>
      <w:r>
        <w:rPr>
          <w:rFonts w:hint="default" w:ascii="Times New Roman" w:hAnsi="Times New Roman" w:eastAsia="宋体" w:cs="Times New Roman"/>
          <w:b/>
          <w:color w:val="000000"/>
          <w:szCs w:val="21"/>
          <w:highlight w:val="none"/>
        </w:rPr>
        <w:t>合同份数</w:t>
      </w:r>
    </w:p>
    <w:p w14:paraId="7ED98A48">
      <w:pPr>
        <w:pStyle w:val="94"/>
        <w:ind w:firstLine="420"/>
        <w:rPr>
          <w:rFonts w:hint="default" w:ascii="Times New Roman" w:hAnsi="Times New Roman" w:eastAsia="宋体" w:cs="Times New Roman"/>
          <w:color w:val="000000"/>
          <w:kern w:val="2"/>
          <w:sz w:val="21"/>
          <w:highlight w:val="none"/>
        </w:rPr>
      </w:pPr>
      <w:r>
        <w:rPr>
          <w:rFonts w:hint="default" w:ascii="Times New Roman" w:hAnsi="Times New Roman" w:eastAsia="宋体" w:cs="Times New Roman"/>
          <w:color w:val="000000"/>
          <w:kern w:val="2"/>
          <w:sz w:val="21"/>
          <w:highlight w:val="none"/>
        </w:rPr>
        <w:t>本合同一式捌份，甲方执陆份，乙方执贰份，均具有同等法律效力。</w:t>
      </w:r>
    </w:p>
    <w:p w14:paraId="256C1C58">
      <w:pPr>
        <w:pStyle w:val="94"/>
        <w:rPr>
          <w:rFonts w:hint="default" w:ascii="Times New Roman" w:hAnsi="Times New Roman" w:eastAsia="宋体" w:cs="Times New Roman"/>
          <w:color w:val="000000"/>
          <w:highlight w:val="none"/>
        </w:rPr>
      </w:pPr>
    </w:p>
    <w:tbl>
      <w:tblPr>
        <w:tblStyle w:val="3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8"/>
        <w:gridCol w:w="2412"/>
        <w:gridCol w:w="1979"/>
        <w:gridCol w:w="2119"/>
      </w:tblGrid>
      <w:tr w14:paraId="0B2A3A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37826E5A">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甲方（采购人）</w:t>
            </w:r>
          </w:p>
        </w:tc>
        <w:tc>
          <w:tcPr>
            <w:tcW w:w="2439" w:type="pct"/>
            <w:gridSpan w:val="2"/>
            <w:tcBorders>
              <w:left w:val="single" w:color="auto" w:sz="2" w:space="0"/>
              <w:bottom w:val="single" w:color="auto" w:sz="2" w:space="0"/>
            </w:tcBorders>
            <w:noWrap w:val="0"/>
            <w:vAlign w:val="center"/>
          </w:tcPr>
          <w:p w14:paraId="60B95D7F">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乙方（供应商）</w:t>
            </w:r>
          </w:p>
        </w:tc>
      </w:tr>
      <w:tr w14:paraId="2B1CEF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14:paraId="397A7475">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BB7B74">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57A54A">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单位名称（公章或合同章）</w:t>
            </w:r>
          </w:p>
        </w:tc>
        <w:tc>
          <w:tcPr>
            <w:tcW w:w="1261" w:type="pct"/>
            <w:tcBorders>
              <w:top w:val="single" w:color="auto" w:sz="2" w:space="0"/>
              <w:left w:val="single" w:color="auto" w:sz="2" w:space="0"/>
              <w:bottom w:val="single" w:color="auto" w:sz="2" w:space="0"/>
            </w:tcBorders>
            <w:noWrap w:val="0"/>
            <w:vAlign w:val="center"/>
          </w:tcPr>
          <w:p w14:paraId="693148EA">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0971E0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4" w:type="pct"/>
            <w:tcBorders>
              <w:top w:val="single" w:color="auto" w:sz="2" w:space="0"/>
              <w:right w:val="single" w:color="auto" w:sz="2" w:space="0"/>
            </w:tcBorders>
            <w:noWrap w:val="0"/>
            <w:vAlign w:val="center"/>
          </w:tcPr>
          <w:p w14:paraId="4ED87B77">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法定代表人</w:t>
            </w:r>
          </w:p>
          <w:p w14:paraId="57893AAC">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或其委托代理人（签章）</w:t>
            </w:r>
          </w:p>
        </w:tc>
        <w:tc>
          <w:tcPr>
            <w:tcW w:w="1436" w:type="pct"/>
            <w:tcBorders>
              <w:top w:val="single" w:color="auto" w:sz="2" w:space="0"/>
              <w:left w:val="single" w:color="auto" w:sz="2" w:space="0"/>
              <w:right w:val="single" w:color="auto" w:sz="2" w:space="0"/>
            </w:tcBorders>
            <w:noWrap w:val="0"/>
            <w:vAlign w:val="center"/>
          </w:tcPr>
          <w:p w14:paraId="3300BD49">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right w:val="single" w:color="auto" w:sz="2" w:space="0"/>
            </w:tcBorders>
            <w:noWrap w:val="0"/>
            <w:vAlign w:val="center"/>
          </w:tcPr>
          <w:p w14:paraId="63ECFA63">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法定代表人</w:t>
            </w:r>
          </w:p>
          <w:p w14:paraId="563764F8">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或其委托代理人（签章）</w:t>
            </w:r>
          </w:p>
        </w:tc>
        <w:tc>
          <w:tcPr>
            <w:tcW w:w="1261" w:type="pct"/>
            <w:tcBorders>
              <w:top w:val="single" w:color="auto" w:sz="2" w:space="0"/>
              <w:left w:val="single" w:color="auto" w:sz="2" w:space="0"/>
              <w:bottom w:val="single" w:color="auto" w:sz="2" w:space="0"/>
            </w:tcBorders>
            <w:noWrap w:val="0"/>
            <w:vAlign w:val="center"/>
          </w:tcPr>
          <w:p w14:paraId="276979DC">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r>
      <w:tr w14:paraId="37C7C0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F56E037">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95EE19">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9E303A4">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住  所</w:t>
            </w:r>
          </w:p>
        </w:tc>
        <w:tc>
          <w:tcPr>
            <w:tcW w:w="1261" w:type="pct"/>
            <w:tcBorders>
              <w:top w:val="single" w:color="auto" w:sz="2" w:space="0"/>
              <w:left w:val="single" w:color="auto" w:sz="2" w:space="0"/>
              <w:bottom w:val="single" w:color="auto" w:sz="2" w:space="0"/>
            </w:tcBorders>
            <w:noWrap w:val="0"/>
            <w:vAlign w:val="center"/>
          </w:tcPr>
          <w:p w14:paraId="4E78B824">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73FF12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32531A4">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D9FFC1">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E43451">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联 系 人</w:t>
            </w:r>
          </w:p>
        </w:tc>
        <w:tc>
          <w:tcPr>
            <w:tcW w:w="1261" w:type="pct"/>
            <w:tcBorders>
              <w:top w:val="single" w:color="auto" w:sz="2" w:space="0"/>
              <w:left w:val="single" w:color="auto" w:sz="2" w:space="0"/>
              <w:bottom w:val="single" w:color="auto" w:sz="2" w:space="0"/>
            </w:tcBorders>
            <w:noWrap w:val="0"/>
            <w:vAlign w:val="center"/>
          </w:tcPr>
          <w:p w14:paraId="576D3780">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275D5B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D7875C2">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01D0A2">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0C6E0C">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联系电话</w:t>
            </w:r>
          </w:p>
        </w:tc>
        <w:tc>
          <w:tcPr>
            <w:tcW w:w="1261" w:type="pct"/>
            <w:tcBorders>
              <w:top w:val="single" w:color="auto" w:sz="2" w:space="0"/>
              <w:left w:val="single" w:color="auto" w:sz="2" w:space="0"/>
              <w:bottom w:val="single" w:color="auto" w:sz="2" w:space="0"/>
            </w:tcBorders>
            <w:noWrap w:val="0"/>
            <w:vAlign w:val="center"/>
          </w:tcPr>
          <w:p w14:paraId="7589AD25">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618D7D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5A49CFFD">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28DF38">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117B87B">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通信地址</w:t>
            </w:r>
          </w:p>
        </w:tc>
        <w:tc>
          <w:tcPr>
            <w:tcW w:w="1261" w:type="pct"/>
            <w:tcBorders>
              <w:top w:val="single" w:color="auto" w:sz="2" w:space="0"/>
              <w:left w:val="single" w:color="auto" w:sz="2" w:space="0"/>
              <w:bottom w:val="single" w:color="auto" w:sz="2" w:space="0"/>
            </w:tcBorders>
            <w:noWrap w:val="0"/>
            <w:vAlign w:val="center"/>
          </w:tcPr>
          <w:p w14:paraId="1C5176FF">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40726F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5735C7B1">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64D67F">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149CED">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邮政编码</w:t>
            </w:r>
          </w:p>
        </w:tc>
        <w:tc>
          <w:tcPr>
            <w:tcW w:w="1261" w:type="pct"/>
            <w:tcBorders>
              <w:top w:val="single" w:color="auto" w:sz="2" w:space="0"/>
              <w:left w:val="single" w:color="auto" w:sz="2" w:space="0"/>
              <w:bottom w:val="single" w:color="auto" w:sz="2" w:space="0"/>
            </w:tcBorders>
            <w:noWrap w:val="0"/>
            <w:vAlign w:val="center"/>
          </w:tcPr>
          <w:p w14:paraId="6E71DED5">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3E289A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1AD4F8BF">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584D526">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5F28D44">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电子邮箱</w:t>
            </w:r>
          </w:p>
        </w:tc>
        <w:tc>
          <w:tcPr>
            <w:tcW w:w="1261" w:type="pct"/>
            <w:tcBorders>
              <w:top w:val="single" w:color="auto" w:sz="2" w:space="0"/>
              <w:left w:val="single" w:color="auto" w:sz="2" w:space="0"/>
              <w:bottom w:val="single" w:color="auto" w:sz="2" w:space="0"/>
            </w:tcBorders>
            <w:noWrap w:val="0"/>
            <w:vAlign w:val="center"/>
          </w:tcPr>
          <w:p w14:paraId="0EB900ED">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52BB39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193D6C1">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40C544E">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FD47910">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统一社会信用代码</w:t>
            </w:r>
          </w:p>
        </w:tc>
        <w:tc>
          <w:tcPr>
            <w:tcW w:w="1261" w:type="pct"/>
            <w:tcBorders>
              <w:top w:val="single" w:color="auto" w:sz="2" w:space="0"/>
              <w:left w:val="single" w:color="auto" w:sz="2" w:space="0"/>
              <w:bottom w:val="single" w:color="auto" w:sz="2" w:space="0"/>
            </w:tcBorders>
            <w:noWrap w:val="0"/>
            <w:vAlign w:val="center"/>
          </w:tcPr>
          <w:p w14:paraId="1DC899F6">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66BD8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42294053">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C4917C">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5C0AFE">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开户名称</w:t>
            </w:r>
          </w:p>
        </w:tc>
        <w:tc>
          <w:tcPr>
            <w:tcW w:w="1261" w:type="pct"/>
            <w:tcBorders>
              <w:top w:val="single" w:color="auto" w:sz="2" w:space="0"/>
              <w:left w:val="single" w:color="auto" w:sz="2" w:space="0"/>
              <w:bottom w:val="single" w:color="auto" w:sz="2" w:space="0"/>
            </w:tcBorders>
            <w:noWrap w:val="0"/>
            <w:vAlign w:val="center"/>
          </w:tcPr>
          <w:p w14:paraId="3AE87D61">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390571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9D61982">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6816F7E">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B48C722">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开户银行</w:t>
            </w:r>
          </w:p>
        </w:tc>
        <w:tc>
          <w:tcPr>
            <w:tcW w:w="1261" w:type="pct"/>
            <w:tcBorders>
              <w:top w:val="single" w:color="auto" w:sz="2" w:space="0"/>
              <w:left w:val="single" w:color="auto" w:sz="2" w:space="0"/>
              <w:bottom w:val="single" w:color="auto" w:sz="2" w:space="0"/>
            </w:tcBorders>
            <w:noWrap w:val="0"/>
            <w:vAlign w:val="center"/>
          </w:tcPr>
          <w:p w14:paraId="3D5E133E">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r w14:paraId="4B803C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B65A202">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CFFC6CC">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AD67CE">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银行账号</w:t>
            </w:r>
          </w:p>
        </w:tc>
        <w:tc>
          <w:tcPr>
            <w:tcW w:w="1261" w:type="pct"/>
            <w:tcBorders>
              <w:top w:val="single" w:color="auto" w:sz="2" w:space="0"/>
              <w:left w:val="single" w:color="auto" w:sz="2" w:space="0"/>
              <w:bottom w:val="single" w:color="auto" w:sz="2" w:space="0"/>
            </w:tcBorders>
            <w:noWrap w:val="0"/>
            <w:vAlign w:val="center"/>
          </w:tcPr>
          <w:p w14:paraId="202A3CF5">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eastAsia="宋体" w:cs="Times New Roman"/>
                <w:color w:val="000000"/>
                <w:spacing w:val="20"/>
                <w:szCs w:val="21"/>
                <w:highlight w:val="none"/>
              </w:rPr>
            </w:pPr>
          </w:p>
        </w:tc>
      </w:tr>
    </w:tbl>
    <w:p w14:paraId="7EE0D746">
      <w:pPr>
        <w:pStyle w:val="94"/>
        <w:ind w:left="420" w:leftChars="200" w:firstLine="0" w:firstLineChars="0"/>
        <w:rPr>
          <w:rFonts w:hint="default" w:ascii="Times New Roman" w:hAnsi="Times New Roman" w:eastAsia="宋体" w:cs="Times New Roman"/>
          <w:color w:val="000000"/>
          <w:highlight w:val="none"/>
          <w:u w:val="single"/>
        </w:rPr>
        <w:sectPr>
          <w:pgSz w:w="11906" w:h="16838"/>
          <w:pgMar w:top="1440" w:right="1800" w:bottom="1440" w:left="1800" w:header="851" w:footer="992" w:gutter="0"/>
          <w:cols w:space="720" w:num="1"/>
          <w:docGrid w:type="lines" w:linePitch="312" w:charSpace="0"/>
        </w:sectPr>
      </w:pPr>
    </w:p>
    <w:p w14:paraId="72B5EA4E">
      <w:pPr>
        <w:pageBreakBefore w:val="0"/>
        <w:kinsoku/>
        <w:overflowPunct/>
        <w:bidi w:val="0"/>
        <w:spacing w:beforeAutospacing="0" w:afterAutospacing="0" w:line="360" w:lineRule="auto"/>
        <w:jc w:val="center"/>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b/>
          <w:bCs/>
          <w:color w:val="000000"/>
          <w:sz w:val="32"/>
          <w:szCs w:val="32"/>
          <w:highlight w:val="none"/>
        </w:rPr>
        <w:t>第二节 政府采购合同通用条款</w:t>
      </w:r>
    </w:p>
    <w:p w14:paraId="0EE65566">
      <w:pPr>
        <w:pageBreakBefore w:val="0"/>
        <w:tabs>
          <w:tab w:val="left" w:pos="8820"/>
          <w:tab w:val="left" w:pos="9345"/>
          <w:tab w:val="left" w:pos="9765"/>
        </w:tabs>
        <w:kinsoku/>
        <w:overflowPunct/>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color w:val="000000"/>
          <w:sz w:val="24"/>
          <w:highlight w:val="none"/>
        </w:rPr>
        <w:t xml:space="preserve">1. </w:t>
      </w:r>
      <w:r>
        <w:rPr>
          <w:rFonts w:hint="default" w:ascii="Times New Roman" w:hAnsi="Times New Roman" w:eastAsia="宋体" w:cs="Times New Roman"/>
          <w:b/>
          <w:bCs/>
          <w:color w:val="000000"/>
          <w:sz w:val="24"/>
          <w:highlight w:val="none"/>
        </w:rPr>
        <w:t>定义</w:t>
      </w:r>
    </w:p>
    <w:p w14:paraId="00D69AC2">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1.1合同当事人</w:t>
      </w:r>
    </w:p>
    <w:p w14:paraId="50A91789">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（1）采购人（以下称甲方）是指使用财政性资金，通过政府采购方式向供应商购买货物及其相关服务的国家机关、事业单位、团体组织。</w:t>
      </w:r>
    </w:p>
    <w:p w14:paraId="4E823920">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（2）供应商（以下称乙方）是指参加政府采购活动并且中标（成交），向采购人提供合同约定的货物及其相关服务的法人、非法人组织或者自然人。</w:t>
      </w:r>
    </w:p>
    <w:p w14:paraId="037F7C37">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（3）其他合同主体是指除采购人和供应商以外，</w:t>
      </w:r>
      <w:r>
        <w:rPr>
          <w:rFonts w:hint="default" w:ascii="Times New Roman" w:hAnsi="Times New Roman" w:eastAsia="宋体" w:cs="Times New Roman"/>
          <w:bCs/>
          <w:color w:val="000000"/>
          <w:szCs w:val="21"/>
          <w:highlight w:val="none"/>
        </w:rPr>
        <w:t>依法参与合同缔结或履行，享有权利、承担义务的合同当事人</w:t>
      </w:r>
      <w:r>
        <w:rPr>
          <w:rFonts w:hint="default" w:ascii="Times New Roman" w:hAnsi="Times New Roman" w:eastAsia="宋体" w:cs="Times New Roman"/>
          <w:color w:val="000000"/>
          <w:szCs w:val="21"/>
          <w:highlight w:val="none"/>
        </w:rPr>
        <w:t>。</w:t>
      </w:r>
    </w:p>
    <w:p w14:paraId="616B2917">
      <w:pPr>
        <w:pageBreakBefore w:val="0"/>
        <w:tabs>
          <w:tab w:val="left" w:pos="570"/>
          <w:tab w:val="left" w:pos="9240"/>
          <w:tab w:val="left" w:pos="9555"/>
        </w:tabs>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1.2本合同下列术语应解释为：</w:t>
      </w:r>
    </w:p>
    <w:p w14:paraId="369058DB">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（1）“合同”系指</w:t>
      </w:r>
      <w:r>
        <w:rPr>
          <w:rFonts w:hint="default" w:ascii="Times New Roman" w:hAnsi="Times New Roman" w:eastAsia="宋体" w:cs="Times New Roman"/>
          <w:bCs/>
          <w:color w:val="000000"/>
          <w:szCs w:val="21"/>
          <w:highlight w:val="none"/>
        </w:rPr>
        <w:t>合同当事人意思表示达成一致的任何协议，包括签署的</w:t>
      </w:r>
      <w:r>
        <w:rPr>
          <w:rFonts w:hint="default" w:ascii="Times New Roman" w:hAnsi="Times New Roman" w:eastAsia="宋体" w:cs="Times New Roman"/>
          <w:color w:val="000000"/>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38297BA">
      <w:pPr>
        <w:pageBreakBefore w:val="0"/>
        <w:tabs>
          <w:tab w:val="left" w:pos="570"/>
          <w:tab w:val="left" w:pos="9240"/>
          <w:tab w:val="left" w:pos="9555"/>
        </w:tabs>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（2）“合同价款”系指根据本合同规定乙方在全面履行合同义务后甲方应支付给乙方的价款。</w:t>
      </w:r>
    </w:p>
    <w:p w14:paraId="75911319">
      <w:pPr>
        <w:pageBreakBefore w:val="0"/>
        <w:tabs>
          <w:tab w:val="left" w:pos="570"/>
          <w:tab w:val="left" w:pos="9240"/>
          <w:tab w:val="left" w:pos="9555"/>
        </w:tabs>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（3）“货物”系指乙方根据本合同规定须向甲方提供的各种形态和种类的物品，包括原材料、设备、产品（包括软件）及相关的其备品备件、工具、手册及</w:t>
      </w:r>
      <w:r>
        <w:rPr>
          <w:rFonts w:hint="default" w:ascii="Times New Roman" w:hAnsi="Times New Roman" w:eastAsia="宋体" w:cs="Times New Roman"/>
          <w:color w:val="000000"/>
          <w:szCs w:val="21"/>
          <w:highlight w:val="none"/>
          <w:lang w:val="en"/>
        </w:rPr>
        <w:t>其他</w:t>
      </w:r>
      <w:r>
        <w:rPr>
          <w:rFonts w:hint="default" w:ascii="Times New Roman" w:hAnsi="Times New Roman" w:eastAsia="宋体" w:cs="Times New Roman"/>
          <w:color w:val="000000"/>
          <w:szCs w:val="21"/>
          <w:highlight w:val="none"/>
        </w:rPr>
        <w:t>技术资料和材料等。</w:t>
      </w:r>
    </w:p>
    <w:p w14:paraId="69BB4C4F">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（4）“相关服务”系指根据合同规定，乙方应提供的与货物有关的技术、管理和</w:t>
      </w:r>
      <w:r>
        <w:rPr>
          <w:rFonts w:hint="default" w:ascii="Times New Roman" w:hAnsi="Times New Roman" w:eastAsia="宋体" w:cs="Times New Roman"/>
          <w:color w:val="000000"/>
          <w:szCs w:val="21"/>
          <w:highlight w:val="none"/>
          <w:lang w:val="en"/>
        </w:rPr>
        <w:t>其他</w:t>
      </w:r>
      <w:r>
        <w:rPr>
          <w:rFonts w:hint="default" w:ascii="Times New Roman" w:hAnsi="Times New Roman" w:eastAsia="宋体" w:cs="Times New Roman"/>
          <w:color w:val="000000"/>
          <w:szCs w:val="21"/>
          <w:highlight w:val="none"/>
        </w:rPr>
        <w:t>服务，包括但不限于：管理和质量保证、运输、保险、检验、现场准备、安装、集成、调试、培训、维修、废弃处置、技术支持等以及合同中规定乙方应承担的</w:t>
      </w:r>
      <w:r>
        <w:rPr>
          <w:rFonts w:hint="default" w:ascii="Times New Roman" w:hAnsi="Times New Roman" w:eastAsia="宋体" w:cs="Times New Roman"/>
          <w:color w:val="000000"/>
          <w:szCs w:val="21"/>
          <w:highlight w:val="none"/>
          <w:lang w:val="en"/>
        </w:rPr>
        <w:t>其他</w:t>
      </w:r>
      <w:r>
        <w:rPr>
          <w:rFonts w:hint="default" w:ascii="Times New Roman" w:hAnsi="Times New Roman" w:eastAsia="宋体" w:cs="Times New Roman"/>
          <w:color w:val="000000"/>
          <w:szCs w:val="21"/>
          <w:highlight w:val="none"/>
        </w:rPr>
        <w:t>义务。</w:t>
      </w:r>
    </w:p>
    <w:p w14:paraId="6E682EE6">
      <w:pPr>
        <w:pageBreakBefore w:val="0"/>
        <w:numPr>
          <w:ilvl w:val="0"/>
          <w:numId w:val="9"/>
        </w:numPr>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color w:val="000000"/>
          <w:sz w:val="24"/>
          <w:highlight w:val="none"/>
        </w:rPr>
        <w:t>合同标的及金额</w:t>
      </w:r>
    </w:p>
    <w:p w14:paraId="7D8CA007">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b/>
          <w:bCs/>
          <w:i/>
          <w:iCs/>
          <w:color w:val="000000"/>
          <w:szCs w:val="21"/>
          <w:highlight w:val="none"/>
        </w:rPr>
      </w:pPr>
      <w:r>
        <w:rPr>
          <w:rFonts w:hint="default" w:ascii="Times New Roman" w:hAnsi="Times New Roman" w:eastAsia="宋体" w:cs="Times New Roman"/>
          <w:color w:val="000000"/>
          <w:szCs w:val="21"/>
          <w:highlight w:val="none"/>
        </w:rPr>
        <w:t>2.1 合同标的及金额应与中标（成交）结果一致。乙方为履行本合同而发生的所有费用均应包含在合同价款中，甲方不再另行支付</w:t>
      </w:r>
      <w:r>
        <w:rPr>
          <w:rFonts w:hint="default" w:ascii="Times New Roman" w:hAnsi="Times New Roman" w:eastAsia="宋体" w:cs="Times New Roman"/>
          <w:color w:val="000000"/>
          <w:szCs w:val="21"/>
          <w:highlight w:val="none"/>
          <w:lang w:val="en"/>
        </w:rPr>
        <w:t>其他</w:t>
      </w:r>
      <w:r>
        <w:rPr>
          <w:rFonts w:hint="default" w:ascii="Times New Roman" w:hAnsi="Times New Roman" w:eastAsia="宋体" w:cs="Times New Roman"/>
          <w:color w:val="000000"/>
          <w:szCs w:val="21"/>
          <w:highlight w:val="none"/>
        </w:rPr>
        <w:t>任何费用。</w:t>
      </w:r>
    </w:p>
    <w:p w14:paraId="260E86F0">
      <w:pPr>
        <w:pageBreakBefore w:val="0"/>
        <w:kinsoku/>
        <w:overflowPunct/>
        <w:bidi w:val="0"/>
        <w:adjustRightInd w:val="0"/>
        <w:snapToGrid w:val="0"/>
        <w:spacing w:beforeAutospacing="0" w:afterAutospacing="0" w:line="360" w:lineRule="auto"/>
        <w:jc w:val="left"/>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3. 履行合同的时间、地点和方式</w:t>
      </w:r>
    </w:p>
    <w:p w14:paraId="5B7F7199">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3.1 乙方应当在约定的时间、地点，按照约定方式履行合同。</w:t>
      </w:r>
    </w:p>
    <w:p w14:paraId="5D6F6F44">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4. 甲方的权利和义务</w:t>
      </w:r>
    </w:p>
    <w:p w14:paraId="0C7F7344">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53AC5729">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4.2 甲方有权要求乙方按时提交各阶段有关安排计划，并有权定期核对乙方提供货物数量、规格、质量等内容。甲方有权督促乙方工作并要求乙方更换不符合要求的货物。</w:t>
      </w:r>
    </w:p>
    <w:p w14:paraId="28EE61CC">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4.3 甲方有权要求乙方对缺陷部分予以修复，并按合同约定享有货物保修及其他合同约定的权利。</w:t>
      </w:r>
    </w:p>
    <w:p w14:paraId="6A1C8C43">
      <w:pPr>
        <w:pageBreakBefore w:val="0"/>
        <w:kinsoku/>
        <w:overflowPunct/>
        <w:bidi w:val="0"/>
        <w:snapToGrid w:val="0"/>
        <w:spacing w:beforeAutospacing="0" w:afterAutospacing="0" w:line="360" w:lineRule="auto"/>
        <w:ind w:firstLine="420" w:firstLineChars="20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4.4 甲方应当按照合同约定及时对交付的货物进行验收，未在</w:t>
      </w:r>
      <w:r>
        <w:rPr>
          <w:rFonts w:hint="default" w:ascii="Times New Roman" w:hAnsi="Times New Roman" w:eastAsia="宋体" w:cs="Times New Roman"/>
          <w:b/>
          <w:bCs/>
          <w:color w:val="000000"/>
          <w:szCs w:val="21"/>
          <w:highlight w:val="none"/>
        </w:rPr>
        <w:t>【政府采购合同专用条款】</w:t>
      </w:r>
      <w:r>
        <w:rPr>
          <w:rFonts w:hint="default" w:ascii="Times New Roman" w:hAnsi="Times New Roman" w:eastAsia="宋体" w:cs="Times New Roman"/>
          <w:color w:val="000000"/>
          <w:szCs w:val="21"/>
          <w:highlight w:val="none"/>
        </w:rPr>
        <w:t>约定的期限内对乙方履约提出任何异议或者向乙方作出任何说明的，视为验收通过。</w:t>
      </w:r>
    </w:p>
    <w:p w14:paraId="545FD4CD">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4.5 甲方应当根据合同约定及时向乙方支付合同价款，不得以内部人员变更、履行内部付款流程等为由，拒绝或迟延支付。</w:t>
      </w:r>
    </w:p>
    <w:p w14:paraId="0C3AAEAC">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4.6 国家法律法规规定及</w:t>
      </w:r>
      <w:r>
        <w:rPr>
          <w:rFonts w:hint="default" w:ascii="Times New Roman" w:hAnsi="Times New Roman" w:eastAsia="宋体" w:cs="Times New Roman"/>
          <w:b/>
          <w:bCs/>
          <w:color w:val="000000"/>
          <w:szCs w:val="21"/>
          <w:highlight w:val="none"/>
        </w:rPr>
        <w:t>【政府采购合同专用条款】</w:t>
      </w:r>
      <w:r>
        <w:rPr>
          <w:rFonts w:hint="default" w:ascii="Times New Roman" w:hAnsi="Times New Roman" w:eastAsia="宋体" w:cs="Times New Roman"/>
          <w:color w:val="000000"/>
          <w:szCs w:val="21"/>
          <w:highlight w:val="none"/>
        </w:rPr>
        <w:t>约定应由甲方承担的其他义务和责任。</w:t>
      </w:r>
    </w:p>
    <w:p w14:paraId="3AEFF5FF">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5. 乙方的权利和义务</w:t>
      </w:r>
    </w:p>
    <w:p w14:paraId="7B9DC7DD">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5.1 签署合同后，乙方应确定项目负责人（或项目联系人），负责与本合同有关的事务。</w:t>
      </w:r>
    </w:p>
    <w:p w14:paraId="6A8CF956">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FE474C6">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5.3乙方有权根据合同约定向甲方收取合同价款。</w:t>
      </w:r>
    </w:p>
    <w:p w14:paraId="1E4DB67D">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5.4国家法律法规规定及</w:t>
      </w:r>
      <w:r>
        <w:rPr>
          <w:rFonts w:hint="default" w:ascii="Times New Roman" w:hAnsi="Times New Roman" w:eastAsia="宋体" w:cs="Times New Roman"/>
          <w:b/>
          <w:bCs/>
          <w:color w:val="000000"/>
          <w:szCs w:val="21"/>
          <w:highlight w:val="none"/>
        </w:rPr>
        <w:t>【政府采购合同专用条款】</w:t>
      </w:r>
      <w:r>
        <w:rPr>
          <w:rFonts w:hint="default" w:ascii="Times New Roman" w:hAnsi="Times New Roman" w:eastAsia="宋体" w:cs="Times New Roman"/>
          <w:color w:val="000000"/>
          <w:szCs w:val="21"/>
          <w:highlight w:val="none"/>
        </w:rPr>
        <w:t>约定应由乙方承担的其他义务和责任。</w:t>
      </w:r>
    </w:p>
    <w:p w14:paraId="280A9867">
      <w:pPr>
        <w:pageBreakBefore w:val="0"/>
        <w:numPr>
          <w:ilvl w:val="0"/>
          <w:numId w:val="10"/>
        </w:numPr>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合同履行</w:t>
      </w:r>
    </w:p>
    <w:p w14:paraId="1CD9778A">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6.1 甲乙双方应当按照</w:t>
      </w:r>
      <w:r>
        <w:rPr>
          <w:rFonts w:hint="default" w:ascii="Times New Roman" w:hAnsi="Times New Roman" w:eastAsia="宋体" w:cs="Times New Roman"/>
          <w:b/>
          <w:bCs/>
          <w:color w:val="000000"/>
          <w:szCs w:val="21"/>
          <w:highlight w:val="none"/>
        </w:rPr>
        <w:t>【政府采购合同专用条款】</w:t>
      </w:r>
      <w:r>
        <w:rPr>
          <w:rFonts w:hint="default" w:ascii="Times New Roman" w:hAnsi="Times New Roman" w:eastAsia="宋体" w:cs="Times New Roman"/>
          <w:color w:val="000000"/>
          <w:szCs w:val="21"/>
          <w:highlight w:val="none"/>
        </w:rPr>
        <w:t>约定顺序履行合同义务；如果没有先后顺序的，应当同时履行。</w:t>
      </w:r>
    </w:p>
    <w:p w14:paraId="7B02A13E">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8079B12">
      <w:pPr>
        <w:pageBreakBefore w:val="0"/>
        <w:kinsoku/>
        <w:overflowPunct/>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7. 货物包装、运输、保险和交付要求</w:t>
      </w:r>
    </w:p>
    <w:p w14:paraId="2A8893A4">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7.1 本合同</w:t>
      </w:r>
      <w:r>
        <w:rPr>
          <w:rFonts w:hint="default" w:ascii="Times New Roman" w:hAnsi="Times New Roman" w:eastAsia="宋体" w:cs="Times New Roman"/>
          <w:bCs/>
          <w:color w:val="000000"/>
          <w:szCs w:val="21"/>
          <w:highlight w:val="none"/>
        </w:rPr>
        <w:t>涉及商品包装、快递包装的，</w:t>
      </w:r>
      <w:r>
        <w:rPr>
          <w:rFonts w:hint="default" w:ascii="Times New Roman" w:hAnsi="Times New Roman" w:eastAsia="宋体" w:cs="Times New Roman"/>
          <w:color w:val="000000"/>
          <w:szCs w:val="21"/>
          <w:highlight w:val="none"/>
        </w:rPr>
        <w:t>除</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bCs/>
          <w:color w:val="000000"/>
          <w:szCs w:val="21"/>
          <w:highlight w:val="none"/>
        </w:rPr>
        <w:t>另有约定外，</w:t>
      </w:r>
      <w:r>
        <w:rPr>
          <w:rFonts w:hint="default" w:ascii="Times New Roman" w:hAnsi="Times New Roman" w:eastAsia="宋体" w:cs="Times New Roman"/>
          <w:color w:val="000000"/>
          <w:szCs w:val="21"/>
          <w:highlight w:val="none"/>
        </w:rPr>
        <w:t>包装应适应远距离运输、防潮、防震、防锈和防野蛮装卸等要求，确保货物安全无损地运抵</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bCs/>
          <w:color w:val="000000"/>
          <w:szCs w:val="21"/>
          <w:highlight w:val="none"/>
        </w:rPr>
        <w:t>约定的</w:t>
      </w:r>
      <w:r>
        <w:rPr>
          <w:rFonts w:hint="default" w:ascii="Times New Roman" w:hAnsi="Times New Roman" w:eastAsia="宋体" w:cs="Times New Roman"/>
          <w:color w:val="000000"/>
          <w:szCs w:val="21"/>
          <w:highlight w:val="none"/>
        </w:rPr>
        <w:t>指定现场。</w:t>
      </w:r>
    </w:p>
    <w:p w14:paraId="0A4085E7">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7.2 除</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bCs/>
          <w:color w:val="000000"/>
          <w:szCs w:val="21"/>
          <w:highlight w:val="none"/>
        </w:rPr>
        <w:t>另有约定外，</w:t>
      </w:r>
      <w:r>
        <w:rPr>
          <w:rFonts w:hint="default" w:ascii="Times New Roman" w:hAnsi="Times New Roman" w:eastAsia="宋体" w:cs="Times New Roman"/>
          <w:color w:val="000000"/>
          <w:szCs w:val="21"/>
          <w:highlight w:val="none"/>
        </w:rPr>
        <w:t>乙方负责办理将货物运抵本合同规定的交货地点，并装卸、交付至甲方的一切运输事项，相关费用应包含在合同价款中。</w:t>
      </w:r>
    </w:p>
    <w:p w14:paraId="3121C4F7">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7.3 货物保险要求按</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bCs/>
          <w:color w:val="000000"/>
          <w:szCs w:val="21"/>
          <w:highlight w:val="none"/>
        </w:rPr>
        <w:t>规定执行</w:t>
      </w:r>
      <w:r>
        <w:rPr>
          <w:rFonts w:hint="default" w:ascii="Times New Roman" w:hAnsi="Times New Roman" w:eastAsia="宋体" w:cs="Times New Roman"/>
          <w:color w:val="000000"/>
          <w:szCs w:val="21"/>
          <w:highlight w:val="none"/>
        </w:rPr>
        <w:t>。</w:t>
      </w:r>
    </w:p>
    <w:p w14:paraId="234DA610">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A4C0BE7">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7.5 乙方在运输到达之前应提前通知甲方，并提示货物运输装卸的注意事项，甲方配合乙方做好货物的接收工作。</w:t>
      </w:r>
    </w:p>
    <w:p w14:paraId="1C1C0E65">
      <w:pPr>
        <w:pStyle w:val="94"/>
        <w:pageBreakBefore w:val="0"/>
        <w:kinsoku/>
        <w:overflowPunct/>
        <w:bidi w:val="0"/>
        <w:spacing w:beforeAutospacing="0" w:afterAutospacing="0" w:line="360" w:lineRule="auto"/>
        <w:ind w:firstLine="420"/>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kern w:val="2"/>
          <w:sz w:val="21"/>
          <w:highlight w:val="none"/>
        </w:rPr>
        <w:t>7.6 如因包装、运输问题导致货物损毁、丢失或者品质下降，甲方有权要求降价、换货、拒收部分或整批货物，由此产生的费用和损失，均由乙方承担。</w:t>
      </w:r>
    </w:p>
    <w:p w14:paraId="2321BB7A">
      <w:pPr>
        <w:pageBreakBefore w:val="0"/>
        <w:kinsoku/>
        <w:overflowPunct/>
        <w:bidi w:val="0"/>
        <w:adjustRightInd w:val="0"/>
        <w:snapToGrid w:val="0"/>
        <w:spacing w:beforeAutospacing="0" w:afterAutospacing="0" w:line="360" w:lineRule="auto"/>
        <w:jc w:val="left"/>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8. 质量标准和保证</w:t>
      </w:r>
    </w:p>
    <w:p w14:paraId="592BDF6B">
      <w:pPr>
        <w:pStyle w:val="17"/>
        <w:pageBreakBefore w:val="0"/>
        <w:kinsoku/>
        <w:overflowPunct/>
        <w:bidi w:val="0"/>
        <w:adjustRightInd w:val="0"/>
        <w:snapToGrid w:val="0"/>
        <w:spacing w:beforeAutospacing="0" w:afterAutospacing="0" w:line="360" w:lineRule="auto"/>
        <w:ind w:firstLine="400" w:firstLineChars="200"/>
        <w:jc w:val="left"/>
        <w:rPr>
          <w:rFonts w:hint="default" w:ascii="Times New Roman" w:hAnsi="Times New Roman" w:eastAsia="宋体" w:cs="Times New Roman"/>
          <w:b/>
          <w:color w:val="000000"/>
          <w:highlight w:val="none"/>
        </w:rPr>
      </w:pPr>
      <w:r>
        <w:rPr>
          <w:rFonts w:hint="default" w:ascii="Times New Roman" w:hAnsi="Times New Roman" w:eastAsia="宋体" w:cs="Times New Roman"/>
          <w:color w:val="000000"/>
          <w:highlight w:val="none"/>
        </w:rPr>
        <w:t>8.1 质量标准</w:t>
      </w:r>
    </w:p>
    <w:p w14:paraId="450F24D7">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EC51B77">
      <w:pPr>
        <w:pStyle w:val="17"/>
        <w:pageBreakBefore w:val="0"/>
        <w:kinsoku/>
        <w:overflowPunct/>
        <w:bidi w:val="0"/>
        <w:adjustRightInd w:val="0"/>
        <w:snapToGrid w:val="0"/>
        <w:spacing w:beforeAutospacing="0" w:afterAutospacing="0" w:line="360" w:lineRule="auto"/>
        <w:ind w:firstLine="400" w:firstLineChars="200"/>
        <w:jc w:val="lef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（2）采用中华人民共和国法定计量单位。</w:t>
      </w:r>
    </w:p>
    <w:p w14:paraId="7F48B44D">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（3）乙方所提供的货物应符合国家有关安全、环保、卫生的规定。</w:t>
      </w:r>
    </w:p>
    <w:p w14:paraId="48FBE2EB">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（4）乙方应向甲方提交所提供货物的技术文件，包括相应的中文技术文件，如：产品目录、图纸、操作手册、使用说明、维护手册或服务指南等。上述文件应包装好随货物一同发运。</w:t>
      </w:r>
    </w:p>
    <w:p w14:paraId="0F417883">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8.2 保证</w:t>
      </w:r>
    </w:p>
    <w:p w14:paraId="5A6EB4FC">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color w:val="000000"/>
          <w:szCs w:val="21"/>
          <w:highlight w:val="none"/>
        </w:rPr>
        <w:t>规定或乙方书面承诺（两者以较长的为准）的质量保证期内，本保证保持有效。</w:t>
      </w:r>
    </w:p>
    <w:p w14:paraId="348E609F">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（2）在质量保证期内所发现的缺陷，甲方应尽快以书面形式通知乙方。</w:t>
      </w:r>
    </w:p>
    <w:p w14:paraId="25BCAB6E">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（3）乙方收到通知后，应在</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color w:val="000000"/>
          <w:szCs w:val="21"/>
          <w:highlight w:val="none"/>
        </w:rPr>
        <w:t>规定的响应时间内以合理的速度免费维修或更换有缺陷的货物或部件。</w:t>
      </w:r>
    </w:p>
    <w:p w14:paraId="28B71348">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（4）在质量保证期内，如果货物的质量或规格与合同不符，或证实货物是有缺陷的，包括潜在的缺陷或使用不符合要求的材料等，甲方可以追究乙方的违约责任。</w:t>
      </w:r>
    </w:p>
    <w:p w14:paraId="1EFA504E">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（5）乙方在约定的时间内未能弥补缺陷，甲方可采取必要的补救措施，但其风险和费用将由乙方承担，甲方根据合同约定对乙方行使的其他权利不受影响。</w:t>
      </w:r>
    </w:p>
    <w:p w14:paraId="55335AAD">
      <w:pPr>
        <w:pageBreakBefore w:val="0"/>
        <w:kinsoku/>
        <w:overflowPunct/>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9. 权利瑕疵担保</w:t>
      </w:r>
    </w:p>
    <w:p w14:paraId="1D439D35">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9.1 乙方保证对其出售的货物享有合法的权利。</w:t>
      </w:r>
    </w:p>
    <w:p w14:paraId="11038862">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 xml:space="preserve">9.2 </w:t>
      </w:r>
      <w:r>
        <w:rPr>
          <w:rFonts w:hint="default" w:ascii="Times New Roman" w:hAnsi="Times New Roman" w:eastAsia="宋体" w:cs="Times New Roman"/>
          <w:color w:val="000000"/>
          <w:szCs w:val="15"/>
          <w:highlight w:val="none"/>
        </w:rPr>
        <w:t>乙方保证在交付的货物上不存在抵押权等担保物权。</w:t>
      </w:r>
    </w:p>
    <w:p w14:paraId="03B5BA9A">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9.3 如甲方使用上述货物构成对第三人侵权的，则由乙方承担全部责任。</w:t>
      </w:r>
    </w:p>
    <w:p w14:paraId="74F0C471">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10. 知识产权保护</w:t>
      </w:r>
    </w:p>
    <w:p w14:paraId="059D253D">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10.1 乙方对其所销售的货物应当享有知识产权或经权利人合法授权，保证没有侵犯任何第三人的知识产权等权利。</w:t>
      </w:r>
      <w:bookmarkStart w:id="820" w:name="_Hlk163047038"/>
      <w:r>
        <w:rPr>
          <w:rFonts w:hint="default" w:ascii="Times New Roman" w:hAnsi="Times New Roman" w:eastAsia="宋体" w:cs="Times New Roman"/>
          <w:color w:val="000000"/>
          <w:szCs w:val="15"/>
          <w:highlight w:val="none"/>
        </w:rPr>
        <w:t>因违反前述约定对第三人构成侵权的，应当由乙方向第三人承担法律责任；甲方依法向第三人赔偿后，有权向乙方追偿。甲方有其他损失的，乙方应当赔偿</w:t>
      </w:r>
      <w:bookmarkEnd w:id="820"/>
      <w:r>
        <w:rPr>
          <w:rFonts w:hint="default" w:ascii="Times New Roman" w:hAnsi="Times New Roman" w:eastAsia="宋体" w:cs="Times New Roman"/>
          <w:color w:val="000000"/>
          <w:szCs w:val="21"/>
          <w:highlight w:val="none"/>
        </w:rPr>
        <w:t>。</w:t>
      </w:r>
    </w:p>
    <w:p w14:paraId="2D1D4553">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11. 保密义务</w:t>
      </w:r>
    </w:p>
    <w:p w14:paraId="52D3924F">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15"/>
          <w:highlight w:val="none"/>
        </w:rPr>
      </w:pPr>
      <w:r>
        <w:rPr>
          <w:rFonts w:hint="default" w:ascii="Times New Roman" w:hAnsi="Times New Roman" w:eastAsia="宋体" w:cs="Times New Roman"/>
          <w:color w:val="000000"/>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default" w:ascii="Times New Roman" w:hAnsi="Times New Roman" w:eastAsia="宋体" w:cs="Times New Roman"/>
          <w:b/>
          <w:bCs/>
          <w:color w:val="000000"/>
          <w:szCs w:val="15"/>
          <w:highlight w:val="none"/>
        </w:rPr>
        <w:t>【政府采购合同专用条款】</w:t>
      </w:r>
      <w:r>
        <w:rPr>
          <w:rFonts w:hint="default" w:ascii="Times New Roman" w:hAnsi="Times New Roman" w:eastAsia="宋体" w:cs="Times New Roman"/>
          <w:color w:val="000000"/>
          <w:szCs w:val="15"/>
          <w:highlight w:val="none"/>
        </w:rPr>
        <w:t>中约定。</w:t>
      </w:r>
    </w:p>
    <w:p w14:paraId="53B5C900">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12. 合同价款支付</w:t>
      </w:r>
    </w:p>
    <w:p w14:paraId="0D0858C4">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12.1 合同价款支付按照国库集中支付制度及财政管理相关规定执行。</w:t>
      </w:r>
    </w:p>
    <w:p w14:paraId="16E38CD7">
      <w:pPr>
        <w:pageBreakBefore w:val="0"/>
        <w:kinsoku/>
        <w:overflowPunct/>
        <w:bidi w:val="0"/>
        <w:spacing w:beforeAutospacing="0" w:afterAutospacing="0" w:line="360" w:lineRule="auto"/>
        <w:ind w:firstLine="420" w:firstLineChars="20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default" w:ascii="Times New Roman" w:hAnsi="Times New Roman" w:eastAsia="宋体" w:cs="Times New Roman"/>
          <w:b/>
          <w:bCs/>
          <w:color w:val="000000"/>
          <w:szCs w:val="21"/>
          <w:highlight w:val="none"/>
        </w:rPr>
        <w:t>政府采购合同专用条款</w:t>
      </w:r>
      <w:r>
        <w:rPr>
          <w:rFonts w:hint="default" w:ascii="Times New Roman" w:hAnsi="Times New Roman" w:eastAsia="宋体" w:cs="Times New Roman"/>
          <w:color w:val="000000"/>
          <w:szCs w:val="21"/>
          <w:highlight w:val="none"/>
        </w:rPr>
        <w:t>】中约定。</w:t>
      </w:r>
    </w:p>
    <w:p w14:paraId="33B6BCD3">
      <w:pPr>
        <w:pStyle w:val="2"/>
        <w:pageBreakBefore w:val="0"/>
        <w:kinsoku/>
        <w:overflowPunct/>
        <w:bidi w:val="0"/>
        <w:spacing w:beforeAutospacing="0" w:afterAutospacing="0" w:line="360" w:lineRule="auto"/>
        <w:rPr>
          <w:rFonts w:hint="default" w:ascii="Times New Roman" w:hAnsi="Times New Roman" w:eastAsia="宋体" w:cs="Times New Roman"/>
          <w:b/>
          <w:bCs/>
          <w:color w:val="000000"/>
          <w:sz w:val="24"/>
          <w:szCs w:val="24"/>
          <w:highlight w:val="none"/>
        </w:rPr>
      </w:pPr>
      <w:r>
        <w:rPr>
          <w:rFonts w:hint="default" w:ascii="Times New Roman" w:hAnsi="Times New Roman" w:eastAsia="宋体" w:cs="Times New Roman"/>
          <w:b/>
          <w:bCs/>
          <w:color w:val="000000"/>
          <w:sz w:val="24"/>
          <w:szCs w:val="24"/>
          <w:highlight w:val="none"/>
        </w:rPr>
        <w:t>13. 履约保证金</w:t>
      </w:r>
    </w:p>
    <w:p w14:paraId="31C1AD97">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 xml:space="preserve">13.1 </w:t>
      </w:r>
      <w:r>
        <w:rPr>
          <w:rFonts w:hint="default" w:ascii="Times New Roman" w:hAnsi="Times New Roman" w:eastAsia="宋体" w:cs="Times New Roman"/>
          <w:color w:val="000000"/>
          <w:szCs w:val="15"/>
          <w:highlight w:val="none"/>
        </w:rPr>
        <w:t>乙方应当以支票、汇票、本票或者金融机构、担保机构出具的保函等非现金形式提交。</w:t>
      </w:r>
    </w:p>
    <w:p w14:paraId="130D3B6D">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13.2 如果乙方出现</w:t>
      </w:r>
      <w:r>
        <w:rPr>
          <w:rFonts w:hint="default" w:ascii="Times New Roman" w:hAnsi="Times New Roman" w:eastAsia="宋体" w:cs="Times New Roman"/>
          <w:b/>
          <w:bCs/>
          <w:color w:val="000000"/>
          <w:szCs w:val="15"/>
          <w:highlight w:val="none"/>
        </w:rPr>
        <w:t>【政府采购合同专用条款】</w:t>
      </w:r>
      <w:r>
        <w:rPr>
          <w:rFonts w:hint="default" w:ascii="Times New Roman" w:hAnsi="Times New Roman" w:eastAsia="宋体" w:cs="Times New Roman"/>
          <w:color w:val="000000"/>
          <w:szCs w:val="15"/>
          <w:highlight w:val="none"/>
        </w:rPr>
        <w:t>约定情形的</w:t>
      </w:r>
      <w:r>
        <w:rPr>
          <w:rFonts w:hint="default" w:ascii="Times New Roman" w:hAnsi="Times New Roman" w:eastAsia="宋体" w:cs="Times New Roman"/>
          <w:color w:val="000000"/>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57901672">
      <w:pPr>
        <w:pageBreakBefore w:val="0"/>
        <w:kinsoku/>
        <w:overflowPunct/>
        <w:bidi w:val="0"/>
        <w:spacing w:beforeAutospacing="0" w:afterAutospacing="0" w:line="360" w:lineRule="auto"/>
        <w:ind w:firstLine="42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13.3 甲方在项目通过验收后按照</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color w:val="000000"/>
          <w:szCs w:val="21"/>
          <w:highlight w:val="none"/>
        </w:rPr>
        <w:t>规定的时间内将履约保证金退还乙方。</w:t>
      </w:r>
    </w:p>
    <w:p w14:paraId="352C5C7F">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bCs/>
          <w:color w:val="000000"/>
          <w:sz w:val="24"/>
          <w:highlight w:val="none"/>
        </w:rPr>
        <w:t xml:space="preserve">14. </w:t>
      </w:r>
      <w:r>
        <w:rPr>
          <w:rFonts w:hint="default" w:ascii="Times New Roman" w:hAnsi="Times New Roman" w:eastAsia="宋体" w:cs="Times New Roman"/>
          <w:b/>
          <w:color w:val="000000"/>
          <w:sz w:val="24"/>
          <w:highlight w:val="none"/>
        </w:rPr>
        <w:t>售后服务</w:t>
      </w:r>
    </w:p>
    <w:p w14:paraId="1BF252D0">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14.1 除项目不涉及或采购活动中明确约定无须承担外，乙方还应提供下列服务：</w:t>
      </w:r>
    </w:p>
    <w:p w14:paraId="72908E54">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（1）货物的现场移动、安装、调试、启动监督及技术支持；</w:t>
      </w:r>
    </w:p>
    <w:p w14:paraId="12E445EB">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（2）提供货物组装和维修所需的专用工具和辅助材料；</w:t>
      </w:r>
    </w:p>
    <w:p w14:paraId="1DAE1E5E">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（3）在制造商所在地或指定现场就货物的安装、启动、运营、维护、废弃处置等对甲方操作人员进行培训</w:t>
      </w:r>
      <w:r>
        <w:rPr>
          <w:rFonts w:hint="default" w:ascii="Times New Roman" w:hAnsi="Times New Roman" w:eastAsia="宋体" w:cs="Times New Roman"/>
          <w:color w:val="000000"/>
          <w:szCs w:val="15"/>
          <w:highlight w:val="none"/>
        </w:rPr>
        <w:t>；</w:t>
      </w:r>
    </w:p>
    <w:p w14:paraId="7DACA211">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（4）</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color w:val="000000"/>
          <w:szCs w:val="21"/>
          <w:highlight w:val="none"/>
        </w:rPr>
        <w:t>规定由乙方提供的其他服务。</w:t>
      </w:r>
    </w:p>
    <w:p w14:paraId="528F59B7">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14.2 乙方提供的售后服务的费用已包含在合同价款中，甲方不再另行支付。</w:t>
      </w:r>
    </w:p>
    <w:p w14:paraId="513AC239">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15. 不可抗力</w:t>
      </w:r>
    </w:p>
    <w:p w14:paraId="14077AAB">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15.1 不可抗力是指合同双方不能预见、不能避免且不能克服的客观情况。</w:t>
      </w:r>
    </w:p>
    <w:p w14:paraId="32B2B85E">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15.2 任何一方对由于不可抗力造成的部分或全部不能履行合同不承担违约责任。但迟延履行后发生不可抗力的，不能免除责任。</w:t>
      </w:r>
    </w:p>
    <w:p w14:paraId="2DA5DC64">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15.3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448BF71">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color w:val="000000"/>
          <w:sz w:val="24"/>
          <w:highlight w:val="none"/>
        </w:rPr>
      </w:pPr>
      <w:r>
        <w:rPr>
          <w:rFonts w:hint="default" w:ascii="Times New Roman" w:hAnsi="Times New Roman" w:eastAsia="宋体" w:cs="Times New Roman"/>
          <w:b/>
          <w:color w:val="000000"/>
          <w:sz w:val="24"/>
          <w:highlight w:val="none"/>
        </w:rPr>
        <w:t>16. 政府采购政策</w:t>
      </w:r>
    </w:p>
    <w:p w14:paraId="05891269">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 xml:space="preserve">16.1 </w:t>
      </w:r>
      <w:r>
        <w:rPr>
          <w:rFonts w:hint="default" w:ascii="Times New Roman" w:hAnsi="Times New Roman" w:eastAsia="宋体" w:cs="Times New Roman"/>
          <w:color w:val="000000"/>
          <w:highlight w:val="none"/>
          <w:lang w:val="en-GB"/>
        </w:rPr>
        <w:t>本合同应当按照规定执行政府采购政策。</w:t>
      </w:r>
    </w:p>
    <w:p w14:paraId="13603868">
      <w:pPr>
        <w:pageBreakBefore w:val="0"/>
        <w:kinsoku/>
        <w:overflowPunct/>
        <w:autoSpaceDE w:val="0"/>
        <w:autoSpaceDN w:val="0"/>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16.2 本合同依法执行政府采购政策的方式和内容，属于合同履约验收的范围。</w:t>
      </w:r>
      <w:r>
        <w:rPr>
          <w:rFonts w:hint="default" w:ascii="Times New Roman" w:hAnsi="Times New Roman" w:eastAsia="宋体" w:cs="Times New Roman"/>
          <w:color w:val="000000"/>
          <w:highlight w:val="none"/>
        </w:rPr>
        <w:t>甲乙双方</w:t>
      </w:r>
      <w:r>
        <w:rPr>
          <w:rFonts w:hint="default" w:ascii="Times New Roman" w:hAnsi="Times New Roman" w:eastAsia="宋体" w:cs="Times New Roman"/>
          <w:color w:val="000000"/>
          <w:highlight w:val="none"/>
          <w:lang w:val="en-GB"/>
        </w:rPr>
        <w:t>未按规定要求执行政府采购政策造成损失的</w:t>
      </w:r>
      <w:r>
        <w:rPr>
          <w:rFonts w:hint="default" w:ascii="Times New Roman" w:hAnsi="Times New Roman" w:eastAsia="宋体" w:cs="Times New Roman"/>
          <w:color w:val="000000"/>
          <w:szCs w:val="21"/>
          <w:highlight w:val="none"/>
        </w:rPr>
        <w:t>，有过错的一方应当承担赔偿责任，双方都有过错的，各自承担相应的责任。</w:t>
      </w:r>
    </w:p>
    <w:p w14:paraId="0B77CDA9">
      <w:pPr>
        <w:pStyle w:val="2"/>
        <w:pageBreakBefore w:val="0"/>
        <w:kinsoku/>
        <w:overflowPunct/>
        <w:bidi w:val="0"/>
        <w:spacing w:beforeAutospacing="0" w:afterAutospacing="0" w:line="360" w:lineRule="auto"/>
        <w:ind w:firstLine="400" w:firstLineChars="20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16.3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F31AA4A">
      <w:pPr>
        <w:pageBreakBefore w:val="0"/>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17. 法律适用</w:t>
      </w:r>
    </w:p>
    <w:p w14:paraId="005E15AC">
      <w:pPr>
        <w:pStyle w:val="94"/>
        <w:pageBreakBefore w:val="0"/>
        <w:kinsoku/>
        <w:overflowPunct/>
        <w:bidi w:val="0"/>
        <w:spacing w:beforeAutospacing="0" w:afterAutospacing="0" w:line="360" w:lineRule="auto"/>
        <w:ind w:firstLine="420"/>
        <w:jc w:val="both"/>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sz w:val="21"/>
          <w:highlight w:val="none"/>
        </w:rPr>
        <w:t>17.1 本合同的订立、生效、解释、履行及与本合同有关的争议解决，均适用法律、行政法规。</w:t>
      </w:r>
    </w:p>
    <w:p w14:paraId="33018CA5">
      <w:pPr>
        <w:pStyle w:val="94"/>
        <w:pageBreakBefore w:val="0"/>
        <w:kinsoku/>
        <w:overflowPunct/>
        <w:bidi w:val="0"/>
        <w:spacing w:beforeAutospacing="0" w:afterAutospacing="0" w:line="360" w:lineRule="auto"/>
        <w:ind w:firstLine="420"/>
        <w:jc w:val="both"/>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sz w:val="21"/>
          <w:highlight w:val="none"/>
        </w:rPr>
        <w:t>17.2 本合同条款与法律、行政法规的强制性规定不一致的，双方当事人应按照法律、行政法规的强制性规定修改本合同的相关条款。</w:t>
      </w:r>
    </w:p>
    <w:p w14:paraId="2F3BD233">
      <w:pPr>
        <w:pageBreakBefore w:val="0"/>
        <w:numPr>
          <w:ilvl w:val="0"/>
          <w:numId w:val="0"/>
        </w:numPr>
        <w:kinsoku/>
        <w:overflowPunct/>
        <w:autoSpaceDE w:val="0"/>
        <w:autoSpaceDN w:val="0"/>
        <w:bidi w:val="0"/>
        <w:adjustRightInd w:val="0"/>
        <w:snapToGrid w:val="0"/>
        <w:spacing w:beforeAutospacing="0" w:afterAutospacing="0" w:line="360" w:lineRule="auto"/>
        <w:jc w:val="left"/>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rPr>
        <w:t>18. 通知</w:t>
      </w:r>
    </w:p>
    <w:p w14:paraId="2563A9F1">
      <w:pPr>
        <w:pStyle w:val="94"/>
        <w:pageBreakBefore w:val="0"/>
        <w:kinsoku/>
        <w:overflowPunct/>
        <w:bidi w:val="0"/>
        <w:spacing w:beforeAutospacing="0" w:afterAutospacing="0" w:line="360" w:lineRule="auto"/>
        <w:ind w:firstLine="420"/>
        <w:jc w:val="both"/>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sz w:val="21"/>
          <w:highlight w:val="none"/>
        </w:rPr>
        <w:t>18.1 本合同任何一方向对方发出的通知、信件、数据电文等，应当发送至本合同第一部分《政府采购合同协议书》所约定的通讯地址、联系人、联系电话或电子邮箱。</w:t>
      </w:r>
    </w:p>
    <w:p w14:paraId="40AD9284">
      <w:pPr>
        <w:pStyle w:val="94"/>
        <w:pageBreakBefore w:val="0"/>
        <w:kinsoku/>
        <w:overflowPunct/>
        <w:bidi w:val="0"/>
        <w:spacing w:beforeAutospacing="0" w:afterAutospacing="0" w:line="360" w:lineRule="auto"/>
        <w:ind w:firstLine="420"/>
        <w:jc w:val="both"/>
        <w:rPr>
          <w:rFonts w:hint="default" w:ascii="Times New Roman" w:hAnsi="Times New Roman" w:eastAsia="宋体" w:cs="Times New Roman"/>
          <w:color w:val="000000"/>
          <w:sz w:val="21"/>
          <w:highlight w:val="none"/>
        </w:rPr>
      </w:pPr>
      <w:r>
        <w:rPr>
          <w:rFonts w:hint="default" w:ascii="Times New Roman" w:hAnsi="Times New Roman" w:eastAsia="宋体" w:cs="Times New Roman"/>
          <w:color w:val="000000"/>
          <w:sz w:val="21"/>
          <w:highlight w:val="none"/>
        </w:rPr>
        <w:t>18.2 一方当事人变更名称、住所、联系人、联系电话或电子邮箱等信息的，应当在变更后3日内及时书面通知对方，对方实际收到变更通知前的送达仍为有效送达。</w:t>
      </w:r>
    </w:p>
    <w:p w14:paraId="751CF3E4">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highlight w:val="none"/>
        </w:rPr>
        <w:t>18</w:t>
      </w:r>
      <w:r>
        <w:rPr>
          <w:rFonts w:hint="default" w:ascii="Times New Roman" w:hAnsi="Times New Roman" w:eastAsia="宋体" w:cs="Times New Roman"/>
          <w:color w:val="000000"/>
          <w:szCs w:val="21"/>
          <w:highlight w:val="none"/>
        </w:rPr>
        <w:t>.3本合同一方给另一方的通知均应采用书面形式，传真或快递送到本合同中规定的对方的地址和办理签收手续。</w:t>
      </w:r>
    </w:p>
    <w:p w14:paraId="742A7FD4">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highlight w:val="none"/>
        </w:rPr>
        <w:t>18</w:t>
      </w:r>
      <w:r>
        <w:rPr>
          <w:rFonts w:hint="default" w:ascii="Times New Roman" w:hAnsi="Times New Roman" w:eastAsia="宋体" w:cs="Times New Roman"/>
          <w:color w:val="000000"/>
          <w:szCs w:val="21"/>
          <w:highlight w:val="none"/>
        </w:rPr>
        <w:t>.4通知以送达之日或通知书中规定的生效之日起生效，两者中以较迟之日为准。</w:t>
      </w:r>
    </w:p>
    <w:p w14:paraId="28F7B89E">
      <w:pPr>
        <w:pageBreakBefore w:val="0"/>
        <w:numPr>
          <w:ilvl w:val="0"/>
          <w:numId w:val="11"/>
        </w:numPr>
        <w:kinsoku/>
        <w:overflowPunct/>
        <w:bidi w:val="0"/>
        <w:adjustRightInd w:val="0"/>
        <w:snapToGrid w:val="0"/>
        <w:spacing w:beforeAutospacing="0" w:afterAutospacing="0" w:line="360" w:lineRule="auto"/>
        <w:jc w:val="left"/>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合同未尽事项</w:t>
      </w:r>
    </w:p>
    <w:p w14:paraId="02E4EA86">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bCs/>
          <w:color w:val="000000"/>
          <w:szCs w:val="21"/>
          <w:highlight w:val="none"/>
        </w:rPr>
      </w:pPr>
      <w:r>
        <w:rPr>
          <w:rFonts w:hint="default" w:ascii="Times New Roman" w:hAnsi="Times New Roman" w:eastAsia="宋体" w:cs="Times New Roman"/>
          <w:bCs/>
          <w:color w:val="000000"/>
          <w:szCs w:val="21"/>
          <w:highlight w:val="none"/>
        </w:rPr>
        <w:t>19.1合同未尽事项见</w:t>
      </w:r>
      <w:r>
        <w:rPr>
          <w:rFonts w:hint="default" w:ascii="Times New Roman" w:hAnsi="Times New Roman" w:eastAsia="宋体" w:cs="Times New Roman"/>
          <w:b/>
          <w:color w:val="000000"/>
          <w:szCs w:val="21"/>
          <w:highlight w:val="none"/>
        </w:rPr>
        <w:t>【政府采购合同专用条款】</w:t>
      </w:r>
      <w:r>
        <w:rPr>
          <w:rFonts w:hint="default" w:ascii="Times New Roman" w:hAnsi="Times New Roman" w:eastAsia="宋体" w:cs="Times New Roman"/>
          <w:bCs/>
          <w:color w:val="000000"/>
          <w:szCs w:val="21"/>
          <w:highlight w:val="none"/>
        </w:rPr>
        <w:t>。</w:t>
      </w:r>
    </w:p>
    <w:p w14:paraId="15D1A1A4">
      <w:pPr>
        <w:pageBreakBefore w:val="0"/>
        <w:kinsoku/>
        <w:overflowPunct/>
        <w:bidi w:val="0"/>
        <w:adjustRightInd w:val="0"/>
        <w:snapToGrid w:val="0"/>
        <w:spacing w:beforeAutospacing="0" w:afterAutospacing="0" w:line="360" w:lineRule="auto"/>
        <w:ind w:firstLine="420" w:firstLineChars="200"/>
        <w:jc w:val="left"/>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bCs/>
          <w:color w:val="000000"/>
          <w:szCs w:val="21"/>
          <w:highlight w:val="none"/>
        </w:rPr>
        <w:t>19.2 合同附件与合同正文具有同等的法律效力。</w:t>
      </w:r>
    </w:p>
    <w:p w14:paraId="5BDCB741">
      <w:pPr>
        <w:pageBreakBefore w:val="0"/>
        <w:kinsoku/>
        <w:overflowPunct/>
        <w:bidi w:val="0"/>
        <w:adjustRightInd w:val="0"/>
        <w:snapToGrid w:val="0"/>
        <w:spacing w:beforeAutospacing="0" w:afterAutospacing="0" w:line="360" w:lineRule="auto"/>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 w:val="28"/>
          <w:szCs w:val="28"/>
          <w:highlight w:val="none"/>
        </w:rPr>
        <w:br w:type="page"/>
      </w:r>
      <w:r>
        <w:rPr>
          <w:rFonts w:hint="default" w:ascii="Times New Roman" w:hAnsi="Times New Roman" w:eastAsia="宋体" w:cs="Times New Roman"/>
          <w:b/>
          <w:bCs/>
          <w:color w:val="000000"/>
          <w:kern w:val="0"/>
          <w:sz w:val="28"/>
          <w:szCs w:val="28"/>
          <w:highlight w:val="none"/>
        </w:rPr>
        <w:t>第三节 政府采购合同专用条款</w:t>
      </w:r>
    </w:p>
    <w:tbl>
      <w:tblPr>
        <w:tblStyle w:val="3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B5B0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DE96B8">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18F89585">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第4.4款</w:t>
            </w:r>
          </w:p>
        </w:tc>
        <w:tc>
          <w:tcPr>
            <w:tcW w:w="1742" w:type="dxa"/>
            <w:noWrap w:val="0"/>
            <w:vAlign w:val="center"/>
          </w:tcPr>
          <w:p w14:paraId="161C5E3E">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履约验收中甲方提出异议或作出说明的期限</w:t>
            </w:r>
          </w:p>
        </w:tc>
        <w:tc>
          <w:tcPr>
            <w:tcW w:w="5170" w:type="dxa"/>
            <w:noWrap w:val="0"/>
            <w:vAlign w:val="center"/>
          </w:tcPr>
          <w:p w14:paraId="7EC79021">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如有异议，甲方在货到一个月内向乙方提出，乙方应在接到甲方异议的7天内做出书面答复，否则视为乙方同意甲方提出的异议和处理意见</w:t>
            </w:r>
          </w:p>
        </w:tc>
      </w:tr>
      <w:tr w14:paraId="2A53A8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257EFE">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19F4D182">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第4.6款</w:t>
            </w:r>
          </w:p>
        </w:tc>
        <w:tc>
          <w:tcPr>
            <w:tcW w:w="1742" w:type="dxa"/>
            <w:noWrap w:val="0"/>
            <w:vAlign w:val="center"/>
          </w:tcPr>
          <w:p w14:paraId="26E0A9DE">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约定甲方承担的其他义务和责任</w:t>
            </w:r>
          </w:p>
        </w:tc>
        <w:tc>
          <w:tcPr>
            <w:tcW w:w="5170" w:type="dxa"/>
            <w:noWrap w:val="0"/>
            <w:vAlign w:val="center"/>
          </w:tcPr>
          <w:p w14:paraId="7227EF5B">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w:t>
            </w:r>
          </w:p>
        </w:tc>
      </w:tr>
      <w:tr w14:paraId="7CB31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83E12A">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3D5E5A51">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szCs w:val="21"/>
                <w:highlight w:val="none"/>
              </w:rPr>
              <w:t>第5.4款</w:t>
            </w:r>
          </w:p>
        </w:tc>
        <w:tc>
          <w:tcPr>
            <w:tcW w:w="1742" w:type="dxa"/>
            <w:noWrap w:val="0"/>
            <w:vAlign w:val="center"/>
          </w:tcPr>
          <w:p w14:paraId="5E2D6B34">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约定乙方承担的其他义务和责任</w:t>
            </w:r>
          </w:p>
        </w:tc>
        <w:tc>
          <w:tcPr>
            <w:tcW w:w="5170" w:type="dxa"/>
            <w:noWrap w:val="0"/>
            <w:vAlign w:val="center"/>
          </w:tcPr>
          <w:p w14:paraId="4B6A6088">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w:t>
            </w:r>
          </w:p>
        </w:tc>
      </w:tr>
      <w:tr w14:paraId="32949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5D14DB4">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25BFC2FA">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第6.1款</w:t>
            </w:r>
          </w:p>
        </w:tc>
        <w:tc>
          <w:tcPr>
            <w:tcW w:w="1742" w:type="dxa"/>
            <w:noWrap w:val="0"/>
            <w:vAlign w:val="center"/>
          </w:tcPr>
          <w:p w14:paraId="32E0D4BD">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履行合同义务的顺序</w:t>
            </w:r>
          </w:p>
        </w:tc>
        <w:tc>
          <w:tcPr>
            <w:tcW w:w="5170" w:type="dxa"/>
            <w:noWrap w:val="0"/>
            <w:vAlign w:val="center"/>
          </w:tcPr>
          <w:p w14:paraId="37314036">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w:t>
            </w:r>
          </w:p>
        </w:tc>
      </w:tr>
      <w:tr w14:paraId="4B22B2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vMerge w:val="restart"/>
            <w:noWrap w:val="0"/>
            <w:vAlign w:val="center"/>
          </w:tcPr>
          <w:p w14:paraId="26B19CF0">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1C98821C">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第7.1款</w:t>
            </w:r>
          </w:p>
        </w:tc>
        <w:tc>
          <w:tcPr>
            <w:tcW w:w="1742" w:type="dxa"/>
            <w:noWrap w:val="0"/>
            <w:vAlign w:val="center"/>
          </w:tcPr>
          <w:p w14:paraId="7130AB0B">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包装特殊要求</w:t>
            </w:r>
          </w:p>
        </w:tc>
        <w:tc>
          <w:tcPr>
            <w:tcW w:w="5170" w:type="dxa"/>
            <w:noWrap w:val="0"/>
            <w:vAlign w:val="center"/>
          </w:tcPr>
          <w:p w14:paraId="1D408543">
            <w:pPr>
              <w:keepNext w:val="0"/>
              <w:keepLines w:val="0"/>
              <w:pageBreakBefore w:val="0"/>
              <w:suppressLineNumbers w:val="0"/>
              <w:kinsoku/>
              <w:overflowPunct/>
              <w:bidi w:val="0"/>
              <w:spacing w:before="0" w:beforeAutospacing="0" w:after="0" w:afterAutospacing="0" w:line="360" w:lineRule="auto"/>
              <w:ind w:left="0" w:right="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w:t>
            </w:r>
          </w:p>
        </w:tc>
      </w:tr>
      <w:tr w14:paraId="72802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151BB70">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p>
        </w:tc>
        <w:tc>
          <w:tcPr>
            <w:tcW w:w="1742" w:type="dxa"/>
            <w:noWrap w:val="0"/>
            <w:vAlign w:val="center"/>
          </w:tcPr>
          <w:p w14:paraId="07799C76">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指定现场</w:t>
            </w:r>
          </w:p>
        </w:tc>
        <w:tc>
          <w:tcPr>
            <w:tcW w:w="5170" w:type="dxa"/>
            <w:noWrap w:val="0"/>
            <w:vAlign w:val="center"/>
          </w:tcPr>
          <w:p w14:paraId="2ABA5835">
            <w:pPr>
              <w:keepNext w:val="0"/>
              <w:keepLines w:val="0"/>
              <w:pageBreakBefore w:val="0"/>
              <w:suppressLineNumbers w:val="0"/>
              <w:kinsoku/>
              <w:overflowPunct/>
              <w:bidi w:val="0"/>
              <w:spacing w:before="0" w:beforeAutospacing="0" w:after="0" w:afterAutospacing="0" w:line="360" w:lineRule="auto"/>
              <w:ind w:left="0" w:right="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w:t>
            </w:r>
          </w:p>
        </w:tc>
      </w:tr>
      <w:tr w14:paraId="0487A2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5D6E6EE7">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61D2FA22">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第7.2款</w:t>
            </w:r>
          </w:p>
        </w:tc>
        <w:tc>
          <w:tcPr>
            <w:tcW w:w="1742" w:type="dxa"/>
            <w:noWrap w:val="0"/>
            <w:vAlign w:val="center"/>
          </w:tcPr>
          <w:p w14:paraId="3ECD231D">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运输特殊要求</w:t>
            </w:r>
          </w:p>
        </w:tc>
        <w:tc>
          <w:tcPr>
            <w:tcW w:w="5170" w:type="dxa"/>
            <w:noWrap w:val="0"/>
            <w:vAlign w:val="center"/>
          </w:tcPr>
          <w:p w14:paraId="40448471">
            <w:pPr>
              <w:keepNext w:val="0"/>
              <w:keepLines w:val="0"/>
              <w:pageBreakBefore w:val="0"/>
              <w:suppressLineNumbers w:val="0"/>
              <w:kinsoku/>
              <w:overflowPunct/>
              <w:bidi w:val="0"/>
              <w:spacing w:before="0" w:beforeAutospacing="0" w:after="0" w:afterAutospacing="0" w:line="360" w:lineRule="auto"/>
              <w:ind w:left="0" w:right="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w:t>
            </w:r>
          </w:p>
        </w:tc>
      </w:tr>
      <w:tr w14:paraId="711978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27F42CA2">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11B15FF2">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第7.3款</w:t>
            </w:r>
          </w:p>
        </w:tc>
        <w:tc>
          <w:tcPr>
            <w:tcW w:w="1742" w:type="dxa"/>
            <w:noWrap w:val="0"/>
            <w:vAlign w:val="center"/>
          </w:tcPr>
          <w:p w14:paraId="14FDDC3A">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保险要求</w:t>
            </w:r>
          </w:p>
        </w:tc>
        <w:tc>
          <w:tcPr>
            <w:tcW w:w="5170" w:type="dxa"/>
            <w:noWrap w:val="0"/>
            <w:vAlign w:val="center"/>
          </w:tcPr>
          <w:p w14:paraId="66A23248">
            <w:pPr>
              <w:keepNext w:val="0"/>
              <w:keepLines w:val="0"/>
              <w:pageBreakBefore w:val="0"/>
              <w:suppressLineNumbers w:val="0"/>
              <w:kinsoku/>
              <w:overflowPunct/>
              <w:bidi w:val="0"/>
              <w:spacing w:before="0" w:beforeAutospacing="0" w:after="0" w:afterAutospacing="0" w:line="360" w:lineRule="auto"/>
              <w:ind w:left="0" w:right="0"/>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w:t>
            </w:r>
          </w:p>
        </w:tc>
      </w:tr>
      <w:tr w14:paraId="580C0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AEED32B">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79A56839">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第8.2（1）项</w:t>
            </w:r>
          </w:p>
        </w:tc>
        <w:tc>
          <w:tcPr>
            <w:tcW w:w="1742" w:type="dxa"/>
            <w:noWrap w:val="0"/>
            <w:vAlign w:val="center"/>
          </w:tcPr>
          <w:p w14:paraId="2465E2F9">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质量保证期</w:t>
            </w:r>
          </w:p>
        </w:tc>
        <w:tc>
          <w:tcPr>
            <w:tcW w:w="5170" w:type="dxa"/>
            <w:noWrap w:val="0"/>
            <w:vAlign w:val="center"/>
          </w:tcPr>
          <w:p w14:paraId="091AF168">
            <w:pPr>
              <w:keepNext w:val="0"/>
              <w:keepLines w:val="0"/>
              <w:pageBreakBefore w:val="0"/>
              <w:suppressLineNumbers w:val="0"/>
              <w:kinsoku/>
              <w:overflowPunct/>
              <w:autoSpaceDE w:val="0"/>
              <w:autoSpaceDN w:val="0"/>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验收合格后XX年（</w:t>
            </w:r>
            <w:r>
              <w:rPr>
                <w:rFonts w:hint="default" w:ascii="Times New Roman" w:hAnsi="Times New Roman" w:eastAsia="宋体" w:cs="Times New Roman"/>
                <w:color w:val="000000"/>
                <w:sz w:val="21"/>
                <w:szCs w:val="21"/>
                <w:highlight w:val="none"/>
                <w:lang w:val="en-US" w:eastAsia="zh-CN"/>
              </w:rPr>
              <w:t>自验收合格之日起计算</w:t>
            </w:r>
            <w:r>
              <w:rPr>
                <w:rFonts w:hint="default" w:ascii="Times New Roman" w:hAnsi="Times New Roman" w:eastAsia="宋体" w:cs="Times New Roman"/>
                <w:color w:val="000000"/>
                <w:szCs w:val="21"/>
                <w:highlight w:val="none"/>
              </w:rPr>
              <w:t>）</w:t>
            </w:r>
          </w:p>
        </w:tc>
      </w:tr>
      <w:tr w14:paraId="3D03C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6F032F">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6CA32689">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第8.2（3）项</w:t>
            </w:r>
          </w:p>
        </w:tc>
        <w:tc>
          <w:tcPr>
            <w:tcW w:w="1742" w:type="dxa"/>
            <w:noWrap w:val="0"/>
            <w:vAlign w:val="center"/>
          </w:tcPr>
          <w:p w14:paraId="49ADF8B5">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货物质量缺陷</w:t>
            </w:r>
          </w:p>
          <w:p w14:paraId="64181284">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响应时间</w:t>
            </w:r>
          </w:p>
        </w:tc>
        <w:tc>
          <w:tcPr>
            <w:tcW w:w="5170" w:type="dxa"/>
            <w:noWrap w:val="0"/>
            <w:vAlign w:val="center"/>
          </w:tcPr>
          <w:p w14:paraId="6A657365">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质保期内出现故障，接到甲方通知后，乙方2小时内电话响应，24小时抵达现场。</w:t>
            </w:r>
          </w:p>
          <w:p w14:paraId="5AAE22EE">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质保期外，乙方提供该设备终身维修服务，服务响应时间与质保期内保持一致。</w:t>
            </w:r>
          </w:p>
        </w:tc>
      </w:tr>
      <w:tr w14:paraId="4B088F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DF41A9">
            <w:pPr>
              <w:keepNext w:val="0"/>
              <w:keepLines w:val="0"/>
              <w:pageBreakBefore w:val="0"/>
              <w:suppressLineNumbers w:val="0"/>
              <w:kinsoku/>
              <w:overflowPunct/>
              <w:bidi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30230F71">
            <w:pPr>
              <w:pStyle w:val="94"/>
              <w:keepNext w:val="0"/>
              <w:keepLines w:val="0"/>
              <w:pageBreakBefore w:val="0"/>
              <w:widowControl/>
              <w:suppressLineNumbers w:val="0"/>
              <w:kinsoku/>
              <w:overflowPunct/>
              <w:bidi w:val="0"/>
              <w:spacing w:before="0" w:beforeAutospacing="0" w:after="0" w:afterAutospacing="0" w:line="360" w:lineRule="auto"/>
              <w:ind w:left="0" w:right="0" w:firstLine="0" w:firstLineChars="0"/>
              <w:jc w:val="center"/>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第11.1款</w:t>
            </w:r>
          </w:p>
        </w:tc>
        <w:tc>
          <w:tcPr>
            <w:tcW w:w="1742" w:type="dxa"/>
            <w:noWrap w:val="0"/>
            <w:vAlign w:val="center"/>
          </w:tcPr>
          <w:p w14:paraId="11A42E91">
            <w:pPr>
              <w:keepNext w:val="0"/>
              <w:keepLines w:val="0"/>
              <w:pageBreakBefore w:val="0"/>
              <w:suppressLineNumbers w:val="0"/>
              <w:kinsoku/>
              <w:overflowPunct/>
              <w:bidi w:val="0"/>
              <w:adjustRightInd w:val="0"/>
              <w:snapToGrid w:val="0"/>
              <w:spacing w:before="0" w:beforeAutospacing="0" w:after="0" w:afterAutospacing="0" w:line="360" w:lineRule="auto"/>
              <w:ind w:left="0" w:right="0"/>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其他应当保密的信息</w:t>
            </w:r>
          </w:p>
        </w:tc>
        <w:tc>
          <w:tcPr>
            <w:tcW w:w="5170" w:type="dxa"/>
            <w:noWrap w:val="0"/>
            <w:vAlign w:val="center"/>
          </w:tcPr>
          <w:p w14:paraId="1DD59A1B">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包括但不限于技术情报、技术资料、商业秘密和商业信息等。</w:t>
            </w:r>
          </w:p>
        </w:tc>
      </w:tr>
      <w:tr w14:paraId="4A127D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7AC1ED4">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2787FC9B">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第12.2款</w:t>
            </w:r>
          </w:p>
        </w:tc>
        <w:tc>
          <w:tcPr>
            <w:tcW w:w="1742" w:type="dxa"/>
            <w:noWrap w:val="0"/>
            <w:vAlign w:val="center"/>
          </w:tcPr>
          <w:p w14:paraId="6BCD087A">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合同价款支付时间</w:t>
            </w:r>
          </w:p>
        </w:tc>
        <w:tc>
          <w:tcPr>
            <w:tcW w:w="5170" w:type="dxa"/>
            <w:noWrap w:val="0"/>
            <w:vAlign w:val="center"/>
          </w:tcPr>
          <w:p w14:paraId="641AC37E">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满足合同约定支付条件之日起30日内。</w:t>
            </w:r>
          </w:p>
        </w:tc>
      </w:tr>
      <w:tr w14:paraId="39C2A6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0D163E5">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1E33EDA7">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第13.2款</w:t>
            </w:r>
          </w:p>
        </w:tc>
        <w:tc>
          <w:tcPr>
            <w:tcW w:w="1742" w:type="dxa"/>
            <w:noWrap w:val="0"/>
            <w:vAlign w:val="center"/>
          </w:tcPr>
          <w:p w14:paraId="53168E60">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履约保证金不予退还的情形</w:t>
            </w:r>
          </w:p>
        </w:tc>
        <w:tc>
          <w:tcPr>
            <w:tcW w:w="5170" w:type="dxa"/>
            <w:noWrap w:val="0"/>
            <w:vAlign w:val="center"/>
          </w:tcPr>
          <w:p w14:paraId="584A634D">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1.乙方不履行合同，履约保证金不予退还；</w:t>
            </w:r>
          </w:p>
          <w:p w14:paraId="2DFF310F">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2.乙方未能按合同约定全面履行业务，甲方有权从履约保证金中取得补偿或赔偿，给甲方造成的损失超过履约保证金数额的，还应当对超过部分予以赔偿；</w:t>
            </w:r>
          </w:p>
        </w:tc>
      </w:tr>
      <w:tr w14:paraId="408C5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2100A99">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092B20B4">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第13.3款</w:t>
            </w:r>
          </w:p>
        </w:tc>
        <w:tc>
          <w:tcPr>
            <w:tcW w:w="1742" w:type="dxa"/>
            <w:noWrap w:val="0"/>
            <w:vAlign w:val="center"/>
          </w:tcPr>
          <w:p w14:paraId="5FEEA55D">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履约保证金退还时间</w:t>
            </w:r>
          </w:p>
        </w:tc>
        <w:tc>
          <w:tcPr>
            <w:tcW w:w="5170" w:type="dxa"/>
            <w:noWrap w:val="0"/>
            <w:vAlign w:val="center"/>
          </w:tcPr>
          <w:p w14:paraId="36B07F45">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乙方完成其合同义务包括任何保证义务至质保期结束无质量问题之日起7个工作日内，退还乙方履约保证金。</w:t>
            </w:r>
          </w:p>
        </w:tc>
      </w:tr>
      <w:tr w14:paraId="37F01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1B8A2D1">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524549F0">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第14.1（6）项</w:t>
            </w:r>
          </w:p>
        </w:tc>
        <w:tc>
          <w:tcPr>
            <w:tcW w:w="1742" w:type="dxa"/>
            <w:noWrap w:val="0"/>
            <w:vAlign w:val="center"/>
          </w:tcPr>
          <w:p w14:paraId="6E6D75BF">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乙方提供的其他服务</w:t>
            </w:r>
          </w:p>
        </w:tc>
        <w:tc>
          <w:tcPr>
            <w:tcW w:w="5170" w:type="dxa"/>
            <w:noWrap w:val="0"/>
            <w:vAlign w:val="center"/>
          </w:tcPr>
          <w:p w14:paraId="15248B3A">
            <w:pPr>
              <w:pStyle w:val="94"/>
              <w:keepNext w:val="0"/>
              <w:keepLines w:val="0"/>
              <w:pageBreakBefore w:val="0"/>
              <w:widowControl/>
              <w:suppressLineNumbers w:val="0"/>
              <w:kinsoku/>
              <w:overflowPunct/>
              <w:bidi w:val="0"/>
              <w:spacing w:before="0" w:beforeAutospacing="0" w:after="0" w:afterAutospacing="0" w:line="360" w:lineRule="auto"/>
              <w:ind w:left="0" w:right="0" w:firstLine="0" w:firstLineChars="0"/>
              <w:rPr>
                <w:rFonts w:hint="default" w:ascii="Times New Roman" w:hAnsi="Times New Roman" w:eastAsia="宋体" w:cs="Times New Roman"/>
                <w:color w:val="000000"/>
                <w:kern w:val="2"/>
                <w:sz w:val="21"/>
                <w:highlight w:val="none"/>
              </w:rPr>
            </w:pPr>
            <w:r>
              <w:rPr>
                <w:rFonts w:hint="default" w:ascii="Times New Roman" w:hAnsi="Times New Roman" w:eastAsia="宋体" w:cs="Times New Roman"/>
                <w:color w:val="000000"/>
                <w:kern w:val="2"/>
                <w:sz w:val="21"/>
                <w:highlight w:val="none"/>
              </w:rPr>
              <w:t>质保期内，乙方应对货物及主要部件、配件维修更换，对货物（人为故意损坏除外）提供全免费保修或免费更换；如出现故障，乙方应在接到通知后2小时内响应，24小时内抵达现场进行维修，若问题、故障在检修48小时内仍无法解决，乙方应在3个工作日内免费提供不低于故障货物规格型号档次的备用货物供甲方使用，直至故障货物修复，期间产生的所有费用均由乙方承担。更换的全新配件在使用期间的质保及售后均按本合同执行。</w:t>
            </w:r>
          </w:p>
          <w:p w14:paraId="0A3F040E">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质保期外，乙方应提供货物（设备）的终身维修服务，服务响应时间与质保期内保持一致，质保期外只收取甲方零配件成本费，其他免费。</w:t>
            </w:r>
          </w:p>
        </w:tc>
      </w:tr>
      <w:tr w14:paraId="138A26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3B4A574">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第二节</w:t>
            </w:r>
          </w:p>
          <w:p w14:paraId="1C289EF1">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第19.1款</w:t>
            </w:r>
          </w:p>
        </w:tc>
        <w:tc>
          <w:tcPr>
            <w:tcW w:w="1742" w:type="dxa"/>
            <w:noWrap w:val="0"/>
            <w:vAlign w:val="center"/>
          </w:tcPr>
          <w:p w14:paraId="40615699">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bCs/>
                <w:color w:val="000000"/>
                <w:szCs w:val="21"/>
                <w:highlight w:val="none"/>
              </w:rPr>
              <w:t>其他专用条款</w:t>
            </w:r>
          </w:p>
        </w:tc>
        <w:tc>
          <w:tcPr>
            <w:tcW w:w="5170" w:type="dxa"/>
            <w:noWrap w:val="0"/>
            <w:vAlign w:val="center"/>
          </w:tcPr>
          <w:p w14:paraId="42B95249">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项目管理服务：乙方应指定不少于一人全权全程负责本项目的商务服务，以及货物安装、调试、咨询、培训和售后等技术服务工作。（如发生变更应及时书面通知甲方。）</w:t>
            </w:r>
          </w:p>
          <w:p w14:paraId="28BA7714">
            <w:pPr>
              <w:keepNext w:val="0"/>
              <w:keepLines w:val="0"/>
              <w:pageBreakBefore w:val="0"/>
              <w:suppressLineNumbers w:val="0"/>
              <w:kinsoku/>
              <w:overflowPunct/>
              <w:bidi w:val="0"/>
              <w:adjustRightInd w:val="0"/>
              <w:snapToGrid w:val="0"/>
              <w:spacing w:before="0" w:beforeAutospacing="0" w:after="0" w:afterAutospacing="0" w:line="360" w:lineRule="auto"/>
              <w:ind w:left="0" w:right="0"/>
              <w:jc w:val="left"/>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项目负责人：</w:t>
            </w:r>
            <w:r>
              <w:rPr>
                <w:rFonts w:hint="default" w:ascii="Times New Roman" w:hAnsi="Times New Roman" w:eastAsia="宋体" w:cs="Times New Roman"/>
                <w:color w:val="000000"/>
                <w:szCs w:val="21"/>
                <w:highlight w:val="none"/>
                <w:u w:val="single"/>
              </w:rPr>
              <w:t xml:space="preserve">        </w:t>
            </w:r>
            <w:r>
              <w:rPr>
                <w:rFonts w:hint="default" w:ascii="Times New Roman" w:hAnsi="Times New Roman" w:eastAsia="宋体" w:cs="Times New Roman"/>
                <w:color w:val="000000"/>
                <w:szCs w:val="21"/>
                <w:highlight w:val="none"/>
              </w:rPr>
              <w:t>；联系电话：</w:t>
            </w:r>
            <w:r>
              <w:rPr>
                <w:rFonts w:hint="default" w:ascii="Times New Roman" w:hAnsi="Times New Roman" w:eastAsia="宋体" w:cs="Times New Roman"/>
                <w:color w:val="000000"/>
                <w:szCs w:val="21"/>
                <w:highlight w:val="none"/>
                <w:u w:val="single"/>
              </w:rPr>
              <w:t xml:space="preserve">          </w:t>
            </w:r>
          </w:p>
        </w:tc>
      </w:tr>
    </w:tbl>
    <w:p w14:paraId="3778B99C">
      <w:pPr>
        <w:pageBreakBefore w:val="0"/>
        <w:kinsoku/>
        <w:overflowPunct/>
        <w:bidi w:val="0"/>
        <w:spacing w:beforeAutospacing="0" w:afterAutospacing="0" w:line="360" w:lineRule="auto"/>
        <w:rPr>
          <w:rFonts w:hint="default" w:ascii="Times New Roman" w:hAnsi="Times New Roman" w:eastAsia="宋体" w:cs="Times New Roman"/>
          <w:color w:val="000000"/>
          <w:highlight w:val="none"/>
        </w:rPr>
        <w:sectPr>
          <w:footerReference r:id="rId11" w:type="default"/>
          <w:pgSz w:w="11906" w:h="16838"/>
          <w:pgMar w:top="1440" w:right="1800" w:bottom="1440" w:left="1800" w:header="851" w:footer="992" w:gutter="0"/>
          <w:pgNumType w:fmt="decimal"/>
          <w:cols w:space="720" w:num="1"/>
          <w:docGrid w:type="lines" w:linePitch="312" w:charSpace="0"/>
        </w:sectPr>
      </w:pPr>
    </w:p>
    <w:p w14:paraId="1BC22492">
      <w:pPr>
        <w:pageBreakBefore w:val="0"/>
        <w:kinsoku/>
        <w:overflowPunct/>
        <w:bidi w:val="0"/>
        <w:spacing w:beforeAutospacing="0" w:afterAutospacing="0" w:line="360" w:lineRule="auto"/>
        <w:rPr>
          <w:rFonts w:hint="default" w:ascii="Times New Roman" w:hAnsi="Times New Roman" w:eastAsia="宋体" w:cs="Times New Roman"/>
          <w:b/>
          <w:bCs/>
          <w:color w:val="000000"/>
          <w:szCs w:val="21"/>
          <w:highlight w:val="none"/>
        </w:rPr>
      </w:pPr>
    </w:p>
    <w:p w14:paraId="2CAA4BE8">
      <w:pPr>
        <w:pageBreakBefore w:val="0"/>
        <w:kinsoku/>
        <w:overflowPunct/>
        <w:bidi w:val="0"/>
        <w:spacing w:beforeAutospacing="0" w:afterAutospacing="0" w:line="360" w:lineRule="auto"/>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szCs w:val="21"/>
          <w:highlight w:val="none"/>
        </w:rPr>
        <w:t>附件1：货物分项报价一览表</w:t>
      </w:r>
    </w:p>
    <w:p w14:paraId="0F9E19E3">
      <w:pPr>
        <w:pageBreakBefore w:val="0"/>
        <w:kinsoku/>
        <w:overflowPunct/>
        <w:bidi w:val="0"/>
        <w:spacing w:beforeAutospacing="0" w:afterAutospacing="0" w:line="360" w:lineRule="auto"/>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szCs w:val="21"/>
          <w:highlight w:val="none"/>
        </w:rPr>
        <w:t>附件2：配置清单</w:t>
      </w:r>
    </w:p>
    <w:p w14:paraId="251742CD">
      <w:pPr>
        <w:pageBreakBefore w:val="0"/>
        <w:kinsoku/>
        <w:overflowPunct/>
        <w:bidi w:val="0"/>
        <w:spacing w:beforeAutospacing="0" w:afterAutospacing="0" w:line="360" w:lineRule="auto"/>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szCs w:val="21"/>
          <w:highlight w:val="none"/>
        </w:rPr>
        <w:t>附件3：技术参数</w:t>
      </w:r>
    </w:p>
    <w:p w14:paraId="5CF006FD">
      <w:pPr>
        <w:pageBreakBefore w:val="0"/>
        <w:kinsoku/>
        <w:overflowPunct/>
        <w:bidi w:val="0"/>
        <w:spacing w:beforeAutospacing="0" w:afterAutospacing="0" w:line="360" w:lineRule="auto"/>
        <w:rPr>
          <w:rFonts w:hint="default" w:ascii="Times New Roman" w:hAnsi="Times New Roman" w:eastAsia="宋体" w:cs="Times New Roman"/>
          <w:b/>
          <w:bCs/>
          <w:color w:val="000000"/>
          <w:szCs w:val="21"/>
          <w:highlight w:val="none"/>
        </w:rPr>
      </w:pPr>
      <w:r>
        <w:rPr>
          <w:rFonts w:hint="default" w:ascii="Times New Roman" w:hAnsi="Times New Roman" w:eastAsia="宋体" w:cs="Times New Roman"/>
          <w:b/>
          <w:bCs/>
          <w:color w:val="000000"/>
          <w:szCs w:val="21"/>
          <w:highlight w:val="none"/>
        </w:rPr>
        <w:t>附件4：售后服务</w:t>
      </w:r>
    </w:p>
    <w:p w14:paraId="57BDEBB5">
      <w:pPr>
        <w:rPr>
          <w:rFonts w:hint="default" w:ascii="宋体" w:hAnsi="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000000"/>
          <w:szCs w:val="21"/>
          <w:highlight w:val="none"/>
        </w:rPr>
        <w:t>附件5：授权委托书等</w:t>
      </w:r>
    </w:p>
    <w:p w14:paraId="7116D8FA">
      <w:pPr>
        <w:pStyle w:val="94"/>
        <w:numPr>
          <w:ilvl w:val="0"/>
          <w:numId w:val="0"/>
        </w:numPr>
        <w:ind w:leftChars="200"/>
        <w:rPr>
          <w:rFonts w:hint="eastAsia" w:ascii="宋体" w:hAnsi="宋体" w:cs="宋体"/>
          <w:color w:val="auto"/>
          <w:szCs w:val="21"/>
          <w:highlight w:val="none"/>
          <w:u w:val="single"/>
          <w:lang w:val="en-US" w:eastAsia="zh-CN"/>
        </w:rPr>
      </w:pPr>
    </w:p>
    <w:p w14:paraId="6CF4E778">
      <w:pPr>
        <w:bidi w:val="0"/>
        <w:rPr>
          <w:rFonts w:hint="eastAsia"/>
          <w:color w:val="auto"/>
          <w:highlight w:val="none"/>
        </w:rPr>
        <w:sectPr>
          <w:headerReference r:id="rId12" w:type="default"/>
          <w:footerReference r:id="rId13" w:type="default"/>
          <w:pgSz w:w="11905" w:h="16838"/>
          <w:pgMar w:top="1440" w:right="1800" w:bottom="1440" w:left="1800" w:header="794" w:footer="794" w:gutter="0"/>
          <w:pgNumType w:fmt="decimal"/>
          <w:cols w:space="720" w:num="1"/>
          <w:docGrid w:type="lines" w:linePitch="318" w:charSpace="0"/>
        </w:sectPr>
      </w:pPr>
    </w:p>
    <w:p w14:paraId="39A88EC9">
      <w:pPr>
        <w:numPr>
          <w:ilvl w:val="0"/>
          <w:numId w:val="12"/>
        </w:numPr>
        <w:jc w:val="center"/>
        <w:outlineLvl w:val="0"/>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 xml:space="preserve">  </w:t>
      </w:r>
      <w:bookmarkStart w:id="821" w:name="_Toc21125"/>
      <w:r>
        <w:rPr>
          <w:rFonts w:hint="eastAsia" w:ascii="宋体" w:hAnsi="宋体"/>
          <w:b/>
          <w:bCs/>
          <w:color w:val="auto"/>
          <w:sz w:val="30"/>
          <w:szCs w:val="30"/>
          <w:highlight w:val="none"/>
        </w:rPr>
        <w:t>采购需求</w:t>
      </w:r>
      <w:bookmarkEnd w:id="821"/>
    </w:p>
    <w:p w14:paraId="1AB7BB30">
      <w:pPr>
        <w:pStyle w:val="5"/>
        <w:pageBreakBefore w:val="0"/>
        <w:kinsoku/>
        <w:wordWrap/>
        <w:overflowPunct/>
        <w:topLinePunct w:val="0"/>
        <w:autoSpaceDE/>
        <w:autoSpaceDN/>
        <w:bidi w:val="0"/>
        <w:ind w:firstLine="482" w:firstLineChars="200"/>
        <w:jc w:val="both"/>
        <w:textAlignment w:val="auto"/>
        <w:rPr>
          <w:rFonts w:hint="eastAsia" w:ascii="宋体" w:hAnsi="宋体" w:eastAsia="宋体" w:cs="宋体"/>
          <w:sz w:val="24"/>
          <w:szCs w:val="24"/>
          <w:highlight w:val="none"/>
          <w:lang w:val="en-US" w:eastAsia="zh-CN"/>
        </w:rPr>
      </w:pPr>
      <w:bookmarkStart w:id="822" w:name="_Toc10000"/>
      <w:r>
        <w:rPr>
          <w:rFonts w:hint="eastAsia" w:ascii="宋体" w:hAnsi="宋体" w:eastAsia="宋体" w:cs="宋体"/>
          <w:sz w:val="24"/>
          <w:szCs w:val="24"/>
          <w:highlight w:val="none"/>
          <w:lang w:val="en-US" w:eastAsia="zh-CN"/>
        </w:rPr>
        <w:t>1、设备采购配置及技术参数要求</w:t>
      </w:r>
      <w:bookmarkEnd w:id="822"/>
    </w:p>
    <w:p w14:paraId="425773C0">
      <w:pPr>
        <w:pStyle w:val="6"/>
        <w:pageBreakBefore w:val="0"/>
        <w:numPr>
          <w:ilvl w:val="0"/>
          <w:numId w:val="0"/>
        </w:numPr>
        <w:kinsoku/>
        <w:wordWrap/>
        <w:overflowPunct/>
        <w:topLinePunct w:val="0"/>
        <w:autoSpaceDE/>
        <w:autoSpaceDN/>
        <w:bidi w:val="0"/>
        <w:ind w:leftChars="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1）真空共晶回流焊炉</w:t>
      </w:r>
    </w:p>
    <w:p w14:paraId="7A7B41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b w:val="0"/>
          <w:bCs w:val="0"/>
          <w:color w:val="000000"/>
          <w:sz w:val="24"/>
          <w:szCs w:val="24"/>
          <w:highlight w:val="none"/>
          <w:lang w:val="en-US" w:eastAsia="zh-CN"/>
        </w:rPr>
        <w:t>用途</w:t>
      </w:r>
      <w:r>
        <w:rPr>
          <w:rFonts w:hint="default" w:ascii="宋体" w:hAnsi="宋体" w:eastAsia="宋体" w:cs="宋体"/>
          <w:color w:val="000000"/>
          <w:sz w:val="24"/>
          <w:szCs w:val="24"/>
          <w:highlight w:val="none"/>
          <w:lang w:val="en-US" w:eastAsia="zh-CN"/>
        </w:rPr>
        <w:t>：主要用于电子元器件的焊接。</w:t>
      </w:r>
    </w:p>
    <w:p w14:paraId="05859CED">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ascii="宋体" w:eastAsia="宋体" w:cs="宋体"/>
          <w:b/>
          <w:bCs/>
          <w:color w:val="000000"/>
          <w:sz w:val="24"/>
          <w:szCs w:val="24"/>
          <w:highlight w:val="none"/>
          <w:lang w:val="en-US" w:eastAsia="zh-CN"/>
        </w:rPr>
        <w:t>1</w:t>
      </w:r>
      <w:r>
        <w:rPr>
          <w:rFonts w:hint="default" w:ascii="宋体" w:hAnsi="宋体" w:eastAsia="宋体" w:cs="宋体"/>
          <w:b/>
          <w:bCs/>
          <w:color w:val="000000"/>
          <w:sz w:val="24"/>
          <w:szCs w:val="24"/>
          <w:highlight w:val="none"/>
          <w:lang w:val="en-US" w:eastAsia="zh-CN"/>
        </w:rPr>
        <w:t>技术参数：</w:t>
      </w:r>
    </w:p>
    <w:p w14:paraId="25710168">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.1</w:t>
      </w:r>
      <w:r>
        <w:rPr>
          <w:rFonts w:hint="default" w:ascii="宋体" w:hAnsi="宋体" w:eastAsia="宋体" w:cs="宋体"/>
          <w:color w:val="000000"/>
          <w:sz w:val="24"/>
          <w:szCs w:val="24"/>
          <w:highlight w:val="none"/>
          <w:lang w:val="en-US" w:eastAsia="zh-CN"/>
        </w:rPr>
        <w:t>可焊焊料熔点</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≤450℃</w:t>
      </w:r>
      <w:r>
        <w:rPr>
          <w:rFonts w:hint="eastAsia" w:ascii="宋体" w:eastAsia="宋体" w:cs="宋体"/>
          <w:b/>
          <w:bCs/>
          <w:color w:val="000000"/>
          <w:sz w:val="24"/>
          <w:szCs w:val="24"/>
          <w:highlight w:val="none"/>
          <w:lang w:val="en-US" w:eastAsia="zh-CN"/>
        </w:rPr>
        <w:t>（提供控温界面截屏证明）</w:t>
      </w:r>
    </w:p>
    <w:p w14:paraId="67FB5E75">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.2控温精度</w:t>
      </w:r>
      <w:r>
        <w:rPr>
          <w:rFonts w:hint="eastAsia" w:ascii="宋体" w:eastAsia="宋体" w:cs="宋体"/>
          <w:color w:val="000000"/>
          <w:sz w:val="24"/>
          <w:szCs w:val="24"/>
          <w:highlight w:val="none"/>
          <w:lang w:val="en-US" w:eastAsia="zh-CN"/>
        </w:rPr>
        <w:t>：优于</w:t>
      </w:r>
      <w:r>
        <w:rPr>
          <w:rFonts w:hint="eastAsia" w:ascii="宋体" w:hAnsi="宋体" w:eastAsia="宋体" w:cs="宋体"/>
          <w:color w:val="000000"/>
          <w:sz w:val="24"/>
          <w:szCs w:val="24"/>
          <w:highlight w:val="none"/>
          <w:lang w:val="en-US" w:eastAsia="zh-CN"/>
        </w:rPr>
        <w:t xml:space="preserve">±1℃ </w:t>
      </w:r>
    </w:p>
    <w:p w14:paraId="0381A663">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.3有效加热面积</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≥（3</w:t>
      </w:r>
      <w:r>
        <w:rPr>
          <w:rFonts w:hint="eastAsia" w:asci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lang w:val="en-US" w:eastAsia="zh-CN"/>
        </w:rPr>
        <w:t>×2</w:t>
      </w:r>
      <w:r>
        <w:rPr>
          <w:rFonts w:hint="eastAsia" w:asci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lang w:val="en-US" w:eastAsia="zh-CN"/>
        </w:rPr>
        <w:t>）mm</w:t>
      </w:r>
      <w:r>
        <w:rPr>
          <w:rFonts w:hint="eastAsia" w:ascii="宋体" w:hAnsi="宋体" w:eastAsia="宋体" w:cs="宋体"/>
          <w:color w:val="000000"/>
          <w:sz w:val="24"/>
          <w:szCs w:val="24"/>
          <w:highlight w:val="none"/>
          <w:vertAlign w:val="superscript"/>
          <w:lang w:val="en-US" w:eastAsia="zh-CN"/>
        </w:rPr>
        <w:t>2</w:t>
      </w:r>
      <w:r>
        <w:rPr>
          <w:rFonts w:hint="eastAsia" w:ascii="宋体" w:hAnsi="宋体" w:eastAsia="宋体" w:cs="宋体"/>
          <w:color w:val="000000"/>
          <w:sz w:val="24"/>
          <w:szCs w:val="24"/>
          <w:highlight w:val="none"/>
          <w:lang w:val="en-US" w:eastAsia="zh-CN"/>
        </w:rPr>
        <w:t xml:space="preserve"> </w:t>
      </w:r>
    </w:p>
    <w:p w14:paraId="4A35D7F1">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1.1.4有效面积内热均匀性</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优于±1.5% </w:t>
      </w:r>
    </w:p>
    <w:p w14:paraId="34296757">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1.1.5极限真空度</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≤5Pa </w:t>
      </w:r>
    </w:p>
    <w:p w14:paraId="5B4FF7CF">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1.1.6功能：</w:t>
      </w:r>
      <w:r>
        <w:rPr>
          <w:rFonts w:hint="default" w:ascii="宋体" w:hAnsi="宋体" w:eastAsia="宋体" w:cs="宋体"/>
          <w:color w:val="000000"/>
          <w:sz w:val="24"/>
          <w:szCs w:val="24"/>
          <w:highlight w:val="none"/>
          <w:lang w:val="en-US" w:eastAsia="zh-CN"/>
        </w:rPr>
        <w:t>对</w:t>
      </w:r>
      <w:r>
        <w:rPr>
          <w:rFonts w:hint="eastAsia" w:ascii="宋体" w:hAnsi="宋体" w:eastAsia="宋体" w:cs="宋体"/>
          <w:color w:val="000000"/>
          <w:sz w:val="24"/>
          <w:szCs w:val="24"/>
          <w:highlight w:val="none"/>
          <w:lang w:val="en-US" w:eastAsia="zh-CN"/>
        </w:rPr>
        <w:t>激光</w:t>
      </w:r>
      <w:r>
        <w:rPr>
          <w:rFonts w:hint="default" w:ascii="宋体" w:hAnsi="宋体" w:eastAsia="宋体" w:cs="宋体"/>
          <w:color w:val="000000"/>
          <w:sz w:val="24"/>
          <w:szCs w:val="24"/>
          <w:highlight w:val="none"/>
          <w:lang w:val="en-US" w:eastAsia="zh-CN"/>
        </w:rPr>
        <w:t>器件</w:t>
      </w:r>
      <w:r>
        <w:rPr>
          <w:rFonts w:hint="eastAsia" w:ascii="宋体" w:hAnsi="宋体" w:eastAsia="宋体" w:cs="宋体"/>
          <w:color w:val="000000"/>
          <w:sz w:val="24"/>
          <w:szCs w:val="24"/>
          <w:highlight w:val="none"/>
          <w:lang w:val="en-US" w:eastAsia="zh-CN"/>
        </w:rPr>
        <w:t>进行</w:t>
      </w:r>
      <w:r>
        <w:rPr>
          <w:rFonts w:hint="default" w:ascii="宋体" w:hAnsi="宋体" w:eastAsia="宋体" w:cs="宋体"/>
          <w:color w:val="000000"/>
          <w:sz w:val="24"/>
          <w:szCs w:val="24"/>
          <w:highlight w:val="none"/>
          <w:lang w:val="en-US" w:eastAsia="zh-CN"/>
        </w:rPr>
        <w:t>局部加热焊接，适用于高质量焊点的形成</w:t>
      </w:r>
      <w:r>
        <w:rPr>
          <w:rFonts w:hint="eastAsia" w:ascii="宋体" w:hAnsi="宋体" w:eastAsia="宋体" w:cs="宋体"/>
          <w:b/>
          <w:bCs/>
          <w:color w:val="000000"/>
          <w:sz w:val="24"/>
          <w:szCs w:val="24"/>
          <w:highlight w:val="none"/>
          <w:lang w:val="en-US" w:eastAsia="zh-CN"/>
        </w:rPr>
        <w:t>（本条无需提供证明材料，以技术规格偏差表中响应为准。）</w:t>
      </w:r>
    </w:p>
    <w:p w14:paraId="06EB2345">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b/>
          <w:bCs/>
          <w:color w:val="000000"/>
          <w:sz w:val="24"/>
          <w:szCs w:val="24"/>
          <w:highlight w:val="none"/>
          <w:lang w:val="en-US" w:eastAsia="zh-CN"/>
        </w:rPr>
        <w:t>1.</w:t>
      </w:r>
      <w:r>
        <w:rPr>
          <w:rFonts w:hint="eastAsia" w:asci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lang w:val="en-US" w:eastAsia="zh-CN"/>
        </w:rPr>
        <w:t>配置清单：</w:t>
      </w:r>
    </w:p>
    <w:p w14:paraId="00FB216B">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.1真空共晶回流焊炉主机1台、真空泵1套（</w:t>
      </w:r>
      <w:r>
        <w:rPr>
          <w:rFonts w:hint="eastAsia" w:ascii="宋体" w:eastAsia="宋体" w:cs="宋体"/>
          <w:color w:val="000000"/>
          <w:sz w:val="24"/>
          <w:szCs w:val="24"/>
          <w:highlight w:val="none"/>
          <w:lang w:val="en-US" w:eastAsia="zh-CN"/>
        </w:rPr>
        <w:t>功率≥500W</w:t>
      </w:r>
      <w:r>
        <w:rPr>
          <w:rFonts w:hint="eastAsia" w:ascii="宋体" w:hAnsi="宋体" w:eastAsia="宋体" w:cs="宋体"/>
          <w:color w:val="000000"/>
          <w:sz w:val="24"/>
          <w:szCs w:val="24"/>
          <w:highlight w:val="none"/>
          <w:lang w:val="en-US" w:eastAsia="zh-CN"/>
        </w:rPr>
        <w:t>）、冷水机1套（</w:t>
      </w:r>
      <w:r>
        <w:rPr>
          <w:rFonts w:hint="eastAsia" w:ascii="宋体" w:eastAsia="宋体" w:cs="宋体"/>
          <w:color w:val="000000"/>
          <w:sz w:val="24"/>
          <w:szCs w:val="24"/>
          <w:highlight w:val="none"/>
          <w:lang w:val="en-US" w:eastAsia="zh-CN"/>
        </w:rPr>
        <w:t>制冷量≥1kW</w:t>
      </w:r>
      <w:r>
        <w:rPr>
          <w:rFonts w:hint="eastAsia" w:ascii="宋体" w:hAnsi="宋体" w:eastAsia="宋体" w:cs="宋体"/>
          <w:color w:val="000000"/>
          <w:sz w:val="24"/>
          <w:szCs w:val="24"/>
          <w:highlight w:val="none"/>
          <w:lang w:val="en-US" w:eastAsia="zh-CN"/>
        </w:rPr>
        <w:t xml:space="preserve">）。 </w:t>
      </w:r>
    </w:p>
    <w:p w14:paraId="3B21EA08">
      <w:pPr>
        <w:pStyle w:val="6"/>
        <w:pageBreakBefore w:val="0"/>
        <w:numPr>
          <w:ilvl w:val="0"/>
          <w:numId w:val="0"/>
        </w:numPr>
        <w:kinsoku/>
        <w:wordWrap/>
        <w:overflowPunct/>
        <w:topLinePunct w:val="0"/>
        <w:autoSpaceDE/>
        <w:autoSpaceDN/>
        <w:bidi w:val="0"/>
        <w:ind w:leftChars="0"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2）平行封焊机</w:t>
      </w:r>
    </w:p>
    <w:p w14:paraId="0602F81B">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用途：用于不规则金属外壳的电子器件</w:t>
      </w:r>
      <w:r>
        <w:rPr>
          <w:rFonts w:hint="eastAsia" w:ascii="宋体" w:eastAsia="宋体" w:cs="宋体"/>
          <w:color w:val="000000"/>
          <w:sz w:val="24"/>
          <w:szCs w:val="24"/>
          <w:highlight w:val="none"/>
          <w:lang w:val="en-US" w:eastAsia="zh-CN"/>
        </w:rPr>
        <w:t>封焊</w:t>
      </w:r>
      <w:r>
        <w:rPr>
          <w:rFonts w:hint="default" w:ascii="宋体" w:hAnsi="宋体" w:eastAsia="宋体" w:cs="宋体"/>
          <w:color w:val="000000"/>
          <w:sz w:val="24"/>
          <w:szCs w:val="24"/>
          <w:highlight w:val="none"/>
          <w:lang w:val="en-US" w:eastAsia="zh-CN"/>
        </w:rPr>
        <w:t>。</w:t>
      </w:r>
    </w:p>
    <w:p w14:paraId="63320F50">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w:t>
      </w:r>
      <w:r>
        <w:rPr>
          <w:rFonts w:hint="eastAsia" w:ascii="宋体" w:eastAsia="宋体" w:cs="宋体"/>
          <w:b/>
          <w:bCs/>
          <w:color w:val="000000"/>
          <w:sz w:val="24"/>
          <w:szCs w:val="24"/>
          <w:highlight w:val="none"/>
          <w:lang w:val="en-US" w:eastAsia="zh-CN"/>
        </w:rPr>
        <w:t>1</w:t>
      </w:r>
      <w:r>
        <w:rPr>
          <w:rFonts w:hint="default" w:ascii="宋体" w:hAnsi="宋体" w:eastAsia="宋体" w:cs="宋体"/>
          <w:b/>
          <w:bCs/>
          <w:color w:val="000000"/>
          <w:sz w:val="24"/>
          <w:szCs w:val="24"/>
          <w:highlight w:val="none"/>
          <w:lang w:val="en-US" w:eastAsia="zh-CN"/>
        </w:rPr>
        <w:t>技术参数</w:t>
      </w:r>
    </w:p>
    <w:p w14:paraId="1602B513">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2.1.1焊接电流：≤2kA </w:t>
      </w:r>
    </w:p>
    <w:p w14:paraId="72B4C18A">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2.1.2焊接速度范围：0.1mm/s～30mm/s </w:t>
      </w:r>
    </w:p>
    <w:p w14:paraId="0F440F46">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2.1.3焊接压力范围：500g～2100g</w:t>
      </w:r>
    </w:p>
    <w:p w14:paraId="1CD96D15">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2.1.4功能：适用于激光模块外壳的封</w:t>
      </w:r>
      <w:r>
        <w:rPr>
          <w:rFonts w:hint="eastAsia" w:ascii="宋体" w:eastAsia="宋体" w:cs="宋体"/>
          <w:color w:val="000000"/>
          <w:sz w:val="24"/>
          <w:szCs w:val="24"/>
          <w:highlight w:val="none"/>
          <w:lang w:val="en-US" w:eastAsia="zh-CN"/>
        </w:rPr>
        <w:t>焊</w:t>
      </w:r>
      <w:r>
        <w:rPr>
          <w:rFonts w:hint="eastAsia" w:ascii="宋体" w:hAnsi="宋体" w:eastAsia="宋体" w:cs="宋体"/>
          <w:b/>
          <w:bCs/>
          <w:color w:val="000000"/>
          <w:sz w:val="24"/>
          <w:szCs w:val="24"/>
          <w:highlight w:val="none"/>
          <w:lang w:val="en-US" w:eastAsia="zh-CN"/>
        </w:rPr>
        <w:t>（本条无需提供证明材料，以技术规格偏差表中响应为准。）</w:t>
      </w:r>
    </w:p>
    <w:p w14:paraId="331A1683">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b/>
          <w:bCs/>
          <w:color w:val="000000"/>
          <w:sz w:val="24"/>
          <w:szCs w:val="24"/>
          <w:highlight w:val="none"/>
          <w:lang w:val="en-US" w:eastAsia="zh-CN"/>
        </w:rPr>
        <w:t>2.</w:t>
      </w:r>
      <w:r>
        <w:rPr>
          <w:rFonts w:hint="eastAsia" w:asci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lang w:val="en-US" w:eastAsia="zh-CN"/>
        </w:rPr>
        <w:t>配置清单：</w:t>
      </w:r>
    </w:p>
    <w:p w14:paraId="6703FB04">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.1平行封焊机</w:t>
      </w:r>
      <w:r>
        <w:rPr>
          <w:rFonts w:hint="default" w:ascii="宋体" w:hAnsi="宋体" w:eastAsia="宋体" w:cs="宋体"/>
          <w:color w:val="000000"/>
          <w:sz w:val="24"/>
          <w:szCs w:val="24"/>
          <w:highlight w:val="none"/>
          <w:lang w:val="en-US" w:eastAsia="zh-CN"/>
        </w:rPr>
        <w:t>主机</w:t>
      </w:r>
      <w:r>
        <w:rPr>
          <w:rFonts w:hint="eastAsia" w:ascii="宋体" w:hAnsi="宋体" w:eastAsia="宋体" w:cs="宋体"/>
          <w:color w:val="000000"/>
          <w:sz w:val="24"/>
          <w:szCs w:val="24"/>
          <w:highlight w:val="none"/>
          <w:lang w:val="en-US" w:eastAsia="zh-CN"/>
        </w:rPr>
        <w:t>1台。</w:t>
      </w:r>
    </w:p>
    <w:p w14:paraId="1AA73A59">
      <w:pPr>
        <w:pStyle w:val="6"/>
        <w:pageBreakBefore w:val="0"/>
        <w:numPr>
          <w:ilvl w:val="0"/>
          <w:numId w:val="0"/>
        </w:numPr>
        <w:kinsoku/>
        <w:wordWrap/>
        <w:overflowPunct/>
        <w:topLinePunct w:val="0"/>
        <w:autoSpaceDE/>
        <w:autoSpaceDN/>
        <w:bidi w:val="0"/>
        <w:ind w:leftChars="0"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3）老化测试系统（核心产品）</w:t>
      </w:r>
    </w:p>
    <w:p w14:paraId="2BD2C068">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用途：</w:t>
      </w:r>
      <w:r>
        <w:rPr>
          <w:rFonts w:hint="eastAsia" w:ascii="宋体" w:hAnsi="宋体" w:eastAsia="宋体" w:cs="宋体"/>
          <w:color w:val="000000"/>
          <w:sz w:val="24"/>
          <w:szCs w:val="24"/>
          <w:highlight w:val="none"/>
          <w:lang w:val="en-US" w:eastAsia="zh-CN"/>
        </w:rPr>
        <w:t>用于激光器的老化和综合性能</w:t>
      </w:r>
      <w:r>
        <w:rPr>
          <w:rFonts w:hint="eastAsia" w:ascii="宋体" w:hAnsi="宋体" w:eastAsia="宋体" w:cs="宋体"/>
          <w:color w:val="000000"/>
          <w:kern w:val="0"/>
          <w:sz w:val="24"/>
          <w:szCs w:val="24"/>
          <w:highlight w:val="none"/>
          <w:lang w:val="en-US" w:eastAsia="zh-CN" w:bidi="ar"/>
        </w:rPr>
        <w:t>测试</w:t>
      </w:r>
      <w:r>
        <w:rPr>
          <w:rFonts w:hint="eastAsia" w:ascii="宋体" w:hAnsi="宋体" w:eastAsia="宋体" w:cs="宋体"/>
          <w:color w:val="000000"/>
          <w:sz w:val="24"/>
          <w:szCs w:val="24"/>
          <w:highlight w:val="none"/>
          <w:lang w:val="en-US" w:eastAsia="zh-CN"/>
        </w:rPr>
        <w:t>。</w:t>
      </w:r>
    </w:p>
    <w:p w14:paraId="2B3F2314">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w:t>
      </w:r>
      <w:r>
        <w:rPr>
          <w:rFonts w:hint="eastAsia" w:ascii="宋体" w:eastAsia="宋体" w:cs="宋体"/>
          <w:b/>
          <w:bCs/>
          <w:color w:val="000000"/>
          <w:sz w:val="24"/>
          <w:szCs w:val="24"/>
          <w:highlight w:val="none"/>
          <w:lang w:val="en-US" w:eastAsia="zh-CN"/>
        </w:rPr>
        <w:t>1</w:t>
      </w:r>
      <w:r>
        <w:rPr>
          <w:rFonts w:hint="default" w:ascii="宋体" w:hAnsi="宋体" w:eastAsia="宋体" w:cs="宋体"/>
          <w:b/>
          <w:bCs/>
          <w:color w:val="000000"/>
          <w:sz w:val="24"/>
          <w:szCs w:val="24"/>
          <w:highlight w:val="none"/>
          <w:lang w:val="en-US" w:eastAsia="zh-CN"/>
        </w:rPr>
        <w:t>技术参数：</w:t>
      </w:r>
    </w:p>
    <w:p w14:paraId="4D8C3374">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w:t>
      </w:r>
      <w:r>
        <w:rPr>
          <w:rFonts w:hint="eastAsia" w:asci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en-US" w:eastAsia="zh-CN"/>
        </w:rPr>
        <w:t xml:space="preserve">.1温度控制 </w:t>
      </w:r>
    </w:p>
    <w:p w14:paraId="5C6B9D94">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.1.1控温方法：水冷 </w:t>
      </w:r>
    </w:p>
    <w:p w14:paraId="2EDD318F">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.1.2水冷温度范围：8℃～30℃ </w:t>
      </w:r>
    </w:p>
    <w:p w14:paraId="5EB05631">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.1.3水冷温度分辨率</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≤0.1℃ </w:t>
      </w:r>
    </w:p>
    <w:p w14:paraId="0B81D9FE">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lang w:val="en-US" w:eastAsia="zh-CN"/>
        </w:rPr>
        <w:t xml:space="preserve">.2驱动电流/电压 </w:t>
      </w:r>
    </w:p>
    <w:p w14:paraId="79DFC358">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.2.1工作模式：连续（CW）/脉冲(QCW) </w:t>
      </w:r>
    </w:p>
    <w:p w14:paraId="260DC709">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.2.2电流范围：0～100A </w:t>
      </w:r>
    </w:p>
    <w:p w14:paraId="515F2879">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.2.3电压范围：0～30V </w:t>
      </w:r>
    </w:p>
    <w:p w14:paraId="17E22EFA">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.2.4电流</w:t>
      </w:r>
      <w:r>
        <w:rPr>
          <w:rFonts w:hint="eastAsia" w:ascii="宋体" w:eastAsia="宋体" w:cs="宋体"/>
          <w:color w:val="000000"/>
          <w:sz w:val="24"/>
          <w:szCs w:val="24"/>
          <w:highlight w:val="none"/>
          <w:lang w:val="en-US" w:eastAsia="zh-CN"/>
        </w:rPr>
        <w:t>分辨率：</w:t>
      </w:r>
      <w:r>
        <w:rPr>
          <w:rFonts w:hint="eastAsia" w:ascii="宋体" w:hAnsi="宋体" w:eastAsia="宋体" w:cs="宋体"/>
          <w:color w:val="000000"/>
          <w:sz w:val="24"/>
          <w:szCs w:val="24"/>
          <w:highlight w:val="none"/>
          <w:lang w:val="en-US" w:eastAsia="zh-CN"/>
        </w:rPr>
        <w:t xml:space="preserve">≤0.001A（CW）/≤0.1A(QCW) </w:t>
      </w:r>
    </w:p>
    <w:p w14:paraId="736D211F">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.2.5脉冲参数范围：脉宽10ms～500ms，频率1Hz～100Hz </w:t>
      </w:r>
    </w:p>
    <w:p w14:paraId="67F54F70">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lang w:val="en-US" w:eastAsia="zh-CN"/>
        </w:rPr>
        <w:t xml:space="preserve">.3功率测量 </w:t>
      </w:r>
    </w:p>
    <w:p w14:paraId="41495B67">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.3.1功率范围：0～100W </w:t>
      </w:r>
    </w:p>
    <w:p w14:paraId="0C16A898">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 xml:space="preserve">.3.2波长范围：400nm～12µm </w:t>
      </w:r>
    </w:p>
    <w:p w14:paraId="42D374BA">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3.</w:t>
      </w:r>
      <w:r>
        <w:rPr>
          <w:rFonts w:hint="eastAsia" w:asci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.3.3分辨率</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≤0.01W </w:t>
      </w:r>
    </w:p>
    <w:p w14:paraId="1E086ADF">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lang w:val="en-US" w:eastAsia="zh-CN"/>
        </w:rPr>
        <w:t xml:space="preserve">.4光谱测量 </w:t>
      </w:r>
    </w:p>
    <w:p w14:paraId="54C2D4F3">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 xml:space="preserve">.4.1波长范围：400nm～12µm </w:t>
      </w:r>
    </w:p>
    <w:p w14:paraId="63744122">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w:t>
      </w: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.4.2分辨率：</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0.</w:t>
      </w:r>
      <w:r>
        <w:rPr>
          <w:rFonts w:hint="eastAsia" w:asci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nm（</w:t>
      </w:r>
      <w:r>
        <w:rPr>
          <w:rFonts w:hint="eastAsia" w:ascii="宋体" w:eastAsia="宋体" w:cs="宋体"/>
          <w:color w:val="000000"/>
          <w:sz w:val="24"/>
          <w:szCs w:val="24"/>
          <w:highlight w:val="none"/>
          <w:lang w:val="en-US" w:eastAsia="zh-CN"/>
        </w:rPr>
        <w:t>波长</w:t>
      </w:r>
      <w:r>
        <w:rPr>
          <w:rFonts w:hint="eastAsia" w:ascii="宋体" w:hAnsi="宋体" w:eastAsia="宋体" w:cs="宋体"/>
          <w:color w:val="000000"/>
          <w:sz w:val="24"/>
          <w:szCs w:val="24"/>
          <w:highlight w:val="none"/>
          <w:lang w:val="en-US" w:eastAsia="zh-CN"/>
        </w:rPr>
        <w:t>≤1.1µm）、</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10nm (</w:t>
      </w:r>
      <w:r>
        <w:rPr>
          <w:rFonts w:hint="eastAsia" w:ascii="宋体" w:eastAsia="宋体" w:cs="宋体"/>
          <w:color w:val="000000"/>
          <w:sz w:val="24"/>
          <w:szCs w:val="24"/>
          <w:highlight w:val="none"/>
          <w:lang w:val="en-US" w:eastAsia="zh-CN"/>
        </w:rPr>
        <w:t>波长</w:t>
      </w:r>
      <w:r>
        <w:rPr>
          <w:rFonts w:hint="eastAsia" w:ascii="宋体" w:hAnsi="宋体" w:eastAsia="宋体" w:cs="宋体"/>
          <w:color w:val="000000"/>
          <w:sz w:val="24"/>
          <w:szCs w:val="24"/>
          <w:highlight w:val="none"/>
          <w:lang w:val="en-US" w:eastAsia="zh-CN"/>
        </w:rPr>
        <w:t>≤2µm)和</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4cm</w:t>
      </w:r>
      <w:r>
        <w:rPr>
          <w:rFonts w:hint="eastAsia" w:ascii="宋体" w:hAnsi="宋体" w:eastAsia="宋体" w:cs="宋体"/>
          <w:color w:val="000000"/>
          <w:sz w:val="24"/>
          <w:szCs w:val="24"/>
          <w:highlight w:val="none"/>
          <w:vertAlign w:val="superscript"/>
          <w:lang w:val="en-US" w:eastAsia="zh-CN"/>
        </w:rPr>
        <w:t>-1</w:t>
      </w:r>
      <w:r>
        <w:rPr>
          <w:rFonts w:hint="eastAsia" w:ascii="宋体" w:hAnsi="宋体" w:eastAsia="宋体" w:cs="宋体"/>
          <w:color w:val="000000"/>
          <w:sz w:val="24"/>
          <w:szCs w:val="24"/>
          <w:highlight w:val="none"/>
          <w:lang w:val="en-US" w:eastAsia="zh-CN"/>
        </w:rPr>
        <w:t xml:space="preserve"> (</w:t>
      </w:r>
      <w:r>
        <w:rPr>
          <w:rFonts w:hint="eastAsia" w:ascii="宋体" w:eastAsia="宋体" w:cs="宋体"/>
          <w:color w:val="000000"/>
          <w:sz w:val="24"/>
          <w:szCs w:val="24"/>
          <w:highlight w:val="none"/>
          <w:lang w:val="en-US" w:eastAsia="zh-CN"/>
        </w:rPr>
        <w:t>波长</w:t>
      </w:r>
      <w:r>
        <w:rPr>
          <w:rFonts w:hint="eastAsia" w:ascii="宋体" w:hAnsi="宋体" w:eastAsia="宋体" w:cs="宋体"/>
          <w:color w:val="000000"/>
          <w:sz w:val="24"/>
          <w:szCs w:val="24"/>
          <w:highlight w:val="none"/>
          <w:lang w:val="en-US" w:eastAsia="zh-CN"/>
        </w:rPr>
        <w:t xml:space="preserve">≥2µm) </w:t>
      </w:r>
    </w:p>
    <w:p w14:paraId="4E1BBBC1">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lang w:val="en-US" w:eastAsia="zh-CN"/>
        </w:rPr>
        <w:t>.5发散角测量</w:t>
      </w:r>
    </w:p>
    <w:p w14:paraId="60A7015F">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.5.1角度范围：垂直：-60°～60°，水平：-45°～45°</w:t>
      </w:r>
      <w:r>
        <w:rPr>
          <w:rFonts w:hint="eastAsia" w:ascii="宋体" w:eastAsia="宋体" w:cs="宋体"/>
          <w:b/>
          <w:bCs/>
          <w:color w:val="000000"/>
          <w:sz w:val="24"/>
          <w:szCs w:val="24"/>
          <w:highlight w:val="none"/>
          <w:lang w:val="en-US" w:eastAsia="zh-CN"/>
        </w:rPr>
        <w:t>（提供发散角测量曲线截屏证明）</w:t>
      </w:r>
    </w:p>
    <w:p w14:paraId="5C7D2497">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.5.2转动分辨率</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≤0.1° </w:t>
      </w:r>
    </w:p>
    <w:p w14:paraId="20A60176">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.5.3波长范围</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400nm～2µm </w:t>
      </w:r>
    </w:p>
    <w:p w14:paraId="036FD59D">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lang w:val="en-US" w:eastAsia="zh-CN"/>
        </w:rPr>
        <w:t>.6光束质量测量</w:t>
      </w:r>
    </w:p>
    <w:p w14:paraId="3F8776BC">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.6.1有效区域</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＞8mm</w:t>
      </w:r>
    </w:p>
    <w:p w14:paraId="002DD5C1">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.6.</w:t>
      </w:r>
      <w:r>
        <w:rPr>
          <w:rFonts w:hint="eastAsia" w:asci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波长范围：2µm～12µm</w:t>
      </w:r>
      <w:r>
        <w:rPr>
          <w:rFonts w:hint="eastAsia" w:ascii="宋体" w:eastAsia="宋体" w:cs="宋体"/>
          <w:b/>
          <w:bCs/>
          <w:color w:val="000000"/>
          <w:sz w:val="24"/>
          <w:szCs w:val="24"/>
          <w:highlight w:val="none"/>
          <w:lang w:val="en-US" w:eastAsia="zh-CN"/>
        </w:rPr>
        <w:t>（提供光斑能量分布图截屏证明）</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 xml:space="preserve"> </w:t>
      </w:r>
    </w:p>
    <w:p w14:paraId="17CC08F1">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lang w:val="en-US" w:eastAsia="zh-CN"/>
        </w:rPr>
        <w:t xml:space="preserve">.7偏振测量 </w:t>
      </w:r>
    </w:p>
    <w:p w14:paraId="52B5C193">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.7.1测量精度</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 xml:space="preserve">≤5% </w:t>
      </w:r>
    </w:p>
    <w:p w14:paraId="3B0B4A6E">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eastAsia="宋体" w:cs="宋体"/>
          <w:b/>
          <w:bCs/>
          <w:color w:val="000000"/>
          <w:sz w:val="24"/>
          <w:szCs w:val="24"/>
          <w:highlight w:val="none"/>
          <w:lang w:val="en-US" w:eastAsia="zh-CN"/>
        </w:rPr>
        <w:t>*</w:t>
      </w:r>
      <w:r>
        <w:rPr>
          <w:rFonts w:hint="eastAsia" w:asci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lang w:val="en-US" w:eastAsia="zh-CN"/>
        </w:rPr>
        <w:t>.7.2波长范围</w:t>
      </w:r>
      <w:r>
        <w:rPr>
          <w:rFonts w:hint="eastAsia" w:asci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400nm～2µm</w:t>
      </w:r>
    </w:p>
    <w:p w14:paraId="5440603B">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3.1.8功能：</w:t>
      </w:r>
      <w:r>
        <w:rPr>
          <w:rFonts w:hint="eastAsia" w:ascii="宋体" w:hAnsi="宋体" w:eastAsia="宋体" w:cs="宋体"/>
          <w:b w:val="0"/>
          <w:bCs w:val="0"/>
          <w:color w:val="000000"/>
          <w:sz w:val="24"/>
          <w:szCs w:val="24"/>
          <w:highlight w:val="none"/>
          <w:lang w:val="en-US" w:eastAsia="zh-CN"/>
        </w:rPr>
        <w:t>适用于激光</w:t>
      </w:r>
      <w:r>
        <w:rPr>
          <w:rFonts w:hint="eastAsia" w:ascii="宋体" w:hAnsi="宋体" w:eastAsia="宋体" w:cs="宋体"/>
          <w:color w:val="000000"/>
          <w:kern w:val="0"/>
          <w:sz w:val="24"/>
          <w:szCs w:val="24"/>
          <w:highlight w:val="none"/>
          <w:lang w:val="en-US" w:eastAsia="zh-CN" w:bidi="ar"/>
        </w:rPr>
        <w:t>器件的加电老化、P-I-V 特性测试、光谱特性测试、远场发散角测试、偏振性测试、光束质量分析。</w:t>
      </w:r>
      <w:r>
        <w:rPr>
          <w:rFonts w:hint="eastAsia" w:ascii="宋体" w:hAnsi="宋体" w:eastAsia="宋体" w:cs="宋体"/>
          <w:b/>
          <w:bCs/>
          <w:color w:val="000000"/>
          <w:sz w:val="24"/>
          <w:szCs w:val="24"/>
          <w:highlight w:val="none"/>
          <w:lang w:val="en-US" w:eastAsia="zh-CN"/>
        </w:rPr>
        <w:t>（本条无需提供证明材料，以技术规格偏差表中响应为准。）</w:t>
      </w:r>
    </w:p>
    <w:p w14:paraId="692CDD4D">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cs="宋体"/>
          <w:color w:val="000000"/>
          <w:kern w:val="2"/>
          <w:sz w:val="24"/>
          <w:szCs w:val="24"/>
          <w:highlight w:val="none"/>
          <w:lang w:val="en-US" w:eastAsia="zh-CN"/>
        </w:rPr>
        <w:t>★</w:t>
      </w:r>
      <w:r>
        <w:rPr>
          <w:rFonts w:hint="eastAsia" w:ascii="宋体" w:hAnsi="宋体" w:eastAsia="宋体" w:cs="宋体"/>
          <w:b/>
          <w:bCs/>
          <w:color w:val="000000"/>
          <w:sz w:val="24"/>
          <w:szCs w:val="24"/>
          <w:highlight w:val="none"/>
          <w:lang w:val="en-US" w:eastAsia="zh-CN"/>
        </w:rPr>
        <w:t>3.</w:t>
      </w:r>
      <w:r>
        <w:rPr>
          <w:rFonts w:hint="eastAsia" w:asci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lang w:val="en-US" w:eastAsia="zh-CN"/>
        </w:rPr>
        <w:t>配置清单：</w:t>
      </w:r>
    </w:p>
    <w:p w14:paraId="2724D86D">
      <w:pPr>
        <w:pStyle w:val="3"/>
        <w:pageBreakBefore w:val="0"/>
        <w:widowControl w:val="0"/>
        <w:kinsoku/>
        <w:wordWrap/>
        <w:overflowPunct/>
        <w:topLinePunct w:val="0"/>
        <w:autoSpaceDE/>
        <w:autoSpaceDN/>
        <w:bidi w:val="0"/>
        <w:spacing w:line="360" w:lineRule="auto"/>
        <w:ind w:firstLine="480" w:firstLineChars="20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.1实现该功能的系统1套，</w:t>
      </w:r>
      <w:r>
        <w:rPr>
          <w:rFonts w:hint="eastAsia" w:ascii="宋体" w:eastAsia="宋体" w:cs="宋体"/>
          <w:color w:val="000000"/>
          <w:sz w:val="24"/>
          <w:szCs w:val="24"/>
          <w:highlight w:val="none"/>
          <w:lang w:val="en-US" w:eastAsia="zh-CN"/>
        </w:rPr>
        <w:t>至少包括</w:t>
      </w:r>
      <w:r>
        <w:rPr>
          <w:rFonts w:hint="eastAsia" w:ascii="宋体" w:hAnsi="宋体" w:eastAsia="宋体" w:cs="宋体"/>
          <w:color w:val="000000"/>
          <w:sz w:val="24"/>
          <w:szCs w:val="24"/>
          <w:highlight w:val="none"/>
          <w:lang w:val="en-US" w:eastAsia="zh-CN"/>
        </w:rPr>
        <w:t>驱动电源</w:t>
      </w:r>
      <w:r>
        <w:rPr>
          <w:rFonts w:hint="eastAsia" w:asci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台、功率测试模块</w:t>
      </w:r>
      <w:r>
        <w:rPr>
          <w:rFonts w:hint="eastAsia" w:asci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套、</w:t>
      </w:r>
      <w:r>
        <w:rPr>
          <w:rFonts w:hint="eastAsia" w:ascii="宋体" w:hAnsi="宋体" w:eastAsia="宋体" w:cs="宋体"/>
          <w:color w:val="000000"/>
          <w:kern w:val="2"/>
          <w:sz w:val="24"/>
          <w:szCs w:val="24"/>
          <w:highlight w:val="none"/>
          <w:lang w:val="en-US" w:eastAsia="zh-CN" w:bidi="ar"/>
        </w:rPr>
        <w:t>光谱测试模块2套</w:t>
      </w:r>
      <w:r>
        <w:rPr>
          <w:rFonts w:hint="eastAsia" w:ascii="宋体" w:hAnsi="宋体" w:eastAsia="宋体" w:cs="宋体"/>
          <w:color w:val="000000"/>
          <w:sz w:val="24"/>
          <w:szCs w:val="24"/>
          <w:highlight w:val="none"/>
          <w:lang w:val="en-US" w:eastAsia="zh-CN"/>
        </w:rPr>
        <w:t>、远场发散角测试模块1套、偏振测试模块1套、光束分析模块1套、水冷机1台、软件系统1套</w:t>
      </w:r>
      <w:r>
        <w:rPr>
          <w:rFonts w:hint="eastAsia" w:ascii="宋体" w:eastAsia="宋体" w:cs="宋体"/>
          <w:color w:val="000000"/>
          <w:sz w:val="24"/>
          <w:szCs w:val="24"/>
          <w:highlight w:val="none"/>
          <w:lang w:val="en-US" w:eastAsia="zh-CN"/>
        </w:rPr>
        <w:t>。</w:t>
      </w:r>
    </w:p>
    <w:p w14:paraId="41854507">
      <w:pPr>
        <w:pStyle w:val="5"/>
        <w:pageBreakBefore w:val="0"/>
        <w:numPr>
          <w:ilvl w:val="0"/>
          <w:numId w:val="0"/>
        </w:numPr>
        <w:kinsoku/>
        <w:wordWrap/>
        <w:overflowPunct/>
        <w:topLinePunct w:val="0"/>
        <w:autoSpaceDE/>
        <w:autoSpaceDN/>
        <w:bidi w:val="0"/>
        <w:ind w:firstLine="482" w:firstLineChars="200"/>
        <w:jc w:val="both"/>
        <w:textAlignment w:val="auto"/>
        <w:rPr>
          <w:rFonts w:hint="eastAsia" w:ascii="宋体" w:hAnsi="宋体" w:eastAsia="宋体" w:cs="宋体"/>
          <w:color w:val="auto"/>
          <w:sz w:val="24"/>
          <w:szCs w:val="24"/>
          <w:highlight w:val="none"/>
        </w:rPr>
      </w:pPr>
      <w:bookmarkStart w:id="823" w:name="_Toc1761"/>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要求</w:t>
      </w:r>
      <w:bookmarkEnd w:id="823"/>
    </w:p>
    <w:p w14:paraId="6F80641D">
      <w:pPr>
        <w:pStyle w:val="11"/>
        <w:pageBreakBefore w:val="0"/>
        <w:kinsoku/>
        <w:wordWrap/>
        <w:overflowPunct/>
        <w:topLinePunct w:val="0"/>
        <w:autoSpaceDE/>
        <w:autoSpaceDN/>
        <w:bidi w:val="0"/>
        <w:spacing w:line="360" w:lineRule="auto"/>
        <w:ind w:firstLine="482" w:firstLineChars="200"/>
        <w:jc w:val="both"/>
        <w:textAlignment w:val="auto"/>
        <w:rPr>
          <w:rFonts w:hint="default" w:eastAsia="宋体"/>
          <w:b/>
          <w:bCs/>
          <w:color w:val="auto"/>
          <w:kern w:val="2"/>
          <w:sz w:val="24"/>
          <w:szCs w:val="24"/>
          <w:highlight w:val="none"/>
          <w:lang w:val="en-US" w:eastAsia="zh-CN"/>
        </w:rPr>
      </w:pPr>
      <w:r>
        <w:rPr>
          <w:rFonts w:hint="default" w:eastAsia="宋体"/>
          <w:b/>
          <w:bCs/>
          <w:color w:val="auto"/>
          <w:kern w:val="2"/>
          <w:sz w:val="24"/>
          <w:szCs w:val="24"/>
          <w:highlight w:val="none"/>
          <w:lang w:val="en-US" w:eastAsia="zh-CN"/>
        </w:rPr>
        <w:t>一、基础要求</w:t>
      </w:r>
    </w:p>
    <w:p w14:paraId="0549588E">
      <w:pPr>
        <w:pStyle w:val="11"/>
        <w:pageBreakBefore w:val="0"/>
        <w:kinsoku/>
        <w:wordWrap/>
        <w:overflowPunct/>
        <w:topLinePunct w:val="0"/>
        <w:autoSpaceDE/>
        <w:autoSpaceDN/>
        <w:bidi w:val="0"/>
        <w:spacing w:line="360" w:lineRule="auto"/>
        <w:ind w:firstLine="480" w:firstLineChars="200"/>
        <w:jc w:val="both"/>
        <w:textAlignment w:val="auto"/>
        <w:rPr>
          <w:rFonts w:hint="default" w:eastAsia="宋体"/>
          <w:color w:val="auto"/>
          <w:kern w:val="2"/>
          <w:sz w:val="24"/>
          <w:szCs w:val="24"/>
          <w:highlight w:val="none"/>
          <w:lang w:val="en-US" w:eastAsia="zh-CN"/>
        </w:rPr>
      </w:pPr>
      <w:r>
        <w:rPr>
          <w:rFonts w:hint="default" w:eastAsia="宋体"/>
          <w:color w:val="auto"/>
          <w:kern w:val="2"/>
          <w:sz w:val="24"/>
          <w:szCs w:val="24"/>
          <w:highlight w:val="none"/>
          <w:lang w:val="en-US" w:eastAsia="zh-CN"/>
        </w:rPr>
        <w:t>1、交货地点：</w:t>
      </w:r>
      <w:r>
        <w:rPr>
          <w:rFonts w:hint="eastAsia"/>
          <w:color w:val="auto"/>
          <w:kern w:val="2"/>
          <w:sz w:val="24"/>
          <w:szCs w:val="24"/>
          <w:highlight w:val="none"/>
          <w:lang w:val="en-US" w:eastAsia="zh-CN"/>
        </w:rPr>
        <w:t>郑州市郑东新区汉月街26号中原量子谷</w:t>
      </w:r>
      <w:r>
        <w:rPr>
          <w:rFonts w:hint="default" w:eastAsia="宋体"/>
          <w:color w:val="auto"/>
          <w:kern w:val="2"/>
          <w:sz w:val="24"/>
          <w:szCs w:val="24"/>
          <w:highlight w:val="none"/>
          <w:lang w:val="en-US" w:eastAsia="zh-CN"/>
        </w:rPr>
        <w:t>；</w:t>
      </w:r>
    </w:p>
    <w:p w14:paraId="3A96F1BB">
      <w:pPr>
        <w:pStyle w:val="11"/>
        <w:pageBreakBefore w:val="0"/>
        <w:kinsoku/>
        <w:wordWrap/>
        <w:overflowPunct/>
        <w:topLinePunct w:val="0"/>
        <w:autoSpaceDE/>
        <w:autoSpaceDN/>
        <w:bidi w:val="0"/>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2、交货期：</w:t>
      </w:r>
      <w:r>
        <w:rPr>
          <w:rFonts w:hint="eastAsia" w:cs="Times New Roman"/>
          <w:color w:val="auto"/>
          <w:kern w:val="2"/>
          <w:sz w:val="24"/>
          <w:szCs w:val="24"/>
          <w:highlight w:val="none"/>
          <w:lang w:val="en-US" w:eastAsia="zh-CN"/>
        </w:rPr>
        <w:t>自合同生效之日起7个月内供货完成，供货后1个月内安装调试完成</w:t>
      </w:r>
      <w:r>
        <w:rPr>
          <w:rFonts w:hint="eastAsia" w:ascii="Times New Roman" w:hAnsi="Times New Roman" w:eastAsia="宋体" w:cs="Times New Roman"/>
          <w:color w:val="auto"/>
          <w:kern w:val="2"/>
          <w:sz w:val="24"/>
          <w:szCs w:val="24"/>
          <w:highlight w:val="none"/>
          <w:lang w:val="en-US" w:eastAsia="zh-CN"/>
        </w:rPr>
        <w:t>。</w:t>
      </w:r>
    </w:p>
    <w:p w14:paraId="345E1062">
      <w:pPr>
        <w:pStyle w:val="11"/>
        <w:pageBreakBefore w:val="0"/>
        <w:kinsoku/>
        <w:wordWrap/>
        <w:overflowPunct/>
        <w:topLinePunct w:val="0"/>
        <w:autoSpaceDE/>
        <w:autoSpaceDN/>
        <w:bidi w:val="0"/>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3、质量标准：符合国家、行业现行验收规范和标准，满足采购人的相关要求。</w:t>
      </w:r>
    </w:p>
    <w:p w14:paraId="72D847F3">
      <w:pPr>
        <w:pStyle w:val="11"/>
        <w:pageBreakBefore w:val="0"/>
        <w:kinsoku/>
        <w:wordWrap/>
        <w:overflowPunct/>
        <w:topLinePunct w:val="0"/>
        <w:autoSpaceDE/>
        <w:autoSpaceDN/>
        <w:bidi w:val="0"/>
        <w:spacing w:line="360" w:lineRule="auto"/>
        <w:ind w:firstLine="480" w:firstLineChars="200"/>
        <w:jc w:val="both"/>
        <w:textAlignment w:val="auto"/>
        <w:rPr>
          <w:color w:val="auto"/>
          <w:sz w:val="24"/>
          <w:szCs w:val="24"/>
          <w:highlight w:val="none"/>
        </w:rPr>
      </w:pPr>
      <w:r>
        <w:rPr>
          <w:rFonts w:hint="default" w:ascii="Times New Roman" w:hAnsi="Times New Roman" w:eastAsia="宋体" w:cs="Times New Roman"/>
          <w:color w:val="auto"/>
          <w:kern w:val="2"/>
          <w:sz w:val="24"/>
          <w:szCs w:val="24"/>
          <w:highlight w:val="none"/>
          <w:lang w:val="en-US" w:eastAsia="zh-CN"/>
        </w:rPr>
        <w:t>4、质保期：</w:t>
      </w:r>
      <w:r>
        <w:rPr>
          <w:rFonts w:hint="eastAsia" w:cs="Times New Roman"/>
          <w:color w:val="auto"/>
          <w:kern w:val="2"/>
          <w:sz w:val="24"/>
          <w:szCs w:val="24"/>
          <w:highlight w:val="none"/>
          <w:lang w:val="en-US" w:eastAsia="zh-CN"/>
        </w:rPr>
        <w:t>验收合格后原厂质保一年（自验收合格之日起计算）</w:t>
      </w:r>
    </w:p>
    <w:p w14:paraId="75FF59C8">
      <w:pPr>
        <w:pageBreakBefore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二、供货、安装、调试、验收要求</w:t>
      </w:r>
    </w:p>
    <w:p w14:paraId="223C2CD5">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提供符合国家质量标准、部颁标准、行业标准或本招标文件规定标准、供货渠道合法的全新原装合格正品（包括零部件），如安装或配置软件的，须为正版软件。所提供的货物应当同时符合国家有关安全、卫生、环保规定。</w:t>
      </w:r>
    </w:p>
    <w:p w14:paraId="2EF04801">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使用供应商中标的货物、技术、资料、服务或其他任何一部分时，享有无偿使用权。免受第三方提出的侵犯其专利权、著作权、商标权或其它知识产权的起诉。如果第三方提出侵权指控，中标供应商应承担由此而引起的一切法律责任和费用。</w:t>
      </w:r>
    </w:p>
    <w:p w14:paraId="5BF50215">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、包装和发运</w:t>
      </w:r>
    </w:p>
    <w:p w14:paraId="41E9F937">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（1）货物的包装和运输须符合货物特性要求。</w:t>
      </w:r>
    </w:p>
    <w:p w14:paraId="4E96954C">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（2）为了保证货物在长途运输、多次搬运和装卸过程中的安全，货物包装应符合国家或行业标准规定。由于包装、运输、搬运和装卸不当导致货物锈蚀、缺失或损坏，由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承担一切责任。</w:t>
      </w:r>
    </w:p>
    <w:p w14:paraId="0FFD1EEC">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技术工程师负责</w:t>
      </w:r>
      <w:r>
        <w:rPr>
          <w:rFonts w:hint="eastAsia" w:ascii="宋体" w:hAnsi="宋体" w:cs="宋体"/>
          <w:color w:val="auto"/>
          <w:sz w:val="24"/>
          <w:szCs w:val="24"/>
          <w:highlight w:val="none"/>
          <w:lang w:val="en-US" w:eastAsia="zh-CN"/>
        </w:rPr>
        <w:t>统筹安排</w:t>
      </w:r>
      <w:r>
        <w:rPr>
          <w:rFonts w:hint="eastAsia" w:ascii="宋体" w:hAnsi="宋体" w:cs="宋体"/>
          <w:color w:val="auto"/>
          <w:sz w:val="24"/>
          <w:szCs w:val="24"/>
          <w:highlight w:val="none"/>
        </w:rPr>
        <w:t>现场的免费安装、调试</w:t>
      </w:r>
      <w:r>
        <w:rPr>
          <w:rFonts w:hint="eastAsia" w:ascii="宋体" w:hAnsi="宋体" w:cs="宋体"/>
          <w:color w:val="auto"/>
          <w:sz w:val="24"/>
          <w:szCs w:val="24"/>
          <w:highlight w:val="none"/>
          <w:lang w:val="en-US" w:eastAsia="zh-CN"/>
        </w:rPr>
        <w:t>工作</w:t>
      </w:r>
      <w:r>
        <w:rPr>
          <w:rFonts w:hint="eastAsia" w:ascii="宋体" w:hAnsi="宋体" w:cs="宋体"/>
          <w:color w:val="auto"/>
          <w:sz w:val="24"/>
          <w:szCs w:val="24"/>
          <w:highlight w:val="none"/>
        </w:rPr>
        <w:t>；如需特殊安装条件的，</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应当发货前30天内与采购人进行场地安装事宜的确认。</w:t>
      </w:r>
    </w:p>
    <w:p w14:paraId="2F821C63">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货物运抵安装现场后，采购人应当与</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共同开箱</w:t>
      </w:r>
      <w:r>
        <w:rPr>
          <w:rFonts w:hint="eastAsia" w:ascii="宋体" w:hAnsi="宋体" w:cs="宋体"/>
          <w:color w:val="auto"/>
          <w:sz w:val="24"/>
          <w:szCs w:val="24"/>
          <w:highlight w:val="none"/>
          <w:lang w:val="en-US" w:eastAsia="zh-CN"/>
        </w:rPr>
        <w:t>进行初步验收</w:t>
      </w:r>
      <w:r>
        <w:rPr>
          <w:rFonts w:hint="eastAsia" w:ascii="宋体" w:hAnsi="宋体" w:cs="宋体"/>
          <w:color w:val="auto"/>
          <w:sz w:val="24"/>
          <w:szCs w:val="24"/>
          <w:highlight w:val="none"/>
        </w:rPr>
        <w:t>；验收结果</w:t>
      </w:r>
      <w:r>
        <w:rPr>
          <w:rFonts w:hint="eastAsia" w:ascii="宋体" w:hAnsi="宋体" w:cs="宋体"/>
          <w:color w:val="auto"/>
          <w:sz w:val="24"/>
          <w:szCs w:val="24"/>
          <w:highlight w:val="none"/>
          <w:lang w:val="en-US" w:eastAsia="zh-CN"/>
        </w:rPr>
        <w:t>以双方签署的</w:t>
      </w:r>
      <w:r>
        <w:rPr>
          <w:rFonts w:hint="eastAsia" w:ascii="宋体" w:hAnsi="宋体" w:cs="宋体"/>
          <w:color w:val="auto"/>
          <w:sz w:val="24"/>
          <w:szCs w:val="24"/>
          <w:highlight w:val="none"/>
        </w:rPr>
        <w:t>验收报告为</w:t>
      </w:r>
      <w:r>
        <w:rPr>
          <w:rFonts w:hint="eastAsia" w:ascii="宋体" w:hAnsi="宋体" w:cs="宋体"/>
          <w:color w:val="auto"/>
          <w:sz w:val="24"/>
          <w:szCs w:val="24"/>
          <w:highlight w:val="none"/>
          <w:lang w:val="en-US" w:eastAsia="zh-CN"/>
        </w:rPr>
        <w:t>准</w:t>
      </w:r>
      <w:r>
        <w:rPr>
          <w:rFonts w:hint="eastAsia" w:ascii="宋体" w:hAnsi="宋体" w:cs="宋体"/>
          <w:color w:val="auto"/>
          <w:sz w:val="24"/>
          <w:szCs w:val="24"/>
          <w:highlight w:val="none"/>
        </w:rPr>
        <w:t>，验收时发现短缺、破损,采购人有权要求</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立即补发和负责更换。</w:t>
      </w:r>
    </w:p>
    <w:p w14:paraId="381EBDE7">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应提出仪器设备测试的内容、项目、指标和方法,</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有责任对采购人的技术人员提出的问题做出解答。测试应进行详细记录,仪器设备测试结束后,由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技术人员签字后交给采购人验收。</w:t>
      </w:r>
    </w:p>
    <w:p w14:paraId="150F19D7">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应提前一周将发货信息提供给</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。货物到达后，采购人应将到货信息立即通知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应协助采购人于到货后一周（7天）内在</w:t>
      </w:r>
      <w:r>
        <w:rPr>
          <w:rFonts w:hint="eastAsia" w:ascii="宋体" w:hAnsi="宋体" w:cs="宋体"/>
          <w:color w:val="auto"/>
          <w:sz w:val="24"/>
          <w:szCs w:val="24"/>
          <w:highlight w:val="none"/>
          <w:lang w:val="en-US" w:eastAsia="zh-CN"/>
        </w:rPr>
        <w:t>设备</w:t>
      </w:r>
      <w:r>
        <w:rPr>
          <w:rFonts w:hint="eastAsia" w:ascii="宋体" w:hAnsi="宋体" w:cs="宋体"/>
          <w:color w:val="auto"/>
          <w:sz w:val="24"/>
          <w:szCs w:val="24"/>
          <w:highlight w:val="none"/>
        </w:rPr>
        <w:t>基础上</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就位，并做好现场安装调试、验收的各项准备工作，包括必要的试件、刀具及检具等。</w:t>
      </w:r>
    </w:p>
    <w:p w14:paraId="21504F78">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同时满足以下条件，采购人</w:t>
      </w:r>
      <w:r>
        <w:rPr>
          <w:rFonts w:hint="eastAsia" w:ascii="宋体" w:hAnsi="宋体" w:cs="宋体"/>
          <w:color w:val="auto"/>
          <w:sz w:val="24"/>
          <w:szCs w:val="24"/>
          <w:highlight w:val="none"/>
          <w:lang w:val="en-US" w:eastAsia="zh-CN"/>
        </w:rPr>
        <w:t>将</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签发货物验收报告：</w:t>
      </w:r>
    </w:p>
    <w:p w14:paraId="37EF642B">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已按照合同规定提供了全部产品及完整的技术资料。</w:t>
      </w:r>
    </w:p>
    <w:p w14:paraId="1758CD88">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2）采购人确定最终验收方案，并根据该验收方案验收所有的配置、功能和技术指标。</w:t>
      </w:r>
    </w:p>
    <w:p w14:paraId="0A30AFC5">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3）最终验收在采购人授权代表在场和</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授权代表在场的情况下按照现场验收方案逐项进行。验收报告由双方签署后完成设备最终验收。</w:t>
      </w:r>
    </w:p>
    <w:p w14:paraId="663912F4">
      <w:pPr>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采购人根据国家有关规定、招标文件、供应商的投标文件以及合同约定的内容和验收标准进行验收，采购人可以视项目情况邀请第三方机构或者参加本项目投标的其他供应商参与验收。验收情况作为支付货款的依据。如有异议，以相关质量技术检验检测机构的检验结果为准，如产生检验检测费用，则该费用由过失方承担。</w:t>
      </w:r>
    </w:p>
    <w:p w14:paraId="6794F11E">
      <w:pPr>
        <w:pageBreakBefore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三、售后服务要求</w:t>
      </w:r>
    </w:p>
    <w:p w14:paraId="53339484">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成交后</w:t>
      </w:r>
      <w:r>
        <w:rPr>
          <w:rFonts w:hint="eastAsia" w:ascii="宋体" w:hAnsi="宋体" w:eastAsia="宋体" w:cs="宋体"/>
          <w:color w:val="auto"/>
          <w:sz w:val="24"/>
          <w:szCs w:val="24"/>
          <w:highlight w:val="none"/>
          <w:lang w:val="en-US" w:eastAsia="zh-CN"/>
        </w:rPr>
        <w:t>提供所投产品供应商或制造商售后服务机构情况，包括地址、技术人员及联系方式，售后技术人员力量、设备实力等。</w:t>
      </w:r>
    </w:p>
    <w:p w14:paraId="5745417B">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2、提供质保期内免费上门保修服务。</w:t>
      </w:r>
    </w:p>
    <w:p w14:paraId="4DFC3356">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3、质保期内（自验收合格之日起计算）应当为采购人提供以下技术支持和服务：</w:t>
      </w:r>
    </w:p>
    <w:p w14:paraId="31FDB760">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（1）电话咨询。</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或制造商应当为采购人提供技术援助电话，解答采购人在使用中遇到的问题，及时为采购人提出解决问题的建议和办法。</w:t>
      </w:r>
    </w:p>
    <w:p w14:paraId="36DC47C8">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（2）现场响应。质保期内出现设备故障，乙方2小时内电话响应，24小时内抵达现场，在双方协商期限内处理完毕，</w:t>
      </w:r>
      <w:r>
        <w:rPr>
          <w:rFonts w:hint="eastAsia" w:ascii="宋体" w:hAnsi="宋体" w:cs="宋体"/>
          <w:color w:val="auto"/>
          <w:sz w:val="24"/>
          <w:szCs w:val="24"/>
          <w:highlight w:val="none"/>
          <w:lang w:val="en-US" w:eastAsia="zh-CN"/>
        </w:rPr>
        <w:t>乙方在</w:t>
      </w:r>
      <w:r>
        <w:rPr>
          <w:rFonts w:hint="eastAsia" w:ascii="宋体" w:hAnsi="宋体" w:eastAsia="宋体" w:cs="宋体"/>
          <w:color w:val="auto"/>
          <w:sz w:val="24"/>
          <w:szCs w:val="24"/>
          <w:highlight w:val="none"/>
          <w:lang w:val="en-US" w:eastAsia="zh-CN"/>
        </w:rPr>
        <w:t>协商期限内未安排处理售后服务的，甲方有权委托第三方进行维修，产生的费用全部由乙方承担</w:t>
      </w:r>
      <w:r>
        <w:rPr>
          <w:rFonts w:hint="eastAsia" w:ascii="宋体" w:hAnsi="宋体" w:cs="宋体"/>
          <w:color w:val="auto"/>
          <w:sz w:val="24"/>
          <w:szCs w:val="24"/>
          <w:highlight w:val="none"/>
          <w:lang w:val="en-US" w:eastAsia="zh-CN"/>
        </w:rPr>
        <w:t>。</w:t>
      </w:r>
    </w:p>
    <w:p w14:paraId="6E12D9CB">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应当定期对所供设备系统运行情况进行检测，消除故障隐患，以保证设备的正常运行。</w:t>
      </w:r>
    </w:p>
    <w:p w14:paraId="2AEB94BA">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（4）技术升级。在质保期内，如果制造商的产品技术升级，</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应及时通知采购人，如采购人有相应要求，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和制造商应对采购人购买的产品进行免费升级服务或优惠价格的有偿升级服务。</w:t>
      </w:r>
    </w:p>
    <w:p w14:paraId="3ECCCF34">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4、质保期外应当为采购人提供以下技术支持和服务：</w:t>
      </w:r>
    </w:p>
    <w:p w14:paraId="19D7139E">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（1）提供免费电话咨询服务，并提供产品上门维护服务。</w:t>
      </w:r>
    </w:p>
    <w:p w14:paraId="4B089BC1">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（2）以优惠价格继续提供售后服务。</w:t>
      </w:r>
    </w:p>
    <w:p w14:paraId="3F184DDD">
      <w:pPr>
        <w:adjustRightInd w:val="0"/>
        <w:snapToGrid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超过免费保修期，乙方提供该设备终身维修服务，服务响应时间与质保期内保持一致，维修费用另行协商。</w:t>
      </w:r>
    </w:p>
    <w:p w14:paraId="08C340BD">
      <w:pPr>
        <w:pageBreakBefore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、备品备件及易损件</w:t>
      </w:r>
    </w:p>
    <w:p w14:paraId="1494DC82">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或制造商售后服务</w:t>
      </w:r>
      <w:r>
        <w:rPr>
          <w:rFonts w:hint="eastAsia" w:ascii="宋体" w:hAnsi="宋体" w:cs="宋体"/>
          <w:color w:val="auto"/>
          <w:sz w:val="24"/>
          <w:szCs w:val="24"/>
          <w:highlight w:val="none"/>
          <w:lang w:val="en-US" w:eastAsia="zh-CN"/>
        </w:rPr>
        <w:t>过程</w:t>
      </w:r>
      <w:r>
        <w:rPr>
          <w:rFonts w:hint="eastAsia" w:ascii="宋体" w:hAnsi="宋体" w:eastAsia="宋体" w:cs="宋体"/>
          <w:color w:val="auto"/>
          <w:sz w:val="24"/>
          <w:szCs w:val="24"/>
          <w:highlight w:val="none"/>
          <w:lang w:val="en-US" w:eastAsia="zh-CN"/>
        </w:rPr>
        <w:t>中，维修使用的备品备件及易损件应为原厂配件，未经采购人同意不得使用非原厂配件。</w:t>
      </w:r>
    </w:p>
    <w:p w14:paraId="77481598">
      <w:pPr>
        <w:pageBreakBefore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五</w:t>
      </w:r>
      <w:r>
        <w:rPr>
          <w:rFonts w:hint="eastAsia" w:ascii="宋体" w:hAnsi="宋体" w:cs="宋体"/>
          <w:b/>
          <w:bCs/>
          <w:color w:val="auto"/>
          <w:sz w:val="24"/>
          <w:szCs w:val="24"/>
          <w:highlight w:val="none"/>
        </w:rPr>
        <w:t>、培训要求</w:t>
      </w:r>
    </w:p>
    <w:p w14:paraId="582A7C26">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通过培训使采购人相关人员掌握有关使用、维护和管理方法，达到能独立进行管理、一般故障处理、日常检测和维护等工作的目标。</w:t>
      </w:r>
      <w:r>
        <w:rPr>
          <w:rFonts w:hint="eastAsia" w:ascii="宋体" w:hAnsi="宋体" w:cs="宋体"/>
          <w:b w:val="0"/>
          <w:bCs w:val="0"/>
          <w:color w:val="auto"/>
          <w:sz w:val="24"/>
          <w:szCs w:val="24"/>
          <w:highlight w:val="none"/>
          <w:lang w:eastAsia="zh-CN"/>
        </w:rPr>
        <w:t>培训过程中产生的费用由供应商承担。</w:t>
      </w:r>
    </w:p>
    <w:p w14:paraId="3BA9A2E0">
      <w:pPr>
        <w:pageBreakBefore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、其他</w:t>
      </w:r>
    </w:p>
    <w:p w14:paraId="6B25A426">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1、供应商资格要求见供应商须知前附表。如资格证明文件遇年检、换证，则必须提供法定年检、换证单位出具的有效证明原件。</w:t>
      </w:r>
    </w:p>
    <w:p w14:paraId="05360EAF">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报价均为人民币报价。应包括本招标项目所包含的货物、软件、标准附件、备品备件、专用工具、图纸资料、技术服务，包装、仓储、运输、装卸、保险、税金，货到就位以及安装、调试、培训、保修等一切税金和费用。</w:t>
      </w:r>
    </w:p>
    <w:p w14:paraId="488012EB">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3、采购人在授予供应商合同时，保留对货物数量予以增减的权利。供应商不得在此情况下对投标文件做出修改，如单价、交货期、售后服务等。</w:t>
      </w:r>
    </w:p>
    <w:p w14:paraId="38735A79">
      <w:pPr>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4、为</w:t>
      </w:r>
      <w:r>
        <w:rPr>
          <w:rFonts w:hint="eastAsia" w:ascii="宋体" w:hAnsi="宋体" w:cs="宋体"/>
          <w:color w:val="auto"/>
          <w:sz w:val="24"/>
          <w:szCs w:val="24"/>
          <w:highlight w:val="none"/>
          <w:lang w:val="en-US" w:eastAsia="zh-CN"/>
        </w:rPr>
        <w:t>保证履约能力</w:t>
      </w:r>
      <w:r>
        <w:rPr>
          <w:rFonts w:hint="eastAsia" w:ascii="宋体" w:hAnsi="宋体" w:eastAsia="宋体" w:cs="宋体"/>
          <w:color w:val="auto"/>
          <w:sz w:val="24"/>
          <w:szCs w:val="24"/>
          <w:highlight w:val="none"/>
          <w:lang w:val="en-US" w:eastAsia="zh-CN"/>
        </w:rPr>
        <w:t>，优先选择具有体系证书、具有同类项目供货经验、</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lang w:val="en-US" w:eastAsia="zh-CN"/>
        </w:rPr>
        <w:t>人员配备方案</w:t>
      </w:r>
      <w:r>
        <w:rPr>
          <w:rFonts w:hint="eastAsia" w:ascii="宋体" w:hAnsi="宋体" w:cs="宋体"/>
          <w:color w:val="auto"/>
          <w:sz w:val="24"/>
          <w:szCs w:val="24"/>
          <w:highlight w:val="none"/>
          <w:lang w:val="en-US" w:eastAsia="zh-CN"/>
        </w:rPr>
        <w:t>的供应商。</w:t>
      </w:r>
    </w:p>
    <w:p w14:paraId="414821F3">
      <w:pPr>
        <w:pStyle w:val="11"/>
        <w:pageBreakBefore w:val="0"/>
        <w:kinsoku/>
        <w:wordWrap/>
        <w:overflowPunct/>
        <w:topLinePunct w:val="0"/>
        <w:autoSpaceDE/>
        <w:autoSpaceDN/>
        <w:bidi w:val="0"/>
        <w:spacing w:line="360" w:lineRule="auto"/>
        <w:ind w:firstLine="480" w:firstLineChars="200"/>
        <w:jc w:val="both"/>
        <w:textAlignment w:val="auto"/>
        <w:rPr>
          <w:rFonts w:hint="default"/>
          <w:color w:val="auto"/>
          <w:sz w:val="24"/>
          <w:szCs w:val="24"/>
          <w:highlight w:val="none"/>
          <w:lang w:val="en-US" w:eastAsia="zh-CN"/>
        </w:rPr>
      </w:pPr>
    </w:p>
    <w:p w14:paraId="28D05466">
      <w:pPr>
        <w:pageBreakBefore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注：以上要求是本项目的商务服务基本要求，不允许负偏离，需逐条在投标文件中响应。供应商可根据自身实力在满足以上实质性要求的基础上，提出更有利于采购人的承诺。</w:t>
      </w:r>
    </w:p>
    <w:p w14:paraId="6F3BD915">
      <w:pPr>
        <w:bidi w:val="0"/>
        <w:rPr>
          <w:rFonts w:hint="default"/>
          <w:sz w:val="24"/>
          <w:szCs w:val="24"/>
          <w:highlight w:val="none"/>
          <w:lang w:val="en-US" w:eastAsia="zh-CN"/>
        </w:rPr>
        <w:sectPr>
          <w:pgSz w:w="11905" w:h="16838"/>
          <w:pgMar w:top="1440" w:right="1800" w:bottom="1440" w:left="1800" w:header="794" w:footer="794" w:gutter="0"/>
          <w:pgNumType w:fmt="decimal"/>
          <w:cols w:space="720" w:num="1"/>
          <w:titlePg/>
          <w:docGrid w:type="lines" w:linePitch="318" w:charSpace="0"/>
        </w:sectPr>
      </w:pPr>
    </w:p>
    <w:bookmarkEnd w:id="804"/>
    <w:bookmarkEnd w:id="805"/>
    <w:bookmarkEnd w:id="806"/>
    <w:p w14:paraId="428DFEF6">
      <w:pPr>
        <w:pStyle w:val="4"/>
        <w:spacing w:before="120" w:after="120" w:line="400" w:lineRule="exact"/>
        <w:ind w:left="-199" w:leftChars="-95"/>
        <w:jc w:val="center"/>
        <w:rPr>
          <w:rFonts w:hint="eastAsia" w:ascii="宋体" w:hAnsi="宋体"/>
          <w:bCs w:val="0"/>
          <w:color w:val="auto"/>
          <w:sz w:val="36"/>
          <w:szCs w:val="36"/>
          <w:highlight w:val="none"/>
        </w:rPr>
      </w:pPr>
      <w:bookmarkStart w:id="824" w:name="_Toc144974855"/>
      <w:bookmarkEnd w:id="824"/>
      <w:bookmarkStart w:id="825" w:name="_Toc509667320"/>
      <w:bookmarkEnd w:id="825"/>
      <w:bookmarkStart w:id="826" w:name="_Toc32183"/>
      <w:bookmarkEnd w:id="826"/>
      <w:bookmarkStart w:id="827" w:name="_Toc152042575"/>
      <w:bookmarkEnd w:id="827"/>
      <w:bookmarkStart w:id="828" w:name="_Toc318450730"/>
      <w:bookmarkEnd w:id="828"/>
      <w:bookmarkStart w:id="829" w:name="_Toc455080164"/>
      <w:bookmarkEnd w:id="829"/>
      <w:bookmarkStart w:id="830" w:name="_Toc490667883"/>
      <w:bookmarkEnd w:id="830"/>
      <w:bookmarkStart w:id="831" w:name="_Toc455867824"/>
      <w:bookmarkEnd w:id="831"/>
      <w:bookmarkStart w:id="832" w:name="_Toc22986"/>
      <w:bookmarkEnd w:id="832"/>
      <w:bookmarkStart w:id="833" w:name="_Toc466298147"/>
      <w:bookmarkEnd w:id="833"/>
      <w:bookmarkStart w:id="834" w:name="_Toc26894"/>
      <w:bookmarkEnd w:id="834"/>
      <w:bookmarkStart w:id="835" w:name="_Toc5903"/>
      <w:bookmarkEnd w:id="835"/>
      <w:bookmarkStart w:id="836" w:name="_Toc509667314"/>
      <w:bookmarkEnd w:id="836"/>
      <w:bookmarkStart w:id="837" w:name="_Toc152045786"/>
      <w:bookmarkEnd w:id="837"/>
      <w:bookmarkStart w:id="838" w:name="_Toc281405536"/>
      <w:bookmarkEnd w:id="838"/>
      <w:bookmarkStart w:id="839" w:name="_Toc19453"/>
      <w:bookmarkEnd w:id="839"/>
      <w:bookmarkStart w:id="840" w:name="_Toc29539"/>
      <w:bookmarkStart w:id="841" w:name="_Toc12303"/>
      <w:bookmarkStart w:id="842" w:name="_Toc589"/>
      <w:bookmarkStart w:id="843" w:name="_Toc21960"/>
      <w:r>
        <w:rPr>
          <w:rFonts w:hint="eastAsia" w:ascii="宋体" w:hAnsi="宋体"/>
          <w:bCs w:val="0"/>
          <w:color w:val="auto"/>
          <w:sz w:val="36"/>
          <w:szCs w:val="36"/>
          <w:highlight w:val="none"/>
        </w:rPr>
        <w:t>第六章  响应文件格式</w:t>
      </w:r>
      <w:bookmarkEnd w:id="840"/>
      <w:bookmarkEnd w:id="841"/>
      <w:bookmarkEnd w:id="842"/>
      <w:bookmarkEnd w:id="843"/>
    </w:p>
    <w:p w14:paraId="27E81ED3">
      <w:pPr>
        <w:spacing w:line="360" w:lineRule="auto"/>
        <w:jc w:val="right"/>
        <w:rPr>
          <w:rFonts w:hint="eastAsia" w:ascii="宋体" w:hAnsi="宋体"/>
          <w:b/>
          <w:bCs/>
          <w:color w:val="auto"/>
          <w:sz w:val="28"/>
          <w:szCs w:val="28"/>
          <w:highlight w:val="none"/>
        </w:rPr>
      </w:pPr>
    </w:p>
    <w:p w14:paraId="5B421CD9">
      <w:pPr>
        <w:jc w:val="center"/>
        <w:rPr>
          <w:rFonts w:hint="eastAsia" w:ascii="宋体" w:hAnsi="宋体"/>
          <w:b/>
          <w:bCs/>
          <w:color w:val="auto"/>
          <w:sz w:val="36"/>
          <w:szCs w:val="36"/>
          <w:highlight w:val="none"/>
          <w:lang w:eastAsia="zh-CN"/>
        </w:rPr>
      </w:pPr>
      <w:r>
        <w:rPr>
          <w:rFonts w:hint="eastAsia" w:ascii="宋体" w:hAnsi="宋体"/>
          <w:b/>
          <w:bCs/>
          <w:color w:val="auto"/>
          <w:sz w:val="36"/>
          <w:szCs w:val="36"/>
          <w:highlight w:val="none"/>
          <w:lang w:eastAsia="zh-CN"/>
        </w:rPr>
        <w:t>河南省科学院激光制造研究所先进激光医疗系统及关键技术研究平台建设一期项目</w:t>
      </w:r>
    </w:p>
    <w:p w14:paraId="0A29D05F">
      <w:pPr>
        <w:jc w:val="center"/>
        <w:rPr>
          <w:rFonts w:hint="eastAsia" w:ascii="宋体" w:hAnsi="宋体"/>
          <w:b/>
          <w:bCs/>
          <w:color w:val="auto"/>
          <w:sz w:val="36"/>
          <w:szCs w:val="36"/>
          <w:highlight w:val="none"/>
          <w:lang w:eastAsia="zh-CN"/>
        </w:rPr>
      </w:pPr>
    </w:p>
    <w:p w14:paraId="1E15A596">
      <w:pPr>
        <w:jc w:val="center"/>
        <w:rPr>
          <w:rFonts w:hint="eastAsia" w:ascii="宋体" w:hAnsi="宋体"/>
          <w:b/>
          <w:bCs/>
          <w:color w:val="auto"/>
          <w:sz w:val="36"/>
          <w:szCs w:val="36"/>
          <w:highlight w:val="none"/>
          <w:lang w:eastAsia="zh-CN"/>
        </w:rPr>
      </w:pPr>
    </w:p>
    <w:p w14:paraId="59170C92">
      <w:pPr>
        <w:jc w:val="center"/>
        <w:rPr>
          <w:rFonts w:hint="eastAsia" w:ascii="宋体" w:hAnsi="宋体"/>
          <w:b/>
          <w:bCs/>
          <w:color w:val="auto"/>
          <w:sz w:val="36"/>
          <w:szCs w:val="36"/>
          <w:highlight w:val="none"/>
          <w:lang w:eastAsia="zh-CN"/>
        </w:rPr>
      </w:pPr>
    </w:p>
    <w:p w14:paraId="47591B86">
      <w:pPr>
        <w:jc w:val="center"/>
        <w:rPr>
          <w:rFonts w:hint="eastAsia" w:ascii="宋体" w:hAnsi="宋体"/>
          <w:b/>
          <w:bCs/>
          <w:color w:val="auto"/>
          <w:sz w:val="36"/>
          <w:szCs w:val="36"/>
          <w:highlight w:val="none"/>
          <w:lang w:eastAsia="zh-CN"/>
        </w:rPr>
      </w:pPr>
    </w:p>
    <w:p w14:paraId="0A675975">
      <w:pPr>
        <w:jc w:val="center"/>
        <w:rPr>
          <w:rFonts w:hint="eastAsia" w:ascii="宋体" w:hAnsi="宋体"/>
          <w:color w:val="auto"/>
          <w:sz w:val="84"/>
          <w:szCs w:val="84"/>
          <w:highlight w:val="none"/>
        </w:rPr>
      </w:pPr>
      <w:r>
        <w:rPr>
          <w:rFonts w:hint="eastAsia" w:ascii="宋体" w:hAnsi="宋体"/>
          <w:color w:val="auto"/>
          <w:sz w:val="84"/>
          <w:szCs w:val="84"/>
          <w:highlight w:val="none"/>
        </w:rPr>
        <w:t>响 应 文 件</w:t>
      </w:r>
    </w:p>
    <w:p w14:paraId="07B6E4A9">
      <w:pPr>
        <w:spacing w:line="400" w:lineRule="exact"/>
        <w:rPr>
          <w:rFonts w:hint="eastAsia" w:ascii="宋体" w:hAnsi="宋体"/>
          <w:color w:val="auto"/>
          <w:sz w:val="28"/>
          <w:szCs w:val="28"/>
          <w:highlight w:val="none"/>
        </w:rPr>
      </w:pPr>
    </w:p>
    <w:p w14:paraId="7A6F9E18">
      <w:pPr>
        <w:spacing w:line="400" w:lineRule="exact"/>
        <w:ind w:firstLine="2520" w:firstLineChars="900"/>
        <w:rPr>
          <w:rFonts w:hint="eastAsia" w:ascii="宋体" w:hAnsi="宋体"/>
          <w:color w:val="auto"/>
          <w:sz w:val="28"/>
          <w:szCs w:val="28"/>
          <w:highlight w:val="none"/>
          <w:u w:val="single"/>
        </w:rPr>
      </w:pPr>
      <w:r>
        <w:rPr>
          <w:rFonts w:hint="eastAsia" w:ascii="宋体" w:hAnsi="宋体"/>
          <w:color w:val="auto"/>
          <w:sz w:val="28"/>
          <w:szCs w:val="28"/>
          <w:highlight w:val="none"/>
        </w:rPr>
        <w:t>项目编号：豫财磋商采购-2025-59</w:t>
      </w:r>
    </w:p>
    <w:p w14:paraId="4E7FA224">
      <w:pPr>
        <w:spacing w:line="400" w:lineRule="exact"/>
        <w:rPr>
          <w:rFonts w:hint="eastAsia" w:ascii="宋体" w:hAnsi="宋体"/>
          <w:color w:val="auto"/>
          <w:sz w:val="28"/>
          <w:szCs w:val="28"/>
          <w:highlight w:val="none"/>
        </w:rPr>
      </w:pPr>
    </w:p>
    <w:p w14:paraId="3118710A">
      <w:pPr>
        <w:spacing w:line="400" w:lineRule="exact"/>
        <w:rPr>
          <w:rFonts w:hint="eastAsia" w:ascii="宋体" w:hAnsi="宋体"/>
          <w:color w:val="auto"/>
          <w:sz w:val="28"/>
          <w:szCs w:val="28"/>
          <w:highlight w:val="none"/>
        </w:rPr>
      </w:pPr>
    </w:p>
    <w:p w14:paraId="7A7B147D">
      <w:pPr>
        <w:spacing w:line="400" w:lineRule="exact"/>
        <w:rPr>
          <w:rFonts w:hint="eastAsia" w:ascii="宋体" w:hAnsi="宋体"/>
          <w:color w:val="auto"/>
          <w:sz w:val="28"/>
          <w:szCs w:val="28"/>
          <w:highlight w:val="none"/>
        </w:rPr>
      </w:pPr>
    </w:p>
    <w:p w14:paraId="03340C16">
      <w:pPr>
        <w:spacing w:line="400" w:lineRule="exact"/>
        <w:rPr>
          <w:rFonts w:hint="eastAsia" w:ascii="宋体" w:hAnsi="宋体"/>
          <w:color w:val="auto"/>
          <w:sz w:val="28"/>
          <w:szCs w:val="28"/>
          <w:highlight w:val="none"/>
        </w:rPr>
      </w:pPr>
    </w:p>
    <w:p w14:paraId="56693661">
      <w:pPr>
        <w:spacing w:line="400" w:lineRule="exact"/>
        <w:rPr>
          <w:rFonts w:hint="eastAsia" w:ascii="宋体" w:hAnsi="宋体"/>
          <w:color w:val="auto"/>
          <w:sz w:val="28"/>
          <w:szCs w:val="28"/>
          <w:highlight w:val="none"/>
        </w:rPr>
      </w:pPr>
    </w:p>
    <w:p w14:paraId="7536AD1C">
      <w:pPr>
        <w:spacing w:line="400" w:lineRule="exact"/>
        <w:rPr>
          <w:rFonts w:hint="eastAsia" w:ascii="宋体" w:hAnsi="宋体"/>
          <w:color w:val="auto"/>
          <w:sz w:val="28"/>
          <w:szCs w:val="28"/>
          <w:highlight w:val="none"/>
        </w:rPr>
      </w:pPr>
    </w:p>
    <w:p w14:paraId="13901AC6">
      <w:pPr>
        <w:spacing w:line="400" w:lineRule="exact"/>
        <w:rPr>
          <w:rFonts w:hint="eastAsia" w:ascii="宋体" w:hAnsi="宋体"/>
          <w:color w:val="auto"/>
          <w:sz w:val="28"/>
          <w:szCs w:val="28"/>
          <w:highlight w:val="none"/>
        </w:rPr>
      </w:pPr>
    </w:p>
    <w:p w14:paraId="1B704301">
      <w:pPr>
        <w:spacing w:line="400" w:lineRule="exact"/>
        <w:rPr>
          <w:rFonts w:hint="eastAsia" w:ascii="宋体" w:hAnsi="宋体"/>
          <w:color w:val="auto"/>
          <w:sz w:val="28"/>
          <w:szCs w:val="28"/>
          <w:highlight w:val="none"/>
        </w:rPr>
      </w:pPr>
    </w:p>
    <w:p w14:paraId="1C71C1C2">
      <w:pPr>
        <w:pStyle w:val="83"/>
        <w:ind w:firstLine="560"/>
        <w:rPr>
          <w:rFonts w:hint="eastAsia"/>
          <w:color w:val="auto"/>
          <w:sz w:val="28"/>
          <w:szCs w:val="28"/>
          <w:highlight w:val="none"/>
        </w:rPr>
      </w:pPr>
    </w:p>
    <w:p w14:paraId="18D405DF">
      <w:pPr>
        <w:rPr>
          <w:rFonts w:hint="eastAsia" w:ascii="宋体" w:hAnsi="宋体"/>
          <w:color w:val="auto"/>
          <w:highlight w:val="none"/>
        </w:rPr>
      </w:pPr>
    </w:p>
    <w:p w14:paraId="6FBE1645">
      <w:pPr>
        <w:spacing w:line="480" w:lineRule="auto"/>
        <w:jc w:val="center"/>
        <w:rPr>
          <w:rFonts w:hint="eastAsia" w:ascii="宋体" w:hAnsi="宋体"/>
          <w:color w:val="auto"/>
          <w:sz w:val="28"/>
          <w:szCs w:val="28"/>
          <w:highlight w:val="none"/>
          <w:u w:val="single"/>
        </w:rPr>
      </w:pPr>
      <w:r>
        <w:rPr>
          <w:rFonts w:hint="eastAsia" w:ascii="宋体" w:hAnsi="宋体"/>
          <w:color w:val="auto"/>
          <w:sz w:val="28"/>
          <w:szCs w:val="28"/>
          <w:highlight w:val="none"/>
        </w:rPr>
        <w:t>供应商：（盖单位公章）</w:t>
      </w:r>
    </w:p>
    <w:p w14:paraId="6FFB4223">
      <w:pPr>
        <w:spacing w:line="480" w:lineRule="auto"/>
        <w:jc w:val="center"/>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法定代表人或其委托代理人：（签字或盖章）</w:t>
      </w:r>
    </w:p>
    <w:p w14:paraId="6C40EFD6">
      <w:pPr>
        <w:spacing w:line="480" w:lineRule="auto"/>
        <w:jc w:val="center"/>
        <w:rPr>
          <w:rFonts w:hint="eastAsia" w:ascii="宋体" w:hAnsi="宋体"/>
          <w:color w:val="auto"/>
          <w:sz w:val="20"/>
          <w:szCs w:val="20"/>
          <w:highlight w:val="none"/>
        </w:rPr>
      </w:pPr>
      <w:r>
        <w:rPr>
          <w:rFonts w:hint="eastAsia" w:ascii="宋体" w:hAnsi="宋体"/>
          <w:color w:val="auto"/>
          <w:sz w:val="28"/>
          <w:szCs w:val="28"/>
          <w:highlight w:val="none"/>
        </w:rPr>
        <w:t>年   月   日</w:t>
      </w:r>
    </w:p>
    <w:p w14:paraId="1CD7083B">
      <w:pPr>
        <w:spacing w:line="400" w:lineRule="exact"/>
        <w:rPr>
          <w:rFonts w:hint="eastAsia" w:ascii="宋体" w:hAnsi="宋体"/>
          <w:color w:val="auto"/>
          <w:highlight w:val="none"/>
        </w:rPr>
      </w:pPr>
      <w:r>
        <w:rPr>
          <w:rFonts w:hint="eastAsia" w:ascii="宋体" w:hAnsi="宋体"/>
          <w:color w:val="auto"/>
          <w:highlight w:val="none"/>
        </w:rPr>
        <w:br w:type="page"/>
      </w:r>
    </w:p>
    <w:p w14:paraId="539029C5">
      <w:pPr>
        <w:pStyle w:val="87"/>
        <w:jc w:val="center"/>
        <w:outlineLvl w:val="9"/>
        <w:rPr>
          <w:rFonts w:hint="eastAsia" w:ascii="宋体" w:hAnsi="宋体" w:eastAsia="宋体"/>
          <w:color w:val="auto"/>
          <w:highlight w:val="none"/>
        </w:rPr>
      </w:pPr>
      <w:bookmarkStart w:id="844" w:name="_Toc144974856"/>
      <w:bookmarkEnd w:id="844"/>
      <w:bookmarkStart w:id="845" w:name="_Toc23656"/>
      <w:bookmarkEnd w:id="845"/>
      <w:bookmarkStart w:id="846" w:name="_Toc32683"/>
      <w:bookmarkEnd w:id="846"/>
      <w:bookmarkStart w:id="847" w:name="_Toc10473"/>
      <w:bookmarkEnd w:id="847"/>
      <w:bookmarkStart w:id="848" w:name="_Toc509667321"/>
      <w:bookmarkEnd w:id="848"/>
      <w:bookmarkStart w:id="849" w:name="_Toc2645"/>
      <w:bookmarkEnd w:id="849"/>
      <w:bookmarkStart w:id="850" w:name="_Toc28226"/>
      <w:bookmarkEnd w:id="850"/>
      <w:bookmarkStart w:id="851" w:name="_Toc466298157"/>
      <w:bookmarkEnd w:id="851"/>
      <w:bookmarkStart w:id="852" w:name="_Toc32443"/>
      <w:bookmarkEnd w:id="852"/>
      <w:bookmarkStart w:id="853" w:name="_Toc8413"/>
      <w:bookmarkEnd w:id="853"/>
      <w:bookmarkStart w:id="854" w:name="_Toc27560"/>
      <w:bookmarkEnd w:id="854"/>
      <w:bookmarkStart w:id="855" w:name="_Toc14373"/>
      <w:bookmarkEnd w:id="855"/>
      <w:bookmarkStart w:id="856" w:name="_Toc152045787"/>
      <w:bookmarkEnd w:id="856"/>
      <w:bookmarkStart w:id="857" w:name="_Toc30662"/>
      <w:bookmarkStart w:id="858" w:name="_Toc7391"/>
      <w:bookmarkStart w:id="859" w:name="_Toc9881"/>
      <w:bookmarkStart w:id="860" w:name="_Toc129073525"/>
      <w:bookmarkStart w:id="861" w:name="_Toc152042576"/>
      <w:bookmarkStart w:id="862" w:name="_Toc5039"/>
      <w:bookmarkStart w:id="863" w:name="_Toc1532"/>
      <w:r>
        <w:rPr>
          <w:rFonts w:hint="eastAsia" w:ascii="宋体" w:hAnsi="宋体" w:eastAsia="宋体"/>
          <w:color w:val="auto"/>
          <w:highlight w:val="none"/>
        </w:rPr>
        <w:t>目    录</w:t>
      </w:r>
      <w:bookmarkEnd w:id="857"/>
      <w:bookmarkEnd w:id="858"/>
      <w:bookmarkEnd w:id="859"/>
      <w:bookmarkEnd w:id="860"/>
      <w:bookmarkEnd w:id="861"/>
      <w:bookmarkEnd w:id="862"/>
      <w:bookmarkEnd w:id="863"/>
    </w:p>
    <w:p w14:paraId="15938F9F">
      <w:pPr>
        <w:spacing w:line="540" w:lineRule="exact"/>
        <w:rPr>
          <w:rFonts w:hint="eastAsia" w:ascii="宋体" w:hAnsi="宋体"/>
          <w:color w:val="auto"/>
          <w:highlight w:val="none"/>
        </w:rPr>
      </w:pPr>
      <w:r>
        <w:rPr>
          <w:rFonts w:hint="eastAsia" w:ascii="宋体" w:hAnsi="宋体"/>
          <w:color w:val="auto"/>
          <w:highlight w:val="none"/>
        </w:rPr>
        <w:t>一、磋商函及磋商函附录</w:t>
      </w:r>
    </w:p>
    <w:p w14:paraId="3629CCA7">
      <w:pPr>
        <w:spacing w:line="540" w:lineRule="exact"/>
        <w:rPr>
          <w:rFonts w:hint="eastAsia" w:ascii="宋体" w:hAnsi="宋体"/>
          <w:color w:val="auto"/>
          <w:highlight w:val="none"/>
        </w:rPr>
      </w:pPr>
      <w:r>
        <w:rPr>
          <w:rFonts w:hint="eastAsia" w:ascii="宋体" w:hAnsi="宋体"/>
          <w:color w:val="auto"/>
          <w:highlight w:val="none"/>
        </w:rPr>
        <w:t>二、法定代表身份证明</w:t>
      </w:r>
    </w:p>
    <w:p w14:paraId="2ECC11D8">
      <w:pPr>
        <w:spacing w:line="540" w:lineRule="exact"/>
        <w:rPr>
          <w:rFonts w:hint="eastAsia" w:ascii="宋体" w:hAnsi="宋体"/>
          <w:color w:val="auto"/>
          <w:highlight w:val="none"/>
        </w:rPr>
      </w:pPr>
      <w:r>
        <w:rPr>
          <w:rFonts w:hint="eastAsia" w:ascii="宋体" w:hAnsi="宋体"/>
          <w:color w:val="auto"/>
          <w:highlight w:val="none"/>
        </w:rPr>
        <w:t>三、授权委托书</w:t>
      </w:r>
    </w:p>
    <w:p w14:paraId="6AEA399A">
      <w:pPr>
        <w:spacing w:line="540" w:lineRule="exact"/>
        <w:rPr>
          <w:rFonts w:hint="eastAsia" w:ascii="宋体" w:hAnsi="宋体"/>
          <w:color w:val="auto"/>
          <w:highlight w:val="none"/>
        </w:rPr>
      </w:pPr>
      <w:r>
        <w:rPr>
          <w:rFonts w:hint="eastAsia" w:ascii="宋体" w:hAnsi="宋体"/>
          <w:color w:val="auto"/>
          <w:highlight w:val="none"/>
        </w:rPr>
        <w:t>四、已标价设备采购清单</w:t>
      </w:r>
    </w:p>
    <w:p w14:paraId="6D8B1247">
      <w:pPr>
        <w:spacing w:line="540" w:lineRule="exact"/>
        <w:rPr>
          <w:rFonts w:hint="eastAsia" w:ascii="宋体" w:hAnsi="宋体"/>
          <w:color w:val="auto"/>
          <w:highlight w:val="none"/>
        </w:rPr>
      </w:pPr>
      <w:r>
        <w:rPr>
          <w:rFonts w:hint="eastAsia" w:ascii="宋体" w:hAnsi="宋体"/>
          <w:color w:val="auto"/>
          <w:highlight w:val="none"/>
        </w:rPr>
        <w:t>五、资格审查资料</w:t>
      </w:r>
    </w:p>
    <w:p w14:paraId="688162D6">
      <w:pPr>
        <w:spacing w:line="540" w:lineRule="exact"/>
        <w:rPr>
          <w:rFonts w:hint="eastAsia" w:ascii="宋体" w:hAnsi="宋体"/>
          <w:color w:val="auto"/>
          <w:highlight w:val="none"/>
        </w:rPr>
      </w:pPr>
      <w:r>
        <w:rPr>
          <w:rFonts w:hint="eastAsia" w:ascii="宋体" w:hAnsi="宋体"/>
          <w:color w:val="auto"/>
          <w:highlight w:val="none"/>
        </w:rPr>
        <w:t>六、技术规格偏差表</w:t>
      </w:r>
    </w:p>
    <w:p w14:paraId="163CD0AE">
      <w:pPr>
        <w:spacing w:line="540" w:lineRule="exact"/>
        <w:rPr>
          <w:rFonts w:hint="eastAsia" w:ascii="宋体" w:hAnsi="宋体"/>
          <w:color w:val="auto"/>
          <w:highlight w:val="none"/>
        </w:rPr>
      </w:pPr>
      <w:r>
        <w:rPr>
          <w:rFonts w:hint="eastAsia" w:ascii="宋体" w:hAnsi="宋体"/>
          <w:color w:val="auto"/>
          <w:highlight w:val="none"/>
        </w:rPr>
        <w:t>七、商务条款偏离表</w:t>
      </w:r>
    </w:p>
    <w:p w14:paraId="307668E3">
      <w:pPr>
        <w:spacing w:line="540" w:lineRule="exact"/>
        <w:rPr>
          <w:rFonts w:hint="eastAsia" w:ascii="宋体" w:hAnsi="宋体"/>
          <w:color w:val="auto"/>
          <w:highlight w:val="none"/>
        </w:rPr>
      </w:pPr>
      <w:r>
        <w:rPr>
          <w:rFonts w:hint="eastAsia" w:ascii="宋体" w:hAnsi="宋体"/>
          <w:color w:val="auto"/>
          <w:highlight w:val="none"/>
        </w:rPr>
        <w:t>八、技术部分评审资料</w:t>
      </w:r>
    </w:p>
    <w:p w14:paraId="773463C7">
      <w:pPr>
        <w:spacing w:line="540" w:lineRule="exact"/>
        <w:rPr>
          <w:rFonts w:hint="eastAsia" w:ascii="宋体" w:hAnsi="宋体"/>
          <w:color w:val="auto"/>
          <w:highlight w:val="none"/>
        </w:rPr>
      </w:pPr>
      <w:r>
        <w:rPr>
          <w:rFonts w:hint="eastAsia" w:ascii="宋体" w:hAnsi="宋体"/>
          <w:color w:val="auto"/>
          <w:highlight w:val="none"/>
        </w:rPr>
        <w:t>九、</w:t>
      </w:r>
      <w:r>
        <w:rPr>
          <w:rFonts w:hint="eastAsia" w:ascii="宋体" w:hAnsi="宋体" w:cs="宋体"/>
          <w:color w:val="auto"/>
          <w:highlight w:val="none"/>
          <w:lang w:val="en-US" w:eastAsia="zh-CN"/>
        </w:rPr>
        <w:t>同类</w:t>
      </w:r>
      <w:r>
        <w:rPr>
          <w:rFonts w:hint="eastAsia" w:ascii="宋体" w:hAnsi="宋体" w:cs="宋体"/>
          <w:color w:val="auto"/>
          <w:highlight w:val="none"/>
        </w:rPr>
        <w:t>项目供货业绩</w:t>
      </w:r>
    </w:p>
    <w:p w14:paraId="481877F8">
      <w:pPr>
        <w:spacing w:line="540" w:lineRule="exact"/>
        <w:rPr>
          <w:rFonts w:hint="eastAsia" w:ascii="宋体" w:hAnsi="宋体"/>
          <w:color w:val="auto"/>
          <w:highlight w:val="none"/>
        </w:rPr>
      </w:pPr>
      <w:r>
        <w:rPr>
          <w:rFonts w:hint="eastAsia" w:ascii="宋体" w:hAnsi="宋体"/>
          <w:color w:val="auto"/>
          <w:highlight w:val="none"/>
        </w:rPr>
        <w:t>十、商务部分评审资料</w:t>
      </w:r>
    </w:p>
    <w:p w14:paraId="551B7F30">
      <w:pPr>
        <w:spacing w:line="540" w:lineRule="exact"/>
        <w:rPr>
          <w:rFonts w:hint="eastAsia" w:ascii="宋体" w:hAnsi="宋体"/>
          <w:color w:val="auto"/>
          <w:highlight w:val="none"/>
        </w:rPr>
      </w:pPr>
      <w:r>
        <w:rPr>
          <w:rFonts w:hint="eastAsia" w:ascii="宋体" w:hAnsi="宋体"/>
          <w:color w:val="auto"/>
          <w:highlight w:val="none"/>
        </w:rPr>
        <w:t>十一、反商业贿赂承诺书</w:t>
      </w:r>
    </w:p>
    <w:p w14:paraId="6DE1FE66">
      <w:pPr>
        <w:spacing w:line="540" w:lineRule="exact"/>
        <w:rPr>
          <w:rFonts w:hint="eastAsia" w:ascii="宋体" w:hAnsi="宋体"/>
          <w:color w:val="auto"/>
          <w:highlight w:val="none"/>
        </w:rPr>
      </w:pPr>
      <w:r>
        <w:rPr>
          <w:rFonts w:hint="eastAsia" w:ascii="宋体" w:hAnsi="宋体"/>
          <w:color w:val="auto"/>
          <w:highlight w:val="none"/>
        </w:rPr>
        <w:t>十二、投标响应承诺函</w:t>
      </w:r>
    </w:p>
    <w:p w14:paraId="2E875102">
      <w:pPr>
        <w:spacing w:line="540" w:lineRule="exact"/>
        <w:rPr>
          <w:rFonts w:hint="eastAsia" w:ascii="宋体" w:hAnsi="宋体"/>
          <w:color w:val="auto"/>
          <w:highlight w:val="none"/>
        </w:rPr>
      </w:pPr>
      <w:r>
        <w:rPr>
          <w:rFonts w:hint="eastAsia" w:ascii="宋体" w:hAnsi="宋体"/>
          <w:color w:val="auto"/>
          <w:highlight w:val="none"/>
        </w:rPr>
        <w:t>十三、享有的政府采购优惠政策</w:t>
      </w:r>
    </w:p>
    <w:p w14:paraId="10F409BB">
      <w:pPr>
        <w:spacing w:line="540" w:lineRule="exact"/>
        <w:rPr>
          <w:rFonts w:hint="eastAsia" w:ascii="宋体" w:hAnsi="宋体"/>
          <w:color w:val="auto"/>
          <w:highlight w:val="none"/>
        </w:rPr>
      </w:pPr>
    </w:p>
    <w:p w14:paraId="30CF20C6">
      <w:pPr>
        <w:spacing w:line="540" w:lineRule="exact"/>
        <w:rPr>
          <w:rFonts w:hint="eastAsia" w:ascii="宋体" w:hAnsi="宋体"/>
          <w:color w:val="auto"/>
          <w:highlight w:val="none"/>
        </w:rPr>
      </w:pPr>
    </w:p>
    <w:p w14:paraId="4432F3C1">
      <w:pPr>
        <w:spacing w:line="540" w:lineRule="exact"/>
        <w:rPr>
          <w:rFonts w:hint="eastAsia" w:ascii="宋体" w:hAnsi="宋体"/>
          <w:color w:val="auto"/>
          <w:highlight w:val="none"/>
        </w:rPr>
      </w:pPr>
    </w:p>
    <w:p w14:paraId="300EBCB1">
      <w:pPr>
        <w:spacing w:line="540" w:lineRule="exact"/>
        <w:rPr>
          <w:rFonts w:hint="eastAsia" w:ascii="宋体" w:hAnsi="宋体"/>
          <w:color w:val="auto"/>
          <w:highlight w:val="none"/>
        </w:rPr>
      </w:pPr>
    </w:p>
    <w:p w14:paraId="2B613066">
      <w:pPr>
        <w:spacing w:line="540" w:lineRule="exact"/>
        <w:rPr>
          <w:rFonts w:hint="eastAsia" w:ascii="宋体" w:hAnsi="宋体"/>
          <w:color w:val="auto"/>
          <w:highlight w:val="none"/>
        </w:rPr>
      </w:pPr>
    </w:p>
    <w:p w14:paraId="4E326AD3">
      <w:pPr>
        <w:spacing w:line="540" w:lineRule="exact"/>
        <w:rPr>
          <w:rFonts w:hint="eastAsia" w:ascii="宋体" w:hAnsi="宋体"/>
          <w:color w:val="auto"/>
          <w:highlight w:val="none"/>
        </w:rPr>
      </w:pPr>
    </w:p>
    <w:p w14:paraId="326FED1A">
      <w:pPr>
        <w:spacing w:line="540" w:lineRule="exact"/>
        <w:rPr>
          <w:rFonts w:hint="eastAsia" w:ascii="宋体" w:hAnsi="宋体"/>
          <w:color w:val="auto"/>
          <w:highlight w:val="none"/>
        </w:rPr>
      </w:pPr>
    </w:p>
    <w:p w14:paraId="59C394A6">
      <w:pPr>
        <w:spacing w:line="540" w:lineRule="exact"/>
        <w:rPr>
          <w:rFonts w:hint="eastAsia" w:ascii="宋体" w:hAnsi="宋体"/>
          <w:color w:val="auto"/>
          <w:highlight w:val="none"/>
        </w:rPr>
      </w:pPr>
      <w:r>
        <w:rPr>
          <w:rFonts w:hint="eastAsia" w:ascii="宋体" w:hAnsi="宋体"/>
          <w:color w:val="auto"/>
          <w:highlight w:val="none"/>
        </w:rPr>
        <w:t>（仅供参考，为方便评审，建议按评分因素展开目录并设置超链接或书签）</w:t>
      </w:r>
    </w:p>
    <w:p w14:paraId="2F73D4CB">
      <w:pPr>
        <w:pStyle w:val="5"/>
        <w:bidi w:val="0"/>
        <w:jc w:val="center"/>
        <w:rPr>
          <w:rFonts w:hint="eastAsia"/>
          <w:highlight w:val="none"/>
        </w:rPr>
      </w:pPr>
      <w:r>
        <w:rPr>
          <w:rFonts w:hint="eastAsia" w:ascii="宋体" w:hAnsi="宋体"/>
          <w:color w:val="auto"/>
          <w:sz w:val="20"/>
          <w:szCs w:val="20"/>
          <w:highlight w:val="none"/>
        </w:rPr>
        <w:br w:type="page"/>
      </w:r>
      <w:bookmarkStart w:id="864" w:name="_Toc152045788"/>
      <w:bookmarkEnd w:id="864"/>
      <w:bookmarkStart w:id="865" w:name="_Toc144974857"/>
      <w:bookmarkEnd w:id="865"/>
      <w:bookmarkStart w:id="866" w:name="_Toc152042577"/>
      <w:bookmarkEnd w:id="866"/>
      <w:bookmarkStart w:id="867" w:name="_Toc466298158"/>
      <w:bookmarkEnd w:id="867"/>
      <w:bookmarkStart w:id="868" w:name="_Toc29077"/>
      <w:bookmarkEnd w:id="868"/>
      <w:bookmarkStart w:id="869" w:name="_Toc509667322"/>
      <w:bookmarkStart w:id="870" w:name="_Toc18931"/>
      <w:bookmarkStart w:id="871" w:name="_Toc24829"/>
      <w:bookmarkStart w:id="872" w:name="_Toc31263"/>
      <w:bookmarkStart w:id="873" w:name="_Toc808"/>
      <w:r>
        <w:rPr>
          <w:rStyle w:val="54"/>
          <w:rFonts w:hint="eastAsia" w:ascii="宋体" w:hAnsi="宋体" w:eastAsia="宋体" w:cs="宋体"/>
          <w:b/>
          <w:bCs w:val="0"/>
          <w:sz w:val="28"/>
          <w:szCs w:val="28"/>
          <w:highlight w:val="none"/>
        </w:rPr>
        <w:t>一、磋商函及</w:t>
      </w:r>
      <w:bookmarkEnd w:id="869"/>
      <w:r>
        <w:rPr>
          <w:rStyle w:val="54"/>
          <w:rFonts w:hint="eastAsia" w:ascii="宋体" w:hAnsi="宋体" w:eastAsia="宋体" w:cs="宋体"/>
          <w:b/>
          <w:bCs w:val="0"/>
          <w:sz w:val="28"/>
          <w:szCs w:val="28"/>
          <w:highlight w:val="none"/>
        </w:rPr>
        <w:t>磋商函附录</w:t>
      </w:r>
      <w:bookmarkEnd w:id="870"/>
      <w:bookmarkEnd w:id="871"/>
      <w:bookmarkEnd w:id="872"/>
      <w:bookmarkEnd w:id="873"/>
    </w:p>
    <w:p w14:paraId="4971F552">
      <w:pPr>
        <w:pStyle w:val="6"/>
        <w:bidi w:val="0"/>
        <w:jc w:val="center"/>
        <w:rPr>
          <w:rFonts w:hint="eastAsia" w:ascii="宋体" w:hAnsi="宋体" w:eastAsia="宋体" w:cs="宋体"/>
          <w:sz w:val="24"/>
          <w:szCs w:val="24"/>
          <w:highlight w:val="none"/>
        </w:rPr>
      </w:pPr>
      <w:bookmarkStart w:id="874" w:name="_Toc455080170"/>
      <w:bookmarkEnd w:id="874"/>
      <w:bookmarkStart w:id="875" w:name="_Toc8915"/>
      <w:bookmarkEnd w:id="875"/>
      <w:bookmarkStart w:id="876" w:name="_Toc152042578"/>
      <w:bookmarkEnd w:id="876"/>
      <w:bookmarkStart w:id="877" w:name="_Toc152045789"/>
      <w:bookmarkEnd w:id="877"/>
      <w:bookmarkStart w:id="878" w:name="_Toc18705"/>
      <w:bookmarkEnd w:id="878"/>
      <w:bookmarkStart w:id="879" w:name="_Toc144974858"/>
      <w:bookmarkEnd w:id="879"/>
      <w:bookmarkStart w:id="880" w:name="_Toc23888"/>
      <w:bookmarkEnd w:id="880"/>
      <w:bookmarkStart w:id="881" w:name="_Toc318450744"/>
      <w:bookmarkEnd w:id="881"/>
      <w:bookmarkStart w:id="882" w:name="_Toc509667323"/>
      <w:bookmarkEnd w:id="882"/>
      <w:bookmarkStart w:id="883" w:name="_Toc30581"/>
      <w:bookmarkEnd w:id="883"/>
      <w:bookmarkStart w:id="884" w:name="_Toc466298159"/>
      <w:bookmarkEnd w:id="884"/>
      <w:bookmarkStart w:id="885" w:name="_Toc490667892"/>
      <w:bookmarkEnd w:id="885"/>
      <w:bookmarkStart w:id="886" w:name="_Toc11855"/>
      <w:bookmarkEnd w:id="886"/>
      <w:bookmarkStart w:id="887" w:name="_Toc26262"/>
      <w:bookmarkEnd w:id="887"/>
      <w:bookmarkStart w:id="888" w:name="_Toc11475"/>
      <w:bookmarkStart w:id="889" w:name="_Toc129073527"/>
      <w:bookmarkStart w:id="890" w:name="_Toc455867830"/>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磋商函</w:t>
      </w:r>
      <w:bookmarkEnd w:id="888"/>
      <w:bookmarkEnd w:id="889"/>
      <w:bookmarkEnd w:id="890"/>
    </w:p>
    <w:p w14:paraId="69BD0566">
      <w:pPr>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lang w:eastAsia="zh-CN"/>
        </w:rPr>
        <w:t>河南省科学院激光制造研究所</w:t>
      </w:r>
      <w:r>
        <w:rPr>
          <w:rFonts w:hint="eastAsia" w:ascii="宋体" w:hAnsi="宋体"/>
          <w:color w:val="auto"/>
          <w:sz w:val="24"/>
          <w:szCs w:val="24"/>
          <w:highlight w:val="none"/>
          <w:u w:val="single"/>
        </w:rPr>
        <w:t>（采购人名称）</w:t>
      </w:r>
      <w:r>
        <w:rPr>
          <w:rFonts w:hint="eastAsia" w:ascii="宋体" w:hAnsi="宋体"/>
          <w:color w:val="auto"/>
          <w:sz w:val="24"/>
          <w:szCs w:val="24"/>
          <w:highlight w:val="none"/>
        </w:rPr>
        <w:t>：</w:t>
      </w:r>
    </w:p>
    <w:p w14:paraId="338A9E01">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1．我方已仔细研究了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河南省科学院激光制造研究所先进激光医疗系统及关键技术研究平台建设一期项目</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磋商文件的全部内容，愿意以人民币</w:t>
      </w:r>
      <w:r>
        <w:rPr>
          <w:rFonts w:hint="eastAsia" w:ascii="宋体" w:hAnsi="宋体"/>
          <w:color w:val="auto"/>
          <w:sz w:val="24"/>
          <w:szCs w:val="24"/>
          <w:highlight w:val="none"/>
          <w:lang w:eastAsia="zh-CN"/>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）的首次报价，交货期：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，按合同约定实施和完成本项目，质量要求达到：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44FA34FF">
      <w:pPr>
        <w:spacing w:line="360" w:lineRule="auto"/>
        <w:ind w:firstLine="480" w:firstLineChars="200"/>
        <w:rPr>
          <w:rFonts w:hint="eastAsia" w:ascii="宋体" w:hAnsi="宋体"/>
          <w:color w:val="auto"/>
          <w:sz w:val="24"/>
          <w:szCs w:val="24"/>
          <w:highlight w:val="none"/>
        </w:rPr>
      </w:pPr>
      <w:bookmarkStart w:id="891" w:name="_Toc466298160"/>
      <w:bookmarkEnd w:id="891"/>
      <w:bookmarkStart w:id="892" w:name="_Toc447888814"/>
      <w:r>
        <w:rPr>
          <w:rFonts w:hint="eastAsia" w:ascii="宋体" w:hAnsi="宋体"/>
          <w:color w:val="auto"/>
          <w:sz w:val="24"/>
          <w:szCs w:val="24"/>
          <w:highlight w:val="none"/>
        </w:rPr>
        <w:t>2．我方承诺在磋商有效期</w:t>
      </w:r>
      <w:bookmarkEnd w:id="892"/>
      <w:r>
        <w:rPr>
          <w:rFonts w:hint="eastAsia" w:ascii="宋体" w:hAnsi="宋体"/>
          <w:color w:val="auto"/>
          <w:sz w:val="24"/>
          <w:szCs w:val="24"/>
          <w:highlight w:val="none"/>
          <w:u w:val="single"/>
        </w:rPr>
        <w:t xml:space="preserve"> 递交响应文件截止时间起60日历天</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内不修改、撤销响应文件。</w:t>
      </w:r>
    </w:p>
    <w:p w14:paraId="08E9535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3．如我方中标：</w:t>
      </w:r>
    </w:p>
    <w:p w14:paraId="597A473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(l）我方承诺在收到成交通知书后，在成交通知书规定的期限内与你方签订合同。</w:t>
      </w:r>
    </w:p>
    <w:p w14:paraId="6A2CEFF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(2）随同本磋商函递交的磋商函附录属于合同文件的组成部分。</w:t>
      </w:r>
    </w:p>
    <w:p w14:paraId="630F8C8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(3）我方承诺按照磋商文件规定向你方递交履约担保。</w:t>
      </w:r>
    </w:p>
    <w:p w14:paraId="6CDCD7C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(4）我方承诺在合同约定的期限内完成本项目。</w:t>
      </w:r>
    </w:p>
    <w:p w14:paraId="65DD919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4．我方在此声明，所递交的响应文件及有关资料内容完整、真实和准确。</w:t>
      </w:r>
    </w:p>
    <w:p w14:paraId="1260F32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5. </w:t>
      </w:r>
      <w:r>
        <w:rPr>
          <w:rFonts w:hint="eastAsia" w:ascii="宋体" w:hAnsi="宋体"/>
          <w:color w:val="auto"/>
          <w:sz w:val="24"/>
          <w:szCs w:val="24"/>
          <w:highlight w:val="none"/>
          <w:u w:val="single"/>
        </w:rPr>
        <w:t>（其他补充说明）</w:t>
      </w:r>
      <w:r>
        <w:rPr>
          <w:rFonts w:hint="eastAsia" w:ascii="宋体" w:hAnsi="宋体"/>
          <w:color w:val="auto"/>
          <w:sz w:val="24"/>
          <w:szCs w:val="24"/>
          <w:highlight w:val="none"/>
        </w:rPr>
        <w:t>。</w:t>
      </w:r>
    </w:p>
    <w:p w14:paraId="59E7FAC8">
      <w:pPr>
        <w:spacing w:line="360" w:lineRule="auto"/>
        <w:ind w:firstLine="480" w:firstLineChars="200"/>
        <w:rPr>
          <w:rFonts w:hint="eastAsia" w:ascii="宋体" w:hAnsi="宋体"/>
          <w:color w:val="auto"/>
          <w:sz w:val="24"/>
          <w:szCs w:val="24"/>
          <w:highlight w:val="none"/>
        </w:rPr>
      </w:pPr>
    </w:p>
    <w:p w14:paraId="2D5944E9">
      <w:pPr>
        <w:spacing w:line="360" w:lineRule="auto"/>
        <w:ind w:left="3780" w:leftChars="1800" w:firstLine="600" w:firstLineChars="250"/>
        <w:rPr>
          <w:rFonts w:hint="eastAsia" w:ascii="宋体" w:hAnsi="宋体"/>
          <w:color w:val="auto"/>
          <w:sz w:val="24"/>
          <w:szCs w:val="24"/>
          <w:highlight w:val="none"/>
        </w:rPr>
      </w:pPr>
    </w:p>
    <w:p w14:paraId="5AC11694">
      <w:pPr>
        <w:spacing w:line="360" w:lineRule="auto"/>
        <w:ind w:left="0" w:leftChars="0" w:firstLine="3360" w:firstLineChars="1400"/>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24B872CF">
      <w:pPr>
        <w:spacing w:line="360" w:lineRule="auto"/>
        <w:ind w:left="0" w:leftChars="0" w:firstLine="3360" w:firstLineChars="1400"/>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4E4C7EB3">
      <w:pPr>
        <w:spacing w:line="360" w:lineRule="auto"/>
        <w:ind w:firstLine="3400" w:firstLineChars="1417"/>
        <w:rPr>
          <w:rFonts w:hint="eastAsia"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14:paraId="24F02DEF">
      <w:pPr>
        <w:spacing w:line="360" w:lineRule="auto"/>
        <w:ind w:firstLine="3400" w:firstLineChars="1417"/>
        <w:rPr>
          <w:rFonts w:hint="eastAsia" w:ascii="宋体" w:hAnsi="宋体"/>
          <w:color w:val="auto"/>
          <w:sz w:val="24"/>
          <w:szCs w:val="24"/>
          <w:highlight w:val="none"/>
          <w:u w:val="single"/>
        </w:rPr>
      </w:pPr>
      <w:r>
        <w:rPr>
          <w:rFonts w:hint="eastAsia" w:ascii="宋体" w:hAnsi="宋体"/>
          <w:color w:val="auto"/>
          <w:sz w:val="24"/>
          <w:szCs w:val="24"/>
          <w:highlight w:val="none"/>
        </w:rPr>
        <w:t>网址：</w:t>
      </w:r>
      <w:r>
        <w:rPr>
          <w:rFonts w:hint="eastAsia" w:ascii="宋体" w:hAnsi="宋体"/>
          <w:color w:val="auto"/>
          <w:sz w:val="24"/>
          <w:szCs w:val="24"/>
          <w:highlight w:val="none"/>
          <w:u w:val="single"/>
        </w:rPr>
        <w:t xml:space="preserve">                               </w:t>
      </w:r>
    </w:p>
    <w:p w14:paraId="0640F6BA">
      <w:pPr>
        <w:spacing w:line="360" w:lineRule="auto"/>
        <w:ind w:firstLine="3400" w:firstLineChars="1417"/>
        <w:rPr>
          <w:rFonts w:hint="eastAsia"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p>
    <w:p w14:paraId="2F7B5919">
      <w:pPr>
        <w:spacing w:line="360" w:lineRule="auto"/>
        <w:ind w:firstLine="3400" w:firstLineChars="1417"/>
        <w:rPr>
          <w:rFonts w:hint="eastAsia" w:ascii="宋体" w:hAnsi="宋体"/>
          <w:color w:val="auto"/>
          <w:sz w:val="24"/>
          <w:szCs w:val="24"/>
          <w:highlight w:val="none"/>
        </w:rPr>
      </w:pPr>
      <w:r>
        <w:rPr>
          <w:rFonts w:hint="eastAsia" w:ascii="宋体" w:hAnsi="宋体"/>
          <w:color w:val="auto"/>
          <w:sz w:val="24"/>
          <w:szCs w:val="24"/>
          <w:highlight w:val="none"/>
        </w:rPr>
        <w:t>传真：</w:t>
      </w:r>
      <w:r>
        <w:rPr>
          <w:rFonts w:hint="eastAsia" w:ascii="宋体" w:hAnsi="宋体"/>
          <w:color w:val="auto"/>
          <w:sz w:val="24"/>
          <w:szCs w:val="24"/>
          <w:highlight w:val="none"/>
          <w:u w:val="single"/>
        </w:rPr>
        <w:t xml:space="preserve">                               </w:t>
      </w:r>
    </w:p>
    <w:p w14:paraId="55C1EF2E">
      <w:pPr>
        <w:spacing w:line="360" w:lineRule="auto"/>
        <w:ind w:firstLine="3400" w:firstLineChars="1417"/>
        <w:rPr>
          <w:rFonts w:hint="eastAsia"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p w14:paraId="3D605603">
      <w:pPr>
        <w:spacing w:line="360" w:lineRule="auto"/>
        <w:ind w:firstLine="3400" w:firstLineChars="1417"/>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737D7D95">
      <w:pPr>
        <w:pStyle w:val="6"/>
        <w:jc w:val="center"/>
        <w:rPr>
          <w:rFonts w:hint="eastAsia" w:ascii="宋体" w:hAnsi="宋体" w:eastAsia="宋体"/>
          <w:color w:val="auto"/>
          <w:sz w:val="28"/>
          <w:szCs w:val="28"/>
          <w:highlight w:val="none"/>
        </w:rPr>
      </w:pPr>
      <w:bookmarkStart w:id="893" w:name="_Toc490667893"/>
      <w:bookmarkEnd w:id="893"/>
      <w:bookmarkStart w:id="894" w:name="_Toc509667324"/>
      <w:r>
        <w:rPr>
          <w:rFonts w:hint="eastAsia" w:ascii="宋体" w:hAnsi="宋体" w:eastAsia="宋体"/>
          <w:color w:val="auto"/>
          <w:sz w:val="28"/>
          <w:szCs w:val="28"/>
          <w:highlight w:val="none"/>
        </w:rPr>
        <w:br w:type="page"/>
      </w:r>
      <w:bookmarkEnd w:id="894"/>
      <w:bookmarkStart w:id="895" w:name="_Toc129073528"/>
      <w:bookmarkStart w:id="896" w:name="_Toc12849"/>
      <w:r>
        <w:rPr>
          <w:rFonts w:hint="eastAsia" w:ascii="宋体" w:hAnsi="宋体" w:eastAsia="宋体" w:cs="宋体"/>
          <w:sz w:val="24"/>
          <w:szCs w:val="24"/>
          <w:highlight w:val="none"/>
          <w:lang w:val="en-US" w:eastAsia="zh-CN"/>
        </w:rPr>
        <w:t>（二）磋商函附录</w:t>
      </w:r>
      <w:bookmarkEnd w:id="895"/>
      <w:bookmarkEnd w:id="896"/>
    </w:p>
    <w:tbl>
      <w:tblPr>
        <w:tblStyle w:val="34"/>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861"/>
      </w:tblGrid>
      <w:tr w14:paraId="59F4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238D2F41">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项目名称</w:t>
            </w:r>
          </w:p>
        </w:tc>
        <w:tc>
          <w:tcPr>
            <w:tcW w:w="6861" w:type="dxa"/>
            <w:tcBorders>
              <w:top w:val="single" w:color="auto" w:sz="4" w:space="0"/>
              <w:left w:val="nil"/>
              <w:bottom w:val="single" w:color="auto" w:sz="4" w:space="0"/>
              <w:right w:val="single" w:color="auto" w:sz="4" w:space="0"/>
            </w:tcBorders>
            <w:noWrap w:val="0"/>
            <w:vAlign w:val="center"/>
          </w:tcPr>
          <w:p w14:paraId="27218A9C">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4"/>
                <w:highlight w:val="none"/>
                <w:lang w:eastAsia="zh-CN"/>
              </w:rPr>
            </w:pPr>
            <w:r>
              <w:rPr>
                <w:rFonts w:hint="eastAsia" w:ascii="宋体" w:hAnsi="宋体" w:eastAsia="宋体" w:cs="Times New Roman"/>
                <w:color w:val="auto"/>
                <w:sz w:val="24"/>
                <w:szCs w:val="24"/>
                <w:highlight w:val="none"/>
                <w:lang w:eastAsia="zh-CN"/>
              </w:rPr>
              <w:t>河南省科学院激光制造研究所先进激光医疗系统及关键技术研究平台建设一期项目</w:t>
            </w:r>
          </w:p>
        </w:tc>
      </w:tr>
      <w:tr w14:paraId="7ED8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2EBB62C0">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供应商名称</w:t>
            </w:r>
          </w:p>
        </w:tc>
        <w:tc>
          <w:tcPr>
            <w:tcW w:w="6861" w:type="dxa"/>
            <w:tcBorders>
              <w:top w:val="single" w:color="auto" w:sz="4" w:space="0"/>
              <w:left w:val="nil"/>
              <w:bottom w:val="single" w:color="auto" w:sz="4" w:space="0"/>
              <w:right w:val="single" w:color="auto" w:sz="4" w:space="0"/>
            </w:tcBorders>
            <w:noWrap w:val="0"/>
            <w:vAlign w:val="center"/>
          </w:tcPr>
          <w:p w14:paraId="1D68A84D">
            <w:pPr>
              <w:keepNext w:val="0"/>
              <w:keepLines w:val="0"/>
              <w:suppressLineNumbers w:val="0"/>
              <w:spacing w:before="0" w:beforeAutospacing="0" w:after="0" w:afterAutospacing="0"/>
              <w:ind w:left="0" w:right="0"/>
              <w:rPr>
                <w:rFonts w:hint="eastAsia" w:ascii="宋体" w:hAnsi="宋体"/>
                <w:color w:val="auto"/>
                <w:sz w:val="24"/>
                <w:szCs w:val="24"/>
                <w:highlight w:val="none"/>
              </w:rPr>
            </w:pPr>
          </w:p>
        </w:tc>
      </w:tr>
      <w:tr w14:paraId="06C2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740CF8CE">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磋商内容</w:t>
            </w:r>
          </w:p>
        </w:tc>
        <w:tc>
          <w:tcPr>
            <w:tcW w:w="6861" w:type="dxa"/>
            <w:tcBorders>
              <w:top w:val="single" w:color="auto" w:sz="4" w:space="0"/>
              <w:left w:val="nil"/>
              <w:bottom w:val="single" w:color="auto" w:sz="4" w:space="0"/>
              <w:right w:val="single" w:color="auto" w:sz="4" w:space="0"/>
            </w:tcBorders>
            <w:noWrap w:val="0"/>
            <w:vAlign w:val="center"/>
          </w:tcPr>
          <w:p w14:paraId="28132D69">
            <w:pPr>
              <w:keepNext w:val="0"/>
              <w:keepLines w:val="0"/>
              <w:suppressLineNumbers w:val="0"/>
              <w:spacing w:before="0" w:beforeAutospacing="0" w:after="0" w:afterAutospacing="0" w:line="360" w:lineRule="auto"/>
              <w:ind w:left="0" w:right="0"/>
              <w:rPr>
                <w:rFonts w:hint="eastAsia" w:ascii="宋体" w:hAnsi="宋体"/>
                <w:color w:val="auto"/>
                <w:sz w:val="24"/>
                <w:szCs w:val="24"/>
                <w:highlight w:val="none"/>
              </w:rPr>
            </w:pPr>
            <w:r>
              <w:rPr>
                <w:rFonts w:hint="eastAsia" w:ascii="宋体" w:hAnsi="宋体"/>
                <w:color w:val="auto"/>
                <w:sz w:val="24"/>
                <w:szCs w:val="24"/>
                <w:highlight w:val="none"/>
              </w:rPr>
              <w:t>真空共晶回流焊炉、平行封焊机、老化测试系统各一套。包含但不限于软硬件及附属设备的供货、运输、保险、装卸、安装、检测、调试、试运行、验收交付、培训、技术支持、软件升级、售后保修及相关伴随服务。</w:t>
            </w:r>
          </w:p>
        </w:tc>
      </w:tr>
      <w:tr w14:paraId="757B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51CF07C0">
            <w:pPr>
              <w:keepNext w:val="0"/>
              <w:keepLines w:val="0"/>
              <w:suppressLineNumbers w:val="0"/>
              <w:spacing w:before="0" w:beforeAutospacing="0" w:after="0" w:afterAutospacing="0" w:line="360" w:lineRule="exact"/>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首次报价</w:t>
            </w:r>
          </w:p>
        </w:tc>
        <w:tc>
          <w:tcPr>
            <w:tcW w:w="6861" w:type="dxa"/>
            <w:tcBorders>
              <w:top w:val="single" w:color="auto" w:sz="4" w:space="0"/>
              <w:left w:val="nil"/>
              <w:bottom w:val="single" w:color="auto" w:sz="4" w:space="0"/>
              <w:right w:val="single" w:color="auto" w:sz="4" w:space="0"/>
            </w:tcBorders>
            <w:noWrap w:val="0"/>
            <w:vAlign w:val="center"/>
          </w:tcPr>
          <w:p w14:paraId="2DC69C69">
            <w:pPr>
              <w:keepNext w:val="0"/>
              <w:keepLines w:val="0"/>
              <w:suppressLineNumbers w:val="0"/>
              <w:spacing w:before="0" w:beforeAutospacing="0" w:after="0" w:afterAutospacing="0"/>
              <w:ind w:left="0" w:right="0"/>
              <w:rPr>
                <w:rFonts w:hint="eastAsia" w:ascii="宋体" w:hAnsi="宋体"/>
                <w:color w:val="auto"/>
                <w:sz w:val="24"/>
                <w:szCs w:val="24"/>
                <w:highlight w:val="none"/>
              </w:rPr>
            </w:pPr>
            <w:r>
              <w:rPr>
                <w:rFonts w:hint="eastAsia" w:ascii="宋体" w:hAnsi="宋体"/>
                <w:color w:val="auto"/>
                <w:sz w:val="24"/>
                <w:szCs w:val="24"/>
                <w:highlight w:val="none"/>
              </w:rPr>
              <w:t>（大写）</w:t>
            </w:r>
          </w:p>
          <w:p w14:paraId="3FE071EB">
            <w:pPr>
              <w:keepNext w:val="0"/>
              <w:keepLines w:val="0"/>
              <w:suppressLineNumbers w:val="0"/>
              <w:spacing w:before="0" w:beforeAutospacing="0" w:after="0" w:afterAutospacing="0"/>
              <w:ind w:left="0" w:right="0"/>
              <w:rPr>
                <w:rFonts w:hint="eastAsia" w:ascii="宋体" w:hAnsi="宋体"/>
                <w:color w:val="auto"/>
                <w:sz w:val="24"/>
                <w:szCs w:val="24"/>
                <w:highlight w:val="none"/>
              </w:rPr>
            </w:pPr>
            <w:r>
              <w:rPr>
                <w:rFonts w:hint="eastAsia" w:ascii="宋体" w:hAnsi="宋体"/>
                <w:color w:val="auto"/>
                <w:sz w:val="24"/>
                <w:szCs w:val="24"/>
                <w:highlight w:val="none"/>
              </w:rPr>
              <w:t>（小写）</w:t>
            </w:r>
          </w:p>
        </w:tc>
      </w:tr>
      <w:tr w14:paraId="34F8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68A04B8F">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交货地点</w:t>
            </w:r>
          </w:p>
        </w:tc>
        <w:tc>
          <w:tcPr>
            <w:tcW w:w="6861" w:type="dxa"/>
            <w:tcBorders>
              <w:top w:val="single" w:color="auto" w:sz="4" w:space="0"/>
              <w:left w:val="nil"/>
              <w:bottom w:val="single" w:color="auto" w:sz="4" w:space="0"/>
              <w:right w:val="single" w:color="auto" w:sz="4" w:space="0"/>
            </w:tcBorders>
            <w:noWrap w:val="0"/>
            <w:vAlign w:val="center"/>
          </w:tcPr>
          <w:p w14:paraId="6EFB732A">
            <w:pPr>
              <w:keepNext w:val="0"/>
              <w:keepLines w:val="0"/>
              <w:suppressLineNumbers w:val="0"/>
              <w:spacing w:before="0" w:beforeAutospacing="0" w:after="0" w:afterAutospacing="0"/>
              <w:ind w:left="0" w:right="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郑州市郑东新区汉月街26号中原量子谷</w:t>
            </w:r>
          </w:p>
        </w:tc>
      </w:tr>
      <w:tr w14:paraId="122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62A96817">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交货期</w:t>
            </w:r>
          </w:p>
        </w:tc>
        <w:tc>
          <w:tcPr>
            <w:tcW w:w="6861" w:type="dxa"/>
            <w:tcBorders>
              <w:top w:val="single" w:color="auto" w:sz="4" w:space="0"/>
              <w:left w:val="nil"/>
              <w:bottom w:val="single" w:color="auto" w:sz="4" w:space="0"/>
              <w:right w:val="single" w:color="auto" w:sz="4" w:space="0"/>
            </w:tcBorders>
            <w:noWrap w:val="0"/>
            <w:vAlign w:val="center"/>
          </w:tcPr>
          <w:p w14:paraId="5B1A3C49">
            <w:pPr>
              <w:keepNext w:val="0"/>
              <w:keepLines w:val="0"/>
              <w:suppressLineNumbers w:val="0"/>
              <w:spacing w:before="0" w:beforeAutospacing="0" w:after="0" w:afterAutospacing="0"/>
              <w:ind w:left="0" w:right="0"/>
              <w:jc w:val="left"/>
              <w:rPr>
                <w:rFonts w:hint="eastAsia" w:ascii="宋体" w:hAnsi="宋体" w:eastAsia="宋体"/>
                <w:color w:val="auto"/>
                <w:sz w:val="24"/>
                <w:szCs w:val="24"/>
                <w:highlight w:val="none"/>
                <w:lang w:eastAsia="zh-CN"/>
              </w:rPr>
            </w:pPr>
            <w:r>
              <w:rPr>
                <w:rFonts w:hint="eastAsia" w:ascii="宋体" w:hAnsi="宋体" w:cs="宋体"/>
                <w:color w:val="auto"/>
                <w:kern w:val="0"/>
                <w:sz w:val="24"/>
                <w:szCs w:val="24"/>
                <w:highlight w:val="none"/>
                <w:lang w:eastAsia="zh-CN"/>
              </w:rPr>
              <w:t>自合同生效之日起</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eastAsia="zh-CN"/>
              </w:rPr>
              <w:t>个月内供货完成，供货后</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eastAsia="zh-CN"/>
              </w:rPr>
              <w:t>个月内安装调试完成</w:t>
            </w:r>
          </w:p>
        </w:tc>
      </w:tr>
      <w:tr w14:paraId="522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386E42B3">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质量标准</w:t>
            </w:r>
          </w:p>
        </w:tc>
        <w:tc>
          <w:tcPr>
            <w:tcW w:w="6861" w:type="dxa"/>
            <w:tcBorders>
              <w:top w:val="single" w:color="auto" w:sz="4" w:space="0"/>
              <w:left w:val="nil"/>
              <w:bottom w:val="single" w:color="auto" w:sz="4" w:space="0"/>
              <w:right w:val="single" w:color="auto" w:sz="4" w:space="0"/>
            </w:tcBorders>
            <w:noWrap w:val="0"/>
            <w:vAlign w:val="center"/>
          </w:tcPr>
          <w:p w14:paraId="516D9F26">
            <w:pPr>
              <w:keepNext w:val="0"/>
              <w:keepLines w:val="0"/>
              <w:suppressLineNumbers w:val="0"/>
              <w:spacing w:before="0" w:beforeAutospacing="0" w:after="0" w:afterAutospacing="0"/>
              <w:ind w:left="0" w:right="0"/>
              <w:rPr>
                <w:rFonts w:hint="eastAsia" w:ascii="宋体" w:hAnsi="宋体"/>
                <w:color w:val="auto"/>
                <w:sz w:val="24"/>
                <w:szCs w:val="24"/>
                <w:highlight w:val="none"/>
              </w:rPr>
            </w:pPr>
            <w:r>
              <w:rPr>
                <w:rFonts w:hint="eastAsia" w:ascii="宋体" w:hAnsi="宋体"/>
                <w:color w:val="auto"/>
                <w:sz w:val="24"/>
                <w:szCs w:val="24"/>
                <w:highlight w:val="none"/>
              </w:rPr>
              <w:t>符合国家、行业现行验收规范和标准，满足采购人的相关要求</w:t>
            </w:r>
          </w:p>
        </w:tc>
      </w:tr>
      <w:tr w14:paraId="59D4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0B0DC2ED">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质保期</w:t>
            </w:r>
          </w:p>
        </w:tc>
        <w:tc>
          <w:tcPr>
            <w:tcW w:w="6861" w:type="dxa"/>
            <w:tcBorders>
              <w:top w:val="single" w:color="auto" w:sz="4" w:space="0"/>
              <w:left w:val="nil"/>
              <w:bottom w:val="single" w:color="auto" w:sz="4" w:space="0"/>
              <w:right w:val="single" w:color="auto" w:sz="4" w:space="0"/>
            </w:tcBorders>
            <w:noWrap w:val="0"/>
            <w:vAlign w:val="center"/>
          </w:tcPr>
          <w:p w14:paraId="2CAA1A44">
            <w:pPr>
              <w:keepNext w:val="0"/>
              <w:keepLines w:val="0"/>
              <w:suppressLineNumbers w:val="0"/>
              <w:spacing w:before="0" w:beforeAutospacing="0" w:after="0" w:afterAutospacing="0"/>
              <w:ind w:left="0" w:right="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验收合格后原厂质保</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年（自验收合格之日起计算）</w:t>
            </w:r>
          </w:p>
        </w:tc>
      </w:tr>
      <w:tr w14:paraId="4481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5CED34A9">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磋商有效期</w:t>
            </w:r>
          </w:p>
        </w:tc>
        <w:tc>
          <w:tcPr>
            <w:tcW w:w="6861" w:type="dxa"/>
            <w:tcBorders>
              <w:top w:val="single" w:color="auto" w:sz="4" w:space="0"/>
              <w:left w:val="nil"/>
              <w:bottom w:val="single" w:color="auto" w:sz="4" w:space="0"/>
              <w:right w:val="single" w:color="auto" w:sz="4" w:space="0"/>
            </w:tcBorders>
            <w:noWrap w:val="0"/>
            <w:vAlign w:val="center"/>
          </w:tcPr>
          <w:p w14:paraId="5D8DB411">
            <w:pPr>
              <w:keepNext w:val="0"/>
              <w:keepLines w:val="0"/>
              <w:suppressLineNumbers w:val="0"/>
              <w:spacing w:before="0" w:beforeAutospacing="0" w:after="0" w:afterAutospacing="0"/>
              <w:ind w:left="0" w:right="0"/>
              <w:jc w:val="left"/>
              <w:rPr>
                <w:rFonts w:hint="eastAsia" w:ascii="宋体" w:hAnsi="宋体"/>
                <w:color w:val="auto"/>
                <w:sz w:val="24"/>
                <w:szCs w:val="24"/>
                <w:highlight w:val="none"/>
              </w:rPr>
            </w:pPr>
            <w:r>
              <w:rPr>
                <w:rFonts w:hint="eastAsia" w:ascii="宋体" w:hAnsi="宋体"/>
                <w:color w:val="auto"/>
                <w:sz w:val="24"/>
                <w:szCs w:val="24"/>
                <w:highlight w:val="none"/>
              </w:rPr>
              <w:t>递交响应文件截止时间起60日历天</w:t>
            </w:r>
          </w:p>
        </w:tc>
      </w:tr>
      <w:tr w14:paraId="5CFA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77355353">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付款方式</w:t>
            </w:r>
          </w:p>
        </w:tc>
        <w:tc>
          <w:tcPr>
            <w:tcW w:w="6861" w:type="dxa"/>
            <w:tcBorders>
              <w:top w:val="single" w:color="auto" w:sz="4" w:space="0"/>
              <w:left w:val="nil"/>
              <w:bottom w:val="single" w:color="auto" w:sz="4" w:space="0"/>
              <w:right w:val="single" w:color="auto" w:sz="4" w:space="0"/>
            </w:tcBorders>
            <w:noWrap w:val="0"/>
            <w:vAlign w:val="center"/>
          </w:tcPr>
          <w:p w14:paraId="6A776D42">
            <w:pPr>
              <w:keepNext w:val="0"/>
              <w:keepLines w:val="0"/>
              <w:suppressLineNumbers w:val="0"/>
              <w:spacing w:before="0" w:beforeAutospacing="0" w:after="0" w:afterAutospacing="0"/>
              <w:ind w:left="0" w:right="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符合竞争性磋商文件要求</w:t>
            </w:r>
          </w:p>
        </w:tc>
      </w:tr>
      <w:tr w14:paraId="6160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159" w:type="dxa"/>
            <w:tcBorders>
              <w:top w:val="single" w:color="auto" w:sz="4" w:space="0"/>
              <w:left w:val="single" w:color="auto" w:sz="4" w:space="0"/>
              <w:bottom w:val="single" w:color="auto" w:sz="4" w:space="0"/>
              <w:right w:val="single" w:color="auto" w:sz="4" w:space="0"/>
            </w:tcBorders>
            <w:noWrap w:val="0"/>
            <w:vAlign w:val="center"/>
          </w:tcPr>
          <w:p w14:paraId="70692CF9">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备注</w:t>
            </w:r>
          </w:p>
        </w:tc>
        <w:tc>
          <w:tcPr>
            <w:tcW w:w="6861" w:type="dxa"/>
            <w:tcBorders>
              <w:top w:val="single" w:color="auto" w:sz="4" w:space="0"/>
              <w:left w:val="nil"/>
              <w:bottom w:val="single" w:color="auto" w:sz="4" w:space="0"/>
              <w:right w:val="single" w:color="auto" w:sz="4" w:space="0"/>
            </w:tcBorders>
            <w:noWrap w:val="0"/>
            <w:vAlign w:val="center"/>
          </w:tcPr>
          <w:p w14:paraId="000F27B2">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2DFF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20" w:type="dxa"/>
            <w:gridSpan w:val="2"/>
            <w:tcBorders>
              <w:top w:val="single" w:color="auto" w:sz="4" w:space="0"/>
              <w:left w:val="single" w:color="auto" w:sz="4" w:space="0"/>
              <w:bottom w:val="single" w:color="auto" w:sz="4" w:space="0"/>
              <w:right w:val="single" w:color="auto" w:sz="4" w:space="0"/>
            </w:tcBorders>
            <w:noWrap w:val="0"/>
            <w:vAlign w:val="top"/>
          </w:tcPr>
          <w:p w14:paraId="32E3FA52">
            <w:pPr>
              <w:keepNext w:val="0"/>
              <w:keepLines w:val="0"/>
              <w:suppressLineNumbers w:val="0"/>
              <w:spacing w:before="0" w:beforeAutospacing="0" w:after="0" w:afterAutospacing="0"/>
              <w:ind w:left="0" w:right="0"/>
              <w:rPr>
                <w:rFonts w:hint="eastAsia" w:ascii="宋体" w:hAnsi="宋体"/>
                <w:color w:val="auto"/>
                <w:sz w:val="24"/>
                <w:szCs w:val="24"/>
                <w:highlight w:val="none"/>
              </w:rPr>
            </w:pPr>
            <w:r>
              <w:rPr>
                <w:rFonts w:hint="eastAsia" w:ascii="宋体" w:hAnsi="宋体"/>
                <w:b/>
                <w:color w:val="auto"/>
                <w:sz w:val="24"/>
                <w:szCs w:val="24"/>
                <w:highlight w:val="none"/>
              </w:rPr>
              <w:t>备注：供应商在竞争性磋商文件中规定的实质性要求和条件的基础上，可做出其他有利于采购人的承诺。此类承诺可在本表中予以补充填写，可另附页。</w:t>
            </w:r>
          </w:p>
        </w:tc>
      </w:tr>
    </w:tbl>
    <w:p w14:paraId="2C6A7CEA">
      <w:pPr>
        <w:rPr>
          <w:rFonts w:hint="eastAsia" w:ascii="宋体" w:hAnsi="宋体"/>
          <w:color w:val="auto"/>
          <w:sz w:val="24"/>
          <w:szCs w:val="24"/>
          <w:highlight w:val="none"/>
        </w:rPr>
      </w:pPr>
    </w:p>
    <w:p w14:paraId="7F682BFA">
      <w:pPr>
        <w:pStyle w:val="2"/>
        <w:spacing w:before="0" w:beforeAutospacing="0" w:after="0" w:line="360" w:lineRule="auto"/>
        <w:jc w:val="left"/>
        <w:rPr>
          <w:rFonts w:hint="eastAsia" w:ascii="宋体" w:hAnsi="宋体"/>
          <w:color w:val="auto"/>
          <w:sz w:val="24"/>
          <w:szCs w:val="24"/>
          <w:highlight w:val="none"/>
        </w:rPr>
      </w:pPr>
      <w:bookmarkStart w:id="897" w:name="_Toc152045791"/>
      <w:bookmarkEnd w:id="897"/>
      <w:bookmarkStart w:id="898" w:name="_Toc287367268"/>
      <w:bookmarkEnd w:id="898"/>
      <w:bookmarkStart w:id="899" w:name="_Toc144974860"/>
      <w:bookmarkEnd w:id="899"/>
      <w:bookmarkStart w:id="900" w:name="_Toc152042580"/>
      <w:bookmarkEnd w:id="900"/>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42FB992B">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1A5D34A9">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88E40C8">
      <w:pPr>
        <w:jc w:val="left"/>
        <w:rPr>
          <w:rFonts w:hint="eastAsia" w:ascii="宋体" w:hAnsi="宋体"/>
          <w:color w:val="auto"/>
          <w:sz w:val="24"/>
          <w:szCs w:val="24"/>
          <w:highlight w:val="none"/>
        </w:rPr>
      </w:pPr>
    </w:p>
    <w:p w14:paraId="7B006D17">
      <w:pPr>
        <w:pStyle w:val="5"/>
        <w:bidi w:val="0"/>
        <w:jc w:val="center"/>
        <w:rPr>
          <w:rFonts w:hint="eastAsia" w:ascii="宋体" w:hAnsi="宋体" w:eastAsia="宋体"/>
          <w:b/>
          <w:color w:val="auto"/>
          <w:sz w:val="24"/>
          <w:szCs w:val="24"/>
          <w:highlight w:val="none"/>
        </w:rPr>
      </w:pPr>
      <w:bookmarkStart w:id="901" w:name="_Toc31815"/>
      <w:bookmarkEnd w:id="901"/>
      <w:bookmarkStart w:id="902" w:name="_Toc509667325"/>
      <w:bookmarkEnd w:id="902"/>
      <w:bookmarkStart w:id="903" w:name="_Toc7236"/>
      <w:bookmarkStart w:id="904" w:name="_Toc23911"/>
      <w:bookmarkStart w:id="905" w:name="_Toc4904"/>
      <w:bookmarkStart w:id="906" w:name="_Toc1789"/>
      <w:r>
        <w:rPr>
          <w:rStyle w:val="54"/>
          <w:rFonts w:hint="eastAsia" w:ascii="宋体" w:hAnsi="宋体" w:eastAsia="宋体" w:cs="宋体"/>
          <w:b/>
          <w:bCs w:val="0"/>
          <w:sz w:val="28"/>
          <w:szCs w:val="28"/>
          <w:highlight w:val="none"/>
          <w:lang w:val="en-US" w:eastAsia="zh-CN"/>
        </w:rPr>
        <w:t>二、法定代表身份证明</w:t>
      </w:r>
      <w:bookmarkEnd w:id="903"/>
      <w:bookmarkEnd w:id="904"/>
      <w:bookmarkEnd w:id="905"/>
      <w:bookmarkEnd w:id="906"/>
    </w:p>
    <w:p w14:paraId="77B21C85">
      <w:pPr>
        <w:spacing w:line="440" w:lineRule="exact"/>
        <w:jc w:val="center"/>
        <w:rPr>
          <w:rFonts w:hint="eastAsia" w:ascii="宋体" w:hAnsi="宋体"/>
          <w:color w:val="auto"/>
          <w:highlight w:val="none"/>
        </w:rPr>
      </w:pPr>
    </w:p>
    <w:p w14:paraId="7806083B">
      <w:pPr>
        <w:spacing w:line="440" w:lineRule="exact"/>
        <w:rPr>
          <w:rFonts w:hint="eastAsia" w:ascii="宋体" w:hAnsi="宋体"/>
          <w:color w:val="auto"/>
          <w:sz w:val="24"/>
          <w:szCs w:val="24"/>
          <w:highlight w:val="none"/>
          <w:u w:val="singl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p>
    <w:p w14:paraId="42637000">
      <w:pPr>
        <w:spacing w:line="440" w:lineRule="exact"/>
        <w:rPr>
          <w:rFonts w:hint="eastAsia" w:ascii="宋体" w:hAnsi="宋体"/>
          <w:color w:val="auto"/>
          <w:sz w:val="24"/>
          <w:szCs w:val="24"/>
          <w:highlight w:val="none"/>
          <w:u w:val="singl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 xml:space="preserve">                      </w:t>
      </w:r>
    </w:p>
    <w:p w14:paraId="2D7B2C84">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u w:val="single"/>
        </w:rPr>
        <w:t xml:space="preserve">                      </w:t>
      </w:r>
    </w:p>
    <w:p w14:paraId="4BEC4E99">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71BBC9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经营期限：</w:t>
      </w:r>
      <w:r>
        <w:rPr>
          <w:rFonts w:hint="eastAsia" w:ascii="宋体" w:hAnsi="宋体"/>
          <w:color w:val="auto"/>
          <w:sz w:val="24"/>
          <w:szCs w:val="24"/>
          <w:highlight w:val="none"/>
          <w:u w:val="single"/>
        </w:rPr>
        <w:t xml:space="preserve">                      </w:t>
      </w:r>
    </w:p>
    <w:p w14:paraId="5B2247D5">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职务：</w:t>
      </w:r>
      <w:r>
        <w:rPr>
          <w:rFonts w:hint="eastAsia" w:ascii="宋体" w:hAnsi="宋体"/>
          <w:color w:val="auto"/>
          <w:sz w:val="24"/>
          <w:szCs w:val="24"/>
          <w:highlight w:val="none"/>
          <w:u w:val="single"/>
        </w:rPr>
        <w:t xml:space="preserve">      </w:t>
      </w:r>
    </w:p>
    <w:p w14:paraId="2ACF0ECD">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的法定代表人。</w:t>
      </w:r>
    </w:p>
    <w:p w14:paraId="66B2473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2B44B720">
      <w:pPr>
        <w:spacing w:line="440" w:lineRule="exact"/>
        <w:rPr>
          <w:rFonts w:hint="eastAsia" w:ascii="宋体" w:hAnsi="宋体"/>
          <w:color w:val="auto"/>
          <w:sz w:val="24"/>
          <w:szCs w:val="24"/>
          <w:highlight w:val="none"/>
        </w:rPr>
      </w:pPr>
    </w:p>
    <w:p w14:paraId="0A894D1E">
      <w:pPr>
        <w:spacing w:line="440" w:lineRule="exact"/>
        <w:rPr>
          <w:rFonts w:hint="eastAsia" w:ascii="宋体" w:hAnsi="宋体"/>
          <w:color w:val="auto"/>
          <w:sz w:val="24"/>
          <w:szCs w:val="24"/>
          <w:highlight w:val="none"/>
        </w:rPr>
      </w:pPr>
    </w:p>
    <w:p w14:paraId="6D75C5DF">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0846CD84">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rPr>
        <w:t xml:space="preserve">                                   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1B0E634E">
      <w:pPr>
        <w:spacing w:line="440" w:lineRule="exact"/>
        <w:rPr>
          <w:rFonts w:hint="eastAsia" w:ascii="宋体" w:hAnsi="宋体"/>
          <w:color w:val="auto"/>
          <w:highlight w:val="none"/>
        </w:rPr>
      </w:pPr>
    </w:p>
    <w:p w14:paraId="284C68CE">
      <w:pPr>
        <w:spacing w:line="440" w:lineRule="exact"/>
        <w:rPr>
          <w:rFonts w:hint="eastAsia" w:ascii="宋体" w:hAnsi="宋体"/>
          <w:color w:val="auto"/>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4791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8540" w:type="dxa"/>
            <w:tcBorders>
              <w:top w:val="single" w:color="auto" w:sz="4" w:space="0"/>
              <w:left w:val="single" w:color="auto" w:sz="4" w:space="0"/>
              <w:bottom w:val="single" w:color="auto" w:sz="4" w:space="0"/>
              <w:right w:val="single" w:color="auto" w:sz="4" w:space="0"/>
            </w:tcBorders>
            <w:noWrap w:val="0"/>
            <w:vAlign w:val="center"/>
          </w:tcPr>
          <w:p w14:paraId="7174CE6E">
            <w:pPr>
              <w:keepNext w:val="0"/>
              <w:keepLines w:val="0"/>
              <w:suppressLineNumbers w:val="0"/>
              <w:spacing w:before="0" w:beforeAutospacing="0" w:after="0" w:afterAutospacing="0" w:line="440" w:lineRule="exact"/>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法定代表人身份证原件扫描件</w:t>
            </w:r>
          </w:p>
          <w:p w14:paraId="7025BD49">
            <w:pPr>
              <w:keepNext w:val="0"/>
              <w:keepLines w:val="0"/>
              <w:suppressLineNumbers w:val="0"/>
              <w:spacing w:before="0" w:beforeAutospacing="0" w:after="0" w:afterAutospacing="0" w:line="440" w:lineRule="exact"/>
              <w:ind w:left="0" w:right="0"/>
              <w:jc w:val="center"/>
              <w:rPr>
                <w:rFonts w:hint="eastAsia" w:ascii="宋体" w:hAnsi="宋体"/>
                <w:color w:val="auto"/>
                <w:highlight w:val="none"/>
              </w:rPr>
            </w:pPr>
          </w:p>
        </w:tc>
      </w:tr>
    </w:tbl>
    <w:p w14:paraId="149ED6E4">
      <w:pPr>
        <w:spacing w:line="440" w:lineRule="exact"/>
        <w:rPr>
          <w:rFonts w:hint="eastAsia" w:ascii="宋体" w:hAnsi="宋体"/>
          <w:color w:val="auto"/>
          <w:highlight w:val="none"/>
        </w:rPr>
      </w:pPr>
    </w:p>
    <w:p w14:paraId="4EDE9CAF">
      <w:pPr>
        <w:spacing w:line="440" w:lineRule="exact"/>
        <w:rPr>
          <w:rFonts w:hint="eastAsia" w:ascii="宋体" w:hAnsi="宋体"/>
          <w:color w:val="auto"/>
          <w:highlight w:val="none"/>
        </w:rPr>
      </w:pPr>
    </w:p>
    <w:p w14:paraId="7DF2B96F">
      <w:pPr>
        <w:spacing w:line="440" w:lineRule="exact"/>
        <w:rPr>
          <w:rFonts w:hint="eastAsia" w:ascii="宋体" w:hAnsi="宋体"/>
          <w:color w:val="auto"/>
          <w:sz w:val="20"/>
          <w:szCs w:val="20"/>
          <w:highlight w:val="none"/>
        </w:rPr>
      </w:pPr>
    </w:p>
    <w:p w14:paraId="0804C8B9">
      <w:pPr>
        <w:spacing w:line="440" w:lineRule="exact"/>
        <w:rPr>
          <w:rFonts w:hint="eastAsia" w:ascii="宋体" w:hAnsi="宋体"/>
          <w:color w:val="auto"/>
          <w:sz w:val="20"/>
          <w:szCs w:val="20"/>
          <w:highlight w:val="none"/>
        </w:rPr>
      </w:pPr>
    </w:p>
    <w:p w14:paraId="4204E8C9">
      <w:pPr>
        <w:pStyle w:val="5"/>
        <w:bidi w:val="0"/>
        <w:jc w:val="center"/>
        <w:rPr>
          <w:rStyle w:val="54"/>
          <w:rFonts w:hint="eastAsia" w:ascii="宋体" w:hAnsi="宋体" w:eastAsia="宋体" w:cs="宋体"/>
          <w:b/>
          <w:bCs w:val="0"/>
          <w:sz w:val="28"/>
          <w:szCs w:val="28"/>
          <w:highlight w:val="none"/>
          <w:lang w:val="en-US" w:eastAsia="zh-CN"/>
        </w:rPr>
      </w:pPr>
      <w:r>
        <w:rPr>
          <w:rFonts w:ascii="宋体" w:hAnsi="宋体"/>
          <w:color w:val="auto"/>
          <w:sz w:val="20"/>
          <w:szCs w:val="20"/>
          <w:highlight w:val="none"/>
        </w:rPr>
        <w:br w:type="page"/>
      </w:r>
      <w:bookmarkStart w:id="907" w:name="_Toc318989765"/>
      <w:bookmarkEnd w:id="907"/>
      <w:bookmarkStart w:id="908" w:name="_Toc24861"/>
      <w:bookmarkEnd w:id="908"/>
      <w:bookmarkStart w:id="909" w:name="_Toc466298162"/>
      <w:bookmarkEnd w:id="909"/>
      <w:bookmarkStart w:id="910" w:name="_Toc202941490"/>
      <w:bookmarkEnd w:id="910"/>
      <w:bookmarkStart w:id="911" w:name="_Toc441791190"/>
      <w:bookmarkEnd w:id="911"/>
      <w:bookmarkStart w:id="912" w:name="_Toc509667326"/>
      <w:bookmarkStart w:id="913" w:name="_Toc3755"/>
      <w:bookmarkStart w:id="914" w:name="_Toc16684"/>
      <w:bookmarkStart w:id="915" w:name="_Toc29829"/>
      <w:bookmarkStart w:id="916" w:name="_Toc29482"/>
      <w:r>
        <w:rPr>
          <w:rStyle w:val="54"/>
          <w:rFonts w:hint="eastAsia" w:ascii="宋体" w:hAnsi="宋体" w:eastAsia="宋体" w:cs="宋体"/>
          <w:b/>
          <w:bCs w:val="0"/>
          <w:sz w:val="28"/>
          <w:szCs w:val="28"/>
          <w:highlight w:val="none"/>
          <w:lang w:val="en-US" w:eastAsia="zh-CN"/>
        </w:rPr>
        <w:t>三、授权委托书</w:t>
      </w:r>
      <w:bookmarkEnd w:id="912"/>
      <w:bookmarkEnd w:id="913"/>
      <w:bookmarkEnd w:id="914"/>
      <w:bookmarkEnd w:id="915"/>
      <w:bookmarkEnd w:id="916"/>
    </w:p>
    <w:p w14:paraId="0673E3BA">
      <w:pPr>
        <w:topLinePunct/>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rPr>
        <w:t>（姓名）</w:t>
      </w:r>
      <w:r>
        <w:rPr>
          <w:rFonts w:hint="eastAsia" w:ascii="宋体" w:hAnsi="宋体"/>
          <w:color w:val="auto"/>
          <w:sz w:val="24"/>
          <w:szCs w:val="24"/>
          <w:highlight w:val="none"/>
        </w:rPr>
        <w:t>系</w:t>
      </w:r>
      <w:r>
        <w:rPr>
          <w:rFonts w:hint="eastAsia" w:ascii="宋体" w:hAnsi="宋体"/>
          <w:color w:val="auto"/>
          <w:sz w:val="24"/>
          <w:szCs w:val="24"/>
          <w:highlight w:val="none"/>
          <w:u w:val="single"/>
        </w:rPr>
        <w:t>（供应商名称）</w:t>
      </w:r>
      <w:r>
        <w:rPr>
          <w:rFonts w:hint="eastAsia" w:ascii="宋体" w:hAnsi="宋体"/>
          <w:color w:val="auto"/>
          <w:sz w:val="24"/>
          <w:szCs w:val="24"/>
          <w:highlight w:val="none"/>
        </w:rPr>
        <w:t>的法定代表人，现委托</w:t>
      </w:r>
      <w:r>
        <w:rPr>
          <w:rFonts w:hint="eastAsia" w:ascii="宋体" w:hAnsi="宋体"/>
          <w:color w:val="auto"/>
          <w:sz w:val="24"/>
          <w:szCs w:val="24"/>
          <w:highlight w:val="none"/>
          <w:u w:val="single"/>
        </w:rPr>
        <w:t>（姓名）</w:t>
      </w:r>
      <w:r>
        <w:rPr>
          <w:rFonts w:hint="eastAsia" w:ascii="宋体" w:hAnsi="宋体"/>
          <w:color w:val="auto"/>
          <w:sz w:val="24"/>
          <w:szCs w:val="24"/>
          <w:highlight w:val="none"/>
        </w:rPr>
        <w:t>为我方代理人。代理人根据授权，以我方名义签署、澄清、说明、补正、递交、撤回、修改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河南省科学院激光制造研究所先进激光医疗系统及关键技术研究平台建设一期项目</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响应文件、签订合同和处理有关事宜，其法律后果由我方承担。</w:t>
      </w:r>
    </w:p>
    <w:p w14:paraId="5BA7C617">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委托期限：</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同磋商有效期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C464CD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代理人无转委托权。</w:t>
      </w:r>
    </w:p>
    <w:p w14:paraId="663D5868">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附：法定代表人身份证及委托代理人身份证原件扫描件</w:t>
      </w:r>
    </w:p>
    <w:p w14:paraId="238AA809">
      <w:pPr>
        <w:spacing w:line="440" w:lineRule="exact"/>
        <w:rPr>
          <w:rFonts w:hint="eastAsia" w:ascii="宋体" w:hAnsi="宋体"/>
          <w:color w:val="auto"/>
          <w:sz w:val="24"/>
          <w:szCs w:val="24"/>
          <w:highlight w:val="none"/>
        </w:rPr>
      </w:pPr>
    </w:p>
    <w:p w14:paraId="0DC50122">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67C16BB8">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0F45A5E0">
      <w:pPr>
        <w:spacing w:line="440" w:lineRule="exact"/>
        <w:jc w:val="left"/>
        <w:rPr>
          <w:rFonts w:hint="eastAsia"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44516B45">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w:t>
      </w:r>
    </w:p>
    <w:p w14:paraId="1491DA28">
      <w:pPr>
        <w:spacing w:line="440" w:lineRule="exact"/>
        <w:jc w:val="left"/>
        <w:rPr>
          <w:rFonts w:hint="eastAsia"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4DB9E21F">
      <w:pPr>
        <w:spacing w:line="440" w:lineRule="exact"/>
        <w:jc w:val="left"/>
        <w:rPr>
          <w:rFonts w:hint="eastAsia" w:ascii="宋体" w:hAnsi="宋体"/>
          <w:color w:val="auto"/>
          <w:sz w:val="24"/>
          <w:szCs w:val="24"/>
          <w:highlight w:val="none"/>
          <w:u w:val="single"/>
        </w:rPr>
      </w:pP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w:t>
      </w:r>
    </w:p>
    <w:p w14:paraId="77102FBA">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68BDB4E">
      <w:pPr>
        <w:spacing w:line="440" w:lineRule="exact"/>
        <w:rPr>
          <w:rFonts w:hint="eastAsia" w:ascii="宋体" w:hAnsi="宋体"/>
          <w:color w:val="auto"/>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14:paraId="168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600" w:type="dxa"/>
            <w:tcBorders>
              <w:top w:val="single" w:color="auto" w:sz="4" w:space="0"/>
              <w:left w:val="single" w:color="auto" w:sz="4" w:space="0"/>
              <w:bottom w:val="single" w:color="auto" w:sz="4" w:space="0"/>
              <w:right w:val="single" w:color="auto" w:sz="4" w:space="0"/>
            </w:tcBorders>
            <w:noWrap w:val="0"/>
            <w:vAlign w:val="center"/>
          </w:tcPr>
          <w:p w14:paraId="52214891">
            <w:pPr>
              <w:keepNext w:val="0"/>
              <w:keepLines w:val="0"/>
              <w:suppressLineNumbers w:val="0"/>
              <w:spacing w:before="0" w:beforeAutospacing="0" w:after="0" w:afterAutospacing="0" w:line="440" w:lineRule="exact"/>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法定代表人身份证原件扫描件</w:t>
            </w:r>
          </w:p>
        </w:tc>
      </w:tr>
      <w:tr w14:paraId="7B88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8600" w:type="dxa"/>
            <w:tcBorders>
              <w:top w:val="single" w:color="auto" w:sz="4" w:space="0"/>
              <w:left w:val="single" w:color="auto" w:sz="4" w:space="0"/>
              <w:bottom w:val="single" w:color="auto" w:sz="4" w:space="0"/>
              <w:right w:val="single" w:color="auto" w:sz="4" w:space="0"/>
            </w:tcBorders>
            <w:noWrap w:val="0"/>
            <w:vAlign w:val="center"/>
          </w:tcPr>
          <w:p w14:paraId="6CD626AB">
            <w:pPr>
              <w:keepNext w:val="0"/>
              <w:keepLines w:val="0"/>
              <w:suppressLineNumbers w:val="0"/>
              <w:spacing w:before="0" w:beforeAutospacing="0" w:after="0" w:afterAutospacing="0" w:line="440" w:lineRule="exact"/>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委托代理人身份证原件扫描件</w:t>
            </w:r>
          </w:p>
          <w:p w14:paraId="623F7281">
            <w:pPr>
              <w:keepNext w:val="0"/>
              <w:keepLines w:val="0"/>
              <w:suppressLineNumbers w:val="0"/>
              <w:spacing w:before="0" w:beforeAutospacing="0" w:after="0" w:afterAutospacing="0" w:line="440" w:lineRule="exact"/>
              <w:ind w:left="0" w:right="0"/>
              <w:jc w:val="center"/>
              <w:rPr>
                <w:rFonts w:hint="eastAsia" w:ascii="宋体" w:hAnsi="宋体"/>
                <w:color w:val="auto"/>
                <w:sz w:val="24"/>
                <w:szCs w:val="24"/>
                <w:highlight w:val="none"/>
              </w:rPr>
            </w:pPr>
          </w:p>
        </w:tc>
      </w:tr>
    </w:tbl>
    <w:p w14:paraId="02682DEE">
      <w:pPr>
        <w:pStyle w:val="5"/>
        <w:numPr>
          <w:ilvl w:val="0"/>
          <w:numId w:val="13"/>
        </w:numPr>
        <w:bidi w:val="0"/>
        <w:jc w:val="center"/>
        <w:rPr>
          <w:rStyle w:val="54"/>
          <w:rFonts w:hint="eastAsia" w:ascii="宋体" w:hAnsi="宋体" w:eastAsia="宋体" w:cs="宋体"/>
          <w:b/>
          <w:sz w:val="28"/>
          <w:szCs w:val="28"/>
          <w:highlight w:val="none"/>
          <w:lang w:val="en-US" w:eastAsia="zh-CN"/>
        </w:rPr>
      </w:pPr>
      <w:r>
        <w:rPr>
          <w:rFonts w:hint="eastAsia"/>
          <w:highlight w:val="none"/>
        </w:rPr>
        <w:br w:type="page"/>
      </w:r>
      <w:bookmarkStart w:id="917" w:name="_Toc30807"/>
      <w:bookmarkEnd w:id="917"/>
      <w:r>
        <w:rPr>
          <w:rStyle w:val="54"/>
          <w:rFonts w:hint="eastAsia" w:ascii="宋体" w:hAnsi="宋体" w:eastAsia="宋体" w:cs="宋体"/>
          <w:b/>
          <w:sz w:val="28"/>
          <w:szCs w:val="28"/>
          <w:highlight w:val="none"/>
          <w:lang w:val="en-US" w:eastAsia="zh-CN"/>
        </w:rPr>
        <w:t>投标报价表格</w:t>
      </w:r>
    </w:p>
    <w:p w14:paraId="3EDA3244">
      <w:pPr>
        <w:numPr>
          <w:ilvl w:val="0"/>
          <w:numId w:val="0"/>
        </w:numPr>
        <w:rPr>
          <w:rFonts w:hint="default" w:ascii="宋体" w:hAnsi="宋体" w:eastAsia="宋体" w:cs="宋体"/>
          <w:b/>
          <w:bCs/>
          <w:color w:val="auto"/>
          <w:spacing w:val="5"/>
          <w:kern w:val="2"/>
          <w:sz w:val="24"/>
          <w:szCs w:val="24"/>
          <w:highlight w:val="none"/>
          <w:lang w:val="en-US" w:eastAsia="zh-CN" w:bidi="ar-SA"/>
        </w:rPr>
      </w:pPr>
      <w:r>
        <w:rPr>
          <w:rFonts w:hint="eastAsia" w:ascii="宋体" w:hAnsi="宋体" w:eastAsia="宋体" w:cs="宋体"/>
          <w:b/>
          <w:bCs/>
          <w:color w:val="auto"/>
          <w:spacing w:val="5"/>
          <w:kern w:val="2"/>
          <w:sz w:val="24"/>
          <w:szCs w:val="24"/>
          <w:highlight w:val="none"/>
          <w:lang w:val="en-US" w:eastAsia="zh-CN" w:bidi="ar-SA"/>
        </w:rPr>
        <w:t>4.1货物分项报价明细表</w:t>
      </w:r>
    </w:p>
    <w:p w14:paraId="1449C2DA">
      <w:pPr>
        <w:spacing w:before="240" w:after="120"/>
        <w:jc w:val="right"/>
        <w:rPr>
          <w:rFonts w:hint="eastAsia" w:ascii="宋体" w:hAnsi="宋体"/>
          <w:b/>
          <w:bCs/>
          <w:color w:val="auto"/>
          <w:sz w:val="28"/>
          <w:szCs w:val="28"/>
          <w:highlight w:val="none"/>
        </w:rPr>
      </w:pPr>
      <w:r>
        <w:rPr>
          <w:rFonts w:hint="eastAsia" w:ascii="宋体" w:hAnsi="宋体"/>
          <w:b/>
          <w:bCs/>
          <w:color w:val="auto"/>
          <w:highlight w:val="none"/>
        </w:rPr>
        <w:t>单位：元</w:t>
      </w:r>
    </w:p>
    <w:tbl>
      <w:tblPr>
        <w:tblStyle w:val="102"/>
        <w:tblW w:w="11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2102"/>
        <w:gridCol w:w="1129"/>
        <w:gridCol w:w="1141"/>
        <w:gridCol w:w="1141"/>
        <w:gridCol w:w="769"/>
        <w:gridCol w:w="841"/>
        <w:gridCol w:w="828"/>
        <w:gridCol w:w="787"/>
        <w:gridCol w:w="923"/>
        <w:gridCol w:w="923"/>
      </w:tblGrid>
      <w:tr w14:paraId="2DDF2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635" w:type="dxa"/>
            <w:noWrap w:val="0"/>
            <w:vAlign w:val="center"/>
          </w:tcPr>
          <w:p w14:paraId="029FB44E">
            <w:pPr>
              <w:pStyle w:val="92"/>
              <w:jc w:val="center"/>
              <w:rPr>
                <w:rFonts w:hint="eastAsia"/>
                <w:b/>
                <w:bCs/>
                <w:color w:val="auto"/>
                <w:sz w:val="24"/>
                <w:szCs w:val="24"/>
                <w:highlight w:val="none"/>
              </w:rPr>
            </w:pPr>
            <w:bookmarkStart w:id="918" w:name="_Toc475624458"/>
            <w:bookmarkEnd w:id="918"/>
            <w:bookmarkStart w:id="919" w:name="_Toc18821"/>
            <w:bookmarkEnd w:id="919"/>
            <w:bookmarkStart w:id="920" w:name="_Toc509667331"/>
            <w:bookmarkEnd w:id="920"/>
            <w:bookmarkStart w:id="921" w:name="_Toc13920"/>
            <w:bookmarkEnd w:id="921"/>
            <w:bookmarkStart w:id="922" w:name="_Toc22766"/>
            <w:r>
              <w:rPr>
                <w:rFonts w:hint="eastAsia"/>
                <w:b/>
                <w:bCs/>
                <w:color w:val="auto"/>
                <w:spacing w:val="5"/>
                <w:sz w:val="24"/>
                <w:szCs w:val="24"/>
                <w:highlight w:val="none"/>
              </w:rPr>
              <w:t>序号</w:t>
            </w:r>
          </w:p>
        </w:tc>
        <w:tc>
          <w:tcPr>
            <w:tcW w:w="2102" w:type="dxa"/>
            <w:tcBorders>
              <w:right w:val="single" w:color="auto" w:sz="4" w:space="0"/>
            </w:tcBorders>
            <w:noWrap w:val="0"/>
            <w:vAlign w:val="center"/>
          </w:tcPr>
          <w:p w14:paraId="12AAB707">
            <w:pPr>
              <w:pStyle w:val="92"/>
              <w:jc w:val="center"/>
              <w:rPr>
                <w:rFonts w:hint="eastAsia"/>
                <w:b/>
                <w:bCs/>
                <w:color w:val="auto"/>
                <w:spacing w:val="5"/>
                <w:sz w:val="24"/>
                <w:szCs w:val="24"/>
                <w:highlight w:val="none"/>
                <w:lang w:eastAsia="zh-CN"/>
              </w:rPr>
            </w:pPr>
            <w:r>
              <w:rPr>
                <w:rFonts w:hint="eastAsia"/>
                <w:b/>
                <w:bCs/>
                <w:color w:val="auto"/>
                <w:spacing w:val="5"/>
                <w:sz w:val="24"/>
                <w:szCs w:val="24"/>
                <w:highlight w:val="none"/>
                <w:lang w:val="en-US" w:eastAsia="zh-CN"/>
              </w:rPr>
              <w:t>货物</w:t>
            </w:r>
            <w:r>
              <w:rPr>
                <w:rFonts w:hint="eastAsia"/>
                <w:b/>
                <w:bCs/>
                <w:color w:val="auto"/>
                <w:spacing w:val="5"/>
                <w:sz w:val="24"/>
                <w:szCs w:val="24"/>
                <w:highlight w:val="none"/>
              </w:rPr>
              <w:t>名称</w:t>
            </w:r>
          </w:p>
        </w:tc>
        <w:tc>
          <w:tcPr>
            <w:tcW w:w="1129" w:type="dxa"/>
            <w:tcBorders>
              <w:right w:val="single" w:color="auto" w:sz="4" w:space="0"/>
            </w:tcBorders>
            <w:noWrap w:val="0"/>
            <w:vAlign w:val="center"/>
          </w:tcPr>
          <w:p w14:paraId="17870500">
            <w:pPr>
              <w:pStyle w:val="92"/>
              <w:jc w:val="center"/>
              <w:rPr>
                <w:rFonts w:hint="eastAsia"/>
                <w:b/>
                <w:bCs/>
                <w:color w:val="auto"/>
                <w:spacing w:val="5"/>
                <w:sz w:val="24"/>
                <w:szCs w:val="24"/>
                <w:highlight w:val="none"/>
                <w:lang w:eastAsia="zh-CN"/>
              </w:rPr>
            </w:pPr>
            <w:r>
              <w:rPr>
                <w:rFonts w:hint="eastAsia"/>
                <w:b/>
                <w:bCs/>
                <w:color w:val="auto"/>
                <w:spacing w:val="5"/>
                <w:sz w:val="24"/>
                <w:szCs w:val="24"/>
                <w:highlight w:val="none"/>
                <w:lang w:eastAsia="zh-CN"/>
              </w:rPr>
              <w:t>制造商</w:t>
            </w:r>
            <w:r>
              <w:rPr>
                <w:rFonts w:hint="eastAsia"/>
                <w:b/>
                <w:bCs/>
                <w:color w:val="auto"/>
                <w:spacing w:val="5"/>
                <w:sz w:val="24"/>
                <w:szCs w:val="24"/>
                <w:highlight w:val="none"/>
                <w:lang w:val="en-US" w:eastAsia="zh-CN"/>
              </w:rPr>
              <w:t>名称</w:t>
            </w:r>
          </w:p>
        </w:tc>
        <w:tc>
          <w:tcPr>
            <w:tcW w:w="1141" w:type="dxa"/>
            <w:tcBorders>
              <w:left w:val="single" w:color="auto" w:sz="4" w:space="0"/>
            </w:tcBorders>
            <w:noWrap w:val="0"/>
            <w:vAlign w:val="center"/>
          </w:tcPr>
          <w:p w14:paraId="0066967A">
            <w:pPr>
              <w:pStyle w:val="92"/>
              <w:jc w:val="center"/>
              <w:rPr>
                <w:rFonts w:hint="eastAsia" w:eastAsia="宋体"/>
                <w:b/>
                <w:bCs/>
                <w:color w:val="auto"/>
                <w:spacing w:val="5"/>
                <w:sz w:val="24"/>
                <w:szCs w:val="24"/>
                <w:highlight w:val="none"/>
                <w:lang w:val="en-US" w:eastAsia="zh-CN"/>
              </w:rPr>
            </w:pPr>
            <w:r>
              <w:rPr>
                <w:rFonts w:hint="eastAsia"/>
                <w:b/>
                <w:bCs/>
                <w:color w:val="auto"/>
                <w:spacing w:val="5"/>
                <w:sz w:val="24"/>
                <w:szCs w:val="24"/>
                <w:highlight w:val="none"/>
                <w:lang w:val="en-US" w:eastAsia="zh-CN"/>
              </w:rPr>
              <w:t>品牌</w:t>
            </w:r>
          </w:p>
        </w:tc>
        <w:tc>
          <w:tcPr>
            <w:tcW w:w="1141" w:type="dxa"/>
            <w:tcBorders>
              <w:left w:val="single" w:color="auto" w:sz="4" w:space="0"/>
            </w:tcBorders>
            <w:noWrap w:val="0"/>
            <w:vAlign w:val="center"/>
          </w:tcPr>
          <w:p w14:paraId="189BBAF1">
            <w:pPr>
              <w:pStyle w:val="92"/>
              <w:jc w:val="center"/>
              <w:rPr>
                <w:rFonts w:hint="eastAsia"/>
                <w:b/>
                <w:bCs/>
                <w:color w:val="auto"/>
                <w:spacing w:val="5"/>
                <w:sz w:val="24"/>
                <w:szCs w:val="24"/>
                <w:highlight w:val="none"/>
              </w:rPr>
            </w:pPr>
            <w:r>
              <w:rPr>
                <w:rFonts w:hint="eastAsia"/>
                <w:b/>
                <w:bCs/>
                <w:color w:val="auto"/>
                <w:spacing w:val="5"/>
                <w:sz w:val="24"/>
                <w:szCs w:val="24"/>
                <w:highlight w:val="none"/>
              </w:rPr>
              <w:t>型号</w:t>
            </w:r>
          </w:p>
        </w:tc>
        <w:tc>
          <w:tcPr>
            <w:tcW w:w="769" w:type="dxa"/>
            <w:noWrap w:val="0"/>
            <w:vAlign w:val="center"/>
          </w:tcPr>
          <w:p w14:paraId="504171C5">
            <w:pPr>
              <w:pStyle w:val="92"/>
              <w:jc w:val="center"/>
              <w:rPr>
                <w:rFonts w:hint="eastAsia"/>
                <w:b/>
                <w:bCs/>
                <w:color w:val="auto"/>
                <w:spacing w:val="5"/>
                <w:sz w:val="24"/>
                <w:szCs w:val="24"/>
                <w:highlight w:val="none"/>
              </w:rPr>
            </w:pPr>
            <w:r>
              <w:rPr>
                <w:rFonts w:hint="eastAsia"/>
                <w:b/>
                <w:bCs/>
                <w:color w:val="auto"/>
                <w:spacing w:val="5"/>
                <w:sz w:val="24"/>
                <w:szCs w:val="24"/>
                <w:highlight w:val="none"/>
              </w:rPr>
              <w:t>单位</w:t>
            </w:r>
          </w:p>
        </w:tc>
        <w:tc>
          <w:tcPr>
            <w:tcW w:w="841" w:type="dxa"/>
            <w:noWrap w:val="0"/>
            <w:vAlign w:val="center"/>
          </w:tcPr>
          <w:p w14:paraId="2612463B">
            <w:pPr>
              <w:pStyle w:val="92"/>
              <w:jc w:val="center"/>
              <w:rPr>
                <w:rFonts w:hint="eastAsia"/>
                <w:b/>
                <w:bCs/>
                <w:color w:val="auto"/>
                <w:spacing w:val="5"/>
                <w:sz w:val="24"/>
                <w:szCs w:val="24"/>
                <w:highlight w:val="none"/>
              </w:rPr>
            </w:pPr>
            <w:r>
              <w:rPr>
                <w:rFonts w:hint="eastAsia"/>
                <w:b/>
                <w:bCs/>
                <w:color w:val="auto"/>
                <w:spacing w:val="5"/>
                <w:sz w:val="24"/>
                <w:szCs w:val="24"/>
                <w:highlight w:val="none"/>
              </w:rPr>
              <w:t>数量</w:t>
            </w:r>
          </w:p>
        </w:tc>
        <w:tc>
          <w:tcPr>
            <w:tcW w:w="828" w:type="dxa"/>
            <w:noWrap w:val="0"/>
            <w:vAlign w:val="center"/>
          </w:tcPr>
          <w:p w14:paraId="5C5687AD">
            <w:pPr>
              <w:pStyle w:val="92"/>
              <w:jc w:val="center"/>
              <w:rPr>
                <w:rFonts w:hint="eastAsia"/>
                <w:b/>
                <w:bCs/>
                <w:color w:val="auto"/>
                <w:spacing w:val="5"/>
                <w:sz w:val="24"/>
                <w:szCs w:val="24"/>
                <w:highlight w:val="none"/>
                <w:lang w:eastAsia="zh-CN"/>
              </w:rPr>
            </w:pPr>
            <w:r>
              <w:rPr>
                <w:rFonts w:hint="eastAsia"/>
                <w:b/>
                <w:bCs/>
                <w:color w:val="auto"/>
                <w:spacing w:val="5"/>
                <w:sz w:val="24"/>
                <w:szCs w:val="24"/>
                <w:highlight w:val="none"/>
              </w:rPr>
              <w:t>单价</w:t>
            </w:r>
          </w:p>
        </w:tc>
        <w:tc>
          <w:tcPr>
            <w:tcW w:w="787" w:type="dxa"/>
            <w:noWrap w:val="0"/>
            <w:vAlign w:val="center"/>
          </w:tcPr>
          <w:p w14:paraId="56105BAB">
            <w:pPr>
              <w:pStyle w:val="92"/>
              <w:jc w:val="center"/>
              <w:rPr>
                <w:rFonts w:hint="eastAsia"/>
                <w:b/>
                <w:bCs/>
                <w:color w:val="auto"/>
                <w:spacing w:val="5"/>
                <w:sz w:val="24"/>
                <w:szCs w:val="24"/>
                <w:highlight w:val="none"/>
                <w:lang w:eastAsia="zh-CN"/>
              </w:rPr>
            </w:pPr>
            <w:r>
              <w:rPr>
                <w:rFonts w:hint="eastAsia"/>
                <w:b/>
                <w:bCs/>
                <w:color w:val="auto"/>
                <w:spacing w:val="5"/>
                <w:sz w:val="24"/>
                <w:szCs w:val="24"/>
                <w:highlight w:val="none"/>
              </w:rPr>
              <w:t>合价</w:t>
            </w:r>
          </w:p>
        </w:tc>
        <w:tc>
          <w:tcPr>
            <w:tcW w:w="923" w:type="dxa"/>
            <w:noWrap w:val="0"/>
            <w:vAlign w:val="center"/>
          </w:tcPr>
          <w:p w14:paraId="631E5096">
            <w:pPr>
              <w:pStyle w:val="92"/>
              <w:jc w:val="center"/>
              <w:rPr>
                <w:rFonts w:hint="eastAsia" w:eastAsia="宋体"/>
                <w:b/>
                <w:bCs/>
                <w:color w:val="auto"/>
                <w:spacing w:val="5"/>
                <w:sz w:val="24"/>
                <w:szCs w:val="24"/>
                <w:highlight w:val="none"/>
                <w:lang w:eastAsia="zh-CN"/>
              </w:rPr>
            </w:pPr>
            <w:r>
              <w:rPr>
                <w:rFonts w:hint="eastAsia"/>
                <w:b/>
                <w:bCs/>
                <w:color w:val="auto"/>
                <w:spacing w:val="5"/>
                <w:sz w:val="24"/>
                <w:szCs w:val="24"/>
                <w:highlight w:val="none"/>
                <w:lang w:val="en-US" w:eastAsia="zh-CN"/>
              </w:rPr>
              <w:t>产地</w:t>
            </w:r>
          </w:p>
        </w:tc>
        <w:tc>
          <w:tcPr>
            <w:tcW w:w="923" w:type="dxa"/>
            <w:noWrap w:val="0"/>
            <w:vAlign w:val="center"/>
          </w:tcPr>
          <w:p w14:paraId="33237644">
            <w:pPr>
              <w:pStyle w:val="92"/>
              <w:jc w:val="center"/>
              <w:rPr>
                <w:rFonts w:hint="default"/>
                <w:b/>
                <w:bCs/>
                <w:color w:val="auto"/>
                <w:spacing w:val="5"/>
                <w:sz w:val="24"/>
                <w:szCs w:val="24"/>
                <w:highlight w:val="none"/>
                <w:lang w:val="en-US" w:eastAsia="zh-CN"/>
              </w:rPr>
            </w:pPr>
            <w:r>
              <w:rPr>
                <w:rFonts w:hint="eastAsia"/>
                <w:b/>
                <w:bCs/>
                <w:color w:val="auto"/>
                <w:spacing w:val="5"/>
                <w:sz w:val="24"/>
                <w:szCs w:val="24"/>
                <w:highlight w:val="none"/>
                <w:lang w:val="en-US" w:eastAsia="zh-CN"/>
              </w:rPr>
              <w:t>备注</w:t>
            </w:r>
          </w:p>
        </w:tc>
      </w:tr>
      <w:tr w14:paraId="1DE92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635" w:type="dxa"/>
            <w:noWrap w:val="0"/>
            <w:vAlign w:val="top"/>
          </w:tcPr>
          <w:p w14:paraId="33F4EEBC">
            <w:pPr>
              <w:rPr>
                <w:rFonts w:hint="eastAsia" w:ascii="宋体" w:hAnsi="宋体" w:cs="宋体"/>
                <w:color w:val="auto"/>
                <w:sz w:val="24"/>
                <w:szCs w:val="24"/>
                <w:highlight w:val="none"/>
              </w:rPr>
            </w:pPr>
          </w:p>
        </w:tc>
        <w:tc>
          <w:tcPr>
            <w:tcW w:w="2102" w:type="dxa"/>
            <w:tcBorders>
              <w:right w:val="single" w:color="auto" w:sz="4" w:space="0"/>
            </w:tcBorders>
            <w:noWrap w:val="0"/>
            <w:vAlign w:val="top"/>
          </w:tcPr>
          <w:p w14:paraId="0A2FAB96">
            <w:pPr>
              <w:rPr>
                <w:rFonts w:hint="eastAsia" w:ascii="宋体" w:hAnsi="宋体" w:cs="宋体"/>
                <w:color w:val="auto"/>
                <w:sz w:val="24"/>
                <w:szCs w:val="24"/>
                <w:highlight w:val="none"/>
              </w:rPr>
            </w:pPr>
          </w:p>
        </w:tc>
        <w:tc>
          <w:tcPr>
            <w:tcW w:w="1129" w:type="dxa"/>
            <w:tcBorders>
              <w:right w:val="single" w:color="auto" w:sz="4" w:space="0"/>
            </w:tcBorders>
            <w:noWrap w:val="0"/>
            <w:vAlign w:val="top"/>
          </w:tcPr>
          <w:p w14:paraId="53B3270E">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3075274C">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5ACD94C0">
            <w:pPr>
              <w:rPr>
                <w:rFonts w:hint="eastAsia" w:ascii="宋体" w:hAnsi="宋体" w:cs="宋体"/>
                <w:color w:val="auto"/>
                <w:sz w:val="24"/>
                <w:szCs w:val="24"/>
                <w:highlight w:val="none"/>
              </w:rPr>
            </w:pPr>
          </w:p>
        </w:tc>
        <w:tc>
          <w:tcPr>
            <w:tcW w:w="769" w:type="dxa"/>
            <w:noWrap w:val="0"/>
            <w:vAlign w:val="top"/>
          </w:tcPr>
          <w:p w14:paraId="57674458">
            <w:pPr>
              <w:rPr>
                <w:rFonts w:hint="eastAsia" w:ascii="宋体" w:hAnsi="宋体" w:cs="宋体"/>
                <w:color w:val="auto"/>
                <w:sz w:val="24"/>
                <w:szCs w:val="24"/>
                <w:highlight w:val="none"/>
              </w:rPr>
            </w:pPr>
          </w:p>
        </w:tc>
        <w:tc>
          <w:tcPr>
            <w:tcW w:w="841" w:type="dxa"/>
            <w:noWrap w:val="0"/>
            <w:vAlign w:val="top"/>
          </w:tcPr>
          <w:p w14:paraId="338A820B">
            <w:pPr>
              <w:rPr>
                <w:rFonts w:hint="eastAsia" w:ascii="宋体" w:hAnsi="宋体" w:cs="宋体"/>
                <w:color w:val="auto"/>
                <w:sz w:val="24"/>
                <w:szCs w:val="24"/>
                <w:highlight w:val="none"/>
              </w:rPr>
            </w:pPr>
          </w:p>
        </w:tc>
        <w:tc>
          <w:tcPr>
            <w:tcW w:w="828" w:type="dxa"/>
            <w:noWrap w:val="0"/>
            <w:vAlign w:val="top"/>
          </w:tcPr>
          <w:p w14:paraId="5ACDEF7D">
            <w:pPr>
              <w:rPr>
                <w:rFonts w:hint="eastAsia" w:ascii="宋体" w:hAnsi="宋体" w:cs="宋体"/>
                <w:color w:val="auto"/>
                <w:sz w:val="24"/>
                <w:szCs w:val="24"/>
                <w:highlight w:val="none"/>
              </w:rPr>
            </w:pPr>
          </w:p>
        </w:tc>
        <w:tc>
          <w:tcPr>
            <w:tcW w:w="787" w:type="dxa"/>
            <w:noWrap w:val="0"/>
            <w:vAlign w:val="top"/>
          </w:tcPr>
          <w:p w14:paraId="0C4E9957">
            <w:pPr>
              <w:rPr>
                <w:rFonts w:hint="eastAsia" w:ascii="宋体" w:hAnsi="宋体" w:cs="宋体"/>
                <w:color w:val="auto"/>
                <w:sz w:val="24"/>
                <w:szCs w:val="24"/>
                <w:highlight w:val="none"/>
              </w:rPr>
            </w:pPr>
          </w:p>
        </w:tc>
        <w:tc>
          <w:tcPr>
            <w:tcW w:w="923" w:type="dxa"/>
            <w:noWrap w:val="0"/>
            <w:vAlign w:val="top"/>
          </w:tcPr>
          <w:p w14:paraId="310C60F0">
            <w:pPr>
              <w:rPr>
                <w:rFonts w:hint="eastAsia" w:ascii="宋体" w:hAnsi="宋体" w:cs="宋体"/>
                <w:color w:val="auto"/>
                <w:sz w:val="24"/>
                <w:szCs w:val="24"/>
                <w:highlight w:val="none"/>
              </w:rPr>
            </w:pPr>
          </w:p>
        </w:tc>
        <w:tc>
          <w:tcPr>
            <w:tcW w:w="923" w:type="dxa"/>
            <w:noWrap w:val="0"/>
            <w:vAlign w:val="top"/>
          </w:tcPr>
          <w:p w14:paraId="789260A2">
            <w:pPr>
              <w:rPr>
                <w:rFonts w:hint="eastAsia" w:ascii="宋体" w:hAnsi="宋体" w:cs="宋体"/>
                <w:color w:val="auto"/>
                <w:sz w:val="24"/>
                <w:szCs w:val="24"/>
                <w:highlight w:val="none"/>
              </w:rPr>
            </w:pPr>
          </w:p>
        </w:tc>
      </w:tr>
      <w:tr w14:paraId="1C57E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35" w:type="dxa"/>
            <w:noWrap w:val="0"/>
            <w:vAlign w:val="top"/>
          </w:tcPr>
          <w:p w14:paraId="171DE9A8">
            <w:pPr>
              <w:rPr>
                <w:rFonts w:hint="eastAsia" w:ascii="宋体" w:hAnsi="宋体" w:cs="宋体"/>
                <w:color w:val="auto"/>
                <w:sz w:val="24"/>
                <w:szCs w:val="24"/>
                <w:highlight w:val="none"/>
              </w:rPr>
            </w:pPr>
          </w:p>
        </w:tc>
        <w:tc>
          <w:tcPr>
            <w:tcW w:w="2102" w:type="dxa"/>
            <w:tcBorders>
              <w:right w:val="single" w:color="auto" w:sz="4" w:space="0"/>
            </w:tcBorders>
            <w:noWrap w:val="0"/>
            <w:vAlign w:val="top"/>
          </w:tcPr>
          <w:p w14:paraId="31DD2C0F">
            <w:pPr>
              <w:rPr>
                <w:rFonts w:hint="eastAsia" w:ascii="宋体" w:hAnsi="宋体" w:cs="宋体"/>
                <w:color w:val="auto"/>
                <w:sz w:val="24"/>
                <w:szCs w:val="24"/>
                <w:highlight w:val="none"/>
              </w:rPr>
            </w:pPr>
          </w:p>
        </w:tc>
        <w:tc>
          <w:tcPr>
            <w:tcW w:w="1129" w:type="dxa"/>
            <w:tcBorders>
              <w:right w:val="single" w:color="auto" w:sz="4" w:space="0"/>
            </w:tcBorders>
            <w:noWrap w:val="0"/>
            <w:vAlign w:val="top"/>
          </w:tcPr>
          <w:p w14:paraId="46AE2830">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4A4ED02C">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2057AE41">
            <w:pPr>
              <w:rPr>
                <w:rFonts w:hint="eastAsia" w:ascii="宋体" w:hAnsi="宋体" w:cs="宋体"/>
                <w:color w:val="auto"/>
                <w:sz w:val="24"/>
                <w:szCs w:val="24"/>
                <w:highlight w:val="none"/>
              </w:rPr>
            </w:pPr>
          </w:p>
        </w:tc>
        <w:tc>
          <w:tcPr>
            <w:tcW w:w="769" w:type="dxa"/>
            <w:noWrap w:val="0"/>
            <w:vAlign w:val="top"/>
          </w:tcPr>
          <w:p w14:paraId="19986F2E">
            <w:pPr>
              <w:rPr>
                <w:rFonts w:hint="eastAsia" w:ascii="宋体" w:hAnsi="宋体" w:cs="宋体"/>
                <w:color w:val="auto"/>
                <w:sz w:val="24"/>
                <w:szCs w:val="24"/>
                <w:highlight w:val="none"/>
              </w:rPr>
            </w:pPr>
          </w:p>
        </w:tc>
        <w:tc>
          <w:tcPr>
            <w:tcW w:w="841" w:type="dxa"/>
            <w:noWrap w:val="0"/>
            <w:vAlign w:val="top"/>
          </w:tcPr>
          <w:p w14:paraId="353CF1F1">
            <w:pPr>
              <w:rPr>
                <w:rFonts w:hint="eastAsia" w:ascii="宋体" w:hAnsi="宋体" w:cs="宋体"/>
                <w:color w:val="auto"/>
                <w:sz w:val="24"/>
                <w:szCs w:val="24"/>
                <w:highlight w:val="none"/>
              </w:rPr>
            </w:pPr>
          </w:p>
        </w:tc>
        <w:tc>
          <w:tcPr>
            <w:tcW w:w="828" w:type="dxa"/>
            <w:noWrap w:val="0"/>
            <w:vAlign w:val="top"/>
          </w:tcPr>
          <w:p w14:paraId="17F87A01">
            <w:pPr>
              <w:rPr>
                <w:rFonts w:hint="eastAsia" w:ascii="宋体" w:hAnsi="宋体" w:cs="宋体"/>
                <w:color w:val="auto"/>
                <w:sz w:val="24"/>
                <w:szCs w:val="24"/>
                <w:highlight w:val="none"/>
              </w:rPr>
            </w:pPr>
          </w:p>
        </w:tc>
        <w:tc>
          <w:tcPr>
            <w:tcW w:w="787" w:type="dxa"/>
            <w:noWrap w:val="0"/>
            <w:vAlign w:val="top"/>
          </w:tcPr>
          <w:p w14:paraId="2B4CC881">
            <w:pPr>
              <w:rPr>
                <w:rFonts w:hint="eastAsia" w:ascii="宋体" w:hAnsi="宋体" w:cs="宋体"/>
                <w:color w:val="auto"/>
                <w:sz w:val="24"/>
                <w:szCs w:val="24"/>
                <w:highlight w:val="none"/>
              </w:rPr>
            </w:pPr>
          </w:p>
        </w:tc>
        <w:tc>
          <w:tcPr>
            <w:tcW w:w="923" w:type="dxa"/>
            <w:noWrap w:val="0"/>
            <w:vAlign w:val="top"/>
          </w:tcPr>
          <w:p w14:paraId="17C0A71B">
            <w:pPr>
              <w:rPr>
                <w:rFonts w:hint="eastAsia" w:ascii="宋体" w:hAnsi="宋体" w:cs="宋体"/>
                <w:color w:val="auto"/>
                <w:sz w:val="24"/>
                <w:szCs w:val="24"/>
                <w:highlight w:val="none"/>
              </w:rPr>
            </w:pPr>
          </w:p>
        </w:tc>
        <w:tc>
          <w:tcPr>
            <w:tcW w:w="923" w:type="dxa"/>
            <w:noWrap w:val="0"/>
            <w:vAlign w:val="top"/>
          </w:tcPr>
          <w:p w14:paraId="063EBFB0">
            <w:pPr>
              <w:rPr>
                <w:rFonts w:hint="eastAsia" w:ascii="宋体" w:hAnsi="宋体" w:cs="宋体"/>
                <w:color w:val="auto"/>
                <w:sz w:val="24"/>
                <w:szCs w:val="24"/>
                <w:highlight w:val="none"/>
              </w:rPr>
            </w:pPr>
          </w:p>
        </w:tc>
      </w:tr>
      <w:tr w14:paraId="7757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635" w:type="dxa"/>
            <w:noWrap w:val="0"/>
            <w:vAlign w:val="top"/>
          </w:tcPr>
          <w:p w14:paraId="46D948EA">
            <w:pPr>
              <w:rPr>
                <w:rFonts w:hint="eastAsia" w:ascii="宋体" w:hAnsi="宋体" w:cs="宋体"/>
                <w:color w:val="auto"/>
                <w:sz w:val="24"/>
                <w:szCs w:val="24"/>
                <w:highlight w:val="none"/>
              </w:rPr>
            </w:pPr>
          </w:p>
        </w:tc>
        <w:tc>
          <w:tcPr>
            <w:tcW w:w="2102" w:type="dxa"/>
            <w:tcBorders>
              <w:right w:val="single" w:color="auto" w:sz="4" w:space="0"/>
            </w:tcBorders>
            <w:noWrap w:val="0"/>
            <w:vAlign w:val="top"/>
          </w:tcPr>
          <w:p w14:paraId="551F8D49">
            <w:pPr>
              <w:rPr>
                <w:rFonts w:hint="eastAsia" w:ascii="宋体" w:hAnsi="宋体" w:cs="宋体"/>
                <w:color w:val="auto"/>
                <w:sz w:val="24"/>
                <w:szCs w:val="24"/>
                <w:highlight w:val="none"/>
              </w:rPr>
            </w:pPr>
          </w:p>
        </w:tc>
        <w:tc>
          <w:tcPr>
            <w:tcW w:w="1129" w:type="dxa"/>
            <w:tcBorders>
              <w:right w:val="single" w:color="auto" w:sz="4" w:space="0"/>
            </w:tcBorders>
            <w:noWrap w:val="0"/>
            <w:vAlign w:val="top"/>
          </w:tcPr>
          <w:p w14:paraId="788DCEA4">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0EFAF093">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1DCD6069">
            <w:pPr>
              <w:rPr>
                <w:rFonts w:hint="eastAsia" w:ascii="宋体" w:hAnsi="宋体" w:cs="宋体"/>
                <w:color w:val="auto"/>
                <w:sz w:val="24"/>
                <w:szCs w:val="24"/>
                <w:highlight w:val="none"/>
              </w:rPr>
            </w:pPr>
          </w:p>
        </w:tc>
        <w:tc>
          <w:tcPr>
            <w:tcW w:w="769" w:type="dxa"/>
            <w:noWrap w:val="0"/>
            <w:vAlign w:val="top"/>
          </w:tcPr>
          <w:p w14:paraId="5649EFA5">
            <w:pPr>
              <w:rPr>
                <w:rFonts w:hint="eastAsia" w:ascii="宋体" w:hAnsi="宋体" w:cs="宋体"/>
                <w:color w:val="auto"/>
                <w:sz w:val="24"/>
                <w:szCs w:val="24"/>
                <w:highlight w:val="none"/>
              </w:rPr>
            </w:pPr>
          </w:p>
        </w:tc>
        <w:tc>
          <w:tcPr>
            <w:tcW w:w="841" w:type="dxa"/>
            <w:noWrap w:val="0"/>
            <w:vAlign w:val="top"/>
          </w:tcPr>
          <w:p w14:paraId="6B5932E2">
            <w:pPr>
              <w:rPr>
                <w:rFonts w:hint="eastAsia" w:ascii="宋体" w:hAnsi="宋体" w:cs="宋体"/>
                <w:color w:val="auto"/>
                <w:sz w:val="24"/>
                <w:szCs w:val="24"/>
                <w:highlight w:val="none"/>
              </w:rPr>
            </w:pPr>
          </w:p>
        </w:tc>
        <w:tc>
          <w:tcPr>
            <w:tcW w:w="828" w:type="dxa"/>
            <w:noWrap w:val="0"/>
            <w:vAlign w:val="top"/>
          </w:tcPr>
          <w:p w14:paraId="01181784">
            <w:pPr>
              <w:rPr>
                <w:rFonts w:hint="eastAsia" w:ascii="宋体" w:hAnsi="宋体" w:cs="宋体"/>
                <w:color w:val="auto"/>
                <w:sz w:val="24"/>
                <w:szCs w:val="24"/>
                <w:highlight w:val="none"/>
              </w:rPr>
            </w:pPr>
          </w:p>
        </w:tc>
        <w:tc>
          <w:tcPr>
            <w:tcW w:w="787" w:type="dxa"/>
            <w:noWrap w:val="0"/>
            <w:vAlign w:val="top"/>
          </w:tcPr>
          <w:p w14:paraId="702D7724">
            <w:pPr>
              <w:rPr>
                <w:rFonts w:hint="eastAsia" w:ascii="宋体" w:hAnsi="宋体" w:cs="宋体"/>
                <w:color w:val="auto"/>
                <w:sz w:val="24"/>
                <w:szCs w:val="24"/>
                <w:highlight w:val="none"/>
              </w:rPr>
            </w:pPr>
          </w:p>
        </w:tc>
        <w:tc>
          <w:tcPr>
            <w:tcW w:w="923" w:type="dxa"/>
            <w:noWrap w:val="0"/>
            <w:vAlign w:val="top"/>
          </w:tcPr>
          <w:p w14:paraId="4D01C786">
            <w:pPr>
              <w:rPr>
                <w:rFonts w:hint="eastAsia" w:ascii="宋体" w:hAnsi="宋体" w:cs="宋体"/>
                <w:color w:val="auto"/>
                <w:sz w:val="24"/>
                <w:szCs w:val="24"/>
                <w:highlight w:val="none"/>
              </w:rPr>
            </w:pPr>
          </w:p>
        </w:tc>
        <w:tc>
          <w:tcPr>
            <w:tcW w:w="923" w:type="dxa"/>
            <w:noWrap w:val="0"/>
            <w:vAlign w:val="top"/>
          </w:tcPr>
          <w:p w14:paraId="3BCF6818">
            <w:pPr>
              <w:rPr>
                <w:rFonts w:hint="eastAsia" w:ascii="宋体" w:hAnsi="宋体" w:cs="宋体"/>
                <w:color w:val="auto"/>
                <w:sz w:val="24"/>
                <w:szCs w:val="24"/>
                <w:highlight w:val="none"/>
              </w:rPr>
            </w:pPr>
          </w:p>
        </w:tc>
      </w:tr>
      <w:tr w14:paraId="23C00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635" w:type="dxa"/>
            <w:noWrap w:val="0"/>
            <w:vAlign w:val="top"/>
          </w:tcPr>
          <w:p w14:paraId="5EE8A0F5">
            <w:pPr>
              <w:rPr>
                <w:rFonts w:hint="eastAsia" w:ascii="宋体" w:hAnsi="宋体" w:cs="宋体"/>
                <w:color w:val="auto"/>
                <w:sz w:val="24"/>
                <w:szCs w:val="24"/>
                <w:highlight w:val="none"/>
              </w:rPr>
            </w:pPr>
          </w:p>
        </w:tc>
        <w:tc>
          <w:tcPr>
            <w:tcW w:w="2102" w:type="dxa"/>
            <w:tcBorders>
              <w:right w:val="single" w:color="auto" w:sz="4" w:space="0"/>
            </w:tcBorders>
            <w:noWrap w:val="0"/>
            <w:vAlign w:val="top"/>
          </w:tcPr>
          <w:p w14:paraId="3CF6A859">
            <w:pPr>
              <w:rPr>
                <w:rFonts w:hint="eastAsia" w:ascii="宋体" w:hAnsi="宋体" w:cs="宋体"/>
                <w:color w:val="auto"/>
                <w:sz w:val="24"/>
                <w:szCs w:val="24"/>
                <w:highlight w:val="none"/>
              </w:rPr>
            </w:pPr>
          </w:p>
        </w:tc>
        <w:tc>
          <w:tcPr>
            <w:tcW w:w="1129" w:type="dxa"/>
            <w:tcBorders>
              <w:right w:val="single" w:color="auto" w:sz="4" w:space="0"/>
            </w:tcBorders>
            <w:noWrap w:val="0"/>
            <w:vAlign w:val="top"/>
          </w:tcPr>
          <w:p w14:paraId="2B2FF9F1">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4164046F">
            <w:pPr>
              <w:rPr>
                <w:rFonts w:hint="eastAsia" w:ascii="宋体" w:hAnsi="宋体" w:cs="宋体"/>
                <w:color w:val="auto"/>
                <w:sz w:val="24"/>
                <w:szCs w:val="24"/>
                <w:highlight w:val="none"/>
              </w:rPr>
            </w:pPr>
          </w:p>
        </w:tc>
        <w:tc>
          <w:tcPr>
            <w:tcW w:w="1141" w:type="dxa"/>
            <w:tcBorders>
              <w:left w:val="single" w:color="auto" w:sz="4" w:space="0"/>
            </w:tcBorders>
            <w:noWrap w:val="0"/>
            <w:vAlign w:val="top"/>
          </w:tcPr>
          <w:p w14:paraId="005B6AF7">
            <w:pPr>
              <w:rPr>
                <w:rFonts w:hint="eastAsia" w:ascii="宋体" w:hAnsi="宋体" w:cs="宋体"/>
                <w:color w:val="auto"/>
                <w:sz w:val="24"/>
                <w:szCs w:val="24"/>
                <w:highlight w:val="none"/>
              </w:rPr>
            </w:pPr>
          </w:p>
        </w:tc>
        <w:tc>
          <w:tcPr>
            <w:tcW w:w="769" w:type="dxa"/>
            <w:noWrap w:val="0"/>
            <w:vAlign w:val="top"/>
          </w:tcPr>
          <w:p w14:paraId="5720A9EC">
            <w:pPr>
              <w:rPr>
                <w:rFonts w:hint="eastAsia" w:ascii="宋体" w:hAnsi="宋体" w:cs="宋体"/>
                <w:color w:val="auto"/>
                <w:sz w:val="24"/>
                <w:szCs w:val="24"/>
                <w:highlight w:val="none"/>
              </w:rPr>
            </w:pPr>
          </w:p>
        </w:tc>
        <w:tc>
          <w:tcPr>
            <w:tcW w:w="841" w:type="dxa"/>
            <w:noWrap w:val="0"/>
            <w:vAlign w:val="top"/>
          </w:tcPr>
          <w:p w14:paraId="6F661A69">
            <w:pPr>
              <w:rPr>
                <w:rFonts w:hint="eastAsia" w:ascii="宋体" w:hAnsi="宋体" w:cs="宋体"/>
                <w:color w:val="auto"/>
                <w:sz w:val="24"/>
                <w:szCs w:val="24"/>
                <w:highlight w:val="none"/>
              </w:rPr>
            </w:pPr>
          </w:p>
        </w:tc>
        <w:tc>
          <w:tcPr>
            <w:tcW w:w="828" w:type="dxa"/>
            <w:noWrap w:val="0"/>
            <w:vAlign w:val="top"/>
          </w:tcPr>
          <w:p w14:paraId="47FC3F5E">
            <w:pPr>
              <w:rPr>
                <w:rFonts w:hint="eastAsia" w:ascii="宋体" w:hAnsi="宋体" w:cs="宋体"/>
                <w:color w:val="auto"/>
                <w:sz w:val="24"/>
                <w:szCs w:val="24"/>
                <w:highlight w:val="none"/>
              </w:rPr>
            </w:pPr>
          </w:p>
        </w:tc>
        <w:tc>
          <w:tcPr>
            <w:tcW w:w="787" w:type="dxa"/>
            <w:noWrap w:val="0"/>
            <w:vAlign w:val="top"/>
          </w:tcPr>
          <w:p w14:paraId="1AE315B0">
            <w:pPr>
              <w:rPr>
                <w:rFonts w:hint="eastAsia" w:ascii="宋体" w:hAnsi="宋体" w:cs="宋体"/>
                <w:color w:val="auto"/>
                <w:sz w:val="24"/>
                <w:szCs w:val="24"/>
                <w:highlight w:val="none"/>
              </w:rPr>
            </w:pPr>
          </w:p>
        </w:tc>
        <w:tc>
          <w:tcPr>
            <w:tcW w:w="923" w:type="dxa"/>
            <w:noWrap w:val="0"/>
            <w:vAlign w:val="top"/>
          </w:tcPr>
          <w:p w14:paraId="2BAD38D9">
            <w:pPr>
              <w:rPr>
                <w:rFonts w:hint="eastAsia" w:ascii="宋体" w:hAnsi="宋体" w:cs="宋体"/>
                <w:color w:val="auto"/>
                <w:sz w:val="24"/>
                <w:szCs w:val="24"/>
                <w:highlight w:val="none"/>
              </w:rPr>
            </w:pPr>
          </w:p>
        </w:tc>
        <w:tc>
          <w:tcPr>
            <w:tcW w:w="923" w:type="dxa"/>
            <w:noWrap w:val="0"/>
            <w:vAlign w:val="top"/>
          </w:tcPr>
          <w:p w14:paraId="1A750203">
            <w:pPr>
              <w:rPr>
                <w:rFonts w:hint="eastAsia" w:ascii="宋体" w:hAnsi="宋体" w:cs="宋体"/>
                <w:color w:val="auto"/>
                <w:sz w:val="24"/>
                <w:szCs w:val="24"/>
                <w:highlight w:val="none"/>
              </w:rPr>
            </w:pPr>
          </w:p>
        </w:tc>
      </w:tr>
      <w:tr w14:paraId="0317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2737" w:type="dxa"/>
            <w:gridSpan w:val="2"/>
            <w:tcBorders>
              <w:right w:val="single" w:color="auto" w:sz="4" w:space="0"/>
            </w:tcBorders>
            <w:noWrap w:val="0"/>
            <w:vAlign w:val="center"/>
          </w:tcPr>
          <w:p w14:paraId="437C0AFF">
            <w:pPr>
              <w:jc w:val="both"/>
              <w:rPr>
                <w:rFonts w:hint="eastAsia" w:ascii="宋体" w:hAnsi="宋体" w:cs="宋体"/>
                <w:color w:val="auto"/>
                <w:sz w:val="24"/>
                <w:szCs w:val="24"/>
                <w:highlight w:val="none"/>
              </w:rPr>
            </w:pPr>
            <w:r>
              <w:rPr>
                <w:rFonts w:hint="eastAsia"/>
                <w:color w:val="auto"/>
                <w:spacing w:val="7"/>
                <w:sz w:val="24"/>
                <w:szCs w:val="24"/>
                <w:highlight w:val="none"/>
              </w:rPr>
              <w:t>合计</w:t>
            </w:r>
            <w:r>
              <w:rPr>
                <w:rFonts w:hint="eastAsia"/>
                <w:color w:val="auto"/>
                <w:spacing w:val="7"/>
                <w:sz w:val="24"/>
                <w:szCs w:val="24"/>
                <w:highlight w:val="none"/>
                <w:lang w:eastAsia="zh-CN"/>
              </w:rPr>
              <w:t>（元）</w:t>
            </w:r>
          </w:p>
        </w:tc>
        <w:tc>
          <w:tcPr>
            <w:tcW w:w="8482" w:type="dxa"/>
            <w:gridSpan w:val="9"/>
            <w:tcBorders>
              <w:left w:val="single" w:color="auto" w:sz="4" w:space="0"/>
            </w:tcBorders>
            <w:noWrap w:val="0"/>
            <w:vAlign w:val="top"/>
          </w:tcPr>
          <w:p w14:paraId="2CFEFC59">
            <w:pPr>
              <w:pStyle w:val="92"/>
              <w:keepNext w:val="0"/>
              <w:keepLines w:val="0"/>
              <w:suppressLineNumbers w:val="0"/>
              <w:spacing w:before="35" w:beforeAutospacing="0" w:after="0" w:afterAutospacing="0" w:line="229" w:lineRule="auto"/>
              <w:ind w:right="0"/>
              <w:rPr>
                <w:rFonts w:hint="eastAsia"/>
                <w:color w:val="auto"/>
                <w:sz w:val="24"/>
                <w:szCs w:val="24"/>
                <w:highlight w:val="none"/>
                <w:u w:val="single"/>
                <w:lang w:eastAsia="zh-CN"/>
              </w:rPr>
            </w:pPr>
            <w:r>
              <w:rPr>
                <w:rFonts w:hint="eastAsia"/>
                <w:color w:val="auto"/>
                <w:spacing w:val="2"/>
                <w:sz w:val="24"/>
                <w:szCs w:val="24"/>
                <w:highlight w:val="none"/>
              </w:rPr>
              <w:t>大写：</w:t>
            </w:r>
            <w:r>
              <w:rPr>
                <w:rFonts w:hint="eastAsia"/>
                <w:color w:val="auto"/>
                <w:spacing w:val="2"/>
                <w:sz w:val="24"/>
                <w:szCs w:val="24"/>
                <w:highlight w:val="none"/>
                <w:u w:val="single"/>
                <w:lang w:eastAsia="zh-CN"/>
              </w:rPr>
              <w:t xml:space="preserve">               </w:t>
            </w:r>
          </w:p>
          <w:p w14:paraId="5D7ECC9B">
            <w:pPr>
              <w:rPr>
                <w:rFonts w:hint="eastAsia"/>
                <w:color w:val="auto"/>
                <w:spacing w:val="-3"/>
                <w:sz w:val="24"/>
                <w:szCs w:val="24"/>
                <w:highlight w:val="none"/>
              </w:rPr>
            </w:pPr>
            <w:r>
              <w:rPr>
                <w:rFonts w:hint="eastAsia"/>
                <w:color w:val="auto"/>
                <w:spacing w:val="-3"/>
                <w:sz w:val="24"/>
                <w:szCs w:val="24"/>
                <w:highlight w:val="none"/>
              </w:rPr>
              <w:t>小写：</w:t>
            </w:r>
            <w:r>
              <w:rPr>
                <w:rFonts w:hint="eastAsia"/>
                <w:color w:val="auto"/>
                <w:spacing w:val="30"/>
                <w:sz w:val="24"/>
                <w:szCs w:val="24"/>
                <w:highlight w:val="none"/>
              </w:rPr>
              <w:t xml:space="preserve"> </w:t>
            </w:r>
            <w:r>
              <w:rPr>
                <w:rFonts w:hint="eastAsia"/>
                <w:color w:val="auto"/>
                <w:spacing w:val="-3"/>
                <w:sz w:val="24"/>
                <w:szCs w:val="24"/>
                <w:highlight w:val="none"/>
              </w:rPr>
              <w:t>(¥</w:t>
            </w: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pacing w:val="-3"/>
                <w:sz w:val="24"/>
                <w:szCs w:val="24"/>
                <w:highlight w:val="none"/>
              </w:rPr>
              <w:t>)</w:t>
            </w:r>
          </w:p>
        </w:tc>
      </w:tr>
    </w:tbl>
    <w:p w14:paraId="182FE200">
      <w:pPr>
        <w:jc w:val="left"/>
        <w:rPr>
          <w:rFonts w:hint="eastAsia" w:ascii="宋体" w:hAnsi="宋体"/>
          <w:color w:val="auto"/>
          <w:highlight w:val="none"/>
        </w:rPr>
      </w:pPr>
    </w:p>
    <w:p w14:paraId="0D04F486">
      <w:pPr>
        <w:jc w:val="left"/>
        <w:rPr>
          <w:rFonts w:hint="eastAsia" w:ascii="宋体" w:hAnsi="宋体"/>
          <w:color w:val="auto"/>
          <w:highlight w:val="none"/>
        </w:rPr>
      </w:pPr>
      <w:r>
        <w:rPr>
          <w:rFonts w:hint="eastAsia" w:ascii="宋体" w:hAnsi="宋体"/>
          <w:color w:val="auto"/>
          <w:highlight w:val="none"/>
        </w:rPr>
        <w:t>说明：</w:t>
      </w:r>
    </w:p>
    <w:p w14:paraId="3E2831BF">
      <w:pPr>
        <w:jc w:val="left"/>
        <w:rPr>
          <w:rFonts w:hint="eastAsia" w:ascii="宋体" w:hAnsi="宋体"/>
          <w:color w:val="auto"/>
          <w:highlight w:val="none"/>
        </w:rPr>
      </w:pPr>
      <w:r>
        <w:rPr>
          <w:rFonts w:hint="eastAsia" w:ascii="宋体" w:hAnsi="宋体"/>
          <w:color w:val="auto"/>
          <w:highlight w:val="none"/>
        </w:rPr>
        <w:t>1、产品名称需与第五章“采购需求”相对应。</w:t>
      </w:r>
    </w:p>
    <w:p w14:paraId="4CC32D87">
      <w:pPr>
        <w:jc w:val="left"/>
        <w:rPr>
          <w:rFonts w:hint="eastAsia" w:ascii="宋体" w:hAnsi="宋体"/>
          <w:color w:val="auto"/>
          <w:highlight w:val="none"/>
        </w:rPr>
      </w:pPr>
      <w:r>
        <w:rPr>
          <w:rFonts w:hint="eastAsia" w:ascii="宋体" w:hAnsi="宋体"/>
          <w:color w:val="auto"/>
          <w:highlight w:val="none"/>
        </w:rPr>
        <w:t>2、供应商可根据实际情况对表格进行修改。</w:t>
      </w:r>
    </w:p>
    <w:p w14:paraId="5696FF60">
      <w:pPr>
        <w:jc w:val="left"/>
        <w:rPr>
          <w:rFonts w:hint="eastAsia" w:ascii="宋体" w:hAnsi="宋体" w:eastAsia="宋体"/>
          <w:color w:val="auto"/>
          <w:highlight w:val="none"/>
          <w:lang w:val="en-US" w:eastAsia="zh-CN"/>
        </w:rPr>
      </w:pPr>
      <w:r>
        <w:rPr>
          <w:rFonts w:hint="eastAsia" w:ascii="宋体" w:hAnsi="宋体"/>
          <w:color w:val="auto"/>
          <w:highlight w:val="none"/>
          <w:lang w:val="en-US" w:eastAsia="zh-CN"/>
        </w:rPr>
        <w:t>3、产品品牌、型号、制造商等信息必须详细如实填写，若为定制产品，可不填写品牌、规格型号，但其他信息应填写完整，否则视为无效投标。</w:t>
      </w:r>
    </w:p>
    <w:p w14:paraId="74B4A7FB">
      <w:pPr>
        <w:rPr>
          <w:rFonts w:hint="eastAsia" w:ascii="宋体" w:hAnsi="宋体"/>
          <w:color w:val="auto"/>
          <w:sz w:val="24"/>
          <w:szCs w:val="24"/>
          <w:highlight w:val="none"/>
        </w:rPr>
      </w:pPr>
    </w:p>
    <w:p w14:paraId="4FF39D8D">
      <w:pPr>
        <w:rPr>
          <w:rFonts w:hint="eastAsia" w:ascii="宋体" w:hAnsi="宋体"/>
          <w:color w:val="auto"/>
          <w:sz w:val="24"/>
          <w:szCs w:val="24"/>
          <w:highlight w:val="none"/>
        </w:rPr>
      </w:pPr>
    </w:p>
    <w:p w14:paraId="1E8A55D9">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67107E72">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75332D15">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15C54EFC">
      <w:pPr>
        <w:jc w:val="left"/>
        <w:rPr>
          <w:rFonts w:hint="eastAsia" w:ascii="宋体" w:hAnsi="宋体"/>
          <w:b/>
          <w:bCs/>
          <w:color w:val="auto"/>
          <w:sz w:val="28"/>
          <w:szCs w:val="28"/>
          <w:highlight w:val="none"/>
        </w:rPr>
        <w:sectPr>
          <w:pgSz w:w="11905" w:h="16838"/>
          <w:pgMar w:top="1440" w:right="1800" w:bottom="1440" w:left="1800" w:header="794" w:footer="794" w:gutter="0"/>
          <w:pgNumType w:fmt="decimal"/>
          <w:cols w:space="720" w:num="1"/>
          <w:docGrid w:type="lines" w:linePitch="318" w:charSpace="0"/>
        </w:sectPr>
      </w:pPr>
    </w:p>
    <w:p w14:paraId="02FC4289">
      <w:pPr>
        <w:pStyle w:val="2"/>
        <w:rPr>
          <w:rFonts w:hint="eastAsia" w:ascii="宋体" w:hAnsi="宋体" w:eastAsia="宋体" w:cs="宋体"/>
          <w:b/>
          <w:bCs/>
          <w:color w:val="auto"/>
          <w:spacing w:val="5"/>
          <w:kern w:val="2"/>
          <w:sz w:val="24"/>
          <w:szCs w:val="24"/>
          <w:highlight w:val="none"/>
          <w:lang w:val="en-US" w:eastAsia="zh-CN" w:bidi="ar-SA"/>
        </w:rPr>
      </w:pPr>
      <w:r>
        <w:rPr>
          <w:rFonts w:hint="eastAsia" w:ascii="宋体" w:hAnsi="宋体" w:eastAsia="宋体" w:cs="宋体"/>
          <w:b/>
          <w:bCs/>
          <w:color w:val="auto"/>
          <w:spacing w:val="5"/>
          <w:kern w:val="2"/>
          <w:sz w:val="24"/>
          <w:szCs w:val="24"/>
          <w:highlight w:val="none"/>
          <w:lang w:val="en-US" w:eastAsia="zh-CN" w:bidi="ar-SA"/>
        </w:rPr>
        <w:t>4.2易耗品、备品备件及专用工具、维修工具明细表</w:t>
      </w:r>
    </w:p>
    <w:p w14:paraId="1F0422E7">
      <w:pPr>
        <w:spacing w:before="240" w:after="120"/>
        <w:jc w:val="right"/>
        <w:rPr>
          <w:rFonts w:hint="default"/>
          <w:lang w:val="en-US" w:eastAsia="zh-CN"/>
        </w:rPr>
      </w:pPr>
      <w:r>
        <w:rPr>
          <w:rFonts w:hint="eastAsia" w:ascii="宋体" w:hAnsi="宋体"/>
          <w:b/>
          <w:bCs/>
          <w:color w:val="auto"/>
          <w:highlight w:val="none"/>
        </w:rPr>
        <w:t>单位：元</w:t>
      </w:r>
    </w:p>
    <w:tbl>
      <w:tblPr>
        <w:tblStyle w:val="102"/>
        <w:tblW w:w="109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2067"/>
        <w:gridCol w:w="1133"/>
        <w:gridCol w:w="1150"/>
        <w:gridCol w:w="1150"/>
        <w:gridCol w:w="800"/>
        <w:gridCol w:w="817"/>
        <w:gridCol w:w="800"/>
        <w:gridCol w:w="800"/>
        <w:gridCol w:w="900"/>
        <w:gridCol w:w="816"/>
      </w:tblGrid>
      <w:tr w14:paraId="73DF2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529" w:type="dxa"/>
            <w:noWrap w:val="0"/>
            <w:vAlign w:val="center"/>
          </w:tcPr>
          <w:p w14:paraId="419B2B92">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rPr>
              <w:t>序号</w:t>
            </w:r>
          </w:p>
        </w:tc>
        <w:tc>
          <w:tcPr>
            <w:tcW w:w="2067" w:type="dxa"/>
            <w:noWrap w:val="0"/>
            <w:vAlign w:val="center"/>
          </w:tcPr>
          <w:p w14:paraId="3FC2B0B9">
            <w:pPr>
              <w:pStyle w:val="92"/>
              <w:jc w:val="center"/>
              <w:rPr>
                <w:rFonts w:hint="eastAsia" w:ascii="宋体" w:hAnsi="宋体" w:cs="宋体"/>
                <w:color w:val="auto"/>
                <w:szCs w:val="24"/>
                <w:highlight w:val="none"/>
              </w:rPr>
            </w:pPr>
            <w:r>
              <w:rPr>
                <w:rFonts w:hint="eastAsia"/>
                <w:b/>
                <w:bCs/>
                <w:color w:val="auto"/>
                <w:spacing w:val="5"/>
                <w:sz w:val="24"/>
                <w:szCs w:val="24"/>
                <w:highlight w:val="none"/>
              </w:rPr>
              <w:t>名称</w:t>
            </w:r>
          </w:p>
        </w:tc>
        <w:tc>
          <w:tcPr>
            <w:tcW w:w="1133" w:type="dxa"/>
            <w:tcBorders>
              <w:right w:val="single" w:color="auto" w:sz="4" w:space="0"/>
            </w:tcBorders>
            <w:noWrap w:val="0"/>
            <w:vAlign w:val="center"/>
          </w:tcPr>
          <w:p w14:paraId="7C9128E8">
            <w:pPr>
              <w:pStyle w:val="92"/>
              <w:jc w:val="center"/>
              <w:rPr>
                <w:rFonts w:hint="eastAsia"/>
                <w:b/>
                <w:bCs/>
                <w:color w:val="auto"/>
                <w:spacing w:val="5"/>
                <w:sz w:val="24"/>
                <w:szCs w:val="24"/>
                <w:highlight w:val="none"/>
                <w:lang w:val="en-US" w:eastAsia="zh-CN"/>
              </w:rPr>
            </w:pPr>
            <w:r>
              <w:rPr>
                <w:rFonts w:hint="eastAsia"/>
                <w:b/>
                <w:bCs/>
                <w:color w:val="auto"/>
                <w:spacing w:val="5"/>
                <w:sz w:val="24"/>
                <w:szCs w:val="24"/>
                <w:highlight w:val="none"/>
                <w:lang w:eastAsia="zh-CN"/>
              </w:rPr>
              <w:t>制造商</w:t>
            </w:r>
            <w:r>
              <w:rPr>
                <w:rFonts w:hint="eastAsia"/>
                <w:b/>
                <w:bCs/>
                <w:color w:val="auto"/>
                <w:spacing w:val="5"/>
                <w:sz w:val="24"/>
                <w:szCs w:val="24"/>
                <w:highlight w:val="none"/>
                <w:lang w:val="en-US" w:eastAsia="zh-CN"/>
              </w:rPr>
              <w:t>名称</w:t>
            </w:r>
          </w:p>
        </w:tc>
        <w:tc>
          <w:tcPr>
            <w:tcW w:w="1150" w:type="dxa"/>
            <w:tcBorders>
              <w:right w:val="single" w:color="auto" w:sz="4" w:space="0"/>
            </w:tcBorders>
            <w:noWrap w:val="0"/>
            <w:vAlign w:val="center"/>
          </w:tcPr>
          <w:p w14:paraId="3410D638">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lang w:val="en-US" w:eastAsia="zh-CN"/>
              </w:rPr>
              <w:t>品牌</w:t>
            </w:r>
          </w:p>
        </w:tc>
        <w:tc>
          <w:tcPr>
            <w:tcW w:w="1150" w:type="dxa"/>
            <w:tcBorders>
              <w:left w:val="single" w:color="auto" w:sz="4" w:space="0"/>
            </w:tcBorders>
            <w:noWrap w:val="0"/>
            <w:vAlign w:val="center"/>
          </w:tcPr>
          <w:p w14:paraId="550DC4C0">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rPr>
              <w:t>型号</w:t>
            </w:r>
          </w:p>
        </w:tc>
        <w:tc>
          <w:tcPr>
            <w:tcW w:w="800" w:type="dxa"/>
            <w:noWrap w:val="0"/>
            <w:vAlign w:val="center"/>
          </w:tcPr>
          <w:p w14:paraId="1DF85161">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rPr>
              <w:t>单位</w:t>
            </w:r>
          </w:p>
        </w:tc>
        <w:tc>
          <w:tcPr>
            <w:tcW w:w="817" w:type="dxa"/>
            <w:noWrap w:val="0"/>
            <w:vAlign w:val="center"/>
          </w:tcPr>
          <w:p w14:paraId="048EC16B">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rPr>
              <w:t>数量</w:t>
            </w:r>
          </w:p>
        </w:tc>
        <w:tc>
          <w:tcPr>
            <w:tcW w:w="800" w:type="dxa"/>
            <w:noWrap w:val="0"/>
            <w:vAlign w:val="center"/>
          </w:tcPr>
          <w:p w14:paraId="751956E2">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rPr>
              <w:t>单价</w:t>
            </w:r>
          </w:p>
        </w:tc>
        <w:tc>
          <w:tcPr>
            <w:tcW w:w="800" w:type="dxa"/>
            <w:noWrap w:val="0"/>
            <w:vAlign w:val="center"/>
          </w:tcPr>
          <w:p w14:paraId="6FB7C75D">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rPr>
              <w:t>合价</w:t>
            </w:r>
          </w:p>
        </w:tc>
        <w:tc>
          <w:tcPr>
            <w:tcW w:w="900" w:type="dxa"/>
            <w:noWrap w:val="0"/>
            <w:vAlign w:val="center"/>
          </w:tcPr>
          <w:p w14:paraId="1F459409">
            <w:pPr>
              <w:pStyle w:val="92"/>
              <w:jc w:val="center"/>
              <w:rPr>
                <w:rFonts w:hint="eastAsia" w:ascii="宋体" w:hAnsi="宋体" w:cs="宋体"/>
                <w:color w:val="auto"/>
                <w:sz w:val="24"/>
                <w:szCs w:val="24"/>
                <w:highlight w:val="none"/>
              </w:rPr>
            </w:pPr>
            <w:r>
              <w:rPr>
                <w:rFonts w:hint="eastAsia"/>
                <w:b/>
                <w:bCs/>
                <w:color w:val="auto"/>
                <w:spacing w:val="5"/>
                <w:sz w:val="24"/>
                <w:szCs w:val="24"/>
                <w:highlight w:val="none"/>
                <w:lang w:val="en-US" w:eastAsia="zh-CN"/>
              </w:rPr>
              <w:t>产地</w:t>
            </w:r>
          </w:p>
        </w:tc>
        <w:tc>
          <w:tcPr>
            <w:tcW w:w="816" w:type="dxa"/>
            <w:noWrap w:val="0"/>
            <w:vAlign w:val="center"/>
          </w:tcPr>
          <w:p w14:paraId="678B99C4">
            <w:pPr>
              <w:pStyle w:val="92"/>
              <w:jc w:val="center"/>
              <w:rPr>
                <w:rFonts w:hint="eastAsia" w:ascii="宋体" w:hAnsi="宋体" w:eastAsia="宋体" w:cs="宋体"/>
                <w:color w:val="auto"/>
                <w:sz w:val="24"/>
                <w:szCs w:val="24"/>
                <w:highlight w:val="none"/>
                <w:lang w:eastAsia="zh-CN"/>
              </w:rPr>
            </w:pPr>
            <w:r>
              <w:rPr>
                <w:rFonts w:hint="eastAsia"/>
                <w:b/>
                <w:bCs/>
                <w:color w:val="auto"/>
                <w:spacing w:val="5"/>
                <w:sz w:val="24"/>
                <w:szCs w:val="24"/>
                <w:highlight w:val="none"/>
                <w:lang w:val="en-US" w:eastAsia="zh-CN"/>
              </w:rPr>
              <w:t>备注</w:t>
            </w:r>
          </w:p>
        </w:tc>
      </w:tr>
      <w:tr w14:paraId="0CF2F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529" w:type="dxa"/>
            <w:noWrap w:val="0"/>
            <w:vAlign w:val="top"/>
          </w:tcPr>
          <w:p w14:paraId="7538858A">
            <w:pPr>
              <w:rPr>
                <w:rFonts w:hint="eastAsia" w:ascii="宋体" w:hAnsi="宋体" w:cs="宋体"/>
                <w:color w:val="auto"/>
                <w:sz w:val="24"/>
                <w:szCs w:val="24"/>
                <w:highlight w:val="none"/>
              </w:rPr>
            </w:pPr>
          </w:p>
        </w:tc>
        <w:tc>
          <w:tcPr>
            <w:tcW w:w="2067" w:type="dxa"/>
            <w:noWrap w:val="0"/>
            <w:vAlign w:val="top"/>
          </w:tcPr>
          <w:p w14:paraId="10E5D7DD">
            <w:pPr>
              <w:rPr>
                <w:rFonts w:hint="eastAsia"/>
                <w:color w:val="auto"/>
                <w:highlight w:val="none"/>
              </w:rPr>
            </w:pPr>
          </w:p>
        </w:tc>
        <w:tc>
          <w:tcPr>
            <w:tcW w:w="1133" w:type="dxa"/>
            <w:tcBorders>
              <w:right w:val="single" w:color="auto" w:sz="4" w:space="0"/>
            </w:tcBorders>
            <w:noWrap w:val="0"/>
            <w:vAlign w:val="top"/>
          </w:tcPr>
          <w:p w14:paraId="22CC396D">
            <w:pPr>
              <w:rPr>
                <w:rFonts w:hint="eastAsia" w:ascii="宋体" w:hAnsi="宋体" w:cs="宋体"/>
                <w:color w:val="auto"/>
                <w:sz w:val="24"/>
                <w:szCs w:val="24"/>
                <w:highlight w:val="none"/>
              </w:rPr>
            </w:pPr>
          </w:p>
        </w:tc>
        <w:tc>
          <w:tcPr>
            <w:tcW w:w="1150" w:type="dxa"/>
            <w:tcBorders>
              <w:right w:val="single" w:color="auto" w:sz="4" w:space="0"/>
            </w:tcBorders>
            <w:noWrap w:val="0"/>
            <w:vAlign w:val="top"/>
          </w:tcPr>
          <w:p w14:paraId="31B2A312">
            <w:pPr>
              <w:rPr>
                <w:rFonts w:hint="eastAsia" w:ascii="宋体" w:hAnsi="宋体" w:cs="宋体"/>
                <w:color w:val="auto"/>
                <w:sz w:val="24"/>
                <w:szCs w:val="24"/>
                <w:highlight w:val="none"/>
              </w:rPr>
            </w:pPr>
          </w:p>
        </w:tc>
        <w:tc>
          <w:tcPr>
            <w:tcW w:w="1150" w:type="dxa"/>
            <w:tcBorders>
              <w:left w:val="single" w:color="auto" w:sz="4" w:space="0"/>
            </w:tcBorders>
            <w:noWrap w:val="0"/>
            <w:vAlign w:val="top"/>
          </w:tcPr>
          <w:p w14:paraId="4545FF41">
            <w:pPr>
              <w:rPr>
                <w:rFonts w:hint="eastAsia" w:ascii="宋体" w:hAnsi="宋体" w:cs="宋体"/>
                <w:color w:val="auto"/>
                <w:sz w:val="24"/>
                <w:szCs w:val="24"/>
                <w:highlight w:val="none"/>
              </w:rPr>
            </w:pPr>
          </w:p>
        </w:tc>
        <w:tc>
          <w:tcPr>
            <w:tcW w:w="800" w:type="dxa"/>
            <w:noWrap w:val="0"/>
            <w:vAlign w:val="top"/>
          </w:tcPr>
          <w:p w14:paraId="79C75688">
            <w:pPr>
              <w:rPr>
                <w:rFonts w:hint="eastAsia" w:ascii="宋体" w:hAnsi="宋体" w:cs="宋体"/>
                <w:color w:val="auto"/>
                <w:sz w:val="24"/>
                <w:szCs w:val="24"/>
                <w:highlight w:val="none"/>
              </w:rPr>
            </w:pPr>
          </w:p>
        </w:tc>
        <w:tc>
          <w:tcPr>
            <w:tcW w:w="817" w:type="dxa"/>
            <w:noWrap w:val="0"/>
            <w:vAlign w:val="top"/>
          </w:tcPr>
          <w:p w14:paraId="005A5E3B">
            <w:pPr>
              <w:rPr>
                <w:rFonts w:hint="eastAsia" w:ascii="宋体" w:hAnsi="宋体" w:cs="宋体"/>
                <w:color w:val="auto"/>
                <w:sz w:val="24"/>
                <w:szCs w:val="24"/>
                <w:highlight w:val="none"/>
              </w:rPr>
            </w:pPr>
          </w:p>
        </w:tc>
        <w:tc>
          <w:tcPr>
            <w:tcW w:w="800" w:type="dxa"/>
            <w:noWrap w:val="0"/>
            <w:vAlign w:val="top"/>
          </w:tcPr>
          <w:p w14:paraId="447A5674">
            <w:pPr>
              <w:rPr>
                <w:rFonts w:hint="eastAsia" w:ascii="宋体" w:hAnsi="宋体" w:cs="宋体"/>
                <w:color w:val="auto"/>
                <w:sz w:val="24"/>
                <w:szCs w:val="24"/>
                <w:highlight w:val="none"/>
              </w:rPr>
            </w:pPr>
          </w:p>
        </w:tc>
        <w:tc>
          <w:tcPr>
            <w:tcW w:w="800" w:type="dxa"/>
            <w:noWrap w:val="0"/>
            <w:vAlign w:val="top"/>
          </w:tcPr>
          <w:p w14:paraId="57CB1DB4">
            <w:pPr>
              <w:rPr>
                <w:rFonts w:hint="eastAsia" w:ascii="宋体" w:hAnsi="宋体" w:cs="宋体"/>
                <w:color w:val="auto"/>
                <w:sz w:val="24"/>
                <w:szCs w:val="24"/>
                <w:highlight w:val="none"/>
              </w:rPr>
            </w:pPr>
          </w:p>
        </w:tc>
        <w:tc>
          <w:tcPr>
            <w:tcW w:w="900" w:type="dxa"/>
            <w:noWrap w:val="0"/>
            <w:vAlign w:val="top"/>
          </w:tcPr>
          <w:p w14:paraId="4DF53BB1">
            <w:pPr>
              <w:rPr>
                <w:rFonts w:hint="eastAsia" w:ascii="宋体" w:hAnsi="宋体" w:cs="宋体"/>
                <w:color w:val="auto"/>
                <w:sz w:val="24"/>
                <w:szCs w:val="24"/>
                <w:highlight w:val="none"/>
              </w:rPr>
            </w:pPr>
          </w:p>
        </w:tc>
        <w:tc>
          <w:tcPr>
            <w:tcW w:w="816" w:type="dxa"/>
            <w:noWrap w:val="0"/>
            <w:vAlign w:val="top"/>
          </w:tcPr>
          <w:p w14:paraId="0D16D8B4">
            <w:pPr>
              <w:rPr>
                <w:rFonts w:hint="eastAsia" w:ascii="宋体" w:hAnsi="宋体" w:cs="宋体"/>
                <w:color w:val="auto"/>
                <w:sz w:val="24"/>
                <w:szCs w:val="24"/>
                <w:highlight w:val="none"/>
              </w:rPr>
            </w:pPr>
          </w:p>
        </w:tc>
      </w:tr>
      <w:tr w14:paraId="002D2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529" w:type="dxa"/>
            <w:noWrap w:val="0"/>
            <w:vAlign w:val="top"/>
          </w:tcPr>
          <w:p w14:paraId="2873B698">
            <w:pPr>
              <w:rPr>
                <w:rFonts w:hint="eastAsia" w:ascii="宋体" w:hAnsi="宋体" w:cs="宋体"/>
                <w:color w:val="auto"/>
                <w:sz w:val="24"/>
                <w:szCs w:val="24"/>
                <w:highlight w:val="none"/>
              </w:rPr>
            </w:pPr>
          </w:p>
        </w:tc>
        <w:tc>
          <w:tcPr>
            <w:tcW w:w="2067" w:type="dxa"/>
            <w:noWrap w:val="0"/>
            <w:vAlign w:val="top"/>
          </w:tcPr>
          <w:p w14:paraId="12373409">
            <w:pPr>
              <w:rPr>
                <w:rFonts w:hint="eastAsia"/>
                <w:color w:val="auto"/>
                <w:highlight w:val="none"/>
              </w:rPr>
            </w:pPr>
          </w:p>
        </w:tc>
        <w:tc>
          <w:tcPr>
            <w:tcW w:w="1133" w:type="dxa"/>
            <w:tcBorders>
              <w:right w:val="single" w:color="auto" w:sz="4" w:space="0"/>
            </w:tcBorders>
            <w:noWrap w:val="0"/>
            <w:vAlign w:val="top"/>
          </w:tcPr>
          <w:p w14:paraId="2F779DC6">
            <w:pPr>
              <w:rPr>
                <w:rFonts w:hint="eastAsia" w:ascii="宋体" w:hAnsi="宋体" w:cs="宋体"/>
                <w:color w:val="auto"/>
                <w:sz w:val="24"/>
                <w:szCs w:val="24"/>
                <w:highlight w:val="none"/>
              </w:rPr>
            </w:pPr>
          </w:p>
        </w:tc>
        <w:tc>
          <w:tcPr>
            <w:tcW w:w="1150" w:type="dxa"/>
            <w:tcBorders>
              <w:right w:val="single" w:color="auto" w:sz="4" w:space="0"/>
            </w:tcBorders>
            <w:noWrap w:val="0"/>
            <w:vAlign w:val="top"/>
          </w:tcPr>
          <w:p w14:paraId="3E0C866A">
            <w:pPr>
              <w:rPr>
                <w:rFonts w:hint="eastAsia" w:ascii="宋体" w:hAnsi="宋体" w:cs="宋体"/>
                <w:color w:val="auto"/>
                <w:sz w:val="24"/>
                <w:szCs w:val="24"/>
                <w:highlight w:val="none"/>
              </w:rPr>
            </w:pPr>
          </w:p>
        </w:tc>
        <w:tc>
          <w:tcPr>
            <w:tcW w:w="1150" w:type="dxa"/>
            <w:tcBorders>
              <w:left w:val="single" w:color="auto" w:sz="4" w:space="0"/>
            </w:tcBorders>
            <w:noWrap w:val="0"/>
            <w:vAlign w:val="top"/>
          </w:tcPr>
          <w:p w14:paraId="4637E1A1">
            <w:pPr>
              <w:rPr>
                <w:rFonts w:hint="eastAsia" w:ascii="宋体" w:hAnsi="宋体" w:cs="宋体"/>
                <w:color w:val="auto"/>
                <w:sz w:val="24"/>
                <w:szCs w:val="24"/>
                <w:highlight w:val="none"/>
              </w:rPr>
            </w:pPr>
          </w:p>
        </w:tc>
        <w:tc>
          <w:tcPr>
            <w:tcW w:w="800" w:type="dxa"/>
            <w:noWrap w:val="0"/>
            <w:vAlign w:val="top"/>
          </w:tcPr>
          <w:p w14:paraId="0F4B6F8F">
            <w:pPr>
              <w:rPr>
                <w:rFonts w:hint="eastAsia" w:ascii="宋体" w:hAnsi="宋体" w:cs="宋体"/>
                <w:color w:val="auto"/>
                <w:sz w:val="24"/>
                <w:szCs w:val="24"/>
                <w:highlight w:val="none"/>
              </w:rPr>
            </w:pPr>
          </w:p>
        </w:tc>
        <w:tc>
          <w:tcPr>
            <w:tcW w:w="817" w:type="dxa"/>
            <w:noWrap w:val="0"/>
            <w:vAlign w:val="top"/>
          </w:tcPr>
          <w:p w14:paraId="0385390C">
            <w:pPr>
              <w:rPr>
                <w:rFonts w:hint="eastAsia" w:ascii="宋体" w:hAnsi="宋体" w:cs="宋体"/>
                <w:color w:val="auto"/>
                <w:sz w:val="24"/>
                <w:szCs w:val="24"/>
                <w:highlight w:val="none"/>
              </w:rPr>
            </w:pPr>
          </w:p>
        </w:tc>
        <w:tc>
          <w:tcPr>
            <w:tcW w:w="800" w:type="dxa"/>
            <w:noWrap w:val="0"/>
            <w:vAlign w:val="top"/>
          </w:tcPr>
          <w:p w14:paraId="42515255">
            <w:pPr>
              <w:rPr>
                <w:rFonts w:hint="eastAsia" w:ascii="宋体" w:hAnsi="宋体" w:cs="宋体"/>
                <w:color w:val="auto"/>
                <w:sz w:val="24"/>
                <w:szCs w:val="24"/>
                <w:highlight w:val="none"/>
              </w:rPr>
            </w:pPr>
          </w:p>
        </w:tc>
        <w:tc>
          <w:tcPr>
            <w:tcW w:w="800" w:type="dxa"/>
            <w:noWrap w:val="0"/>
            <w:vAlign w:val="top"/>
          </w:tcPr>
          <w:p w14:paraId="29705ABF">
            <w:pPr>
              <w:rPr>
                <w:rFonts w:hint="eastAsia" w:ascii="宋体" w:hAnsi="宋体" w:cs="宋体"/>
                <w:color w:val="auto"/>
                <w:sz w:val="24"/>
                <w:szCs w:val="24"/>
                <w:highlight w:val="none"/>
              </w:rPr>
            </w:pPr>
          </w:p>
        </w:tc>
        <w:tc>
          <w:tcPr>
            <w:tcW w:w="900" w:type="dxa"/>
            <w:noWrap w:val="0"/>
            <w:vAlign w:val="top"/>
          </w:tcPr>
          <w:p w14:paraId="661A74AC">
            <w:pPr>
              <w:rPr>
                <w:rFonts w:hint="eastAsia" w:ascii="宋体" w:hAnsi="宋体" w:cs="宋体"/>
                <w:color w:val="auto"/>
                <w:sz w:val="24"/>
                <w:szCs w:val="24"/>
                <w:highlight w:val="none"/>
              </w:rPr>
            </w:pPr>
          </w:p>
        </w:tc>
        <w:tc>
          <w:tcPr>
            <w:tcW w:w="816" w:type="dxa"/>
            <w:noWrap w:val="0"/>
            <w:vAlign w:val="top"/>
          </w:tcPr>
          <w:p w14:paraId="2BFB3180">
            <w:pPr>
              <w:rPr>
                <w:rFonts w:hint="eastAsia" w:ascii="宋体" w:hAnsi="宋体" w:cs="宋体"/>
                <w:color w:val="auto"/>
                <w:sz w:val="24"/>
                <w:szCs w:val="24"/>
                <w:highlight w:val="none"/>
              </w:rPr>
            </w:pPr>
          </w:p>
        </w:tc>
      </w:tr>
      <w:tr w14:paraId="5E049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529" w:type="dxa"/>
            <w:noWrap w:val="0"/>
            <w:vAlign w:val="top"/>
          </w:tcPr>
          <w:p w14:paraId="52E540F5">
            <w:pPr>
              <w:rPr>
                <w:rFonts w:hint="eastAsia" w:ascii="宋体" w:hAnsi="宋体" w:cs="宋体"/>
                <w:color w:val="auto"/>
                <w:sz w:val="24"/>
                <w:szCs w:val="24"/>
                <w:highlight w:val="none"/>
              </w:rPr>
            </w:pPr>
          </w:p>
        </w:tc>
        <w:tc>
          <w:tcPr>
            <w:tcW w:w="2067" w:type="dxa"/>
            <w:noWrap w:val="0"/>
            <w:vAlign w:val="top"/>
          </w:tcPr>
          <w:p w14:paraId="37D6A55B">
            <w:pPr>
              <w:rPr>
                <w:rFonts w:hint="eastAsia"/>
                <w:color w:val="auto"/>
                <w:highlight w:val="none"/>
              </w:rPr>
            </w:pPr>
          </w:p>
        </w:tc>
        <w:tc>
          <w:tcPr>
            <w:tcW w:w="1133" w:type="dxa"/>
            <w:tcBorders>
              <w:right w:val="single" w:color="auto" w:sz="4" w:space="0"/>
            </w:tcBorders>
            <w:noWrap w:val="0"/>
            <w:vAlign w:val="top"/>
          </w:tcPr>
          <w:p w14:paraId="625CAFC4">
            <w:pPr>
              <w:rPr>
                <w:rFonts w:hint="eastAsia" w:ascii="宋体" w:hAnsi="宋体" w:cs="宋体"/>
                <w:color w:val="auto"/>
                <w:sz w:val="24"/>
                <w:szCs w:val="24"/>
                <w:highlight w:val="none"/>
              </w:rPr>
            </w:pPr>
          </w:p>
        </w:tc>
        <w:tc>
          <w:tcPr>
            <w:tcW w:w="1150" w:type="dxa"/>
            <w:tcBorders>
              <w:right w:val="single" w:color="auto" w:sz="4" w:space="0"/>
            </w:tcBorders>
            <w:noWrap w:val="0"/>
            <w:vAlign w:val="top"/>
          </w:tcPr>
          <w:p w14:paraId="6277B104">
            <w:pPr>
              <w:rPr>
                <w:rFonts w:hint="eastAsia" w:ascii="宋体" w:hAnsi="宋体" w:cs="宋体"/>
                <w:color w:val="auto"/>
                <w:sz w:val="24"/>
                <w:szCs w:val="24"/>
                <w:highlight w:val="none"/>
              </w:rPr>
            </w:pPr>
          </w:p>
        </w:tc>
        <w:tc>
          <w:tcPr>
            <w:tcW w:w="1150" w:type="dxa"/>
            <w:tcBorders>
              <w:left w:val="single" w:color="auto" w:sz="4" w:space="0"/>
            </w:tcBorders>
            <w:noWrap w:val="0"/>
            <w:vAlign w:val="top"/>
          </w:tcPr>
          <w:p w14:paraId="35E219BC">
            <w:pPr>
              <w:rPr>
                <w:rFonts w:hint="eastAsia" w:ascii="宋体" w:hAnsi="宋体" w:cs="宋体"/>
                <w:color w:val="auto"/>
                <w:sz w:val="24"/>
                <w:szCs w:val="24"/>
                <w:highlight w:val="none"/>
              </w:rPr>
            </w:pPr>
          </w:p>
        </w:tc>
        <w:tc>
          <w:tcPr>
            <w:tcW w:w="800" w:type="dxa"/>
            <w:noWrap w:val="0"/>
            <w:vAlign w:val="top"/>
          </w:tcPr>
          <w:p w14:paraId="48376CF3">
            <w:pPr>
              <w:rPr>
                <w:rFonts w:hint="eastAsia" w:ascii="宋体" w:hAnsi="宋体" w:cs="宋体"/>
                <w:color w:val="auto"/>
                <w:sz w:val="24"/>
                <w:szCs w:val="24"/>
                <w:highlight w:val="none"/>
              </w:rPr>
            </w:pPr>
          </w:p>
        </w:tc>
        <w:tc>
          <w:tcPr>
            <w:tcW w:w="817" w:type="dxa"/>
            <w:noWrap w:val="0"/>
            <w:vAlign w:val="top"/>
          </w:tcPr>
          <w:p w14:paraId="275D2C5E">
            <w:pPr>
              <w:rPr>
                <w:rFonts w:hint="eastAsia" w:ascii="宋体" w:hAnsi="宋体" w:cs="宋体"/>
                <w:color w:val="auto"/>
                <w:sz w:val="24"/>
                <w:szCs w:val="24"/>
                <w:highlight w:val="none"/>
              </w:rPr>
            </w:pPr>
          </w:p>
        </w:tc>
        <w:tc>
          <w:tcPr>
            <w:tcW w:w="800" w:type="dxa"/>
            <w:noWrap w:val="0"/>
            <w:vAlign w:val="top"/>
          </w:tcPr>
          <w:p w14:paraId="3925595B">
            <w:pPr>
              <w:rPr>
                <w:rFonts w:hint="eastAsia" w:ascii="宋体" w:hAnsi="宋体" w:cs="宋体"/>
                <w:color w:val="auto"/>
                <w:sz w:val="24"/>
                <w:szCs w:val="24"/>
                <w:highlight w:val="none"/>
              </w:rPr>
            </w:pPr>
          </w:p>
        </w:tc>
        <w:tc>
          <w:tcPr>
            <w:tcW w:w="800" w:type="dxa"/>
            <w:noWrap w:val="0"/>
            <w:vAlign w:val="top"/>
          </w:tcPr>
          <w:p w14:paraId="6A390AD2">
            <w:pPr>
              <w:rPr>
                <w:rFonts w:hint="eastAsia" w:ascii="宋体" w:hAnsi="宋体" w:cs="宋体"/>
                <w:color w:val="auto"/>
                <w:sz w:val="24"/>
                <w:szCs w:val="24"/>
                <w:highlight w:val="none"/>
              </w:rPr>
            </w:pPr>
          </w:p>
        </w:tc>
        <w:tc>
          <w:tcPr>
            <w:tcW w:w="900" w:type="dxa"/>
            <w:noWrap w:val="0"/>
            <w:vAlign w:val="top"/>
          </w:tcPr>
          <w:p w14:paraId="10469001">
            <w:pPr>
              <w:rPr>
                <w:rFonts w:hint="eastAsia" w:ascii="宋体" w:hAnsi="宋体" w:cs="宋体"/>
                <w:color w:val="auto"/>
                <w:sz w:val="24"/>
                <w:szCs w:val="24"/>
                <w:highlight w:val="none"/>
              </w:rPr>
            </w:pPr>
          </w:p>
        </w:tc>
        <w:tc>
          <w:tcPr>
            <w:tcW w:w="816" w:type="dxa"/>
            <w:noWrap w:val="0"/>
            <w:vAlign w:val="top"/>
          </w:tcPr>
          <w:p w14:paraId="65679118">
            <w:pPr>
              <w:rPr>
                <w:rFonts w:hint="eastAsia" w:ascii="宋体" w:hAnsi="宋体" w:cs="宋体"/>
                <w:color w:val="auto"/>
                <w:sz w:val="24"/>
                <w:szCs w:val="24"/>
                <w:highlight w:val="none"/>
              </w:rPr>
            </w:pPr>
          </w:p>
        </w:tc>
      </w:tr>
    </w:tbl>
    <w:p w14:paraId="1AE3F0C7">
      <w:pPr>
        <w:pStyle w:val="3"/>
        <w:rPr>
          <w:rFonts w:hint="eastAsia" w:ascii="宋体" w:hAnsi="宋体" w:eastAsia="宋体" w:cs="Times New Roman"/>
          <w:color w:val="auto"/>
          <w:kern w:val="2"/>
          <w:sz w:val="21"/>
          <w:szCs w:val="21"/>
          <w:highlight w:val="none"/>
          <w:lang w:val="en-US" w:eastAsia="zh-CN" w:bidi="ar-SA"/>
        </w:rPr>
      </w:pPr>
    </w:p>
    <w:p w14:paraId="495E08FA">
      <w:pPr>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说明：备品备件如为免费提供，需在备注项注明免费时间</w:t>
      </w:r>
      <w:r>
        <w:rPr>
          <w:rFonts w:hint="eastAsia" w:ascii="宋体" w:hAnsi="宋体" w:cs="Times New Roman"/>
          <w:color w:val="auto"/>
          <w:kern w:val="2"/>
          <w:sz w:val="21"/>
          <w:szCs w:val="21"/>
          <w:highlight w:val="none"/>
          <w:lang w:val="en-US" w:eastAsia="zh-CN" w:bidi="ar-SA"/>
        </w:rPr>
        <w:t>。</w:t>
      </w:r>
    </w:p>
    <w:p w14:paraId="43000B16">
      <w:pPr>
        <w:rPr>
          <w:rFonts w:hint="eastAsia" w:ascii="宋体" w:hAnsi="宋体"/>
          <w:color w:val="auto"/>
          <w:sz w:val="24"/>
          <w:szCs w:val="24"/>
          <w:highlight w:val="none"/>
        </w:rPr>
      </w:pPr>
    </w:p>
    <w:p w14:paraId="1211EE8E">
      <w:pPr>
        <w:rPr>
          <w:rFonts w:hint="eastAsia" w:ascii="宋体" w:hAnsi="宋体"/>
          <w:color w:val="auto"/>
          <w:sz w:val="24"/>
          <w:szCs w:val="24"/>
          <w:highlight w:val="none"/>
        </w:rPr>
      </w:pPr>
    </w:p>
    <w:p w14:paraId="46AD95C9">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62B50068">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4106F248">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26E3AC91">
      <w:pPr>
        <w:jc w:val="left"/>
        <w:rPr>
          <w:rFonts w:hint="eastAsia" w:ascii="宋体" w:hAnsi="宋体"/>
          <w:b/>
          <w:bCs/>
          <w:color w:val="auto"/>
          <w:sz w:val="28"/>
          <w:szCs w:val="28"/>
          <w:highlight w:val="none"/>
        </w:rPr>
        <w:sectPr>
          <w:headerReference r:id="rId14" w:type="default"/>
          <w:footerReference r:id="rId15" w:type="default"/>
          <w:pgSz w:w="11905" w:h="16838"/>
          <w:pgMar w:top="1440" w:right="1800" w:bottom="1440" w:left="1800" w:header="794" w:footer="794" w:gutter="0"/>
          <w:pgNumType w:fmt="decimal"/>
          <w:cols w:space="720" w:num="1"/>
          <w:docGrid w:type="lines" w:linePitch="318" w:charSpace="0"/>
        </w:sectPr>
      </w:pPr>
      <w:bookmarkStart w:id="923" w:name="_Toc11149"/>
      <w:bookmarkStart w:id="924" w:name="_Toc28448"/>
      <w:bookmarkStart w:id="925" w:name="_Toc7433"/>
    </w:p>
    <w:p w14:paraId="03621114">
      <w:pPr>
        <w:pStyle w:val="5"/>
        <w:bidi w:val="0"/>
        <w:jc w:val="center"/>
        <w:rPr>
          <w:rFonts w:hint="eastAsia" w:ascii="宋体" w:hAnsi="宋体" w:eastAsia="宋体" w:cs="宋体"/>
          <w:sz w:val="28"/>
          <w:szCs w:val="28"/>
          <w:highlight w:val="none"/>
        </w:rPr>
      </w:pPr>
      <w:bookmarkStart w:id="926" w:name="_Toc15659"/>
      <w:r>
        <w:rPr>
          <w:rFonts w:hint="eastAsia" w:ascii="宋体" w:hAnsi="宋体" w:eastAsia="宋体" w:cs="宋体"/>
          <w:sz w:val="28"/>
          <w:szCs w:val="28"/>
          <w:highlight w:val="none"/>
        </w:rPr>
        <w:t>五、</w:t>
      </w:r>
      <w:bookmarkEnd w:id="922"/>
      <w:r>
        <w:rPr>
          <w:rFonts w:hint="eastAsia" w:ascii="宋体" w:hAnsi="宋体" w:eastAsia="宋体" w:cs="宋体"/>
          <w:sz w:val="28"/>
          <w:szCs w:val="28"/>
          <w:highlight w:val="none"/>
        </w:rPr>
        <w:t>资格审查资料</w:t>
      </w:r>
      <w:bookmarkEnd w:id="926"/>
    </w:p>
    <w:p w14:paraId="4278B271">
      <w:pPr>
        <w:spacing w:before="120" w:after="240" w:line="440" w:lineRule="exact"/>
        <w:jc w:val="center"/>
        <w:rPr>
          <w:rFonts w:hint="eastAsia" w:ascii="宋体" w:hAnsi="宋体"/>
          <w:color w:val="auto"/>
          <w:sz w:val="24"/>
          <w:szCs w:val="24"/>
          <w:highlight w:val="none"/>
        </w:rPr>
      </w:pPr>
      <w:bookmarkStart w:id="927" w:name="_Toc129073537"/>
      <w:bookmarkStart w:id="928" w:name="_Toc32147"/>
      <w:r>
        <w:rPr>
          <w:rFonts w:hint="eastAsia" w:ascii="宋体" w:hAnsi="宋体"/>
          <w:color w:val="auto"/>
          <w:sz w:val="24"/>
          <w:szCs w:val="24"/>
          <w:highlight w:val="none"/>
        </w:rPr>
        <w:t>供应商基本情况表</w:t>
      </w:r>
      <w:bookmarkEnd w:id="927"/>
      <w:bookmarkEnd w:id="928"/>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1023"/>
        <w:gridCol w:w="895"/>
        <w:gridCol w:w="1276"/>
        <w:gridCol w:w="1701"/>
        <w:gridCol w:w="709"/>
        <w:gridCol w:w="1416"/>
      </w:tblGrid>
      <w:tr w14:paraId="6C6F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598AF5C">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供应商名称</w:t>
            </w:r>
          </w:p>
        </w:tc>
        <w:tc>
          <w:tcPr>
            <w:tcW w:w="7020" w:type="dxa"/>
            <w:gridSpan w:val="6"/>
            <w:tcBorders>
              <w:top w:val="single" w:color="auto" w:sz="4" w:space="0"/>
              <w:left w:val="single" w:color="auto" w:sz="4" w:space="0"/>
              <w:bottom w:val="single" w:color="auto" w:sz="4" w:space="0"/>
              <w:right w:val="single" w:color="auto" w:sz="4" w:space="0"/>
            </w:tcBorders>
            <w:noWrap w:val="0"/>
            <w:vAlign w:val="center"/>
          </w:tcPr>
          <w:p w14:paraId="3404BD67">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6195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FA48D7">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注册地址</w:t>
            </w:r>
          </w:p>
        </w:tc>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164412B0">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959EB5">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邮政编码</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692E81DE">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288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2D546293">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联系方式</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9FDC316">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联系人</w:t>
            </w:r>
          </w:p>
        </w:tc>
        <w:tc>
          <w:tcPr>
            <w:tcW w:w="2171" w:type="dxa"/>
            <w:gridSpan w:val="2"/>
            <w:tcBorders>
              <w:top w:val="single" w:color="auto" w:sz="4" w:space="0"/>
              <w:left w:val="single" w:color="auto" w:sz="4" w:space="0"/>
              <w:bottom w:val="single" w:color="auto" w:sz="4" w:space="0"/>
              <w:right w:val="single" w:color="auto" w:sz="4" w:space="0"/>
            </w:tcBorders>
            <w:noWrap w:val="0"/>
            <w:vAlign w:val="center"/>
          </w:tcPr>
          <w:p w14:paraId="26C49410">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B299F7">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电  话</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0CF55314">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3359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2494666">
            <w:pPr>
              <w:keepNext w:val="0"/>
              <w:keepLines w:val="0"/>
              <w:widowControl/>
              <w:suppressLineNumbers w:val="0"/>
              <w:spacing w:before="0" w:beforeAutospacing="0" w:after="0" w:afterAutospacing="0"/>
              <w:ind w:left="0" w:right="0"/>
              <w:jc w:val="left"/>
              <w:rPr>
                <w:rFonts w:hint="eastAsia" w:ascii="宋体" w:hAnsi="宋体"/>
                <w:color w:val="auto"/>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2474A35">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传  真</w:t>
            </w:r>
          </w:p>
        </w:tc>
        <w:tc>
          <w:tcPr>
            <w:tcW w:w="2171" w:type="dxa"/>
            <w:gridSpan w:val="2"/>
            <w:tcBorders>
              <w:top w:val="single" w:color="auto" w:sz="4" w:space="0"/>
              <w:left w:val="single" w:color="auto" w:sz="4" w:space="0"/>
              <w:bottom w:val="single" w:color="auto" w:sz="4" w:space="0"/>
              <w:right w:val="single" w:color="auto" w:sz="4" w:space="0"/>
            </w:tcBorders>
            <w:noWrap w:val="0"/>
            <w:vAlign w:val="center"/>
          </w:tcPr>
          <w:p w14:paraId="1124BE13">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C46BE4">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网  址</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243C6F96">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3DE4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3FFB5D0">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组织结构</w:t>
            </w:r>
          </w:p>
        </w:tc>
        <w:tc>
          <w:tcPr>
            <w:tcW w:w="7020" w:type="dxa"/>
            <w:gridSpan w:val="6"/>
            <w:tcBorders>
              <w:top w:val="single" w:color="auto" w:sz="4" w:space="0"/>
              <w:left w:val="single" w:color="auto" w:sz="4" w:space="0"/>
              <w:bottom w:val="single" w:color="auto" w:sz="4" w:space="0"/>
              <w:right w:val="single" w:color="auto" w:sz="4" w:space="0"/>
            </w:tcBorders>
            <w:noWrap w:val="0"/>
            <w:vAlign w:val="center"/>
          </w:tcPr>
          <w:p w14:paraId="72ABE67C">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2D18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FB10C2F">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法定代表人</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1E700FBC">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B5F4ECA">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86F0F0">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技术职称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F128FC">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B080A5D">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528E825E">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41AD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89E7801">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技术负责人</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0B05E96E">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2D9F7BEB">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226C07">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技术职称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DC622D1">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87ECF1">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电话</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2ACB7D62">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665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2EEB40D">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成立时间</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14:paraId="352C026D">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5102" w:type="dxa"/>
            <w:gridSpan w:val="4"/>
            <w:tcBorders>
              <w:top w:val="single" w:color="auto" w:sz="4" w:space="0"/>
              <w:left w:val="single" w:color="auto" w:sz="4" w:space="0"/>
              <w:bottom w:val="single" w:color="auto" w:sz="4" w:space="0"/>
              <w:right w:val="single" w:color="auto" w:sz="4" w:space="0"/>
            </w:tcBorders>
            <w:noWrap w:val="0"/>
            <w:vAlign w:val="center"/>
          </w:tcPr>
          <w:p w14:paraId="7D829E66">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员工总人数：</w:t>
            </w:r>
          </w:p>
        </w:tc>
      </w:tr>
      <w:tr w14:paraId="522E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7EF5E4C">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营业执照号</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14:paraId="7C1EC3AF">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1276" w:type="dxa"/>
            <w:vMerge w:val="restart"/>
            <w:tcBorders>
              <w:top w:val="nil"/>
              <w:left w:val="single" w:color="auto" w:sz="4" w:space="0"/>
              <w:bottom w:val="single" w:color="auto" w:sz="4" w:space="0"/>
              <w:right w:val="single" w:color="auto" w:sz="4" w:space="0"/>
            </w:tcBorders>
            <w:noWrap w:val="0"/>
            <w:vAlign w:val="center"/>
          </w:tcPr>
          <w:p w14:paraId="4A646743">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其中</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3658E8">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高级职称人员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7FA5189C">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4225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F2438E2">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注册资金</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14:paraId="5677D3EB">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AD954A7">
            <w:pPr>
              <w:keepNext w:val="0"/>
              <w:keepLines w:val="0"/>
              <w:widowControl/>
              <w:suppressLineNumbers w:val="0"/>
              <w:spacing w:before="0" w:beforeAutospacing="0" w:after="0" w:afterAutospacing="0"/>
              <w:ind w:left="0" w:right="0"/>
              <w:jc w:val="left"/>
              <w:rPr>
                <w:rFonts w:hint="eastAsia"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2115530">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中级职称人员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21448986">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350D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4A763DA">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开户银行</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14:paraId="720B0F7B">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FE2035E">
            <w:pPr>
              <w:keepNext w:val="0"/>
              <w:keepLines w:val="0"/>
              <w:widowControl/>
              <w:suppressLineNumbers w:val="0"/>
              <w:spacing w:before="0" w:beforeAutospacing="0" w:after="0" w:afterAutospacing="0"/>
              <w:ind w:left="0" w:right="0"/>
              <w:jc w:val="left"/>
              <w:rPr>
                <w:rFonts w:hint="eastAsia"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A3DDAAD">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初级职称人员</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415891D8">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4BF2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B3DB56">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账号</w:t>
            </w:r>
          </w:p>
        </w:tc>
        <w:tc>
          <w:tcPr>
            <w:tcW w:w="1918" w:type="dxa"/>
            <w:gridSpan w:val="2"/>
            <w:tcBorders>
              <w:top w:val="single" w:color="auto" w:sz="4" w:space="0"/>
              <w:left w:val="single" w:color="auto" w:sz="4" w:space="0"/>
              <w:bottom w:val="single" w:color="auto" w:sz="4" w:space="0"/>
              <w:right w:val="single" w:color="auto" w:sz="4" w:space="0"/>
            </w:tcBorders>
            <w:noWrap w:val="0"/>
            <w:vAlign w:val="center"/>
          </w:tcPr>
          <w:p w14:paraId="3F3AC8B8">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82EFFA6">
            <w:pPr>
              <w:keepNext w:val="0"/>
              <w:keepLines w:val="0"/>
              <w:widowControl/>
              <w:suppressLineNumbers w:val="0"/>
              <w:spacing w:before="0" w:beforeAutospacing="0" w:after="0" w:afterAutospacing="0"/>
              <w:ind w:left="0" w:right="0"/>
              <w:jc w:val="left"/>
              <w:rPr>
                <w:rFonts w:hint="eastAsia" w:ascii="宋体" w:hAnsi="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905F2E">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技  工</w:t>
            </w:r>
          </w:p>
        </w:tc>
        <w:tc>
          <w:tcPr>
            <w:tcW w:w="2125" w:type="dxa"/>
            <w:gridSpan w:val="2"/>
            <w:tcBorders>
              <w:top w:val="single" w:color="auto" w:sz="4" w:space="0"/>
              <w:left w:val="single" w:color="auto" w:sz="4" w:space="0"/>
              <w:bottom w:val="single" w:color="auto" w:sz="4" w:space="0"/>
              <w:right w:val="single" w:color="auto" w:sz="4" w:space="0"/>
            </w:tcBorders>
            <w:noWrap w:val="0"/>
            <w:vAlign w:val="center"/>
          </w:tcPr>
          <w:p w14:paraId="7A917BED">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581D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6AAEB83">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经营范围</w:t>
            </w:r>
          </w:p>
        </w:tc>
        <w:tc>
          <w:tcPr>
            <w:tcW w:w="7020" w:type="dxa"/>
            <w:gridSpan w:val="6"/>
            <w:tcBorders>
              <w:top w:val="single" w:color="auto" w:sz="4" w:space="0"/>
              <w:left w:val="single" w:color="auto" w:sz="4" w:space="0"/>
              <w:bottom w:val="single" w:color="auto" w:sz="4" w:space="0"/>
              <w:right w:val="single" w:color="auto" w:sz="4" w:space="0"/>
            </w:tcBorders>
            <w:noWrap w:val="0"/>
            <w:vAlign w:val="center"/>
          </w:tcPr>
          <w:p w14:paraId="1E2E9682">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r w14:paraId="2904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4CADD1A">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c>
          <w:tcPr>
            <w:tcW w:w="7020" w:type="dxa"/>
            <w:gridSpan w:val="6"/>
            <w:tcBorders>
              <w:top w:val="single" w:color="auto" w:sz="4" w:space="0"/>
              <w:left w:val="single" w:color="auto" w:sz="4" w:space="0"/>
              <w:bottom w:val="single" w:color="auto" w:sz="4" w:space="0"/>
              <w:right w:val="single" w:color="auto" w:sz="4" w:space="0"/>
            </w:tcBorders>
            <w:noWrap w:val="0"/>
            <w:vAlign w:val="center"/>
          </w:tcPr>
          <w:p w14:paraId="60CD1C91">
            <w:pPr>
              <w:keepNext w:val="0"/>
              <w:keepLines w:val="0"/>
              <w:suppressLineNumbers w:val="0"/>
              <w:spacing w:before="0" w:beforeAutospacing="0" w:after="0" w:afterAutospacing="0"/>
              <w:ind w:left="0" w:right="0"/>
              <w:jc w:val="center"/>
              <w:rPr>
                <w:rFonts w:hint="eastAsia" w:ascii="宋体" w:hAnsi="宋体"/>
                <w:color w:val="auto"/>
                <w:sz w:val="24"/>
                <w:szCs w:val="24"/>
                <w:highlight w:val="none"/>
              </w:rPr>
            </w:pPr>
          </w:p>
        </w:tc>
      </w:tr>
    </w:tbl>
    <w:p w14:paraId="65803856">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088F01B6">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1、具有独立承担民事责任的能力</w:t>
      </w:r>
    </w:p>
    <w:p w14:paraId="37104244">
      <w:pPr>
        <w:spacing w:line="360" w:lineRule="auto"/>
        <w:jc w:val="center"/>
        <w:rPr>
          <w:rFonts w:hint="eastAsia" w:ascii="宋体" w:hAnsi="宋体" w:cs="宋体"/>
          <w:color w:val="auto"/>
          <w:sz w:val="28"/>
          <w:szCs w:val="28"/>
          <w:highlight w:val="none"/>
        </w:rPr>
      </w:pPr>
    </w:p>
    <w:p w14:paraId="2ECD9B0B">
      <w:pPr>
        <w:spacing w:line="360" w:lineRule="auto"/>
        <w:jc w:val="center"/>
        <w:rPr>
          <w:rFonts w:hint="eastAsia" w:ascii="宋体" w:hAnsi="宋体" w:cs="宋体"/>
          <w:color w:val="auto"/>
          <w:highlight w:val="none"/>
        </w:rPr>
      </w:pPr>
      <w:r>
        <w:rPr>
          <w:rFonts w:hint="eastAsia" w:ascii="宋体" w:hAnsi="宋体" w:cs="宋体"/>
          <w:color w:val="auto"/>
          <w:highlight w:val="none"/>
        </w:rPr>
        <w:t>（附法人或者其他组织的营业执照等证明文件）</w:t>
      </w:r>
    </w:p>
    <w:p w14:paraId="01DF0E0A">
      <w:pPr>
        <w:spacing w:line="360" w:lineRule="auto"/>
        <w:jc w:val="center"/>
        <w:rPr>
          <w:rFonts w:hint="eastAsia" w:ascii="宋体" w:hAnsi="宋体" w:cs="宋体"/>
          <w:color w:val="auto"/>
          <w:sz w:val="28"/>
          <w:szCs w:val="28"/>
          <w:highlight w:val="none"/>
        </w:rPr>
      </w:pPr>
    </w:p>
    <w:p w14:paraId="37579B9B">
      <w:pPr>
        <w:spacing w:line="360" w:lineRule="auto"/>
        <w:jc w:val="center"/>
        <w:rPr>
          <w:rFonts w:hint="eastAsia" w:ascii="宋体" w:hAnsi="宋体" w:cs="宋体"/>
          <w:color w:val="auto"/>
          <w:sz w:val="28"/>
          <w:szCs w:val="28"/>
          <w:highlight w:val="none"/>
        </w:rPr>
      </w:pPr>
      <w:bookmarkStart w:id="929" w:name="_Toc134452826"/>
    </w:p>
    <w:p w14:paraId="05564C30">
      <w:pPr>
        <w:spacing w:line="360" w:lineRule="auto"/>
        <w:rPr>
          <w:color w:val="auto"/>
          <w:sz w:val="28"/>
          <w:szCs w:val="28"/>
          <w:highlight w:val="none"/>
        </w:rPr>
      </w:pPr>
      <w:r>
        <w:rPr>
          <w:rFonts w:hint="eastAsia"/>
          <w:color w:val="auto"/>
          <w:sz w:val="28"/>
          <w:szCs w:val="28"/>
          <w:highlight w:val="none"/>
        </w:rPr>
        <w:br w:type="page"/>
      </w:r>
    </w:p>
    <w:p w14:paraId="5A0D3656">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2、具有良好的商业信誉和健全的财务会计制度</w:t>
      </w:r>
      <w:bookmarkEnd w:id="929"/>
    </w:p>
    <w:p w14:paraId="29EBB406">
      <w:pPr>
        <w:spacing w:line="360" w:lineRule="auto"/>
        <w:jc w:val="center"/>
        <w:rPr>
          <w:rFonts w:hint="eastAsia" w:ascii="宋体" w:hAnsi="宋体" w:cs="宋体"/>
          <w:color w:val="auto"/>
          <w:sz w:val="28"/>
          <w:szCs w:val="28"/>
          <w:highlight w:val="none"/>
        </w:rPr>
      </w:pPr>
    </w:p>
    <w:p w14:paraId="60C8733F">
      <w:pPr>
        <w:spacing w:line="360" w:lineRule="auto"/>
        <w:jc w:val="center"/>
        <w:rPr>
          <w:rFonts w:hint="eastAsia" w:ascii="宋体" w:hAnsi="宋体" w:cs="宋体"/>
          <w:color w:val="auto"/>
          <w:sz w:val="28"/>
          <w:szCs w:val="28"/>
          <w:highlight w:val="none"/>
        </w:rPr>
      </w:pPr>
      <w:r>
        <w:rPr>
          <w:rFonts w:hint="eastAsia" w:ascii="宋体" w:hAnsi="宋体" w:eastAsia="宋体"/>
          <w:color w:val="auto"/>
          <w:highlight w:val="none"/>
          <w:lang w:eastAsia="zh-CN"/>
        </w:rPr>
        <w:t>提供2023年度经第三方审计机构出具的审计报告：至少包含资产负债表、利润表、现金流量表和财务报表附注，供应商成立不满一年可提供基本户银行</w:t>
      </w:r>
      <w:r>
        <w:rPr>
          <w:rFonts w:hint="eastAsia" w:ascii="宋体" w:hAnsi="宋体" w:eastAsia="宋体"/>
          <w:color w:val="auto"/>
          <w:highlight w:val="none"/>
          <w:lang w:val="en-US" w:eastAsia="zh-CN"/>
        </w:rPr>
        <w:t>开具的</w:t>
      </w:r>
      <w:r>
        <w:rPr>
          <w:rFonts w:hint="eastAsia" w:ascii="宋体" w:hAnsi="宋体" w:eastAsia="宋体"/>
          <w:color w:val="auto"/>
          <w:highlight w:val="none"/>
          <w:lang w:eastAsia="zh-CN"/>
        </w:rPr>
        <w:t>资信证明</w:t>
      </w:r>
      <w:r>
        <w:rPr>
          <w:rFonts w:hint="eastAsia" w:ascii="宋体" w:hAnsi="宋体"/>
          <w:color w:val="auto"/>
          <w:highlight w:val="none"/>
          <w:lang w:eastAsia="zh-CN"/>
        </w:rPr>
        <w:t>。</w:t>
      </w:r>
    </w:p>
    <w:p w14:paraId="0C8A127C">
      <w:pPr>
        <w:spacing w:line="360" w:lineRule="auto"/>
        <w:jc w:val="center"/>
        <w:rPr>
          <w:rFonts w:hint="eastAsia" w:ascii="宋体" w:hAnsi="宋体" w:cs="宋体"/>
          <w:color w:val="auto"/>
          <w:sz w:val="28"/>
          <w:szCs w:val="28"/>
          <w:highlight w:val="none"/>
        </w:rPr>
      </w:pPr>
      <w:bookmarkStart w:id="930" w:name="_Toc134452827"/>
    </w:p>
    <w:p w14:paraId="30EB0D49">
      <w:pPr>
        <w:spacing w:line="360" w:lineRule="auto"/>
        <w:rPr>
          <w:color w:val="auto"/>
          <w:sz w:val="28"/>
          <w:szCs w:val="28"/>
          <w:highlight w:val="none"/>
        </w:rPr>
      </w:pPr>
      <w:r>
        <w:rPr>
          <w:rFonts w:hint="eastAsia"/>
          <w:color w:val="auto"/>
          <w:sz w:val="28"/>
          <w:szCs w:val="28"/>
          <w:highlight w:val="none"/>
        </w:rPr>
        <w:br w:type="page"/>
      </w:r>
    </w:p>
    <w:p w14:paraId="48F14FC1">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3、具有履行合同所必需的设备和专业技术能力</w:t>
      </w:r>
      <w:bookmarkEnd w:id="930"/>
    </w:p>
    <w:p w14:paraId="545166BB">
      <w:pPr>
        <w:spacing w:line="360" w:lineRule="auto"/>
        <w:jc w:val="center"/>
        <w:rPr>
          <w:rFonts w:hint="eastAsia" w:ascii="宋体" w:hAnsi="宋体" w:cs="宋体"/>
          <w:color w:val="auto"/>
          <w:sz w:val="28"/>
          <w:szCs w:val="28"/>
          <w:highlight w:val="none"/>
        </w:rPr>
      </w:pPr>
    </w:p>
    <w:p w14:paraId="24BD3A8F">
      <w:pPr>
        <w:spacing w:line="360" w:lineRule="auto"/>
        <w:jc w:val="center"/>
        <w:rPr>
          <w:rFonts w:hint="eastAsia" w:ascii="宋体" w:hAnsi="宋体" w:cs="宋体"/>
          <w:color w:val="auto"/>
          <w:highlight w:val="none"/>
        </w:rPr>
      </w:pPr>
      <w:r>
        <w:rPr>
          <w:rFonts w:hint="eastAsia" w:ascii="宋体" w:hAnsi="宋体"/>
          <w:color w:val="auto"/>
          <w:kern w:val="0"/>
          <w:highlight w:val="none"/>
        </w:rPr>
        <w:t>自行承诺，格式自拟，</w:t>
      </w:r>
      <w:r>
        <w:rPr>
          <w:rFonts w:hint="eastAsia" w:ascii="宋体" w:hAnsi="宋体" w:cs="宋体"/>
          <w:color w:val="auto"/>
          <w:highlight w:val="none"/>
        </w:rPr>
        <w:t>加盖单位公章</w:t>
      </w:r>
    </w:p>
    <w:p w14:paraId="7749C00A">
      <w:pPr>
        <w:spacing w:line="360" w:lineRule="auto"/>
        <w:jc w:val="center"/>
        <w:rPr>
          <w:rFonts w:hint="eastAsia" w:ascii="宋体" w:hAnsi="宋体" w:cs="宋体"/>
          <w:color w:val="auto"/>
          <w:sz w:val="28"/>
          <w:szCs w:val="28"/>
          <w:highlight w:val="none"/>
        </w:rPr>
      </w:pPr>
    </w:p>
    <w:p w14:paraId="7567B32E">
      <w:pPr>
        <w:spacing w:line="360" w:lineRule="auto"/>
        <w:jc w:val="center"/>
        <w:rPr>
          <w:rFonts w:hint="eastAsia" w:ascii="宋体" w:hAnsi="宋体" w:cs="宋体"/>
          <w:color w:val="auto"/>
          <w:sz w:val="28"/>
          <w:szCs w:val="28"/>
          <w:highlight w:val="none"/>
        </w:rPr>
      </w:pPr>
      <w:bookmarkStart w:id="931" w:name="_Toc134452828"/>
    </w:p>
    <w:p w14:paraId="48984D55">
      <w:pPr>
        <w:spacing w:line="360" w:lineRule="auto"/>
        <w:rPr>
          <w:color w:val="auto"/>
          <w:sz w:val="28"/>
          <w:szCs w:val="28"/>
          <w:highlight w:val="none"/>
        </w:rPr>
      </w:pPr>
      <w:r>
        <w:rPr>
          <w:rFonts w:hint="eastAsia"/>
          <w:color w:val="auto"/>
          <w:sz w:val="28"/>
          <w:szCs w:val="28"/>
          <w:highlight w:val="none"/>
        </w:rPr>
        <w:br w:type="page"/>
      </w:r>
    </w:p>
    <w:p w14:paraId="6FE34FA7">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4、有依法缴纳税收和社会保障资金的良好记录</w:t>
      </w:r>
      <w:bookmarkEnd w:id="931"/>
    </w:p>
    <w:p w14:paraId="7436109F">
      <w:pPr>
        <w:spacing w:line="360" w:lineRule="auto"/>
        <w:jc w:val="center"/>
        <w:rPr>
          <w:rFonts w:hint="eastAsia" w:ascii="宋体" w:hAnsi="宋体" w:cs="宋体"/>
          <w:color w:val="auto"/>
          <w:sz w:val="28"/>
          <w:szCs w:val="28"/>
          <w:highlight w:val="none"/>
        </w:rPr>
      </w:pPr>
    </w:p>
    <w:p w14:paraId="367D4145">
      <w:pPr>
        <w:spacing w:line="360" w:lineRule="auto"/>
        <w:rPr>
          <w:rFonts w:hint="eastAsia" w:ascii="宋体" w:hAnsi="宋体" w:cs="宋体"/>
          <w:color w:val="auto"/>
          <w:highlight w:val="none"/>
        </w:rPr>
      </w:pPr>
      <w:r>
        <w:rPr>
          <w:rFonts w:hint="eastAsia" w:ascii="宋体" w:hAnsi="宋体" w:cs="宋体"/>
          <w:color w:val="auto"/>
          <w:highlight w:val="none"/>
        </w:rPr>
        <w:t>提供2024年1月以来任意1个月依法缴纳税收和社会保障资金的证明资料，依法免税或免缴社会保障资金的供应商，应提供相应文件证明其依法免税或免缴社会保障资金。</w:t>
      </w:r>
    </w:p>
    <w:p w14:paraId="6D157E1C">
      <w:pPr>
        <w:widowControl/>
        <w:spacing w:line="360" w:lineRule="auto"/>
        <w:jc w:val="left"/>
        <w:rPr>
          <w:color w:val="auto"/>
          <w:sz w:val="24"/>
          <w:szCs w:val="24"/>
          <w:highlight w:val="none"/>
        </w:rPr>
      </w:pPr>
      <w:r>
        <w:rPr>
          <w:color w:val="auto"/>
          <w:sz w:val="24"/>
          <w:szCs w:val="24"/>
          <w:highlight w:val="none"/>
        </w:rPr>
        <w:br w:type="page"/>
      </w:r>
    </w:p>
    <w:p w14:paraId="72167FAE">
      <w:pPr>
        <w:spacing w:line="360" w:lineRule="auto"/>
        <w:jc w:val="center"/>
        <w:rPr>
          <w:rFonts w:hint="eastAsia" w:ascii="宋体" w:hAnsi="宋体" w:cs="宋体"/>
          <w:color w:val="auto"/>
          <w:sz w:val="28"/>
          <w:szCs w:val="28"/>
          <w:highlight w:val="none"/>
        </w:rPr>
      </w:pPr>
      <w:bookmarkStart w:id="932" w:name="_Toc134452829"/>
      <w:r>
        <w:rPr>
          <w:rFonts w:hint="eastAsia" w:ascii="宋体" w:hAnsi="宋体" w:cs="宋体"/>
          <w:color w:val="auto"/>
          <w:sz w:val="28"/>
          <w:szCs w:val="28"/>
          <w:highlight w:val="none"/>
        </w:rPr>
        <w:t>5、参加政府采购活动前三年内，在经营活动中没有重大违法记录声明</w:t>
      </w:r>
      <w:bookmarkEnd w:id="932"/>
    </w:p>
    <w:p w14:paraId="5151096E">
      <w:pPr>
        <w:spacing w:line="360" w:lineRule="auto"/>
        <w:jc w:val="center"/>
        <w:rPr>
          <w:rFonts w:hint="eastAsia" w:ascii="宋体" w:hAnsi="宋体" w:cs="宋体"/>
          <w:color w:val="auto"/>
          <w:sz w:val="28"/>
          <w:szCs w:val="28"/>
          <w:highlight w:val="none"/>
        </w:rPr>
      </w:pPr>
    </w:p>
    <w:p w14:paraId="3AD46B5F">
      <w:pPr>
        <w:spacing w:line="360" w:lineRule="auto"/>
        <w:jc w:val="center"/>
        <w:rPr>
          <w:rFonts w:hint="eastAsia" w:ascii="宋体" w:hAnsi="宋体" w:cs="宋体"/>
          <w:color w:val="auto"/>
          <w:highlight w:val="none"/>
        </w:rPr>
      </w:pPr>
      <w:r>
        <w:rPr>
          <w:rFonts w:hint="eastAsia" w:ascii="宋体" w:hAnsi="宋体" w:cs="宋体"/>
          <w:color w:val="auto"/>
          <w:highlight w:val="none"/>
        </w:rPr>
        <w:t>附参加政府采购活动前三年内，在经营活动中没有重大违法记录声明（</w:t>
      </w:r>
      <w:r>
        <w:rPr>
          <w:rFonts w:hint="eastAsia" w:ascii="宋体" w:hAnsi="宋体"/>
          <w:color w:val="auto"/>
          <w:highlight w:val="none"/>
        </w:rPr>
        <w:t>自行承诺，</w:t>
      </w:r>
      <w:r>
        <w:rPr>
          <w:rFonts w:hint="eastAsia" w:ascii="宋体" w:hAnsi="宋体"/>
          <w:color w:val="auto"/>
          <w:kern w:val="0"/>
          <w:highlight w:val="none"/>
        </w:rPr>
        <w:t>格式自拟</w:t>
      </w:r>
      <w:r>
        <w:rPr>
          <w:rFonts w:hint="eastAsia" w:ascii="宋体" w:hAnsi="宋体" w:cs="宋体"/>
          <w:color w:val="auto"/>
          <w:highlight w:val="none"/>
        </w:rPr>
        <w:t>）</w:t>
      </w:r>
    </w:p>
    <w:p w14:paraId="5F69A008">
      <w:pPr>
        <w:spacing w:line="360" w:lineRule="auto"/>
        <w:jc w:val="center"/>
        <w:rPr>
          <w:rFonts w:hint="eastAsia" w:ascii="宋体" w:hAnsi="宋体" w:cs="宋体"/>
          <w:color w:val="auto"/>
          <w:sz w:val="28"/>
          <w:szCs w:val="28"/>
          <w:highlight w:val="none"/>
        </w:rPr>
      </w:pPr>
    </w:p>
    <w:p w14:paraId="55445317">
      <w:pPr>
        <w:spacing w:line="360" w:lineRule="auto"/>
        <w:rPr>
          <w:color w:val="auto"/>
          <w:sz w:val="28"/>
          <w:szCs w:val="28"/>
          <w:highlight w:val="none"/>
        </w:rPr>
      </w:pPr>
      <w:bookmarkStart w:id="933" w:name="_Toc134452830"/>
      <w:r>
        <w:rPr>
          <w:rFonts w:hint="eastAsia"/>
          <w:color w:val="auto"/>
          <w:sz w:val="28"/>
          <w:szCs w:val="28"/>
          <w:highlight w:val="none"/>
        </w:rPr>
        <w:br w:type="page"/>
      </w:r>
    </w:p>
    <w:bookmarkEnd w:id="933"/>
    <w:p w14:paraId="4A1DAD93">
      <w:pPr>
        <w:spacing w:line="360" w:lineRule="auto"/>
        <w:jc w:val="center"/>
        <w:rPr>
          <w:rFonts w:hint="eastAsia" w:ascii="宋体" w:hAnsi="宋体" w:cs="宋体"/>
          <w:color w:val="auto"/>
          <w:sz w:val="28"/>
          <w:szCs w:val="28"/>
          <w:highlight w:val="none"/>
        </w:rPr>
      </w:pPr>
      <w:bookmarkStart w:id="934" w:name="_Toc134452831"/>
      <w:r>
        <w:rPr>
          <w:rFonts w:hint="eastAsia" w:ascii="宋体" w:hAnsi="宋体" w:cs="宋体"/>
          <w:color w:val="auto"/>
          <w:sz w:val="28"/>
          <w:szCs w:val="28"/>
          <w:highlight w:val="none"/>
        </w:rPr>
        <w:t>6、信用记录查询</w:t>
      </w:r>
      <w:bookmarkEnd w:id="934"/>
    </w:p>
    <w:p w14:paraId="5CE3469B">
      <w:pPr>
        <w:spacing w:line="360" w:lineRule="auto"/>
        <w:ind w:firstLine="420" w:firstLineChars="200"/>
        <w:rPr>
          <w:color w:val="auto"/>
          <w:highlight w:val="none"/>
        </w:rPr>
      </w:pPr>
      <w:r>
        <w:rPr>
          <w:rFonts w:hint="eastAsia"/>
          <w:color w:val="auto"/>
          <w:highlight w:val="none"/>
        </w:rPr>
        <w:t>查询渠道：</w:t>
      </w:r>
    </w:p>
    <w:p w14:paraId="5BF8EC90">
      <w:pPr>
        <w:spacing w:line="360" w:lineRule="auto"/>
        <w:ind w:firstLine="420" w:firstLineChars="200"/>
        <w:rPr>
          <w:color w:val="auto"/>
          <w:highlight w:val="none"/>
        </w:rPr>
      </w:pPr>
      <w:r>
        <w:rPr>
          <w:rFonts w:hint="eastAsia"/>
          <w:color w:val="auto"/>
          <w:highlight w:val="none"/>
        </w:rPr>
        <w:t>“中国执行信息公开网”网站：查询失信被执行人；</w:t>
      </w:r>
    </w:p>
    <w:p w14:paraId="7E3F14D1">
      <w:pPr>
        <w:spacing w:line="360" w:lineRule="auto"/>
        <w:ind w:firstLine="420" w:firstLineChars="200"/>
        <w:rPr>
          <w:color w:val="auto"/>
          <w:highlight w:val="none"/>
        </w:rPr>
      </w:pPr>
      <w:r>
        <w:rPr>
          <w:rFonts w:hint="eastAsia"/>
          <w:color w:val="auto"/>
          <w:highlight w:val="none"/>
        </w:rPr>
        <w:t>“信用中国”网站：查询重大税收违法失信主体；</w:t>
      </w:r>
    </w:p>
    <w:p w14:paraId="5D936374">
      <w:pPr>
        <w:spacing w:line="360" w:lineRule="auto"/>
        <w:ind w:firstLine="420" w:firstLineChars="200"/>
        <w:rPr>
          <w:color w:val="auto"/>
          <w:highlight w:val="none"/>
        </w:rPr>
      </w:pPr>
      <w:r>
        <w:rPr>
          <w:rFonts w:hint="eastAsia"/>
          <w:color w:val="auto"/>
          <w:highlight w:val="none"/>
        </w:rPr>
        <w:t>“中国政府采购网”网站：查询政府采购严重违法失信行为记录名单。</w:t>
      </w:r>
    </w:p>
    <w:p w14:paraId="6A9A5FFB">
      <w:pPr>
        <w:spacing w:line="360" w:lineRule="auto"/>
        <w:ind w:firstLine="420" w:firstLineChars="200"/>
        <w:rPr>
          <w:color w:val="auto"/>
          <w:highlight w:val="none"/>
        </w:rPr>
      </w:pPr>
      <w:r>
        <w:rPr>
          <w:rFonts w:hint="eastAsia"/>
          <w:color w:val="auto"/>
          <w:highlight w:val="none"/>
        </w:rPr>
        <w:t>查询时间：本项目开标结束后至评标结束之前。</w:t>
      </w:r>
    </w:p>
    <w:p w14:paraId="70F34163">
      <w:pPr>
        <w:spacing w:line="360" w:lineRule="auto"/>
        <w:ind w:firstLine="420" w:firstLineChars="200"/>
        <w:rPr>
          <w:color w:val="auto"/>
          <w:highlight w:val="none"/>
        </w:rPr>
      </w:pPr>
    </w:p>
    <w:p w14:paraId="1EC090B9">
      <w:pPr>
        <w:spacing w:line="360" w:lineRule="auto"/>
        <w:ind w:firstLine="420" w:firstLineChars="200"/>
        <w:rPr>
          <w:color w:val="auto"/>
          <w:highlight w:val="none"/>
        </w:rPr>
      </w:pPr>
      <w:r>
        <w:rPr>
          <w:rFonts w:hint="eastAsia"/>
          <w:color w:val="auto"/>
          <w:highlight w:val="none"/>
        </w:rPr>
        <w:t>响应文件内</w:t>
      </w:r>
      <w:r>
        <w:rPr>
          <w:rFonts w:hint="eastAsia"/>
          <w:color w:val="auto"/>
          <w:highlight w:val="none"/>
          <w:lang w:val="en-US" w:eastAsia="zh-CN"/>
        </w:rPr>
        <w:t>未附入</w:t>
      </w:r>
      <w:r>
        <w:rPr>
          <w:rFonts w:hint="eastAsia"/>
          <w:color w:val="auto"/>
          <w:highlight w:val="none"/>
        </w:rPr>
        <w:t>查询记录的不作为无效响应处理</w:t>
      </w:r>
      <w:r>
        <w:rPr>
          <w:rFonts w:hint="eastAsia"/>
          <w:color w:val="auto"/>
          <w:highlight w:val="none"/>
          <w:lang w:eastAsia="zh-CN"/>
        </w:rPr>
        <w:t>。</w:t>
      </w:r>
      <w:r>
        <w:rPr>
          <w:rFonts w:hint="eastAsia"/>
          <w:color w:val="auto"/>
          <w:highlight w:val="none"/>
        </w:rPr>
        <w:t>采购人或采购代理机构开标后对所有供应商信用记录进行查询，以开标后查询结果为准，经查询之后，网站信息发生的任何变更均不再作为评审依据，以采购代理机构开标当日查询结果作为评审依据。</w:t>
      </w:r>
    </w:p>
    <w:p w14:paraId="65061928">
      <w:pPr>
        <w:widowControl/>
        <w:spacing w:line="360" w:lineRule="auto"/>
        <w:jc w:val="left"/>
        <w:rPr>
          <w:color w:val="auto"/>
          <w:sz w:val="24"/>
          <w:szCs w:val="24"/>
          <w:highlight w:val="none"/>
        </w:rPr>
      </w:pPr>
    </w:p>
    <w:p w14:paraId="5FBACFC0">
      <w:pPr>
        <w:spacing w:line="360" w:lineRule="auto"/>
        <w:rPr>
          <w:color w:val="auto"/>
          <w:sz w:val="28"/>
          <w:szCs w:val="28"/>
          <w:highlight w:val="none"/>
        </w:rPr>
      </w:pPr>
      <w:bookmarkStart w:id="935" w:name="_Toc134452832"/>
      <w:r>
        <w:rPr>
          <w:rFonts w:hint="eastAsia"/>
          <w:color w:val="auto"/>
          <w:sz w:val="28"/>
          <w:szCs w:val="28"/>
          <w:highlight w:val="none"/>
        </w:rPr>
        <w:br w:type="page"/>
      </w:r>
    </w:p>
    <w:p w14:paraId="79273690">
      <w:pPr>
        <w:spacing w:line="360" w:lineRule="auto"/>
        <w:jc w:val="center"/>
        <w:rPr>
          <w:color w:val="auto"/>
          <w:sz w:val="28"/>
          <w:szCs w:val="28"/>
          <w:highlight w:val="none"/>
        </w:rPr>
      </w:pPr>
      <w:r>
        <w:rPr>
          <w:rFonts w:hint="eastAsia"/>
          <w:color w:val="auto"/>
          <w:sz w:val="28"/>
          <w:szCs w:val="28"/>
          <w:highlight w:val="none"/>
        </w:rPr>
        <w:t>7、单位负责人为同一人或者存在直接控股、管理关系的不同供应商，不得参加同一合同项下的政府采购活动声明函</w:t>
      </w:r>
      <w:bookmarkEnd w:id="935"/>
    </w:p>
    <w:p w14:paraId="4D4669E8">
      <w:pPr>
        <w:spacing w:line="360" w:lineRule="auto"/>
        <w:rPr>
          <w:color w:val="auto"/>
          <w:highlight w:val="none"/>
        </w:rPr>
      </w:pPr>
    </w:p>
    <w:p w14:paraId="7D4631E0">
      <w:pPr>
        <w:spacing w:before="240" w:after="120"/>
        <w:jc w:val="center"/>
        <w:rPr>
          <w:color w:val="auto"/>
          <w:highlight w:val="none"/>
        </w:rPr>
        <w:sectPr>
          <w:pgSz w:w="11905" w:h="16838"/>
          <w:pgMar w:top="1440" w:right="1800" w:bottom="1440" w:left="1800" w:header="794" w:footer="794" w:gutter="0"/>
          <w:pgNumType w:fmt="decimal"/>
          <w:cols w:space="720" w:num="1"/>
          <w:docGrid w:type="lines" w:linePitch="318" w:charSpace="0"/>
        </w:sectPr>
      </w:pPr>
      <w:r>
        <w:rPr>
          <w:rFonts w:hint="eastAsia"/>
          <w:color w:val="auto"/>
          <w:highlight w:val="none"/>
        </w:rPr>
        <w:t>针对是否存在“单位负责人为同一人或者存在直接控股、管理关系的不同供应商，同时参加本项目同一合同项下的政府采购活动”情形的声明函。</w:t>
      </w:r>
    </w:p>
    <w:p w14:paraId="299F5D66">
      <w:pPr>
        <w:pStyle w:val="33"/>
        <w:tabs>
          <w:tab w:val="left" w:pos="945"/>
          <w:tab w:val="left" w:pos="1155"/>
        </w:tabs>
        <w:spacing w:line="360" w:lineRule="auto"/>
        <w:ind w:left="0" w:leftChars="0" w:firstLine="0" w:firstLineChars="0"/>
        <w:rPr>
          <w:color w:val="auto"/>
          <w:sz w:val="28"/>
          <w:szCs w:val="28"/>
          <w:highlight w:val="none"/>
        </w:rPr>
      </w:pPr>
      <w:r>
        <w:rPr>
          <w:rFonts w:hint="eastAsia"/>
          <w:color w:val="auto"/>
          <w:sz w:val="28"/>
          <w:szCs w:val="28"/>
          <w:highlight w:val="none"/>
        </w:rPr>
        <w:t>8、其他要求</w:t>
      </w:r>
    </w:p>
    <w:p w14:paraId="757AA33A">
      <w:pPr>
        <w:spacing w:before="240" w:after="120"/>
        <w:jc w:val="center"/>
        <w:rPr>
          <w:color w:val="auto"/>
          <w:highlight w:val="none"/>
        </w:rPr>
        <w:sectPr>
          <w:pgSz w:w="11905" w:h="16838"/>
          <w:pgMar w:top="1440" w:right="1800" w:bottom="1440" w:left="1800" w:header="794" w:footer="794" w:gutter="0"/>
          <w:pgNumType w:fmt="decimal"/>
          <w:cols w:space="720" w:num="1"/>
          <w:docGrid w:type="lines" w:linePitch="318" w:charSpace="0"/>
        </w:sectPr>
      </w:pPr>
    </w:p>
    <w:p w14:paraId="4AB21012">
      <w:pPr>
        <w:pStyle w:val="5"/>
        <w:bidi w:val="0"/>
        <w:jc w:val="center"/>
        <w:rPr>
          <w:rFonts w:hint="eastAsia" w:ascii="宋体" w:hAnsi="宋体" w:eastAsia="宋体" w:cs="宋体"/>
          <w:sz w:val="28"/>
          <w:szCs w:val="28"/>
          <w:highlight w:val="none"/>
        </w:rPr>
      </w:pPr>
      <w:bookmarkStart w:id="936" w:name="_Toc21131"/>
      <w:r>
        <w:rPr>
          <w:rFonts w:hint="eastAsia" w:ascii="宋体" w:hAnsi="宋体" w:eastAsia="宋体" w:cs="宋体"/>
          <w:sz w:val="28"/>
          <w:szCs w:val="28"/>
          <w:highlight w:val="none"/>
        </w:rPr>
        <w:t>六、技术规格偏差表</w:t>
      </w:r>
      <w:bookmarkEnd w:id="923"/>
      <w:bookmarkEnd w:id="924"/>
      <w:bookmarkEnd w:id="925"/>
      <w:bookmarkEnd w:id="936"/>
    </w:p>
    <w:tbl>
      <w:tblPr>
        <w:tblStyle w:val="3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86"/>
        <w:gridCol w:w="1587"/>
        <w:gridCol w:w="1513"/>
        <w:gridCol w:w="907"/>
        <w:gridCol w:w="1893"/>
        <w:gridCol w:w="1470"/>
      </w:tblGrid>
      <w:tr w14:paraId="43FC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43" w:type="dxa"/>
            <w:noWrap w:val="0"/>
            <w:vAlign w:val="center"/>
          </w:tcPr>
          <w:p w14:paraId="09FA32F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86" w:type="dxa"/>
            <w:noWrap w:val="0"/>
            <w:vAlign w:val="center"/>
          </w:tcPr>
          <w:p w14:paraId="00F87A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产品名称</w:t>
            </w:r>
            <w:r>
              <w:rPr>
                <w:rFonts w:hint="eastAsia" w:ascii="宋体" w:hAnsi="宋体" w:cs="宋体"/>
                <w:color w:val="auto"/>
                <w:sz w:val="24"/>
                <w:szCs w:val="24"/>
                <w:highlight w:val="none"/>
                <w:lang w:eastAsia="zh-CN"/>
              </w:rPr>
              <w:t>及重要性（如有）</w:t>
            </w:r>
          </w:p>
        </w:tc>
        <w:tc>
          <w:tcPr>
            <w:tcW w:w="1587" w:type="dxa"/>
            <w:noWrap w:val="0"/>
            <w:vAlign w:val="center"/>
          </w:tcPr>
          <w:p w14:paraId="74554AD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磋商文件技术参数要求</w:t>
            </w:r>
          </w:p>
        </w:tc>
        <w:tc>
          <w:tcPr>
            <w:tcW w:w="1513" w:type="dxa"/>
            <w:noWrap w:val="0"/>
            <w:vAlign w:val="center"/>
          </w:tcPr>
          <w:p w14:paraId="2593F88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响应文件响应技术参数</w:t>
            </w:r>
          </w:p>
        </w:tc>
        <w:tc>
          <w:tcPr>
            <w:tcW w:w="907" w:type="dxa"/>
            <w:noWrap w:val="0"/>
            <w:vAlign w:val="center"/>
          </w:tcPr>
          <w:p w14:paraId="35B969B9">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偏离</w:t>
            </w:r>
            <w:r>
              <w:rPr>
                <w:rFonts w:hint="eastAsia" w:ascii="宋体" w:hAnsi="宋体" w:cs="宋体"/>
                <w:color w:val="auto"/>
                <w:sz w:val="24"/>
                <w:szCs w:val="24"/>
                <w:highlight w:val="none"/>
              </w:rPr>
              <w:t>描述</w:t>
            </w:r>
          </w:p>
        </w:tc>
        <w:tc>
          <w:tcPr>
            <w:tcW w:w="1893" w:type="dxa"/>
            <w:noWrap w:val="0"/>
            <w:vAlign w:val="center"/>
          </w:tcPr>
          <w:p w14:paraId="7D460DE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结论</w:t>
            </w:r>
          </w:p>
          <w:p w14:paraId="3D4D432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（正偏离/负偏离/无偏离）</w:t>
            </w:r>
          </w:p>
        </w:tc>
        <w:tc>
          <w:tcPr>
            <w:tcW w:w="1470" w:type="dxa"/>
            <w:noWrap w:val="0"/>
            <w:vAlign w:val="center"/>
          </w:tcPr>
          <w:p w14:paraId="66DE985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注明技术证明材料对应响应文件页码</w:t>
            </w:r>
          </w:p>
        </w:tc>
      </w:tr>
      <w:tr w14:paraId="40E6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43" w:type="dxa"/>
            <w:noWrap w:val="0"/>
            <w:vAlign w:val="center"/>
          </w:tcPr>
          <w:p w14:paraId="12ECC79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86" w:type="dxa"/>
            <w:noWrap w:val="0"/>
            <w:vAlign w:val="center"/>
          </w:tcPr>
          <w:p w14:paraId="08385B5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87" w:type="dxa"/>
            <w:noWrap w:val="0"/>
            <w:vAlign w:val="center"/>
          </w:tcPr>
          <w:p w14:paraId="09AB3E2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13" w:type="dxa"/>
            <w:noWrap w:val="0"/>
            <w:vAlign w:val="center"/>
          </w:tcPr>
          <w:p w14:paraId="7D08F88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907" w:type="dxa"/>
            <w:noWrap w:val="0"/>
            <w:vAlign w:val="center"/>
          </w:tcPr>
          <w:p w14:paraId="26E5F50B">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893" w:type="dxa"/>
            <w:noWrap w:val="0"/>
            <w:vAlign w:val="center"/>
          </w:tcPr>
          <w:p w14:paraId="349BB7B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70" w:type="dxa"/>
            <w:noWrap w:val="0"/>
            <w:vAlign w:val="center"/>
          </w:tcPr>
          <w:p w14:paraId="63533FB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49C1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43" w:type="dxa"/>
            <w:noWrap w:val="0"/>
            <w:vAlign w:val="center"/>
          </w:tcPr>
          <w:p w14:paraId="21DF501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286" w:type="dxa"/>
            <w:noWrap w:val="0"/>
            <w:vAlign w:val="center"/>
          </w:tcPr>
          <w:p w14:paraId="0DA5A83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87" w:type="dxa"/>
            <w:noWrap w:val="0"/>
            <w:vAlign w:val="center"/>
          </w:tcPr>
          <w:p w14:paraId="11646D0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13" w:type="dxa"/>
            <w:noWrap w:val="0"/>
            <w:vAlign w:val="center"/>
          </w:tcPr>
          <w:p w14:paraId="69210B5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907" w:type="dxa"/>
            <w:noWrap w:val="0"/>
            <w:vAlign w:val="center"/>
          </w:tcPr>
          <w:p w14:paraId="00102E0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893" w:type="dxa"/>
            <w:noWrap w:val="0"/>
            <w:vAlign w:val="center"/>
          </w:tcPr>
          <w:p w14:paraId="0247B5A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70" w:type="dxa"/>
            <w:noWrap w:val="0"/>
            <w:vAlign w:val="center"/>
          </w:tcPr>
          <w:p w14:paraId="2513BB1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2FA6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43" w:type="dxa"/>
            <w:noWrap w:val="0"/>
            <w:vAlign w:val="center"/>
          </w:tcPr>
          <w:p w14:paraId="04FEB45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286" w:type="dxa"/>
            <w:noWrap w:val="0"/>
            <w:vAlign w:val="center"/>
          </w:tcPr>
          <w:p w14:paraId="06DE92A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87" w:type="dxa"/>
            <w:noWrap w:val="0"/>
            <w:vAlign w:val="center"/>
          </w:tcPr>
          <w:p w14:paraId="54F124D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13" w:type="dxa"/>
            <w:noWrap w:val="0"/>
            <w:vAlign w:val="center"/>
          </w:tcPr>
          <w:p w14:paraId="53CA2CA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907" w:type="dxa"/>
            <w:noWrap w:val="0"/>
            <w:vAlign w:val="center"/>
          </w:tcPr>
          <w:p w14:paraId="76AB842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893" w:type="dxa"/>
            <w:noWrap w:val="0"/>
            <w:vAlign w:val="center"/>
          </w:tcPr>
          <w:p w14:paraId="08FC859B">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70" w:type="dxa"/>
            <w:noWrap w:val="0"/>
            <w:vAlign w:val="center"/>
          </w:tcPr>
          <w:p w14:paraId="209BC39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208D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43" w:type="dxa"/>
            <w:noWrap w:val="0"/>
            <w:vAlign w:val="center"/>
          </w:tcPr>
          <w:p w14:paraId="1D4CF65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286" w:type="dxa"/>
            <w:noWrap w:val="0"/>
            <w:vAlign w:val="center"/>
          </w:tcPr>
          <w:p w14:paraId="65CE1B6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87" w:type="dxa"/>
            <w:noWrap w:val="0"/>
            <w:vAlign w:val="center"/>
          </w:tcPr>
          <w:p w14:paraId="4C1351E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13" w:type="dxa"/>
            <w:noWrap w:val="0"/>
            <w:vAlign w:val="center"/>
          </w:tcPr>
          <w:p w14:paraId="42AB5DA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907" w:type="dxa"/>
            <w:noWrap w:val="0"/>
            <w:vAlign w:val="center"/>
          </w:tcPr>
          <w:p w14:paraId="11990BA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893" w:type="dxa"/>
            <w:noWrap w:val="0"/>
            <w:vAlign w:val="center"/>
          </w:tcPr>
          <w:p w14:paraId="7659A8C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70" w:type="dxa"/>
            <w:noWrap w:val="0"/>
            <w:vAlign w:val="center"/>
          </w:tcPr>
          <w:p w14:paraId="5F50473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6DAA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43" w:type="dxa"/>
            <w:noWrap w:val="0"/>
            <w:vAlign w:val="center"/>
          </w:tcPr>
          <w:p w14:paraId="454CB29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286" w:type="dxa"/>
            <w:noWrap w:val="0"/>
            <w:vAlign w:val="center"/>
          </w:tcPr>
          <w:p w14:paraId="0E1CB4F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87" w:type="dxa"/>
            <w:noWrap w:val="0"/>
            <w:vAlign w:val="center"/>
          </w:tcPr>
          <w:p w14:paraId="064DD5B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513" w:type="dxa"/>
            <w:noWrap w:val="0"/>
            <w:vAlign w:val="center"/>
          </w:tcPr>
          <w:p w14:paraId="03A4ABB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907" w:type="dxa"/>
            <w:noWrap w:val="0"/>
            <w:vAlign w:val="center"/>
          </w:tcPr>
          <w:p w14:paraId="4D3BC6D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893" w:type="dxa"/>
            <w:noWrap w:val="0"/>
            <w:vAlign w:val="center"/>
          </w:tcPr>
          <w:p w14:paraId="7ACE0539">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70" w:type="dxa"/>
            <w:noWrap w:val="0"/>
            <w:vAlign w:val="center"/>
          </w:tcPr>
          <w:p w14:paraId="38EAC2A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bl>
    <w:p w14:paraId="0AF1D076">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w:t>
      </w:r>
    </w:p>
    <w:p w14:paraId="5DFF4DF2">
      <w:pPr>
        <w:numPr>
          <w:ilvl w:val="0"/>
          <w:numId w:val="14"/>
        </w:num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第五章 采购需求中</w:t>
      </w:r>
      <w:r>
        <w:rPr>
          <w:rFonts w:hint="eastAsia" w:ascii="宋体" w:hAnsi="宋体"/>
          <w:color w:val="auto"/>
          <w:sz w:val="24"/>
          <w:szCs w:val="24"/>
          <w:highlight w:val="none"/>
        </w:rPr>
        <w:t>加★项不允许负</w:t>
      </w:r>
      <w:r>
        <w:rPr>
          <w:rFonts w:hint="eastAsia" w:ascii="宋体" w:hAnsi="宋体"/>
          <w:color w:val="auto"/>
          <w:sz w:val="24"/>
          <w:szCs w:val="24"/>
          <w:highlight w:val="none"/>
          <w:lang w:eastAsia="zh-CN"/>
        </w:rPr>
        <w:t>偏离</w:t>
      </w:r>
      <w:r>
        <w:rPr>
          <w:rFonts w:hint="eastAsia" w:ascii="宋体" w:hAnsi="宋体"/>
          <w:color w:val="auto"/>
          <w:sz w:val="24"/>
          <w:szCs w:val="24"/>
          <w:highlight w:val="none"/>
        </w:rPr>
        <w:t>，</w:t>
      </w:r>
      <w:r>
        <w:rPr>
          <w:rFonts w:hint="eastAsia" w:ascii="宋体" w:hAnsi="宋体"/>
          <w:color w:val="auto"/>
          <w:sz w:val="24"/>
          <w:szCs w:val="24"/>
          <w:highlight w:val="none"/>
          <w:lang w:eastAsia="zh-CN"/>
        </w:rPr>
        <w:t>以技术规格偏差表中的响应为准，</w:t>
      </w:r>
      <w:r>
        <w:rPr>
          <w:rFonts w:hint="eastAsia" w:ascii="宋体" w:hAnsi="宋体"/>
          <w:color w:val="auto"/>
          <w:sz w:val="24"/>
          <w:szCs w:val="24"/>
          <w:highlight w:val="none"/>
          <w:lang w:val="en-US" w:eastAsia="zh-CN"/>
        </w:rPr>
        <w:t>如未响应，则为无效投标。</w:t>
      </w:r>
    </w:p>
    <w:p w14:paraId="6D5E0AD1">
      <w:pPr>
        <w:numPr>
          <w:ilvl w:val="0"/>
          <w:numId w:val="14"/>
        </w:num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供应商应对磋商文件</w:t>
      </w:r>
      <w:r>
        <w:rPr>
          <w:rFonts w:hint="eastAsia" w:ascii="宋体" w:hAnsi="宋体"/>
          <w:color w:val="auto"/>
          <w:sz w:val="24"/>
          <w:szCs w:val="24"/>
          <w:highlight w:val="none"/>
          <w:lang w:val="en-US" w:eastAsia="zh-CN"/>
        </w:rPr>
        <w:t>第五章 采购需求1、设备采购配置及技术参数要求中</w:t>
      </w:r>
      <w:r>
        <w:rPr>
          <w:rFonts w:hint="eastAsia" w:ascii="宋体" w:hAnsi="宋体"/>
          <w:color w:val="auto"/>
          <w:sz w:val="24"/>
          <w:szCs w:val="24"/>
          <w:highlight w:val="none"/>
        </w:rPr>
        <w:t>的</w:t>
      </w:r>
      <w:r>
        <w:rPr>
          <w:rFonts w:hint="eastAsia" w:ascii="宋体" w:hAnsi="宋体"/>
          <w:b/>
          <w:bCs/>
          <w:color w:val="auto"/>
          <w:sz w:val="24"/>
          <w:szCs w:val="24"/>
          <w:highlight w:val="none"/>
          <w:lang w:eastAsia="zh-CN"/>
        </w:rPr>
        <w:t>“技术参数”</w:t>
      </w:r>
      <w:r>
        <w:rPr>
          <w:rFonts w:hint="eastAsia" w:ascii="宋体" w:hAnsi="宋体"/>
          <w:color w:val="auto"/>
          <w:sz w:val="24"/>
          <w:szCs w:val="24"/>
          <w:highlight w:val="none"/>
        </w:rPr>
        <w:t>要求逐项做出响应，在“技术规格偏差表”中列明磋商文件中的技术规格要求、响应文件响应情况，并标明偏差情况。</w:t>
      </w:r>
    </w:p>
    <w:p w14:paraId="7A043995">
      <w:pPr>
        <w:numPr>
          <w:ilvl w:val="0"/>
          <w:numId w:val="14"/>
        </w:numPr>
        <w:ind w:left="0" w:leftChars="0" w:firstLine="480" w:firstLineChars="200"/>
        <w:rPr>
          <w:rFonts w:hint="eastAsia" w:ascii="宋体" w:hAnsi="宋体"/>
          <w:color w:val="auto"/>
          <w:sz w:val="24"/>
          <w:szCs w:val="24"/>
          <w:highlight w:val="none"/>
        </w:rPr>
      </w:pPr>
      <w:r>
        <w:rPr>
          <w:rFonts w:hint="eastAsia" w:ascii="宋体" w:hAnsi="宋体" w:cs="Times New Roman"/>
          <w:b w:val="0"/>
          <w:bCs w:val="0"/>
          <w:color w:val="auto"/>
          <w:sz w:val="24"/>
          <w:szCs w:val="24"/>
          <w:highlight w:val="none"/>
          <w:lang w:val="en-US" w:eastAsia="zh-CN"/>
        </w:rPr>
        <w:t>对于技术参数中对客观证明资料（技术支持资料）有明确要求的，供应商应在投标文件中提供设备技术参数中明确要求提供的客观证明资料（技术支持资料）</w:t>
      </w:r>
      <w:r>
        <w:rPr>
          <w:rFonts w:hint="eastAsia" w:ascii="宋体" w:hAnsi="宋体"/>
          <w:color w:val="auto"/>
          <w:sz w:val="24"/>
          <w:szCs w:val="24"/>
          <w:highlight w:val="none"/>
          <w:lang w:val="en-US" w:eastAsia="zh-CN"/>
        </w:rPr>
        <w:t>；未作明确要求的，可选择以下任意形式作为客观证明材料（技术支持资料）：a.国家认可的检验检测认证机构出具的认证证书、检测报告；b.投标产品制造商公开发布的印刷技术资料（彩页或技术白皮书）、设备实物图片；c.投标产品制造商官网发布的技术资料网页版打印件（显示网页网址）</w:t>
      </w:r>
      <w:r>
        <w:rPr>
          <w:rFonts w:hint="eastAsia" w:ascii="宋体" w:hAnsi="宋体"/>
          <w:color w:val="auto"/>
          <w:sz w:val="24"/>
          <w:szCs w:val="24"/>
          <w:highlight w:val="none"/>
        </w:rPr>
        <w:t>。</w:t>
      </w:r>
    </w:p>
    <w:p w14:paraId="5F4F5F0A">
      <w:pPr>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4、一般技术参数如明确要求无需提供证明材料的，以技术规格偏差表中响应的为准。</w:t>
      </w:r>
    </w:p>
    <w:p w14:paraId="29AFD136">
      <w:pPr>
        <w:rPr>
          <w:rFonts w:hint="eastAsia" w:ascii="宋体" w:hAnsi="宋体"/>
          <w:color w:val="auto"/>
          <w:sz w:val="24"/>
          <w:szCs w:val="24"/>
          <w:highlight w:val="none"/>
        </w:rPr>
      </w:pPr>
    </w:p>
    <w:p w14:paraId="48A8E481">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2BD3B85D">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289A0F93">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C62DABD">
      <w:pPr>
        <w:bidi w:val="0"/>
        <w:rPr>
          <w:highlight w:val="none"/>
        </w:rPr>
        <w:sectPr>
          <w:pgSz w:w="11905" w:h="16838"/>
          <w:pgMar w:top="1440" w:right="1800" w:bottom="1440" w:left="1800" w:header="794" w:footer="794" w:gutter="0"/>
          <w:pgNumType w:fmt="decimal"/>
          <w:cols w:space="720" w:num="1"/>
          <w:docGrid w:type="lines" w:linePitch="318" w:charSpace="0"/>
        </w:sectPr>
      </w:pPr>
    </w:p>
    <w:p w14:paraId="50329196">
      <w:pPr>
        <w:pStyle w:val="5"/>
        <w:bidi w:val="0"/>
        <w:jc w:val="center"/>
        <w:rPr>
          <w:rFonts w:hint="eastAsia" w:ascii="宋体" w:hAnsi="宋体" w:eastAsia="宋体" w:cs="宋体"/>
          <w:sz w:val="28"/>
          <w:szCs w:val="28"/>
          <w:highlight w:val="none"/>
        </w:rPr>
      </w:pPr>
      <w:bookmarkStart w:id="937" w:name="_Toc31665"/>
      <w:bookmarkEnd w:id="937"/>
      <w:bookmarkStart w:id="938" w:name="_Toc27294"/>
      <w:r>
        <w:rPr>
          <w:rFonts w:hint="eastAsia" w:ascii="宋体" w:hAnsi="宋体" w:eastAsia="宋体" w:cs="宋体"/>
          <w:sz w:val="28"/>
          <w:szCs w:val="28"/>
          <w:highlight w:val="none"/>
        </w:rPr>
        <w:t>七、商务条款偏离表</w:t>
      </w:r>
      <w:bookmarkEnd w:id="938"/>
    </w:p>
    <w:tbl>
      <w:tblPr>
        <w:tblStyle w:val="34"/>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1"/>
        <w:gridCol w:w="1777"/>
        <w:gridCol w:w="1311"/>
        <w:gridCol w:w="1381"/>
        <w:gridCol w:w="1408"/>
      </w:tblGrid>
      <w:tr w14:paraId="1E3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40" w:type="dxa"/>
            <w:noWrap w:val="0"/>
            <w:vAlign w:val="center"/>
          </w:tcPr>
          <w:p w14:paraId="0F3A6E6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序号</w:t>
            </w:r>
          </w:p>
        </w:tc>
        <w:tc>
          <w:tcPr>
            <w:tcW w:w="1281" w:type="dxa"/>
            <w:noWrap w:val="0"/>
            <w:vAlign w:val="center"/>
          </w:tcPr>
          <w:p w14:paraId="24718C9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项 目</w:t>
            </w:r>
          </w:p>
        </w:tc>
        <w:tc>
          <w:tcPr>
            <w:tcW w:w="1777" w:type="dxa"/>
            <w:noWrap w:val="0"/>
            <w:vAlign w:val="center"/>
          </w:tcPr>
          <w:p w14:paraId="7E57323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磋商文件要求</w:t>
            </w:r>
          </w:p>
        </w:tc>
        <w:tc>
          <w:tcPr>
            <w:tcW w:w="1311" w:type="dxa"/>
            <w:noWrap w:val="0"/>
            <w:vAlign w:val="center"/>
          </w:tcPr>
          <w:p w14:paraId="7AECDA5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响应情况</w:t>
            </w:r>
          </w:p>
        </w:tc>
        <w:tc>
          <w:tcPr>
            <w:tcW w:w="1381" w:type="dxa"/>
            <w:noWrap w:val="0"/>
            <w:vAlign w:val="center"/>
          </w:tcPr>
          <w:p w14:paraId="508C7F7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偏离情况</w:t>
            </w:r>
            <w:r>
              <w:rPr>
                <w:rFonts w:hint="eastAsia" w:ascii="宋体" w:hAnsi="宋体" w:cs="宋体"/>
                <w:color w:val="auto"/>
                <w:sz w:val="24"/>
                <w:szCs w:val="24"/>
                <w:highlight w:val="none"/>
              </w:rPr>
              <w:t>（正偏离/负偏离/无偏离）</w:t>
            </w:r>
          </w:p>
        </w:tc>
        <w:tc>
          <w:tcPr>
            <w:tcW w:w="1408" w:type="dxa"/>
            <w:noWrap w:val="0"/>
            <w:vAlign w:val="center"/>
          </w:tcPr>
          <w:p w14:paraId="6DBEEB4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备注</w:t>
            </w:r>
          </w:p>
        </w:tc>
      </w:tr>
      <w:tr w14:paraId="74E9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40" w:type="dxa"/>
            <w:noWrap w:val="0"/>
            <w:vAlign w:val="center"/>
          </w:tcPr>
          <w:p w14:paraId="4B66AC4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81" w:type="dxa"/>
            <w:noWrap w:val="0"/>
            <w:vAlign w:val="center"/>
          </w:tcPr>
          <w:p w14:paraId="4A9B3F86">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采购范围</w:t>
            </w:r>
          </w:p>
        </w:tc>
        <w:tc>
          <w:tcPr>
            <w:tcW w:w="1777" w:type="dxa"/>
            <w:noWrap w:val="0"/>
            <w:vAlign w:val="center"/>
          </w:tcPr>
          <w:p w14:paraId="7F80AE1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0A570DF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785EF43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20C380E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7092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40" w:type="dxa"/>
            <w:noWrap w:val="0"/>
            <w:vAlign w:val="center"/>
          </w:tcPr>
          <w:p w14:paraId="3F8B046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281" w:type="dxa"/>
            <w:noWrap w:val="0"/>
            <w:vAlign w:val="center"/>
          </w:tcPr>
          <w:p w14:paraId="3D49D0C4">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highlight w:val="none"/>
              </w:rPr>
            </w:pPr>
            <w:r>
              <w:rPr>
                <w:rFonts w:hint="eastAsia" w:ascii="宋体" w:hAnsi="宋体"/>
                <w:color w:val="auto"/>
                <w:highlight w:val="none"/>
              </w:rPr>
              <w:t>交货地点</w:t>
            </w:r>
          </w:p>
        </w:tc>
        <w:tc>
          <w:tcPr>
            <w:tcW w:w="1777" w:type="dxa"/>
            <w:noWrap w:val="0"/>
            <w:vAlign w:val="center"/>
          </w:tcPr>
          <w:p w14:paraId="1361E17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5F6A213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5A7BC2E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564452E9">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42D5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40" w:type="dxa"/>
            <w:noWrap w:val="0"/>
            <w:vAlign w:val="center"/>
          </w:tcPr>
          <w:p w14:paraId="0F2983D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281" w:type="dxa"/>
            <w:noWrap w:val="0"/>
            <w:vAlign w:val="center"/>
          </w:tcPr>
          <w:p w14:paraId="6C41ECD8">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交货期</w:t>
            </w:r>
          </w:p>
        </w:tc>
        <w:tc>
          <w:tcPr>
            <w:tcW w:w="1777" w:type="dxa"/>
            <w:noWrap w:val="0"/>
            <w:vAlign w:val="center"/>
          </w:tcPr>
          <w:p w14:paraId="38DF654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54A5959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72D1432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079EE17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5F77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40" w:type="dxa"/>
            <w:noWrap w:val="0"/>
            <w:vAlign w:val="center"/>
          </w:tcPr>
          <w:p w14:paraId="570274D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281" w:type="dxa"/>
            <w:noWrap w:val="0"/>
            <w:vAlign w:val="center"/>
          </w:tcPr>
          <w:p w14:paraId="329F871D">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质量要求</w:t>
            </w:r>
          </w:p>
        </w:tc>
        <w:tc>
          <w:tcPr>
            <w:tcW w:w="1777" w:type="dxa"/>
            <w:noWrap w:val="0"/>
            <w:vAlign w:val="center"/>
          </w:tcPr>
          <w:p w14:paraId="091356D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35D43EE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476524A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45687C7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70FE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40" w:type="dxa"/>
            <w:noWrap w:val="0"/>
            <w:vAlign w:val="center"/>
          </w:tcPr>
          <w:p w14:paraId="2B4FB63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1281" w:type="dxa"/>
            <w:noWrap w:val="0"/>
            <w:vAlign w:val="center"/>
          </w:tcPr>
          <w:p w14:paraId="472B7C27">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质保期</w:t>
            </w:r>
          </w:p>
        </w:tc>
        <w:tc>
          <w:tcPr>
            <w:tcW w:w="1777" w:type="dxa"/>
            <w:noWrap w:val="0"/>
            <w:vAlign w:val="center"/>
          </w:tcPr>
          <w:p w14:paraId="330953C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178C804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2CB8424B">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1F297FF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530A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40" w:type="dxa"/>
            <w:noWrap w:val="0"/>
            <w:vAlign w:val="center"/>
          </w:tcPr>
          <w:p w14:paraId="3B562D7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1281" w:type="dxa"/>
            <w:noWrap w:val="0"/>
            <w:vAlign w:val="center"/>
          </w:tcPr>
          <w:p w14:paraId="555C6783">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磋商有效期</w:t>
            </w:r>
          </w:p>
        </w:tc>
        <w:tc>
          <w:tcPr>
            <w:tcW w:w="1777" w:type="dxa"/>
            <w:noWrap w:val="0"/>
            <w:vAlign w:val="center"/>
          </w:tcPr>
          <w:p w14:paraId="170E36C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117C828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4C71FBE0">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6B3ECEB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289C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40" w:type="dxa"/>
            <w:noWrap w:val="0"/>
            <w:vAlign w:val="center"/>
          </w:tcPr>
          <w:p w14:paraId="7D894AF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1281" w:type="dxa"/>
            <w:noWrap w:val="0"/>
            <w:vAlign w:val="center"/>
          </w:tcPr>
          <w:p w14:paraId="5CDD623F">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付款方式</w:t>
            </w:r>
          </w:p>
        </w:tc>
        <w:tc>
          <w:tcPr>
            <w:tcW w:w="1777" w:type="dxa"/>
            <w:noWrap w:val="0"/>
            <w:vAlign w:val="center"/>
          </w:tcPr>
          <w:p w14:paraId="46489E6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51B347D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4909AF8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62D8483B">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4A13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40" w:type="dxa"/>
            <w:noWrap w:val="0"/>
            <w:vAlign w:val="center"/>
          </w:tcPr>
          <w:p w14:paraId="18C0176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281" w:type="dxa"/>
            <w:noWrap w:val="0"/>
            <w:vAlign w:val="center"/>
          </w:tcPr>
          <w:p w14:paraId="64E02216">
            <w:pPr>
              <w:keepNext w:val="0"/>
              <w:keepLines w:val="0"/>
              <w:suppressLineNumbers w:val="0"/>
              <w:spacing w:before="0" w:beforeAutospacing="0" w:after="0" w:afterAutospacing="0" w:line="360" w:lineRule="auto"/>
              <w:ind w:left="0" w:right="0"/>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第五章</w:t>
            </w:r>
            <w:r>
              <w:rPr>
                <w:rFonts w:hint="eastAsia" w:ascii="宋体" w:hAnsi="宋体" w:eastAsia="宋体"/>
                <w:color w:val="auto"/>
                <w:highlight w:val="none"/>
                <w:lang w:val="en-US" w:eastAsia="zh-CN"/>
              </w:rPr>
              <w:t xml:space="preserve"> 采购需求2、</w:t>
            </w:r>
            <w:r>
              <w:rPr>
                <w:rFonts w:hint="eastAsia" w:ascii="宋体" w:hAnsi="宋体" w:eastAsia="宋体"/>
                <w:color w:val="auto"/>
                <w:highlight w:val="none"/>
              </w:rPr>
              <w:t>商务</w:t>
            </w:r>
            <w:r>
              <w:rPr>
                <w:rFonts w:hint="eastAsia" w:ascii="宋体" w:hAnsi="宋体" w:eastAsia="宋体"/>
                <w:color w:val="auto"/>
                <w:highlight w:val="none"/>
                <w:lang w:eastAsia="zh-CN"/>
              </w:rPr>
              <w:t>服务</w:t>
            </w:r>
            <w:r>
              <w:rPr>
                <w:rFonts w:hint="eastAsia" w:ascii="宋体" w:hAnsi="宋体" w:eastAsia="宋体"/>
                <w:color w:val="auto"/>
                <w:highlight w:val="none"/>
              </w:rPr>
              <w:t>要求</w:t>
            </w:r>
            <w:r>
              <w:rPr>
                <w:rFonts w:hint="eastAsia" w:ascii="宋体" w:hAnsi="宋体" w:eastAsia="宋体"/>
                <w:color w:val="auto"/>
                <w:highlight w:val="none"/>
                <w:lang w:eastAsia="zh-CN"/>
              </w:rPr>
              <w:t>（供应商需逐条响应）</w:t>
            </w:r>
          </w:p>
        </w:tc>
        <w:tc>
          <w:tcPr>
            <w:tcW w:w="1777" w:type="dxa"/>
            <w:noWrap w:val="0"/>
            <w:vAlign w:val="center"/>
          </w:tcPr>
          <w:p w14:paraId="29BA371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0DECDC8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58F151C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0E265CF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46C9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0" w:type="dxa"/>
            <w:noWrap w:val="0"/>
            <w:vAlign w:val="center"/>
          </w:tcPr>
          <w:p w14:paraId="449D137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281" w:type="dxa"/>
            <w:noWrap w:val="0"/>
            <w:vAlign w:val="center"/>
          </w:tcPr>
          <w:p w14:paraId="7226F900">
            <w:pPr>
              <w:keepNext w:val="0"/>
              <w:keepLines w:val="0"/>
              <w:suppressLineNumbers w:val="0"/>
              <w:spacing w:before="0" w:beforeAutospacing="0" w:after="0" w:afterAutospacing="0" w:line="360" w:lineRule="auto"/>
              <w:ind w:left="0" w:right="0"/>
              <w:jc w:val="center"/>
              <w:rPr>
                <w:rFonts w:hint="eastAsia" w:ascii="宋体" w:hAnsi="宋体" w:eastAsia="宋体"/>
                <w:color w:val="auto"/>
                <w:highlight w:val="none"/>
                <w:lang w:eastAsia="zh-CN"/>
              </w:rPr>
            </w:pPr>
          </w:p>
        </w:tc>
        <w:tc>
          <w:tcPr>
            <w:tcW w:w="1777" w:type="dxa"/>
            <w:noWrap w:val="0"/>
            <w:vAlign w:val="center"/>
          </w:tcPr>
          <w:p w14:paraId="2127D16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440AFC0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7C2EFDD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4AAE9B4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r w14:paraId="65F2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40" w:type="dxa"/>
            <w:noWrap w:val="0"/>
            <w:vAlign w:val="center"/>
          </w:tcPr>
          <w:p w14:paraId="1B42767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281" w:type="dxa"/>
            <w:noWrap w:val="0"/>
            <w:vAlign w:val="center"/>
          </w:tcPr>
          <w:p w14:paraId="32298009">
            <w:pPr>
              <w:keepNext w:val="0"/>
              <w:keepLines w:val="0"/>
              <w:suppressLineNumbers w:val="0"/>
              <w:spacing w:before="0" w:beforeAutospacing="0" w:after="0" w:afterAutospacing="0" w:line="360" w:lineRule="auto"/>
              <w:ind w:left="0" w:right="0"/>
              <w:jc w:val="center"/>
              <w:rPr>
                <w:rFonts w:hint="eastAsia" w:ascii="宋体" w:hAnsi="宋体"/>
                <w:color w:val="auto"/>
                <w:highlight w:val="none"/>
              </w:rPr>
            </w:pPr>
            <w:r>
              <w:rPr>
                <w:rFonts w:hint="eastAsia" w:ascii="宋体" w:hAnsi="宋体"/>
                <w:color w:val="auto"/>
                <w:highlight w:val="none"/>
              </w:rPr>
              <w:t>......</w:t>
            </w:r>
          </w:p>
        </w:tc>
        <w:tc>
          <w:tcPr>
            <w:tcW w:w="1777" w:type="dxa"/>
            <w:noWrap w:val="0"/>
            <w:vAlign w:val="center"/>
          </w:tcPr>
          <w:p w14:paraId="4DAACAE8">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11" w:type="dxa"/>
            <w:noWrap w:val="0"/>
            <w:vAlign w:val="center"/>
          </w:tcPr>
          <w:p w14:paraId="4580A6C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381" w:type="dxa"/>
            <w:noWrap w:val="0"/>
            <w:vAlign w:val="center"/>
          </w:tcPr>
          <w:p w14:paraId="4968222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c>
          <w:tcPr>
            <w:tcW w:w="1408" w:type="dxa"/>
            <w:noWrap w:val="0"/>
            <w:vAlign w:val="center"/>
          </w:tcPr>
          <w:p w14:paraId="5B69FB4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p>
        </w:tc>
      </w:tr>
    </w:tbl>
    <w:p w14:paraId="54A86EE2">
      <w:pPr>
        <w:rPr>
          <w:rFonts w:hint="eastAsia" w:ascii="宋体" w:hAnsi="宋体"/>
          <w:color w:val="auto"/>
          <w:sz w:val="24"/>
          <w:szCs w:val="24"/>
          <w:highlight w:val="none"/>
        </w:rPr>
      </w:pPr>
    </w:p>
    <w:p w14:paraId="7112B3CD">
      <w:pPr>
        <w:rPr>
          <w:rFonts w:hint="eastAsia" w:ascii="宋体" w:hAnsi="宋体"/>
          <w:color w:val="auto"/>
          <w:sz w:val="24"/>
          <w:szCs w:val="24"/>
          <w:highlight w:val="none"/>
        </w:rPr>
      </w:pPr>
      <w:r>
        <w:rPr>
          <w:rFonts w:hint="eastAsia" w:ascii="宋体" w:hAnsi="宋体"/>
          <w:color w:val="auto"/>
          <w:sz w:val="24"/>
          <w:szCs w:val="24"/>
          <w:highlight w:val="none"/>
        </w:rPr>
        <w:t>注：</w:t>
      </w:r>
    </w:p>
    <w:p w14:paraId="41A59B42">
      <w:pPr>
        <w:rPr>
          <w:rFonts w:hint="eastAsia" w:ascii="宋体" w:hAnsi="宋体"/>
          <w:color w:val="auto"/>
          <w:sz w:val="24"/>
          <w:szCs w:val="24"/>
          <w:highlight w:val="none"/>
        </w:rPr>
      </w:pPr>
      <w:r>
        <w:rPr>
          <w:rFonts w:hint="eastAsia" w:ascii="宋体" w:hAnsi="宋体"/>
          <w:color w:val="auto"/>
          <w:sz w:val="24"/>
          <w:szCs w:val="24"/>
          <w:highlight w:val="none"/>
        </w:rPr>
        <w:t>1、响应项必须按照</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文件中商务要求逐一填写，不得出现缺项。</w:t>
      </w:r>
    </w:p>
    <w:p w14:paraId="54F131D0">
      <w:pPr>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文件“第五章 采购需求中 商务服务要求”为</w:t>
      </w:r>
      <w:r>
        <w:rPr>
          <w:rFonts w:hint="eastAsia" w:ascii="宋体" w:hAnsi="宋体"/>
          <w:color w:val="auto"/>
          <w:sz w:val="24"/>
          <w:szCs w:val="24"/>
          <w:highlight w:val="none"/>
          <w:lang w:val="en-US" w:eastAsia="zh-CN"/>
        </w:rPr>
        <w:t>本项目</w:t>
      </w:r>
      <w:r>
        <w:rPr>
          <w:rFonts w:hint="eastAsia" w:ascii="宋体" w:hAnsi="宋体"/>
          <w:color w:val="auto"/>
          <w:sz w:val="24"/>
          <w:szCs w:val="24"/>
          <w:highlight w:val="none"/>
        </w:rPr>
        <w:t>实质性要求，</w:t>
      </w:r>
      <w:r>
        <w:rPr>
          <w:rFonts w:hint="eastAsia" w:ascii="宋体" w:hAnsi="宋体"/>
          <w:color w:val="auto"/>
          <w:sz w:val="24"/>
          <w:szCs w:val="24"/>
          <w:highlight w:val="none"/>
          <w:lang w:eastAsia="zh-CN"/>
        </w:rPr>
        <w:t>不允许负偏离</w:t>
      </w:r>
      <w:r>
        <w:rPr>
          <w:rFonts w:hint="eastAsia" w:ascii="宋体" w:hAnsi="宋体"/>
          <w:color w:val="auto"/>
          <w:sz w:val="24"/>
          <w:szCs w:val="24"/>
          <w:highlight w:val="none"/>
        </w:rPr>
        <w:t>；</w:t>
      </w:r>
    </w:p>
    <w:p w14:paraId="409E891C">
      <w:pPr>
        <w:rPr>
          <w:rFonts w:hint="eastAsia" w:ascii="宋体" w:hAnsi="宋体"/>
          <w:color w:val="auto"/>
          <w:sz w:val="24"/>
          <w:szCs w:val="24"/>
          <w:highlight w:val="none"/>
        </w:rPr>
      </w:pPr>
      <w:r>
        <w:rPr>
          <w:rFonts w:hint="eastAsia" w:ascii="宋体" w:hAnsi="宋体"/>
          <w:color w:val="auto"/>
          <w:sz w:val="24"/>
          <w:szCs w:val="24"/>
          <w:highlight w:val="none"/>
        </w:rPr>
        <w:t>3、商务条款证明材料或承诺函附后（</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rPr>
        <w:t>）</w:t>
      </w:r>
      <w:r>
        <w:rPr>
          <w:rFonts w:hint="eastAsia" w:ascii="宋体" w:hAnsi="宋体"/>
          <w:color w:val="auto"/>
          <w:sz w:val="24"/>
          <w:szCs w:val="24"/>
          <w:highlight w:val="none"/>
          <w:lang w:eastAsia="zh-CN"/>
        </w:rPr>
        <w:t>，否则以偏离表中的响应为准</w:t>
      </w:r>
      <w:r>
        <w:rPr>
          <w:rFonts w:hint="eastAsia" w:ascii="宋体" w:hAnsi="宋体"/>
          <w:color w:val="auto"/>
          <w:sz w:val="24"/>
          <w:szCs w:val="24"/>
          <w:highlight w:val="none"/>
        </w:rPr>
        <w:t>。</w:t>
      </w:r>
    </w:p>
    <w:p w14:paraId="69557E68">
      <w:pPr>
        <w:pStyle w:val="2"/>
        <w:spacing w:before="0" w:beforeAutospacing="0" w:after="0" w:line="360" w:lineRule="auto"/>
        <w:jc w:val="left"/>
        <w:rPr>
          <w:rFonts w:hint="eastAsia" w:ascii="宋体" w:hAnsi="宋体"/>
          <w:color w:val="auto"/>
          <w:sz w:val="24"/>
          <w:szCs w:val="24"/>
          <w:highlight w:val="none"/>
        </w:rPr>
      </w:pPr>
    </w:p>
    <w:p w14:paraId="7F549116">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6AC7068A">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135F3537">
      <w:pPr>
        <w:spacing w:line="360" w:lineRule="auto"/>
        <w:jc w:val="left"/>
        <w:rPr>
          <w:rFonts w:hint="eastAsia" w:ascii="宋体" w:hAnsi="宋体"/>
          <w:color w:val="auto"/>
          <w:sz w:val="24"/>
          <w:szCs w:val="24"/>
          <w:highlight w:val="none"/>
        </w:rPr>
        <w:sectPr>
          <w:pgSz w:w="11905" w:h="16838"/>
          <w:pgMar w:top="1440" w:right="1800" w:bottom="1440" w:left="1800" w:header="794" w:footer="794" w:gutter="0"/>
          <w:pgNumType w:fmt="decimal"/>
          <w:cols w:space="720" w:num="1"/>
          <w:docGrid w:type="lines" w:linePitch="318" w:charSpace="0"/>
        </w:sect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06D9BC5">
      <w:pPr>
        <w:pStyle w:val="5"/>
        <w:bidi w:val="0"/>
        <w:jc w:val="center"/>
        <w:rPr>
          <w:rFonts w:hint="eastAsia" w:ascii="宋体" w:hAnsi="宋体" w:eastAsia="宋体" w:cs="宋体"/>
          <w:sz w:val="28"/>
          <w:szCs w:val="28"/>
          <w:highlight w:val="none"/>
        </w:rPr>
      </w:pPr>
      <w:bookmarkStart w:id="939" w:name="_Toc18166"/>
      <w:bookmarkEnd w:id="939"/>
      <w:bookmarkStart w:id="940" w:name="_Toc32386"/>
      <w:bookmarkStart w:id="941" w:name="_Toc129073541"/>
      <w:bookmarkStart w:id="942" w:name="_Toc959"/>
      <w:r>
        <w:rPr>
          <w:rFonts w:hint="eastAsia" w:ascii="宋体" w:hAnsi="宋体" w:eastAsia="宋体" w:cs="宋体"/>
          <w:sz w:val="28"/>
          <w:szCs w:val="28"/>
          <w:highlight w:val="none"/>
        </w:rPr>
        <w:t>八、技术部分评审资料</w:t>
      </w:r>
      <w:bookmarkEnd w:id="940"/>
    </w:p>
    <w:p w14:paraId="43787A68">
      <w:pPr>
        <w:outlineLvl w:val="2"/>
        <w:rPr>
          <w:rFonts w:hint="eastAsia" w:ascii="宋体" w:hAnsi="宋体"/>
          <w:b/>
          <w:bCs/>
          <w:color w:val="auto"/>
          <w:highlight w:val="none"/>
        </w:rPr>
      </w:pPr>
      <w:r>
        <w:rPr>
          <w:rFonts w:hint="eastAsia" w:ascii="宋体" w:hAnsi="宋体"/>
          <w:b/>
          <w:bCs/>
          <w:color w:val="auto"/>
          <w:highlight w:val="none"/>
        </w:rPr>
        <w:t>1、</w:t>
      </w:r>
      <w:r>
        <w:rPr>
          <w:rFonts w:hint="eastAsia" w:ascii="宋体" w:hAnsi="宋体"/>
          <w:b/>
          <w:bCs/>
          <w:color w:val="auto"/>
          <w:highlight w:val="none"/>
          <w:lang w:val="en-US" w:eastAsia="zh-CN"/>
        </w:rPr>
        <w:t>供货、安装、调试、验收方案</w:t>
      </w:r>
    </w:p>
    <w:p w14:paraId="1C0D1356">
      <w:pPr>
        <w:rPr>
          <w:rFonts w:hint="eastAsia" w:ascii="宋体" w:hAnsi="宋体"/>
          <w:b/>
          <w:bCs/>
          <w:color w:val="auto"/>
          <w:highlight w:val="none"/>
        </w:rPr>
      </w:pPr>
    </w:p>
    <w:p w14:paraId="2F52F473">
      <w:pPr>
        <w:rPr>
          <w:rFonts w:hint="eastAsia" w:ascii="宋体" w:hAnsi="宋体"/>
          <w:b/>
          <w:bCs/>
          <w:color w:val="auto"/>
          <w:highlight w:val="none"/>
        </w:rPr>
      </w:pPr>
    </w:p>
    <w:p w14:paraId="073972D8">
      <w:pPr>
        <w:rPr>
          <w:rFonts w:hint="eastAsia" w:ascii="宋体" w:hAnsi="宋体"/>
          <w:b/>
          <w:bCs/>
          <w:color w:val="auto"/>
          <w:highlight w:val="none"/>
        </w:rPr>
      </w:pPr>
    </w:p>
    <w:p w14:paraId="62180A8A">
      <w:pPr>
        <w:outlineLvl w:val="2"/>
        <w:rPr>
          <w:rFonts w:hint="eastAsia" w:ascii="宋体" w:hAnsi="宋体"/>
          <w:b/>
          <w:bCs/>
          <w:color w:val="auto"/>
          <w:highlight w:val="none"/>
        </w:rPr>
        <w:sectPr>
          <w:pgSz w:w="11905" w:h="16838"/>
          <w:pgMar w:top="1440" w:right="1800" w:bottom="1440" w:left="1800" w:header="794" w:footer="794" w:gutter="0"/>
          <w:pgNumType w:fmt="decimal"/>
          <w:cols w:space="720" w:num="1"/>
          <w:docGrid w:type="lines" w:linePitch="318" w:charSpace="0"/>
        </w:sectPr>
      </w:pPr>
      <w:bookmarkStart w:id="943" w:name="_Toc466298161"/>
      <w:bookmarkStart w:id="944" w:name="_Toc16498"/>
      <w:r>
        <w:rPr>
          <w:rFonts w:hint="eastAsia" w:ascii="宋体" w:hAnsi="宋体"/>
          <w:b/>
          <w:bCs/>
          <w:color w:val="auto"/>
          <w:highlight w:val="none"/>
        </w:rPr>
        <w:t>2、人员配备方案</w:t>
      </w:r>
    </w:p>
    <w:bookmarkEnd w:id="943"/>
    <w:p w14:paraId="3A209476">
      <w:pPr>
        <w:pStyle w:val="5"/>
        <w:jc w:val="center"/>
        <w:rPr>
          <w:rFonts w:hint="eastAsia" w:ascii="宋体" w:hAnsi="宋体" w:eastAsia="宋体" w:cs="宋体"/>
          <w:bCs/>
          <w:color w:val="auto"/>
          <w:sz w:val="28"/>
          <w:szCs w:val="28"/>
          <w:highlight w:val="none"/>
        </w:rPr>
      </w:pPr>
      <w:r>
        <w:rPr>
          <w:rFonts w:hint="eastAsia" w:ascii="宋体" w:hAnsi="宋体" w:eastAsia="宋体" w:cs="宋体"/>
          <w:bCs/>
          <w:color w:val="auto"/>
          <w:kern w:val="2"/>
          <w:sz w:val="28"/>
          <w:szCs w:val="28"/>
          <w:highlight w:val="none"/>
        </w:rPr>
        <w:t>九、同类项目供货业绩</w:t>
      </w:r>
      <w:bookmarkEnd w:id="944"/>
    </w:p>
    <w:tbl>
      <w:tblPr>
        <w:tblStyle w:val="34"/>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16"/>
        <w:gridCol w:w="1227"/>
        <w:gridCol w:w="709"/>
        <w:gridCol w:w="750"/>
        <w:gridCol w:w="1200"/>
        <w:gridCol w:w="805"/>
        <w:gridCol w:w="935"/>
        <w:gridCol w:w="935"/>
        <w:gridCol w:w="946"/>
      </w:tblGrid>
      <w:tr w14:paraId="5E32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00" w:type="dxa"/>
            <w:noWrap w:val="0"/>
            <w:vAlign w:val="center"/>
          </w:tcPr>
          <w:p w14:paraId="38AC6808">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916" w:type="dxa"/>
            <w:noWrap w:val="0"/>
            <w:vAlign w:val="center"/>
          </w:tcPr>
          <w:p w14:paraId="30AC69A4">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合同签订日期</w:t>
            </w:r>
          </w:p>
        </w:tc>
        <w:tc>
          <w:tcPr>
            <w:tcW w:w="1227" w:type="dxa"/>
            <w:noWrap w:val="0"/>
            <w:vAlign w:val="center"/>
          </w:tcPr>
          <w:p w14:paraId="1DBDD34C">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709" w:type="dxa"/>
            <w:noWrap w:val="0"/>
            <w:vAlign w:val="center"/>
          </w:tcPr>
          <w:p w14:paraId="462E8BA1">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合同金额</w:t>
            </w:r>
          </w:p>
        </w:tc>
        <w:tc>
          <w:tcPr>
            <w:tcW w:w="750" w:type="dxa"/>
            <w:noWrap w:val="0"/>
            <w:vAlign w:val="center"/>
          </w:tcPr>
          <w:p w14:paraId="7104533D">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设备品牌</w:t>
            </w:r>
          </w:p>
        </w:tc>
        <w:tc>
          <w:tcPr>
            <w:tcW w:w="1200" w:type="dxa"/>
            <w:noWrap w:val="0"/>
            <w:vAlign w:val="center"/>
          </w:tcPr>
          <w:p w14:paraId="4AC72C35">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规格型号</w:t>
            </w:r>
          </w:p>
        </w:tc>
        <w:tc>
          <w:tcPr>
            <w:tcW w:w="805" w:type="dxa"/>
            <w:noWrap w:val="0"/>
            <w:vAlign w:val="center"/>
          </w:tcPr>
          <w:p w14:paraId="09EC1028">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设备产地</w:t>
            </w:r>
          </w:p>
        </w:tc>
        <w:tc>
          <w:tcPr>
            <w:tcW w:w="935" w:type="dxa"/>
            <w:noWrap w:val="0"/>
            <w:vAlign w:val="center"/>
          </w:tcPr>
          <w:p w14:paraId="37747C6E">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制造商</w:t>
            </w:r>
          </w:p>
        </w:tc>
        <w:tc>
          <w:tcPr>
            <w:tcW w:w="935" w:type="dxa"/>
            <w:noWrap w:val="0"/>
            <w:vAlign w:val="center"/>
          </w:tcPr>
          <w:p w14:paraId="2B7B1D86">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客户名称</w:t>
            </w:r>
          </w:p>
        </w:tc>
        <w:tc>
          <w:tcPr>
            <w:tcW w:w="946" w:type="dxa"/>
            <w:noWrap w:val="0"/>
            <w:vAlign w:val="center"/>
          </w:tcPr>
          <w:p w14:paraId="4C5D3A6F">
            <w:pPr>
              <w:keepNext w:val="0"/>
              <w:keepLines w:val="0"/>
              <w:suppressLineNumbers w:val="0"/>
              <w:spacing w:before="0" w:beforeAutospacing="0" w:after="0" w:afterAutospacing="0" w:line="400" w:lineRule="exact"/>
              <w:ind w:left="0" w:right="0"/>
              <w:jc w:val="center"/>
              <w:rPr>
                <w:rFonts w:hint="eastAsia" w:ascii="宋体" w:hAnsi="宋体" w:cs="宋体"/>
                <w:b/>
                <w:color w:val="auto"/>
                <w:highlight w:val="none"/>
              </w:rPr>
            </w:pPr>
            <w:r>
              <w:rPr>
                <w:rFonts w:hint="eastAsia" w:ascii="宋体" w:hAnsi="宋体" w:cs="宋体"/>
                <w:b/>
                <w:color w:val="auto"/>
                <w:highlight w:val="none"/>
              </w:rPr>
              <w:t>客户联系电话</w:t>
            </w:r>
          </w:p>
        </w:tc>
      </w:tr>
      <w:tr w14:paraId="45F5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0" w:type="dxa"/>
            <w:noWrap w:val="0"/>
            <w:vAlign w:val="top"/>
          </w:tcPr>
          <w:p w14:paraId="620CD32F">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1DC2DE67">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520F4179">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6561C46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201FDFC0">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28B26468">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55BBD7C1">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1CEE5191">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164F5156">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44AB0DE7">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r w14:paraId="76AB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00" w:type="dxa"/>
            <w:noWrap w:val="0"/>
            <w:vAlign w:val="top"/>
          </w:tcPr>
          <w:p w14:paraId="32D30992">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536FBF8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76169EEC">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599BA1EF">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6D1190E7">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2FFAC45D">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2BF928E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448DEF1D">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407E27B4">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0C33DD9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r w14:paraId="14D3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00" w:type="dxa"/>
            <w:noWrap w:val="0"/>
            <w:vAlign w:val="top"/>
          </w:tcPr>
          <w:p w14:paraId="0ED6064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5EFA2050">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51D3FDFC">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3E74B26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24B037F1">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0110F28B">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2C4A3051">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436F691D">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783932A9">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45FDA312">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r w14:paraId="4321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00" w:type="dxa"/>
            <w:noWrap w:val="0"/>
            <w:vAlign w:val="top"/>
          </w:tcPr>
          <w:p w14:paraId="6AEA093A">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1BF3E009">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15C30E8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46A9E4F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139EC0D0">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28E3FBFA">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74DE660B">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30BD2BE4">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77F4071B">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6206E5B4">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r w14:paraId="202B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00" w:type="dxa"/>
            <w:noWrap w:val="0"/>
            <w:vAlign w:val="top"/>
          </w:tcPr>
          <w:p w14:paraId="057D2D7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33DFF83D">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558AD067">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51BF3FAA">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34619843">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03A6F088">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3EE014B0">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5D9D224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01B673E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0B98DBA4">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r w14:paraId="5686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00" w:type="dxa"/>
            <w:noWrap w:val="0"/>
            <w:vAlign w:val="top"/>
          </w:tcPr>
          <w:p w14:paraId="329F09E7">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0CBC6E4D">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0668D8D0">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11218219">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0AD8853F">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56966411">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3CB0CC34">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631777B3">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39A6347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66601AE0">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r w14:paraId="7B51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00" w:type="dxa"/>
            <w:noWrap w:val="0"/>
            <w:vAlign w:val="top"/>
          </w:tcPr>
          <w:p w14:paraId="2272798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35AFA872">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3FC8EEC1">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0629EBB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5EDE6072">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3E9E2631">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5952E58D">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6A4FEC24">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0A68E619">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0E40E314">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r w14:paraId="1E7E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00" w:type="dxa"/>
            <w:noWrap w:val="0"/>
            <w:vAlign w:val="top"/>
          </w:tcPr>
          <w:p w14:paraId="21EDC7A6">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16" w:type="dxa"/>
            <w:noWrap w:val="0"/>
            <w:vAlign w:val="top"/>
          </w:tcPr>
          <w:p w14:paraId="03C923FA">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27" w:type="dxa"/>
            <w:noWrap w:val="0"/>
            <w:vAlign w:val="top"/>
          </w:tcPr>
          <w:p w14:paraId="5E5183F2">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09" w:type="dxa"/>
            <w:noWrap w:val="0"/>
            <w:vAlign w:val="top"/>
          </w:tcPr>
          <w:p w14:paraId="5539352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750" w:type="dxa"/>
            <w:noWrap w:val="0"/>
            <w:vAlign w:val="top"/>
          </w:tcPr>
          <w:p w14:paraId="68E507A5">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1200" w:type="dxa"/>
            <w:noWrap w:val="0"/>
            <w:vAlign w:val="top"/>
          </w:tcPr>
          <w:p w14:paraId="5035ED2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805" w:type="dxa"/>
            <w:noWrap w:val="0"/>
            <w:vAlign w:val="top"/>
          </w:tcPr>
          <w:p w14:paraId="4FDDD9DC">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56CBA416">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35" w:type="dxa"/>
            <w:noWrap w:val="0"/>
            <w:vAlign w:val="top"/>
          </w:tcPr>
          <w:p w14:paraId="62B139FD">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c>
          <w:tcPr>
            <w:tcW w:w="946" w:type="dxa"/>
            <w:noWrap w:val="0"/>
            <w:vAlign w:val="top"/>
          </w:tcPr>
          <w:p w14:paraId="2EB2581E">
            <w:pPr>
              <w:keepNext w:val="0"/>
              <w:keepLines w:val="0"/>
              <w:widowControl/>
              <w:suppressLineNumbers w:val="0"/>
              <w:spacing w:before="0" w:beforeAutospacing="0" w:after="0" w:afterAutospacing="0"/>
              <w:ind w:left="0" w:right="0"/>
              <w:rPr>
                <w:rFonts w:hint="eastAsia" w:ascii="宋体" w:hAnsi="宋体" w:cs="宋体"/>
                <w:color w:val="auto"/>
                <w:highlight w:val="none"/>
              </w:rPr>
            </w:pPr>
          </w:p>
        </w:tc>
      </w:tr>
    </w:tbl>
    <w:p w14:paraId="5630AC7F">
      <w:pPr>
        <w:spacing w:line="380" w:lineRule="exact"/>
        <w:rPr>
          <w:rFonts w:hint="eastAsia" w:ascii="宋体" w:hAnsi="宋体" w:cs="宋体"/>
          <w:b/>
          <w:color w:val="auto"/>
          <w:highlight w:val="none"/>
        </w:rPr>
      </w:pPr>
      <w:r>
        <w:rPr>
          <w:rFonts w:hint="eastAsia" w:ascii="宋体" w:hAnsi="宋体" w:cs="宋体"/>
          <w:b/>
          <w:color w:val="auto"/>
          <w:highlight w:val="none"/>
        </w:rPr>
        <w:t>注：供应商应在本表后附相关证明材料。</w:t>
      </w:r>
    </w:p>
    <w:p w14:paraId="76282DD1">
      <w:pPr>
        <w:spacing w:line="520" w:lineRule="exact"/>
        <w:ind w:firstLine="420" w:firstLineChars="200"/>
        <w:rPr>
          <w:rFonts w:hint="eastAsia" w:ascii="宋体" w:hAnsi="宋体" w:cs="宋体"/>
          <w:color w:val="auto"/>
          <w:highlight w:val="none"/>
        </w:rPr>
      </w:pPr>
    </w:p>
    <w:p w14:paraId="4945B92B">
      <w:pPr>
        <w:spacing w:line="520" w:lineRule="exact"/>
        <w:ind w:firstLine="420" w:firstLineChars="200"/>
        <w:rPr>
          <w:rFonts w:hint="eastAsia" w:ascii="宋体" w:hAnsi="宋体" w:cs="宋体"/>
          <w:color w:val="auto"/>
          <w:highlight w:val="none"/>
        </w:rPr>
      </w:pPr>
      <w:r>
        <w:rPr>
          <w:rFonts w:hint="eastAsia" w:ascii="宋体" w:hAnsi="宋体" w:cs="宋体"/>
          <w:color w:val="auto"/>
          <w:highlight w:val="none"/>
        </w:rPr>
        <w:t>供应商名称：</w:t>
      </w:r>
      <w:r>
        <w:rPr>
          <w:rFonts w:hint="eastAsia" w:ascii="宋体" w:hAnsi="宋体" w:cs="宋体"/>
          <w:color w:val="auto"/>
          <w:highlight w:val="none"/>
          <w:u w:val="single"/>
        </w:rPr>
        <w:t xml:space="preserve">                 </w:t>
      </w:r>
      <w:r>
        <w:rPr>
          <w:rFonts w:hint="eastAsia" w:ascii="宋体" w:hAnsi="宋体" w:cs="宋体"/>
          <w:color w:val="auto"/>
          <w:highlight w:val="none"/>
        </w:rPr>
        <w:t>（单位电子印章）</w:t>
      </w:r>
    </w:p>
    <w:p w14:paraId="0E608EE7">
      <w:pPr>
        <w:spacing w:line="520" w:lineRule="exact"/>
        <w:ind w:firstLine="420" w:firstLineChars="200"/>
        <w:rPr>
          <w:rFonts w:hint="eastAsia"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w:t>
      </w:r>
      <w:r>
        <w:rPr>
          <w:rFonts w:hint="eastAsia" w:ascii="宋体" w:hAnsi="宋体" w:cs="宋体"/>
          <w:color w:val="auto"/>
          <w:highlight w:val="none"/>
        </w:rPr>
        <w:t>（电子签章或签字）</w:t>
      </w:r>
    </w:p>
    <w:p w14:paraId="4720C96C">
      <w:pPr>
        <w:spacing w:line="520" w:lineRule="exact"/>
        <w:ind w:firstLine="420" w:firstLineChars="200"/>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242E4F48">
      <w:pPr>
        <w:wordWrap w:val="0"/>
        <w:spacing w:line="360" w:lineRule="auto"/>
        <w:jc w:val="center"/>
        <w:outlineLvl w:val="1"/>
        <w:rPr>
          <w:rFonts w:hint="eastAsia" w:ascii="宋体" w:hAnsi="宋体"/>
          <w:b/>
          <w:bCs/>
          <w:color w:val="auto"/>
          <w:sz w:val="28"/>
          <w:szCs w:val="28"/>
          <w:highlight w:val="none"/>
        </w:rPr>
        <w:sectPr>
          <w:pgSz w:w="11905" w:h="16838"/>
          <w:pgMar w:top="1440" w:right="1800" w:bottom="1440" w:left="1800" w:header="794" w:footer="794" w:gutter="0"/>
          <w:pgNumType w:fmt="decimal"/>
          <w:cols w:space="720" w:num="1"/>
          <w:docGrid w:type="lines" w:linePitch="318" w:charSpace="0"/>
        </w:sectPr>
      </w:pPr>
    </w:p>
    <w:p w14:paraId="73233510">
      <w:pPr>
        <w:pStyle w:val="5"/>
        <w:bidi w:val="0"/>
        <w:jc w:val="center"/>
        <w:rPr>
          <w:rFonts w:hint="eastAsia" w:ascii="宋体" w:hAnsi="宋体" w:eastAsia="宋体" w:cs="宋体"/>
          <w:sz w:val="28"/>
          <w:szCs w:val="28"/>
          <w:highlight w:val="none"/>
        </w:rPr>
      </w:pPr>
      <w:bookmarkStart w:id="945" w:name="_Toc3068"/>
      <w:r>
        <w:rPr>
          <w:rFonts w:hint="eastAsia" w:ascii="宋体" w:hAnsi="宋体" w:eastAsia="宋体" w:cs="宋体"/>
          <w:sz w:val="28"/>
          <w:szCs w:val="28"/>
          <w:highlight w:val="none"/>
        </w:rPr>
        <w:t>十、商务部分评审资料</w:t>
      </w:r>
      <w:bookmarkEnd w:id="945"/>
    </w:p>
    <w:p w14:paraId="31ACD4B0">
      <w:pPr>
        <w:bidi w:val="0"/>
        <w:rPr>
          <w:rFonts w:hint="eastAsia"/>
          <w:color w:val="auto"/>
          <w:highlight w:val="none"/>
        </w:rPr>
      </w:pPr>
      <w:bookmarkStart w:id="946" w:name="_Toc24194"/>
      <w:bookmarkStart w:id="947" w:name="_Toc19540"/>
    </w:p>
    <w:p w14:paraId="73440DE2">
      <w:pPr>
        <w:pStyle w:val="6"/>
        <w:bidi w:val="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End w:id="946"/>
      <w:r>
        <w:rPr>
          <w:rFonts w:hint="eastAsia" w:ascii="宋体" w:hAnsi="宋体" w:eastAsia="宋体" w:cs="宋体"/>
          <w:sz w:val="24"/>
          <w:szCs w:val="24"/>
          <w:highlight w:val="none"/>
        </w:rPr>
        <w:t>体系证书</w:t>
      </w:r>
      <w:bookmarkEnd w:id="947"/>
    </w:p>
    <w:p w14:paraId="3435FFEE">
      <w:pPr>
        <w:pStyle w:val="6"/>
        <w:bidi w:val="0"/>
        <w:rPr>
          <w:rFonts w:hint="eastAsia" w:ascii="宋体" w:hAnsi="宋体" w:eastAsia="宋体" w:cs="宋体"/>
          <w:sz w:val="24"/>
          <w:szCs w:val="24"/>
          <w:highlight w:val="none"/>
          <w:lang w:val="en-US" w:eastAsia="zh-CN"/>
        </w:rPr>
      </w:pPr>
      <w:bookmarkStart w:id="948" w:name="_Toc12904"/>
      <w:bookmarkStart w:id="949" w:name="_Toc31141"/>
      <w:r>
        <w:rPr>
          <w:rFonts w:hint="eastAsia" w:ascii="宋体" w:hAnsi="宋体" w:eastAsia="宋体" w:cs="宋体"/>
          <w:sz w:val="24"/>
          <w:szCs w:val="24"/>
          <w:highlight w:val="none"/>
        </w:rPr>
        <w:t>2、</w:t>
      </w:r>
      <w:bookmarkEnd w:id="948"/>
      <w:bookmarkEnd w:id="949"/>
      <w:bookmarkStart w:id="950" w:name="_Toc4908"/>
      <w:r>
        <w:rPr>
          <w:rFonts w:hint="eastAsia" w:ascii="宋体" w:hAnsi="宋体" w:eastAsia="宋体" w:cs="宋体"/>
          <w:sz w:val="24"/>
          <w:szCs w:val="24"/>
          <w:highlight w:val="none"/>
          <w:lang w:val="en-US" w:eastAsia="zh-CN"/>
        </w:rPr>
        <w:t>培训计划</w:t>
      </w:r>
    </w:p>
    <w:bookmarkEnd w:id="950"/>
    <w:p w14:paraId="2E3DD043">
      <w:pPr>
        <w:pStyle w:val="6"/>
        <w:bidi w:val="0"/>
        <w:rPr>
          <w:rFonts w:hint="eastAsia" w:ascii="宋体" w:hAnsi="宋体" w:eastAsia="宋体" w:cs="宋体"/>
          <w:sz w:val="24"/>
          <w:szCs w:val="24"/>
          <w:highlight w:val="none"/>
          <w:lang w:val="en-US" w:eastAsia="zh-CN"/>
        </w:rPr>
      </w:pPr>
      <w:bookmarkStart w:id="951" w:name="_Toc6292"/>
      <w:r>
        <w:rPr>
          <w:rFonts w:hint="eastAsia" w:ascii="宋体" w:hAnsi="宋体" w:eastAsia="宋体" w:cs="宋体"/>
          <w:sz w:val="24"/>
          <w:szCs w:val="24"/>
          <w:highlight w:val="none"/>
          <w:lang w:val="en-US" w:eastAsia="zh-CN"/>
        </w:rPr>
        <w:t>3、售后服务方案</w:t>
      </w:r>
    </w:p>
    <w:p w14:paraId="0B44D383">
      <w:pPr>
        <w:pStyle w:val="6"/>
        <w:bidi w:val="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w:t>
      </w:r>
      <w:bookmarkEnd w:id="951"/>
    </w:p>
    <w:p w14:paraId="2AD970D2">
      <w:pPr>
        <w:bidi w:val="0"/>
        <w:rPr>
          <w:rFonts w:hint="eastAsia"/>
          <w:highlight w:val="none"/>
        </w:rPr>
        <w:sectPr>
          <w:headerReference r:id="rId16" w:type="default"/>
          <w:footerReference r:id="rId17" w:type="default"/>
          <w:pgSz w:w="11905" w:h="16838"/>
          <w:pgMar w:top="1440" w:right="1800" w:bottom="1440" w:left="1800" w:header="794" w:footer="794" w:gutter="0"/>
          <w:pgNumType w:fmt="decimal"/>
          <w:cols w:space="720" w:num="1"/>
          <w:docGrid w:type="lines" w:linePitch="318" w:charSpace="0"/>
        </w:sectPr>
      </w:pPr>
    </w:p>
    <w:bookmarkEnd w:id="941"/>
    <w:bookmarkEnd w:id="942"/>
    <w:p w14:paraId="4F280FFF">
      <w:pPr>
        <w:pStyle w:val="5"/>
        <w:bidi w:val="0"/>
        <w:jc w:val="center"/>
        <w:rPr>
          <w:rFonts w:hint="eastAsia" w:ascii="宋体" w:hAnsi="宋体" w:eastAsia="宋体" w:cs="宋体"/>
          <w:b/>
          <w:bCs/>
          <w:color w:val="auto"/>
          <w:sz w:val="28"/>
          <w:szCs w:val="28"/>
          <w:highlight w:val="none"/>
        </w:rPr>
      </w:pPr>
      <w:bookmarkStart w:id="952" w:name="_Toc5086"/>
      <w:bookmarkStart w:id="953" w:name="_Toc17003"/>
      <w:bookmarkStart w:id="954" w:name="_Toc26950"/>
      <w:bookmarkStart w:id="955" w:name="_Toc5825"/>
      <w:r>
        <w:rPr>
          <w:rFonts w:hint="eastAsia" w:ascii="宋体" w:hAnsi="宋体" w:eastAsia="宋体" w:cs="宋体"/>
          <w:b/>
          <w:bCs/>
          <w:color w:val="auto"/>
          <w:sz w:val="28"/>
          <w:szCs w:val="28"/>
          <w:highlight w:val="none"/>
        </w:rPr>
        <w:t>十一、</w:t>
      </w:r>
      <w:bookmarkEnd w:id="952"/>
      <w:bookmarkEnd w:id="953"/>
      <w:bookmarkEnd w:id="954"/>
      <w:r>
        <w:rPr>
          <w:rFonts w:hint="eastAsia" w:ascii="宋体" w:hAnsi="宋体" w:eastAsia="宋体" w:cs="宋体"/>
          <w:b/>
          <w:bCs/>
          <w:color w:val="auto"/>
          <w:sz w:val="28"/>
          <w:szCs w:val="28"/>
          <w:highlight w:val="none"/>
        </w:rPr>
        <w:t>反商业贿赂承诺书</w:t>
      </w:r>
      <w:bookmarkEnd w:id="955"/>
    </w:p>
    <w:p w14:paraId="7703EBCB">
      <w:pPr>
        <w:spacing w:line="500" w:lineRule="exact"/>
        <w:rPr>
          <w:rFonts w:hint="eastAsia" w:ascii="宋体" w:hAnsi="宋体"/>
          <w:color w:val="auto"/>
          <w:kern w:val="0"/>
          <w:sz w:val="24"/>
          <w:szCs w:val="24"/>
          <w:highlight w:val="none"/>
        </w:rPr>
      </w:pPr>
      <w:r>
        <w:rPr>
          <w:rFonts w:hint="eastAsia" w:ascii="宋体" w:hAnsi="宋体"/>
          <w:color w:val="auto"/>
          <w:kern w:val="0"/>
          <w:sz w:val="24"/>
          <w:szCs w:val="24"/>
          <w:highlight w:val="none"/>
        </w:rPr>
        <w:t>我公司承诺：</w:t>
      </w:r>
    </w:p>
    <w:p w14:paraId="64692F4D">
      <w:pPr>
        <w:spacing w:line="500" w:lineRule="exact"/>
        <w:ind w:firstLine="555"/>
        <w:rPr>
          <w:rFonts w:hint="eastAsia" w:ascii="宋体" w:hAnsi="宋体"/>
          <w:color w:val="auto"/>
          <w:kern w:val="0"/>
          <w:sz w:val="24"/>
          <w:szCs w:val="24"/>
          <w:highlight w:val="none"/>
        </w:rPr>
      </w:pPr>
      <w:r>
        <w:rPr>
          <w:rFonts w:hint="eastAsia" w:ascii="宋体" w:hAnsi="宋体"/>
          <w:color w:val="auto"/>
          <w:kern w:val="0"/>
          <w:sz w:val="24"/>
          <w:szCs w:val="24"/>
          <w:highlight w:val="none"/>
        </w:rPr>
        <w:t>在</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lang w:eastAsia="zh-CN"/>
        </w:rPr>
        <w:t>河南省科学院激光制造研究所先进激光医疗系统及关键技术研究平台建设一期项目</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招标活动中，我公司保证做到：</w:t>
      </w:r>
    </w:p>
    <w:p w14:paraId="1EF79DF1">
      <w:pPr>
        <w:spacing w:line="500" w:lineRule="exact"/>
        <w:ind w:firstLine="555"/>
        <w:rPr>
          <w:rFonts w:hint="eastAsia" w:ascii="宋体" w:hAnsi="宋体"/>
          <w:color w:val="auto"/>
          <w:kern w:val="0"/>
          <w:sz w:val="24"/>
          <w:szCs w:val="24"/>
          <w:highlight w:val="none"/>
        </w:rPr>
      </w:pPr>
      <w:r>
        <w:rPr>
          <w:rFonts w:hint="eastAsia" w:ascii="宋体" w:hAnsi="宋体"/>
          <w:color w:val="auto"/>
          <w:kern w:val="0"/>
          <w:sz w:val="24"/>
          <w:szCs w:val="24"/>
          <w:highlight w:val="none"/>
        </w:rPr>
        <w:t>一、公平竞争参见本次招标活动。</w:t>
      </w:r>
    </w:p>
    <w:p w14:paraId="3D5C5181">
      <w:pPr>
        <w:spacing w:line="500" w:lineRule="exact"/>
        <w:ind w:firstLine="555"/>
        <w:rPr>
          <w:rFonts w:hint="eastAsia" w:ascii="宋体" w:hAnsi="宋体"/>
          <w:color w:val="auto"/>
          <w:kern w:val="0"/>
          <w:sz w:val="24"/>
          <w:szCs w:val="24"/>
          <w:highlight w:val="none"/>
        </w:rPr>
      </w:pPr>
      <w:r>
        <w:rPr>
          <w:rFonts w:hint="eastAsia" w:ascii="宋体" w:hAnsi="宋体"/>
          <w:color w:val="auto"/>
          <w:kern w:val="0"/>
          <w:sz w:val="24"/>
          <w:szCs w:val="24"/>
          <w:highlight w:val="none"/>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14:paraId="23345994">
      <w:pPr>
        <w:spacing w:line="500" w:lineRule="exact"/>
        <w:ind w:firstLine="555"/>
        <w:rPr>
          <w:rFonts w:hint="eastAsia" w:ascii="宋体" w:hAnsi="宋体"/>
          <w:color w:val="auto"/>
          <w:kern w:val="0"/>
          <w:sz w:val="24"/>
          <w:szCs w:val="24"/>
          <w:highlight w:val="none"/>
        </w:rPr>
      </w:pPr>
      <w:r>
        <w:rPr>
          <w:rFonts w:hint="eastAsia" w:ascii="宋体" w:hAnsi="宋体"/>
          <w:color w:val="auto"/>
          <w:kern w:val="0"/>
          <w:sz w:val="24"/>
          <w:szCs w:val="24"/>
          <w:highlight w:val="none"/>
        </w:rPr>
        <w:t>三、若出现上述行为，我公司及参与投标的工作人员愿意接受按照国家法律法规等有关规定给予的处罚。</w:t>
      </w:r>
    </w:p>
    <w:p w14:paraId="7EA14996">
      <w:pPr>
        <w:spacing w:line="500" w:lineRule="exact"/>
        <w:ind w:firstLine="555"/>
        <w:rPr>
          <w:rFonts w:hint="eastAsia" w:ascii="宋体" w:hAnsi="宋体"/>
          <w:color w:val="auto"/>
          <w:kern w:val="0"/>
          <w:sz w:val="24"/>
          <w:szCs w:val="24"/>
          <w:highlight w:val="none"/>
        </w:rPr>
      </w:pPr>
    </w:p>
    <w:p w14:paraId="43D0CF75">
      <w:pPr>
        <w:spacing w:line="500" w:lineRule="exact"/>
        <w:ind w:firstLine="555"/>
        <w:rPr>
          <w:rFonts w:hint="eastAsia" w:ascii="宋体" w:hAnsi="宋体"/>
          <w:color w:val="auto"/>
          <w:kern w:val="0"/>
          <w:sz w:val="24"/>
          <w:szCs w:val="24"/>
          <w:highlight w:val="none"/>
        </w:rPr>
      </w:pPr>
    </w:p>
    <w:p w14:paraId="3FEEDD59">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12C282FC">
      <w:pPr>
        <w:pStyle w:val="2"/>
        <w:spacing w:before="0" w:beforeAutospacing="0" w:after="0"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3C2D49E2">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4747EA2A">
      <w:pPr>
        <w:bidi w:val="0"/>
        <w:rPr>
          <w:rFonts w:hint="eastAsia"/>
          <w:highlight w:val="none"/>
        </w:rPr>
        <w:sectPr>
          <w:pgSz w:w="11905" w:h="16838"/>
          <w:pgMar w:top="1440" w:right="1800" w:bottom="1440" w:left="1800" w:header="794" w:footer="794" w:gutter="0"/>
          <w:pgNumType w:fmt="decimal"/>
          <w:cols w:space="720" w:num="1"/>
          <w:docGrid w:type="lines" w:linePitch="318" w:charSpace="0"/>
        </w:sectPr>
      </w:pPr>
    </w:p>
    <w:p w14:paraId="4204954F">
      <w:pPr>
        <w:pStyle w:val="5"/>
        <w:spacing w:before="318" w:beforeLines="100" w:after="318" w:afterLines="100" w:line="440" w:lineRule="exact"/>
        <w:jc w:val="center"/>
        <w:rPr>
          <w:rFonts w:hint="eastAsia" w:ascii="宋体" w:hAnsi="宋体"/>
          <w:b w:val="0"/>
          <w:color w:val="auto"/>
          <w:sz w:val="28"/>
          <w:szCs w:val="28"/>
          <w:highlight w:val="none"/>
        </w:rPr>
      </w:pPr>
      <w:bookmarkStart w:id="956" w:name="_Toc28531"/>
      <w:bookmarkEnd w:id="956"/>
      <w:bookmarkStart w:id="957" w:name="_Toc10592"/>
      <w:bookmarkStart w:id="958" w:name="_Toc2550"/>
      <w:bookmarkStart w:id="959" w:name="_Toc11688"/>
      <w:bookmarkStart w:id="960" w:name="_Toc3943"/>
      <w:bookmarkStart w:id="961" w:name="_Toc30461"/>
      <w:r>
        <w:rPr>
          <w:rFonts w:hint="eastAsia" w:ascii="宋体" w:hAnsi="宋体" w:eastAsia="宋体" w:cs="Times New Roman"/>
          <w:bCs/>
          <w:color w:val="auto"/>
          <w:kern w:val="2"/>
          <w:sz w:val="28"/>
          <w:szCs w:val="28"/>
          <w:highlight w:val="none"/>
        </w:rPr>
        <w:t>十二、</w:t>
      </w:r>
      <w:bookmarkEnd w:id="957"/>
      <w:r>
        <w:rPr>
          <w:rFonts w:hint="eastAsia" w:ascii="宋体" w:hAnsi="宋体" w:eastAsia="宋体" w:cs="Times New Roman"/>
          <w:bCs/>
          <w:color w:val="auto"/>
          <w:sz w:val="24"/>
          <w:szCs w:val="24"/>
          <w:highlight w:val="none"/>
        </w:rPr>
        <w:t>投标响应承诺函</w:t>
      </w:r>
      <w:bookmarkEnd w:id="958"/>
    </w:p>
    <w:p w14:paraId="2E59B87F">
      <w:pPr>
        <w:spacing w:line="560" w:lineRule="exact"/>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u w:val="single"/>
          <w:lang w:eastAsia="zh-CN"/>
        </w:rPr>
        <w:t>河南省科学院激光制造研究所、中建山河建设管理集团有限公司</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u w:val="none"/>
        </w:rPr>
        <w:t>采购人、采购代理机构名称</w:t>
      </w:r>
      <w:r>
        <w:rPr>
          <w:rFonts w:hint="eastAsia" w:ascii="宋体" w:hAnsi="宋体" w:cs="宋体"/>
          <w:b/>
          <w:color w:val="auto"/>
          <w:sz w:val="24"/>
          <w:szCs w:val="24"/>
          <w:highlight w:val="none"/>
          <w:lang w:eastAsia="zh-CN"/>
        </w:rPr>
        <w:t>）</w:t>
      </w:r>
    </w:p>
    <w:p w14:paraId="1737EBD6">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我方</w:t>
      </w:r>
      <w:r>
        <w:rPr>
          <w:rFonts w:hint="eastAsia" w:ascii="宋体" w:hAnsi="宋体" w:cs="宋体"/>
          <w:color w:val="auto"/>
          <w:sz w:val="24"/>
          <w:szCs w:val="24"/>
          <w:highlight w:val="none"/>
          <w:u w:val="single"/>
        </w:rPr>
        <w:t xml:space="preserve">  （供应商名称） </w:t>
      </w:r>
      <w:r>
        <w:rPr>
          <w:rFonts w:hint="eastAsia" w:ascii="宋体" w:hAnsi="宋体" w:cs="宋体"/>
          <w:color w:val="auto"/>
          <w:sz w:val="24"/>
          <w:szCs w:val="24"/>
          <w:highlight w:val="none"/>
        </w:rPr>
        <w:t>参加</w:t>
      </w:r>
      <w:r>
        <w:rPr>
          <w:rFonts w:hint="eastAsia" w:ascii="宋体" w:hAnsi="宋体" w:cs="宋体"/>
          <w:color w:val="auto"/>
          <w:sz w:val="24"/>
          <w:szCs w:val="24"/>
          <w:highlight w:val="none"/>
          <w:u w:val="single"/>
          <w:lang w:eastAsia="zh-CN"/>
        </w:rPr>
        <w:t>河南省科学院激光制造研究所先进激光医疗系统及关键技术研究平台建设一期项目</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豫财磋商采购-2025-59</w:t>
      </w:r>
      <w:r>
        <w:rPr>
          <w:rFonts w:hint="eastAsia" w:ascii="宋体" w:hAnsi="宋体" w:cs="宋体"/>
          <w:color w:val="auto"/>
          <w:sz w:val="24"/>
          <w:szCs w:val="24"/>
          <w:highlight w:val="none"/>
        </w:rPr>
        <w:t>）的磋商响应，根据磋商文件所规定的权利和义务，在此我方承诺如下：</w:t>
      </w:r>
    </w:p>
    <w:p w14:paraId="6BB15A2F">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1.我方提交的响应文件内容均真实、合法有效，不提供虚假材料；</w:t>
      </w:r>
    </w:p>
    <w:p w14:paraId="6C8BD79D">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2.在响应文件递交截止时间后，响应文件有效期不撤销或修改响应文件；</w:t>
      </w:r>
    </w:p>
    <w:p w14:paraId="11AA08AE">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3.如若我方中标，在收到成交通知书后，如无正当理由将在规定的时间内与采购人签订政府采购合同；</w:t>
      </w:r>
    </w:p>
    <w:p w14:paraId="05552DB4">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4.如若我方中标，我方将按磋商文件中规定的提供履约保证金或履约担保（如有）；</w:t>
      </w:r>
    </w:p>
    <w:p w14:paraId="1B605623">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5.如若我方中标，我方在签订合时不向采购人提出附加条件；</w:t>
      </w:r>
    </w:p>
    <w:p w14:paraId="4D55DD96">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6.如若我方中标，我方将按照磋商文件规定缴纳采购代理服务费。</w:t>
      </w:r>
    </w:p>
    <w:p w14:paraId="529562B3">
      <w:pPr>
        <w:spacing w:line="560" w:lineRule="exact"/>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我单位若有违反上述承诺内容，愿承担相应责任，愿意接受采购人、相关监督部门作出的包括但不限于取消投标（中标/成交）资格、实施不良行为记录、限制投标、公开曝光及相关的行政处理、处罚。</w:t>
      </w:r>
    </w:p>
    <w:p w14:paraId="577549D0">
      <w:pPr>
        <w:spacing w:line="560" w:lineRule="exact"/>
        <w:ind w:left="420" w:firstLine="420"/>
        <w:rPr>
          <w:rFonts w:hint="eastAsia" w:ascii="宋体" w:hAnsi="宋体" w:cs="宋体"/>
          <w:color w:val="auto"/>
          <w:sz w:val="24"/>
          <w:szCs w:val="24"/>
          <w:highlight w:val="none"/>
        </w:rPr>
      </w:pPr>
    </w:p>
    <w:p w14:paraId="20C8C2FB">
      <w:pPr>
        <w:pStyle w:val="2"/>
        <w:spacing w:before="0" w:beforeAutospacing="0" w:after="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（盖单位公章）</w:t>
      </w:r>
    </w:p>
    <w:p w14:paraId="413F8FA6">
      <w:pPr>
        <w:pStyle w:val="2"/>
        <w:spacing w:before="0" w:beforeAutospacing="0" w:after="0"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225E5E65">
      <w:pPr>
        <w:spacing w:line="360" w:lineRule="auto"/>
        <w:ind w:firstLine="480" w:firstLineChars="200"/>
        <w:rPr>
          <w:rFonts w:hint="eastAsia" w:ascii="宋体" w:hAnsi="宋体"/>
          <w:color w:val="auto"/>
          <w:sz w:val="24"/>
          <w:szCs w:val="24"/>
          <w:highlight w:val="none"/>
        </w:rPr>
        <w:sectPr>
          <w:pgSz w:w="11905" w:h="16838"/>
          <w:pgMar w:top="1440" w:right="1800" w:bottom="1440" w:left="1800" w:header="794" w:footer="794" w:gutter="0"/>
          <w:pgNumType w:fmt="decimal"/>
          <w:cols w:space="720" w:num="1"/>
          <w:docGrid w:type="lines" w:linePitch="318" w:charSpace="0"/>
        </w:sect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BD2985B">
      <w:pPr>
        <w:pStyle w:val="5"/>
        <w:spacing w:before="0" w:after="0" w:line="360" w:lineRule="auto"/>
        <w:ind w:left="-437" w:leftChars="-208" w:firstLine="17" w:firstLineChars="6"/>
        <w:jc w:val="center"/>
        <w:rPr>
          <w:rFonts w:hint="eastAsia" w:ascii="宋体" w:hAnsi="宋体" w:eastAsia="宋体"/>
          <w:color w:val="auto"/>
          <w:highlight w:val="none"/>
        </w:rPr>
      </w:pPr>
      <w:bookmarkStart w:id="962" w:name="_Toc8884"/>
      <w:bookmarkStart w:id="967" w:name="_GoBack"/>
      <w:bookmarkEnd w:id="967"/>
      <w:r>
        <w:rPr>
          <w:rFonts w:hint="eastAsia" w:ascii="宋体" w:hAnsi="宋体" w:eastAsia="宋体" w:cs="Times New Roman"/>
          <w:bCs/>
          <w:color w:val="auto"/>
          <w:kern w:val="2"/>
          <w:sz w:val="28"/>
          <w:szCs w:val="28"/>
          <w:highlight w:val="none"/>
        </w:rPr>
        <w:t>十三、本项目执行的政府采购政策</w:t>
      </w:r>
      <w:bookmarkEnd w:id="959"/>
      <w:bookmarkEnd w:id="960"/>
      <w:bookmarkEnd w:id="961"/>
      <w:bookmarkEnd w:id="962"/>
    </w:p>
    <w:p w14:paraId="38FF1162">
      <w:pPr>
        <w:pStyle w:val="6"/>
        <w:bidi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1、中小企业声明函</w:t>
      </w:r>
    </w:p>
    <w:p w14:paraId="0C1D0E64">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 xml:space="preserve"> （单位名称）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8EA4922">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w:t>
      </w:r>
      <w:r>
        <w:rPr>
          <w:rFonts w:hint="eastAsia" w:ascii="宋体" w:hAnsi="宋体" w:cs="宋体"/>
          <w:color w:val="auto"/>
          <w:sz w:val="24"/>
          <w:szCs w:val="24"/>
          <w:highlight w:val="none"/>
        </w:rPr>
        <w:t>行业；制造商为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w:t>
      </w:r>
      <w:r>
        <w:rPr>
          <w:rFonts w:hint="eastAsia" w:ascii="宋体" w:hAnsi="宋体" w:cs="宋体"/>
          <w:color w:val="auto"/>
          <w:sz w:val="24"/>
          <w:szCs w:val="24"/>
          <w:highlight w:val="none"/>
          <w:vertAlign w:val="superscript"/>
        </w:rPr>
        <w:t>1</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（中型企业、小型企业、微型企业） </w:t>
      </w:r>
      <w:r>
        <w:rPr>
          <w:rFonts w:hint="eastAsia" w:ascii="宋体" w:hAnsi="宋体" w:cs="宋体"/>
          <w:color w:val="auto"/>
          <w:sz w:val="24"/>
          <w:szCs w:val="24"/>
          <w:highlight w:val="none"/>
        </w:rPr>
        <w:t>；</w:t>
      </w:r>
    </w:p>
    <w:p w14:paraId="0B9FBAE5">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 </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（采购文件中明确的所属行业）行业</w:t>
      </w:r>
      <w:r>
        <w:rPr>
          <w:rFonts w:hint="eastAsia" w:ascii="宋体" w:hAnsi="宋体" w:cs="宋体"/>
          <w:color w:val="auto"/>
          <w:sz w:val="24"/>
          <w:szCs w:val="24"/>
          <w:highlight w:val="none"/>
        </w:rPr>
        <w:t xml:space="preserve"> ；制造商为</w:t>
      </w:r>
      <w:r>
        <w:rPr>
          <w:rFonts w:hint="eastAsia" w:ascii="宋体" w:hAnsi="宋体" w:cs="宋体"/>
          <w:color w:val="auto"/>
          <w:sz w:val="24"/>
          <w:szCs w:val="24"/>
          <w:highlight w:val="none"/>
          <w:u w:val="single"/>
        </w:rPr>
        <w:t xml:space="preserve"> （企业名称） </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（中型企业、小型企业、微型企业） </w:t>
      </w:r>
      <w:r>
        <w:rPr>
          <w:rFonts w:hint="eastAsia" w:ascii="宋体" w:hAnsi="宋体" w:cs="宋体"/>
          <w:color w:val="auto"/>
          <w:sz w:val="24"/>
          <w:szCs w:val="24"/>
          <w:highlight w:val="none"/>
        </w:rPr>
        <w:t>；</w:t>
      </w:r>
    </w:p>
    <w:p w14:paraId="43098200">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4B9A8118">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214E37B2">
      <w:pPr>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90DDECD">
      <w:pPr>
        <w:spacing w:line="360" w:lineRule="auto"/>
        <w:ind w:firstLine="4560" w:firstLineChars="1900"/>
        <w:rPr>
          <w:rFonts w:hint="eastAsia" w:ascii="宋体" w:hAnsi="宋体" w:cs="宋体"/>
          <w:color w:val="auto"/>
          <w:sz w:val="24"/>
          <w:szCs w:val="24"/>
          <w:highlight w:val="none"/>
        </w:rPr>
      </w:pPr>
      <w:r>
        <w:rPr>
          <w:rFonts w:hint="eastAsia" w:ascii="宋体" w:hAnsi="宋体" w:cs="宋体"/>
          <w:color w:val="auto"/>
          <w:sz w:val="24"/>
          <w:szCs w:val="24"/>
          <w:highlight w:val="none"/>
        </w:rPr>
        <w:t>企业名称（盖章）：</w:t>
      </w:r>
    </w:p>
    <w:p w14:paraId="49A86B76">
      <w:pPr>
        <w:spacing w:before="76" w:line="360" w:lineRule="auto"/>
        <w:ind w:left="10" w:right="1508" w:firstLine="408" w:firstLineChars="17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 期：</w:t>
      </w:r>
    </w:p>
    <w:p w14:paraId="04993E95">
      <w:pPr>
        <w:spacing w:before="88" w:line="360" w:lineRule="auto"/>
        <w:rPr>
          <w:rFonts w:hint="eastAsia" w:ascii="宋体" w:hAnsi="宋体" w:cs="宋体"/>
          <w:color w:val="auto"/>
          <w:sz w:val="24"/>
          <w:szCs w:val="24"/>
          <w:highlight w:val="none"/>
        </w:rPr>
      </w:pPr>
      <w:r>
        <w:rPr>
          <w:rFonts w:ascii="宋体" w:hAnsi="宋体" w:cs="宋体"/>
          <w:color w:val="auto"/>
          <w:spacing w:val="-3"/>
          <w:sz w:val="24"/>
          <w:szCs w:val="24"/>
          <w:highlight w:val="none"/>
        </w:rPr>
        <w:t>备</w:t>
      </w:r>
      <w:r>
        <w:rPr>
          <w:rFonts w:ascii="宋体" w:hAnsi="宋体" w:cs="宋体"/>
          <w:color w:val="auto"/>
          <w:spacing w:val="-2"/>
          <w:sz w:val="24"/>
          <w:szCs w:val="24"/>
          <w:highlight w:val="none"/>
        </w:rPr>
        <w:t>注：</w:t>
      </w:r>
    </w:p>
    <w:p w14:paraId="159A9574">
      <w:pPr>
        <w:spacing w:line="400" w:lineRule="exact"/>
        <w:rPr>
          <w:rFonts w:hint="eastAsia" w:ascii="宋体" w:hAnsi="宋体" w:cs="宋体"/>
          <w:color w:val="auto"/>
          <w:kern w:val="0"/>
          <w:highlight w:val="none"/>
        </w:rPr>
      </w:pPr>
      <w:bookmarkStart w:id="963" w:name="_Toc129073545"/>
      <w:r>
        <w:rPr>
          <w:rFonts w:hint="eastAsia" w:ascii="宋体" w:hAnsi="宋体" w:cs="宋体"/>
          <w:color w:val="auto"/>
          <w:kern w:val="0"/>
          <w:highlight w:val="none"/>
        </w:rPr>
        <w:t>1、从业人员、营业收入、资产总额填报上一年度数据，无上一年度数据的新企业可不填报。</w:t>
      </w:r>
    </w:p>
    <w:p w14:paraId="5D167574">
      <w:pPr>
        <w:spacing w:line="400" w:lineRule="exact"/>
        <w:rPr>
          <w:rFonts w:hint="eastAsia" w:ascii="宋体" w:hAnsi="宋体" w:cs="宋体"/>
          <w:color w:val="auto"/>
          <w:kern w:val="0"/>
          <w:highlight w:val="none"/>
        </w:rPr>
      </w:pPr>
      <w:r>
        <w:rPr>
          <w:rFonts w:hint="eastAsia" w:ascii="宋体" w:hAnsi="宋体" w:cs="宋体"/>
          <w:color w:val="auto"/>
          <w:kern w:val="0"/>
          <w:highlight w:val="none"/>
        </w:rPr>
        <w:t>2、中标人如为小型和微型企业的，随中标结果公开中标人的《中小企业声明函》。投标供应商提供声明函内容不实的，属于提供虚假材料谋取中标。</w:t>
      </w:r>
    </w:p>
    <w:p w14:paraId="7CBD8CF5">
      <w:pPr>
        <w:spacing w:line="400" w:lineRule="exact"/>
        <w:rPr>
          <w:rFonts w:hint="eastAsia" w:ascii="宋体" w:hAnsi="宋体" w:cs="宋体"/>
          <w:color w:val="auto"/>
          <w:kern w:val="0"/>
          <w:highlight w:val="none"/>
        </w:rPr>
        <w:sectPr>
          <w:pgSz w:w="11905" w:h="16838"/>
          <w:pgMar w:top="1440" w:right="1800" w:bottom="1440" w:left="1800" w:header="794" w:footer="794" w:gutter="0"/>
          <w:pgNumType w:fmt="decimal"/>
          <w:cols w:space="720" w:num="1"/>
          <w:docGrid w:type="lines" w:linePitch="318" w:charSpace="0"/>
        </w:sectPr>
      </w:pPr>
      <w:r>
        <w:rPr>
          <w:rFonts w:hint="eastAsia" w:ascii="宋体" w:hAnsi="宋体" w:cs="宋体"/>
          <w:color w:val="auto"/>
          <w:kern w:val="0"/>
          <w:highlight w:val="none"/>
        </w:rPr>
        <w:t>3、投标供应商提供的货物既有中小企业制造货物，也有大型企业制造货物的，不享受《政府采购促进中小企业发展管理办法》(财库[2020]46 号)规定的中小企业扶持政策。依据《政府采购促进中小企业发展管理办法》(财库[2020]46 号)规定享受扶持政策获得政府采购合同的，小微企业不得将合同分包给大中型企业，中型企业不得将合同分包给大型企业。</w:t>
      </w:r>
    </w:p>
    <w:p w14:paraId="1E113984">
      <w:pPr>
        <w:spacing w:after="120"/>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填写示例</w:t>
      </w:r>
      <w:r>
        <w:rPr>
          <w:rFonts w:hint="eastAsia" w:ascii="Times New Roman" w:hAnsi="Times New Roman" w:cs="Times New Roman"/>
          <w:b/>
          <w:color w:val="auto"/>
          <w:sz w:val="32"/>
          <w:szCs w:val="32"/>
          <w:highlight w:val="none"/>
          <w:lang w:eastAsia="zh-CN"/>
        </w:rPr>
        <w:t>（此示例无需附入投标文件）</w:t>
      </w:r>
      <w:r>
        <w:rPr>
          <w:rFonts w:ascii="Times New Roman" w:hAnsi="Times New Roman" w:eastAsia="宋体" w:cs="Times New Roman"/>
          <w:b/>
          <w:color w:val="auto"/>
          <w:sz w:val="32"/>
          <w:szCs w:val="32"/>
          <w:highlight w:val="none"/>
        </w:rPr>
        <w:t>：</w:t>
      </w:r>
    </w:p>
    <w:p w14:paraId="746EDA00">
      <w:pPr>
        <w:spacing w:after="120"/>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例：</w:t>
      </w:r>
      <w:r>
        <w:rPr>
          <w:rFonts w:hint="eastAsia" w:ascii="Times New Roman" w:hAnsi="Times New Roman" w:eastAsia="宋体" w:cs="Times New Roman"/>
          <w:b/>
          <w:color w:val="auto"/>
          <w:sz w:val="32"/>
          <w:szCs w:val="32"/>
          <w:highlight w:val="none"/>
        </w:rPr>
        <w:t>如</w:t>
      </w:r>
      <w:r>
        <w:rPr>
          <w:rFonts w:ascii="Times New Roman" w:hAnsi="Times New Roman" w:eastAsia="宋体" w:cs="Times New Roman"/>
          <w:b/>
          <w:color w:val="auto"/>
          <w:sz w:val="32"/>
          <w:szCs w:val="32"/>
          <w:highlight w:val="none"/>
        </w:rPr>
        <w:t>所投标包X</w:t>
      </w:r>
      <w:r>
        <w:rPr>
          <w:rFonts w:hint="eastAsia" w:ascii="Times New Roman" w:hAnsi="Times New Roman" w:eastAsia="宋体" w:cs="Times New Roman"/>
          <w:b/>
          <w:color w:val="auto"/>
          <w:sz w:val="32"/>
          <w:szCs w:val="32"/>
          <w:highlight w:val="none"/>
        </w:rPr>
        <w:t xml:space="preserve">中有A产品、B产品、C产品 </w:t>
      </w:r>
    </w:p>
    <w:p w14:paraId="40776BAD">
      <w:pPr>
        <w:keepNext/>
        <w:keepLines/>
        <w:spacing w:line="360" w:lineRule="auto"/>
        <w:jc w:val="center"/>
        <w:rPr>
          <w:rFonts w:ascii="宋体" w:hAnsi="Times New Roman"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中小企业声明函（货物）</w:t>
      </w:r>
    </w:p>
    <w:p w14:paraId="6D92CCCA">
      <w:pPr>
        <w:widowControl/>
        <w:spacing w:line="360" w:lineRule="auto"/>
        <w:ind w:firstLine="420" w:firstLineChars="200"/>
        <w:jc w:val="left"/>
        <w:rPr>
          <w:rFonts w:ascii="宋体" w:hAnsi="Times New Roman" w:eastAsia="宋体" w:cs="宋体"/>
          <w:color w:val="auto"/>
          <w:szCs w:val="21"/>
          <w:highlight w:val="none"/>
        </w:rPr>
      </w:pPr>
      <w:r>
        <w:rPr>
          <w:rFonts w:hint="eastAsia" w:ascii="宋体" w:hAnsi="宋体" w:eastAsia="宋体" w:cs="宋体"/>
          <w:color w:val="auto"/>
          <w:kern w:val="0"/>
          <w:szCs w:val="21"/>
          <w:highlight w:val="none"/>
        </w:rPr>
        <w:t>本公司（联合体）郑重声明，根据《政府采购促进中小企业发展管理办法》（财库﹝</w:t>
      </w:r>
      <w:r>
        <w:rPr>
          <w:rFonts w:ascii="宋体" w:hAnsi="宋体" w:eastAsia="宋体" w:cs="宋体"/>
          <w:color w:val="auto"/>
          <w:kern w:val="0"/>
          <w:szCs w:val="21"/>
          <w:highlight w:val="none"/>
        </w:rPr>
        <w:t>2020</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46</w:t>
      </w:r>
      <w:r>
        <w:rPr>
          <w:rFonts w:hint="eastAsia" w:ascii="宋体" w:hAnsi="宋体" w:eastAsia="宋体" w:cs="宋体"/>
          <w:color w:val="auto"/>
          <w:kern w:val="0"/>
          <w:szCs w:val="21"/>
          <w:highlight w:val="none"/>
        </w:rPr>
        <w:t>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Cs w:val="21"/>
          <w:highlight w:val="none"/>
          <w:u w:val="single"/>
          <w:lang w:eastAsia="zh-CN"/>
        </w:rPr>
        <w:t>河南省科学院激光制造研究所</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lang w:eastAsia="zh-CN"/>
        </w:rPr>
        <w:t>河南省科学院激光制造研究所先进激光医疗系统及关键技术研究平台建设一期项目</w:t>
      </w:r>
      <w:r>
        <w:rPr>
          <w:rFonts w:hint="eastAsia" w:ascii="宋体" w:hAnsi="宋体" w:eastAsia="宋体" w:cs="宋体"/>
          <w:color w:val="auto"/>
          <w:kern w:val="0"/>
          <w:szCs w:val="21"/>
          <w:highlight w:val="none"/>
        </w:rPr>
        <w:t>采购活动，提供的货物全部由符合政策要求的中小企业制造。相关企业（含联合体中的中小企业、签订分包意向协议的中小企业）的具体情况如下：</w:t>
      </w:r>
    </w:p>
    <w:p w14:paraId="55621DD8">
      <w:pPr>
        <w:widowControl/>
        <w:spacing w:line="360" w:lineRule="auto"/>
        <w:ind w:firstLine="420" w:firstLineChars="200"/>
        <w:jc w:val="left"/>
        <w:rPr>
          <w:rFonts w:ascii="宋体" w:hAnsi="Times New Roman" w:eastAsia="宋体" w:cs="宋体"/>
          <w:color w:val="auto"/>
          <w:kern w:val="0"/>
          <w:szCs w:val="21"/>
          <w:highlight w:val="none"/>
        </w:rPr>
      </w:pPr>
      <w:r>
        <w:rPr>
          <w:rFonts w:ascii="宋体" w:hAnsi="宋体" w:eastAsia="宋体" w:cs="宋体"/>
          <w:color w:val="auto"/>
          <w:kern w:val="0"/>
          <w:szCs w:val="21"/>
          <w:highlight w:val="none"/>
        </w:rPr>
        <w:t>1.</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（标的名称）</w:t>
      </w:r>
      <w:r>
        <w:rPr>
          <w:rFonts w:hint="eastAsia" w:ascii="宋体" w:hAnsi="宋体" w:eastAsia="宋体" w:cs="宋体"/>
          <w:b/>
          <w:color w:val="auto"/>
          <w:kern w:val="0"/>
          <w:szCs w:val="21"/>
          <w:highlight w:val="none"/>
          <w:u w:val="single"/>
        </w:rPr>
        <w:t>A产品</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，属于</w:t>
      </w:r>
      <w:r>
        <w:rPr>
          <w:rFonts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工业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行业；制造商为</w:t>
      </w:r>
      <w:r>
        <w:rPr>
          <w:rFonts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XXX有限公司</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，从业人员</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人，营业收入为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万元，资产总额为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万元，属于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（中型企业、小型企业、微型企业）</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BF19EA3">
      <w:pPr>
        <w:widowControl/>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（标的名称）</w:t>
      </w:r>
      <w:r>
        <w:rPr>
          <w:rFonts w:hint="eastAsia" w:ascii="宋体" w:hAnsi="宋体" w:eastAsia="宋体" w:cs="宋体"/>
          <w:b/>
          <w:color w:val="auto"/>
          <w:kern w:val="0"/>
          <w:szCs w:val="21"/>
          <w:highlight w:val="none"/>
          <w:u w:val="single"/>
        </w:rPr>
        <w:t>B产品</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工业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行业；制造商为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（企业名称）</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，从业人员</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人，营业收入</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万元，资产总额为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万元，属于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（中型企业、小型企业、微型企业）</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144036A">
      <w:pPr>
        <w:widowControl/>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（标的名称）</w:t>
      </w:r>
      <w:r>
        <w:rPr>
          <w:rFonts w:ascii="宋体" w:hAnsi="宋体" w:eastAsia="宋体" w:cs="宋体"/>
          <w:b/>
          <w:color w:val="auto"/>
          <w:kern w:val="0"/>
          <w:szCs w:val="21"/>
          <w:highlight w:val="none"/>
          <w:u w:val="single"/>
        </w:rPr>
        <w:t>C</w:t>
      </w:r>
      <w:r>
        <w:rPr>
          <w:rFonts w:hint="eastAsia" w:ascii="宋体" w:hAnsi="宋体" w:eastAsia="宋体" w:cs="宋体"/>
          <w:b/>
          <w:color w:val="auto"/>
          <w:kern w:val="0"/>
          <w:szCs w:val="21"/>
          <w:highlight w:val="none"/>
          <w:u w:val="single"/>
        </w:rPr>
        <w:t>产品</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，属于</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工业</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行业；制造商为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（企业名称）</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，从业人员</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人，营业收入</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万元，资产总额为</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万元，属于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（中型企业、小型企业、微型企业）</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0DE4755">
      <w:pPr>
        <w:spacing w:after="120"/>
        <w:rPr>
          <w:rFonts w:ascii="Times New Roman" w:hAnsi="Times New Roman" w:eastAsia="宋体" w:cs="Times New Roman"/>
          <w:color w:val="auto"/>
          <w:szCs w:val="24"/>
          <w:highlight w:val="none"/>
        </w:rPr>
      </w:pPr>
    </w:p>
    <w:p w14:paraId="2FCBEB55">
      <w:pPr>
        <w:widowControl/>
        <w:spacing w:line="360" w:lineRule="auto"/>
        <w:ind w:firstLine="420" w:firstLineChars="200"/>
        <w:jc w:val="left"/>
        <w:rPr>
          <w:rFonts w:ascii="宋体" w:hAnsi="Times New Roman" w:eastAsia="宋体" w:cs="宋体"/>
          <w:color w:val="auto"/>
          <w:kern w:val="0"/>
          <w:szCs w:val="21"/>
          <w:highlight w:val="none"/>
        </w:rPr>
      </w:pPr>
      <w:r>
        <w:rPr>
          <w:rFonts w:ascii="宋体" w:hAnsi="Times New Roman" w:eastAsia="宋体" w:cs="宋体"/>
          <w:color w:val="auto"/>
          <w:kern w:val="0"/>
          <w:szCs w:val="21"/>
          <w:highlight w:val="none"/>
        </w:rPr>
        <w:t>......</w:t>
      </w:r>
    </w:p>
    <w:p w14:paraId="0AF048FA">
      <w:pPr>
        <w:widowControl/>
        <w:spacing w:line="360" w:lineRule="auto"/>
        <w:ind w:firstLine="420" w:firstLineChars="200"/>
        <w:jc w:val="left"/>
        <w:rPr>
          <w:rFonts w:ascii="宋体" w:hAnsi="Times New Roman" w:eastAsia="宋体" w:cs="宋体"/>
          <w:color w:val="auto"/>
          <w:szCs w:val="21"/>
          <w:highlight w:val="none"/>
        </w:rPr>
      </w:pPr>
      <w:r>
        <w:rPr>
          <w:rFonts w:hint="eastAsia" w:ascii="宋体" w:hAnsi="宋体" w:eastAsia="宋体" w:cs="宋体"/>
          <w:color w:val="auto"/>
          <w:kern w:val="0"/>
          <w:szCs w:val="21"/>
          <w:highlight w:val="none"/>
        </w:rPr>
        <w:t>以上企业，不属于大企业的分支机构，不存在控股股东为大企业的情形，也不存在与大企业的负责人为同一人的情形。</w:t>
      </w:r>
    </w:p>
    <w:p w14:paraId="3F32CF5B">
      <w:pPr>
        <w:widowControl/>
        <w:spacing w:line="360" w:lineRule="auto"/>
        <w:ind w:firstLine="420" w:firstLineChars="200"/>
        <w:jc w:val="left"/>
        <w:rPr>
          <w:rFonts w:ascii="宋体" w:hAnsi="Times New Roman" w:eastAsia="宋体" w:cs="宋体"/>
          <w:color w:val="auto"/>
          <w:szCs w:val="21"/>
          <w:highlight w:val="none"/>
        </w:rPr>
      </w:pPr>
      <w:r>
        <w:rPr>
          <w:rFonts w:hint="eastAsia" w:ascii="宋体" w:hAnsi="宋体" w:eastAsia="宋体" w:cs="宋体"/>
          <w:color w:val="auto"/>
          <w:kern w:val="0"/>
          <w:szCs w:val="21"/>
          <w:highlight w:val="none"/>
        </w:rPr>
        <w:t>本企业对上述声明内容的真实性负责。如有虚假，将依法承担相应责任。</w:t>
      </w:r>
    </w:p>
    <w:p w14:paraId="6E62C2CB">
      <w:pPr>
        <w:adjustRightInd w:val="0"/>
        <w:snapToGrid w:val="0"/>
        <w:spacing w:line="360" w:lineRule="auto"/>
        <w:ind w:right="-82" w:rightChars="-39"/>
        <w:jc w:val="left"/>
        <w:rPr>
          <w:rFonts w:ascii="宋体" w:hAnsi="Times New Roman" w:eastAsia="宋体" w:cs="宋体"/>
          <w:color w:val="auto"/>
          <w:szCs w:val="21"/>
          <w:highlight w:val="none"/>
        </w:rPr>
      </w:pPr>
    </w:p>
    <w:p w14:paraId="47F29E1A">
      <w:pPr>
        <w:widowControl/>
        <w:wordWrap w:val="0"/>
        <w:spacing w:line="360" w:lineRule="auto"/>
        <w:jc w:val="right"/>
        <w:rPr>
          <w:rFonts w:ascii="宋体" w:hAnsi="Times New Roman" w:eastAsia="宋体" w:cs="宋体"/>
          <w:color w:val="auto"/>
          <w:szCs w:val="21"/>
          <w:highlight w:val="none"/>
        </w:rPr>
      </w:pPr>
      <w:r>
        <w:rPr>
          <w:rFonts w:hint="eastAsia" w:ascii="宋体" w:hAnsi="宋体" w:eastAsia="宋体" w:cs="宋体"/>
          <w:color w:val="auto"/>
          <w:kern w:val="0"/>
          <w:szCs w:val="21"/>
          <w:highlight w:val="none"/>
        </w:rPr>
        <w:t>企业名称（</w:t>
      </w:r>
      <w:r>
        <w:rPr>
          <w:rFonts w:hint="eastAsia" w:ascii="宋体" w:hAnsi="宋体" w:cs="宋体"/>
          <w:color w:val="auto"/>
          <w:kern w:val="0"/>
          <w:szCs w:val="21"/>
          <w:highlight w:val="none"/>
          <w:lang w:eastAsia="zh-CN"/>
        </w:rPr>
        <w:t>盖章</w:t>
      </w:r>
      <w:r>
        <w:rPr>
          <w:rFonts w:hint="eastAsia" w:ascii="宋体" w:hAnsi="宋体" w:eastAsia="宋体" w:cs="宋体"/>
          <w:color w:val="auto"/>
          <w:kern w:val="0"/>
          <w:szCs w:val="21"/>
          <w:highlight w:val="none"/>
        </w:rPr>
        <w:t>）：</w:t>
      </w:r>
      <w:r>
        <w:rPr>
          <w:rFonts w:ascii="宋体" w:hAnsi="宋体" w:eastAsia="宋体" w:cs="宋体"/>
          <w:color w:val="auto"/>
          <w:szCs w:val="21"/>
          <w:highlight w:val="none"/>
          <w:u w:val="single"/>
        </w:rPr>
        <w:t xml:space="preserve">                    </w:t>
      </w:r>
    </w:p>
    <w:p w14:paraId="585CD3EB">
      <w:pPr>
        <w:ind w:firstLine="420" w:firstLineChars="200"/>
        <w:jc w:val="center"/>
        <w:rPr>
          <w:rFonts w:hint="eastAsia" w:ascii="宋体" w:hAnsi="宋体" w:cs="宋体"/>
          <w:color w:val="auto"/>
          <w:highlight w:val="none"/>
        </w:rPr>
        <w:sectPr>
          <w:pgSz w:w="11905" w:h="16838"/>
          <w:pgMar w:top="1440" w:right="1800" w:bottom="1440" w:left="1800" w:header="850" w:footer="992" w:gutter="0"/>
          <w:pgNumType w:fmt="decimal"/>
          <w:cols w:space="720" w:num="1"/>
          <w:docGrid w:type="lines" w:linePitch="317" w:charSpace="0"/>
        </w:sect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期：</w:t>
      </w:r>
      <w:r>
        <w:rPr>
          <w:rFonts w:ascii="宋体" w:hAnsi="宋体" w:eastAsia="宋体" w:cs="宋体"/>
          <w:color w:val="auto"/>
          <w:szCs w:val="21"/>
          <w:highlight w:val="none"/>
          <w:u w:val="single"/>
        </w:rPr>
        <w:t xml:space="preserve">    </w:t>
      </w:r>
    </w:p>
    <w:p w14:paraId="58CAF927">
      <w:pPr>
        <w:pStyle w:val="6"/>
        <w:bidi w:val="0"/>
        <w:jc w:val="center"/>
        <w:rPr>
          <w:rFonts w:hint="eastAsia" w:ascii="宋体" w:hAnsi="宋体" w:eastAsia="宋体" w:cs="宋体"/>
          <w:sz w:val="24"/>
          <w:szCs w:val="24"/>
          <w:highlight w:val="none"/>
          <w:lang w:val="en-US" w:eastAsia="zh-CN"/>
        </w:rPr>
      </w:pPr>
      <w:bookmarkStart w:id="964" w:name="_Toc16141"/>
      <w:r>
        <w:rPr>
          <w:rFonts w:hint="eastAsia" w:ascii="宋体" w:hAnsi="宋体" w:eastAsia="宋体" w:cs="宋体"/>
          <w:sz w:val="24"/>
          <w:szCs w:val="24"/>
          <w:highlight w:val="none"/>
          <w:lang w:val="en-US" w:eastAsia="zh-CN"/>
        </w:rPr>
        <w:t>2、残疾人福利性单位声明函</w:t>
      </w:r>
      <w:bookmarkEnd w:id="963"/>
      <w:bookmarkEnd w:id="964"/>
    </w:p>
    <w:p w14:paraId="40A65121">
      <w:pPr>
        <w:pStyle w:val="85"/>
        <w:wordWrap w:val="0"/>
        <w:spacing w:line="360" w:lineRule="auto"/>
        <w:jc w:val="center"/>
        <w:rPr>
          <w:rFonts w:hint="eastAsia" w:ascii="宋体" w:hAnsi="宋体"/>
          <w:b/>
          <w:bCs/>
          <w:color w:val="auto"/>
          <w:sz w:val="24"/>
          <w:szCs w:val="24"/>
          <w:highlight w:val="none"/>
        </w:rPr>
      </w:pPr>
    </w:p>
    <w:p w14:paraId="30F5277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B4BC6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0F12A344">
      <w:pPr>
        <w:spacing w:line="360" w:lineRule="auto"/>
        <w:ind w:right="210"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单位名称（企业公章）：        </w:t>
      </w:r>
    </w:p>
    <w:p w14:paraId="493A979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日  期：</w:t>
      </w:r>
    </w:p>
    <w:p w14:paraId="464EAE36">
      <w:pPr>
        <w:spacing w:line="360" w:lineRule="auto"/>
        <w:ind w:firstLine="420" w:firstLineChars="200"/>
        <w:rPr>
          <w:rFonts w:hint="eastAsia" w:ascii="宋体" w:hAnsi="宋体"/>
          <w:color w:val="auto"/>
          <w:highlight w:val="none"/>
        </w:rPr>
      </w:pPr>
    </w:p>
    <w:p w14:paraId="2013E092">
      <w:pPr>
        <w:spacing w:line="360" w:lineRule="auto"/>
        <w:ind w:firstLine="420" w:firstLineChars="200"/>
        <w:rPr>
          <w:rFonts w:hint="eastAsia" w:ascii="宋体" w:hAnsi="宋体"/>
          <w:color w:val="auto"/>
          <w:highlight w:val="none"/>
        </w:rPr>
      </w:pPr>
      <w:r>
        <w:rPr>
          <w:rFonts w:hint="eastAsia" w:ascii="宋体" w:hAnsi="宋体"/>
          <w:color w:val="auto"/>
          <w:highlight w:val="none"/>
        </w:rPr>
        <w:t>提醒：如果供应商不是残疾人福利性单位，则不需要提供《残疾人福利性单位声明函》。否则，因此导致虚假投标的后果由供应商自行承担。</w:t>
      </w:r>
    </w:p>
    <w:p w14:paraId="669CA6B1">
      <w:pPr>
        <w:pStyle w:val="24"/>
        <w:rPr>
          <w:rFonts w:hint="eastAsia" w:ascii="宋体" w:hAnsi="宋体"/>
          <w:color w:val="auto"/>
          <w:highlight w:val="none"/>
        </w:rPr>
      </w:pPr>
    </w:p>
    <w:p w14:paraId="63C91FBF">
      <w:pPr>
        <w:pStyle w:val="6"/>
        <w:bidi w:val="0"/>
        <w:jc w:val="center"/>
        <w:rPr>
          <w:rFonts w:hint="eastAsia" w:ascii="宋体" w:hAnsi="宋体" w:eastAsia="宋体" w:cs="宋体"/>
          <w:sz w:val="24"/>
          <w:szCs w:val="24"/>
          <w:highlight w:val="none"/>
          <w:lang w:val="en-US" w:eastAsia="zh-CN"/>
        </w:rPr>
      </w:pPr>
      <w:bookmarkStart w:id="965" w:name="_Toc25003"/>
      <w:bookmarkStart w:id="966" w:name="_Toc129073546"/>
      <w:r>
        <w:rPr>
          <w:rFonts w:hint="eastAsia" w:ascii="宋体" w:hAnsi="宋体"/>
          <w:b/>
          <w:bCs/>
          <w:color w:val="auto"/>
          <w:kern w:val="0"/>
          <w:sz w:val="24"/>
          <w:szCs w:val="24"/>
          <w:highlight w:val="none"/>
        </w:rPr>
        <w:br w:type="page"/>
      </w:r>
      <w:r>
        <w:rPr>
          <w:rStyle w:val="51"/>
          <w:rFonts w:hint="eastAsia" w:ascii="宋体" w:hAnsi="宋体" w:eastAsia="宋体" w:cs="宋体"/>
          <w:b/>
          <w:bCs/>
          <w:sz w:val="24"/>
          <w:szCs w:val="24"/>
          <w:highlight w:val="none"/>
          <w:lang w:val="en-US" w:eastAsia="zh-CN"/>
        </w:rPr>
        <w:t>3、监狱企业证明文件</w:t>
      </w:r>
      <w:bookmarkEnd w:id="965"/>
      <w:bookmarkEnd w:id="966"/>
    </w:p>
    <w:p w14:paraId="3D4A25D1">
      <w:pPr>
        <w:adjustRightInd w:val="0"/>
        <w:snapToGrid w:val="0"/>
        <w:spacing w:line="360" w:lineRule="auto"/>
        <w:rPr>
          <w:rFonts w:hint="eastAsia" w:ascii="宋体" w:hAnsi="宋体"/>
          <w:color w:val="auto"/>
          <w:highlight w:val="none"/>
        </w:rPr>
      </w:pPr>
    </w:p>
    <w:p w14:paraId="0589DD1A">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省级以上监狱管理局、戒毒管理局（含新疆生产建设兵团）出具的属于监狱企业的证明文件。</w:t>
      </w:r>
    </w:p>
    <w:p w14:paraId="74F2A007">
      <w:pPr>
        <w:pStyle w:val="85"/>
        <w:wordWrap w:val="0"/>
        <w:spacing w:line="360" w:lineRule="auto"/>
        <w:rPr>
          <w:rFonts w:hint="eastAsia" w:ascii="宋体" w:hAnsi="宋体"/>
          <w:b/>
          <w:bCs/>
          <w:color w:val="auto"/>
          <w:sz w:val="24"/>
          <w:szCs w:val="24"/>
          <w:highlight w:val="none"/>
        </w:rPr>
      </w:pPr>
    </w:p>
    <w:p w14:paraId="31B4061A">
      <w:pPr>
        <w:pStyle w:val="85"/>
        <w:wordWrap w:val="0"/>
        <w:spacing w:line="360" w:lineRule="auto"/>
        <w:ind w:firstLine="420" w:firstLineChars="200"/>
        <w:rPr>
          <w:rFonts w:hint="eastAsia" w:ascii="宋体" w:hAnsi="宋体"/>
          <w:color w:val="auto"/>
          <w:highlight w:val="none"/>
        </w:rPr>
      </w:pPr>
      <w:r>
        <w:rPr>
          <w:rFonts w:hint="eastAsia" w:ascii="宋体" w:hAnsi="宋体"/>
          <w:color w:val="auto"/>
          <w:highlight w:val="none"/>
        </w:rPr>
        <w:t>提醒：如果供应商不是监狱企业，则不需要提供《监狱企业证明文件》。否则，因此导致虚假投标的后果由供应商自行承担。</w:t>
      </w:r>
    </w:p>
    <w:p w14:paraId="24FCD8C3">
      <w:pPr>
        <w:pStyle w:val="6"/>
        <w:bidi w:val="0"/>
        <w:jc w:val="center"/>
        <w:rPr>
          <w:rFonts w:hint="eastAsia" w:ascii="宋体" w:hAnsi="宋体" w:eastAsia="宋体" w:cs="宋体"/>
          <w:sz w:val="24"/>
          <w:szCs w:val="24"/>
          <w:highlight w:val="none"/>
          <w:lang w:val="en-US" w:eastAsia="zh-CN"/>
        </w:rPr>
      </w:pPr>
      <w:r>
        <w:rPr>
          <w:rFonts w:ascii="宋体" w:hAnsi="宋体" w:cs="宋体"/>
          <w:color w:val="auto"/>
          <w:kern w:val="0"/>
          <w:sz w:val="26"/>
          <w:szCs w:val="26"/>
          <w:highlight w:val="none"/>
          <w:lang w:bidi="ar"/>
        </w:rPr>
        <w:br w:type="page"/>
      </w:r>
      <w:r>
        <w:rPr>
          <w:rFonts w:hint="eastAsia" w:ascii="宋体" w:hAnsi="宋体" w:eastAsia="宋体" w:cs="宋体"/>
          <w:b/>
          <w:bCs/>
          <w:kern w:val="0"/>
          <w:sz w:val="24"/>
          <w:szCs w:val="24"/>
          <w:highlight w:val="none"/>
          <w:lang w:val="en-US" w:eastAsia="zh-CN" w:bidi="ar-SA"/>
        </w:rPr>
        <w:t>4、供应商认为需要提交的其他资料</w:t>
      </w:r>
    </w:p>
    <w:p w14:paraId="035B6B38">
      <w:pPr>
        <w:widowControl/>
        <w:jc w:val="left"/>
        <w:rPr>
          <w:rFonts w:hint="eastAsia" w:ascii="宋体" w:hAnsi="宋体" w:cs="宋体"/>
          <w:color w:val="auto"/>
          <w:kern w:val="0"/>
          <w:sz w:val="26"/>
          <w:szCs w:val="26"/>
          <w:highlight w:val="none"/>
          <w:lang w:bidi="ar"/>
        </w:rPr>
      </w:pPr>
    </w:p>
    <w:p w14:paraId="26FF5DF6">
      <w:pPr>
        <w:rPr>
          <w:rFonts w:hint="eastAsia" w:ascii="宋体" w:hAnsi="宋体" w:eastAsia="宋体" w:cs="宋体"/>
          <w:color w:val="auto"/>
          <w:highlight w:val="none"/>
        </w:rPr>
      </w:pPr>
    </w:p>
    <w:p w14:paraId="090ED3A1">
      <w:pPr>
        <w:bidi w:val="0"/>
        <w:rPr>
          <w:rFonts w:hint="eastAsia" w:ascii="Times New Roman" w:hAnsi="Times New Roman" w:eastAsia="宋体" w:cs="Times New Roman"/>
          <w:kern w:val="2"/>
          <w:sz w:val="21"/>
          <w:szCs w:val="21"/>
          <w:highlight w:val="none"/>
          <w:lang w:val="en-US" w:eastAsia="zh-CN" w:bidi="ar-SA"/>
        </w:rPr>
      </w:pPr>
    </w:p>
    <w:p w14:paraId="5DAA6A73">
      <w:pPr>
        <w:bidi w:val="0"/>
        <w:rPr>
          <w:rFonts w:hint="eastAsia"/>
          <w:highlight w:val="none"/>
          <w:lang w:val="en-US" w:eastAsia="zh-CN"/>
        </w:rPr>
      </w:pPr>
    </w:p>
    <w:p w14:paraId="54974FF5">
      <w:pPr>
        <w:bidi w:val="0"/>
        <w:rPr>
          <w:rFonts w:hint="eastAsia"/>
          <w:highlight w:val="none"/>
          <w:lang w:val="en-US" w:eastAsia="zh-CN"/>
        </w:rPr>
      </w:pPr>
    </w:p>
    <w:p w14:paraId="0CD28D7E">
      <w:pPr>
        <w:bidi w:val="0"/>
        <w:rPr>
          <w:rFonts w:hint="eastAsia"/>
          <w:highlight w:val="none"/>
          <w:lang w:val="en-US" w:eastAsia="zh-CN"/>
        </w:rPr>
      </w:pPr>
    </w:p>
    <w:p w14:paraId="3B91916D">
      <w:pPr>
        <w:bidi w:val="0"/>
        <w:rPr>
          <w:rFonts w:hint="eastAsia"/>
          <w:highlight w:val="none"/>
          <w:lang w:val="en-US" w:eastAsia="zh-CN"/>
        </w:rPr>
      </w:pPr>
    </w:p>
    <w:p w14:paraId="1FB3DD92">
      <w:pPr>
        <w:bidi w:val="0"/>
        <w:rPr>
          <w:rFonts w:hint="eastAsia"/>
          <w:highlight w:val="none"/>
          <w:lang w:val="en-US" w:eastAsia="zh-CN"/>
        </w:rPr>
      </w:pPr>
    </w:p>
    <w:p w14:paraId="1EC1EE5B">
      <w:pPr>
        <w:tabs>
          <w:tab w:val="left" w:pos="2932"/>
        </w:tabs>
        <w:bidi w:val="0"/>
        <w:jc w:val="left"/>
        <w:rPr>
          <w:rFonts w:hint="eastAsia"/>
          <w:highlight w:val="none"/>
          <w:lang w:val="en-US" w:eastAsia="zh-CN"/>
        </w:rPr>
      </w:pPr>
      <w:r>
        <w:rPr>
          <w:rFonts w:hint="eastAsia"/>
          <w:highlight w:val="none"/>
          <w:lang w:val="en-US" w:eastAsia="zh-CN"/>
        </w:rPr>
        <w:tab/>
      </w:r>
    </w:p>
    <w:sectPr>
      <w:pgSz w:w="11905" w:h="16838"/>
      <w:pgMar w:top="1440" w:right="1800" w:bottom="1440" w:left="1800" w:header="794" w:footer="79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3CE9A89-D8EB-477A-ADF2-D00C4B7CEF2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777B027-ACA0-43C7-9E65-B468ACC860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80D77002-F71C-4E67-973D-2A472A35A745}"/>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383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DB57">
    <w:pPr>
      <w:pStyle w:val="21"/>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324AE">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37D324AE">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3C450">
    <w:pPr>
      <w:pStyle w:val="2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C7D352">
                          <w:pPr>
                            <w:pStyle w:val="21"/>
                          </w:pPr>
                          <w:r>
                            <w:t xml:space="preserve">第 </w:t>
                          </w:r>
                          <w:r>
                            <w:fldChar w:fldCharType="begin"/>
                          </w:r>
                          <w:r>
                            <w:instrText xml:space="preserve"> PAGE  \* MERGEFORMAT </w:instrText>
                          </w:r>
                          <w:r>
                            <w:fldChar w:fldCharType="separate"/>
                          </w:r>
                          <w:r>
                            <w:t>二</w:t>
                          </w:r>
                          <w:r>
                            <w:fldChar w:fldCharType="end"/>
                          </w:r>
                          <w:r>
                            <w:t xml:space="preserve"> 页 共</w:t>
                          </w:r>
                          <w:r>
                            <w:rPr>
                              <w:rFonts w:hint="eastAsia"/>
                              <w:lang w:val="en-US" w:eastAsia="zh-CN"/>
                            </w:rPr>
                            <w:t>87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4C7D352">
                    <w:pPr>
                      <w:pStyle w:val="21"/>
                    </w:pPr>
                    <w:r>
                      <w:t xml:space="preserve">第 </w:t>
                    </w:r>
                    <w:r>
                      <w:fldChar w:fldCharType="begin"/>
                    </w:r>
                    <w:r>
                      <w:instrText xml:space="preserve"> PAGE  \* MERGEFORMAT </w:instrText>
                    </w:r>
                    <w:r>
                      <w:fldChar w:fldCharType="separate"/>
                    </w:r>
                    <w:r>
                      <w:t>二</w:t>
                    </w:r>
                    <w:r>
                      <w:fldChar w:fldCharType="end"/>
                    </w:r>
                    <w:r>
                      <w:t xml:space="preserve"> 页 共</w:t>
                    </w:r>
                    <w:r>
                      <w:rPr>
                        <w:rFonts w:hint="eastAsia"/>
                        <w:lang w:val="en-US" w:eastAsia="zh-CN"/>
                      </w:rPr>
                      <w:t>87</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F405">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876291">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14876291">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4E28">
    <w:pPr>
      <w:pStyle w:val="21"/>
      <w:tabs>
        <w:tab w:val="center" w:pos="4153"/>
        <w:tab w:val="right" w:pos="8306"/>
      </w:tabs>
    </w:pPr>
    <w:r>
      <mc:AlternateContent>
        <mc:Choice Requires="wps">
          <w:drawing>
            <wp:anchor distT="0" distB="0" distL="114300" distR="114300" simplePos="0" relativeHeight="251665408" behindDoc="0" locked="0" layoutInCell="1" allowOverlap="1">
              <wp:simplePos x="0" y="0"/>
              <wp:positionH relativeFrom="margin">
                <wp:posOffset>2190115</wp:posOffset>
              </wp:positionH>
              <wp:positionV relativeFrom="paragraph">
                <wp:posOffset>-22860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86942C">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7" o:spid="_x0000_s1026" o:spt="202" type="#_x0000_t202" style="position:absolute;left:0pt;margin-left:172.45pt;margin-top:-1.8pt;height:144pt;width:144pt;mso-position-horizontal-relative:margin;mso-wrap-style:none;z-index:251665408;mso-width-relative:page;mso-height-relative:page;" filled="f" stroked="f" coordsize="21600,21600" o:gfxdata="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eWPOr2AAAAAoBAAAPAAAAAAAAAAEAIAAAACIAAABkcnMvZG93bnJldi54&#10;bWxQSwECFAAUAAAACACHTuJARAXp4TMCAABkBAAADgAAAAAAAAABACAAAAAnAQAAZHJzL2Uyb0Rv&#10;Yy54bWxQSwUGAAAAAAYABgBZAQAAzAUAAAAA&#10;">
              <v:fill on="f" focussize="0,0"/>
              <v:stroke on="f" weight="0.5pt"/>
              <v:imagedata o:title=""/>
              <o:lock v:ext="edit" aspectratio="f"/>
              <v:textbox inset="0mm,0mm,0mm,0mm" style="mso-fit-shape-to-text:t;">
                <w:txbxContent>
                  <w:p w14:paraId="6F86942C">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5E22">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C3AC6C6">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OK9fHHoAQAA&#10;yAMAAA4AAAAAAAAAAQAgAAAAHwEAAGRycy9lMm9Eb2MueG1sUEsFBgAAAAAGAAYAWQEAAHkFAAAA&#10;AA==&#10;">
              <v:fill on="f" focussize="0,0"/>
              <v:stroke on="f" weight="0.5pt"/>
              <v:imagedata o:title=""/>
              <o:lock v:ext="edit" aspectratio="f"/>
              <v:textbox inset="0mm,0mm,0mm,0mm" style="mso-fit-shape-to-text:t;">
                <w:txbxContent>
                  <w:p w14:paraId="1C3AC6C6">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FFCE">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2338844">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Cu5kJPoAQAA&#10;yAMAAA4AAAAAAAAAAQAgAAAAHwEAAGRycy9lMm9Eb2MueG1sUEsFBgAAAAAGAAYAWQEAAHkFAAAA&#10;AA==&#10;">
              <v:fill on="f" focussize="0,0"/>
              <v:stroke on="f" weight="0.5pt"/>
              <v:imagedata o:title=""/>
              <o:lock v:ext="edit" aspectratio="f"/>
              <v:textbox inset="0mm,0mm,0mm,0mm" style="mso-fit-shape-to-text:t;">
                <w:txbxContent>
                  <w:p w14:paraId="42338844">
                    <w:pPr>
                      <w:pStyle w:val="2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7716">
    <w:pPr>
      <w:pStyle w:val="21"/>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8DAE6">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2168DAE6">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127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E0DD">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3E55">
    <w:pPr>
      <w:pStyle w:val="23"/>
      <w:pBdr>
        <w:bottom w:val="single" w:color="auto" w:sz="4" w:space="1"/>
      </w:pBdr>
      <w:jc w:val="both"/>
    </w:pPr>
    <w:r>
      <w:rPr>
        <w:rFonts w:hint="eastAsia" w:ascii="宋体" w:hAnsi="宋体" w:cs="宋体"/>
        <w:szCs w:val="21"/>
        <w:lang w:eastAsia="zh-CN"/>
      </w:rPr>
      <w:t>河南省科学院激光制造研究所先进激光医疗系统及关键技术研究平台建设一期项目</w:t>
    </w:r>
    <w:r>
      <w:rPr>
        <w:rFonts w:hint="eastAsia" w:ascii="宋体" w:hAnsi="宋体" w:cs="宋体"/>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C986">
    <w:pPr>
      <w:pStyle w:val="23"/>
      <w:pBdr>
        <w:bottom w:val="single" w:color="auto" w:sz="4" w:space="1"/>
      </w:pBdr>
      <w:jc w:val="both"/>
    </w:pPr>
    <w:r>
      <w:rPr>
        <w:rFonts w:hint="eastAsia" w:ascii="宋体" w:hAnsi="宋体" w:cs="宋体"/>
        <w:szCs w:val="21"/>
        <w:lang w:eastAsia="zh-CN"/>
      </w:rPr>
      <w:t>河南省科学院激光制造研究所先进激光医疗系统及关键技术研究平台建设一期项目</w:t>
    </w:r>
    <w:r>
      <w:rPr>
        <w:rFonts w:hint="eastAsia" w:ascii="宋体" w:hAnsi="宋体" w:cs="宋体"/>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F91E">
    <w:pPr>
      <w:pStyle w:val="23"/>
      <w:pBdr>
        <w:bottom w:val="single" w:color="auto" w:sz="4" w:space="1"/>
      </w:pBdr>
      <w:jc w:val="both"/>
    </w:pPr>
    <w:r>
      <w:rPr>
        <w:rFonts w:hint="eastAsia" w:ascii="宋体" w:hAnsi="宋体" w:cs="宋体"/>
        <w:szCs w:val="21"/>
        <w:lang w:eastAsia="zh-CN"/>
      </w:rPr>
      <w:t>河南省科学院激光制造研究所先进激光医疗系统及关键技术研究平台建设一期项目</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4F6D5">
    <w:pPr>
      <w:pStyle w:val="23"/>
      <w:pBdr>
        <w:bottom w:val="single" w:color="auto" w:sz="4" w:space="1"/>
      </w:pBdr>
      <w:jc w:val="both"/>
    </w:pPr>
    <w:r>
      <w:rPr>
        <w:rFonts w:hint="eastAsia" w:ascii="宋体" w:hAnsi="宋体" w:cs="宋体"/>
        <w:szCs w:val="21"/>
        <w:lang w:eastAsia="zh-CN"/>
      </w:rPr>
      <w:t>河南省科学院激光制造研究所先进激光医疗系统及关键技术研究平台建设一期项目</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7CB4">
    <w:pPr>
      <w:pStyle w:val="23"/>
      <w:pBdr>
        <w:bottom w:val="single" w:color="auto" w:sz="4" w:space="1"/>
      </w:pBdr>
      <w:jc w:val="both"/>
    </w:pPr>
    <w:r>
      <w:rPr>
        <w:rFonts w:hint="eastAsia" w:ascii="宋体" w:hAnsi="宋体" w:cs="宋体"/>
        <w:szCs w:val="21"/>
        <w:lang w:eastAsia="zh-CN"/>
      </w:rPr>
      <w:t>河南省科学院激光制造研究所先进激光医疗系统及关键技术研究平台建设一期项目</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A84">
    <w:pPr>
      <w:pStyle w:val="23"/>
      <w:pBdr>
        <w:bottom w:val="single" w:color="auto" w:sz="4" w:space="1"/>
      </w:pBdr>
      <w:jc w:val="both"/>
    </w:pPr>
    <w:r>
      <w:rPr>
        <w:rFonts w:hint="eastAsia" w:ascii="宋体" w:hAnsi="宋体" w:cs="宋体"/>
        <w:szCs w:val="21"/>
        <w:lang w:eastAsia="zh-CN"/>
      </w:rPr>
      <w:t>河南省科学院激光制造研究所先进激光医疗系统及关键技术研究平台建设一期项目</w:t>
    </w:r>
    <w:r>
      <w:rPr>
        <w:rFonts w:hint="eastAsia" w:ascii="宋体" w:hAnsi="宋体" w:cs="宋体"/>
        <w:szCs w:val="21"/>
      </w:rPr>
      <w:t xml:space="preserve">      竞争性磋商文件</w:t>
    </w:r>
  </w:p>
  <w:p w14:paraId="063641C9">
    <w:pPr>
      <w:pStyle w:val="2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6C4DC"/>
    <w:multiLevelType w:val="singleLevel"/>
    <w:tmpl w:val="94E6C4DC"/>
    <w:lvl w:ilvl="0" w:tentative="0">
      <w:start w:val="1"/>
      <w:numFmt w:val="decimal"/>
      <w:suff w:val="nothing"/>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0FB8D55"/>
    <w:multiLevelType w:val="singleLevel"/>
    <w:tmpl w:val="F0FB8D55"/>
    <w:lvl w:ilvl="0" w:tentative="0">
      <w:start w:val="5"/>
      <w:numFmt w:val="chineseCounting"/>
      <w:suff w:val="space"/>
      <w:lvlText w:val="第%1章"/>
      <w:lvlJc w:val="left"/>
      <w:rPr>
        <w:rFonts w:hint="eastAsia"/>
      </w:rPr>
    </w:lvl>
  </w:abstractNum>
  <w:abstractNum w:abstractNumId="5">
    <w:nsid w:val="F8FE4A6B"/>
    <w:multiLevelType w:val="singleLevel"/>
    <w:tmpl w:val="F8FE4A6B"/>
    <w:lvl w:ilvl="0" w:tentative="0">
      <w:start w:val="4"/>
      <w:numFmt w:val="chineseCounting"/>
      <w:suff w:val="nothing"/>
      <w:lvlText w:val="%1、"/>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6657EA5"/>
    <w:multiLevelType w:val="multilevel"/>
    <w:tmpl w:val="06657EA5"/>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7B5BF3E"/>
    <w:multiLevelType w:val="singleLevel"/>
    <w:tmpl w:val="07B5BF3E"/>
    <w:lvl w:ilvl="0" w:tentative="0">
      <w:start w:val="2"/>
      <w:numFmt w:val="decimal"/>
      <w:lvlText w:val="(%1)"/>
      <w:lvlJc w:val="left"/>
      <w:pPr>
        <w:tabs>
          <w:tab w:val="left" w:pos="312"/>
        </w:tabs>
      </w:pPr>
    </w:lvl>
  </w:abstractNum>
  <w:abstractNum w:abstractNumId="9">
    <w:nsid w:val="2A82D69F"/>
    <w:multiLevelType w:val="singleLevel"/>
    <w:tmpl w:val="2A82D69F"/>
    <w:lvl w:ilvl="0" w:tentative="0">
      <w:start w:val="1"/>
      <w:numFmt w:val="decimal"/>
      <w:suff w:val="nothing"/>
      <w:lvlText w:val="%1."/>
      <w:lvlJc w:val="left"/>
      <w:pPr>
        <w:ind w:left="425" w:hanging="425"/>
      </w:pPr>
      <w:rPr>
        <w:rFonts w:hint="default"/>
      </w:rPr>
    </w:lvl>
  </w:abstractNum>
  <w:abstractNum w:abstractNumId="10">
    <w:nsid w:val="33DD3C57"/>
    <w:multiLevelType w:val="singleLevel"/>
    <w:tmpl w:val="33DD3C57"/>
    <w:lvl w:ilvl="0" w:tentative="0">
      <w:start w:val="7"/>
      <w:numFmt w:val="decimal"/>
      <w:suff w:val="nothing"/>
      <w:lvlText w:val="（%1）"/>
      <w:lvlJc w:val="left"/>
    </w:lvl>
  </w:abstractNum>
  <w:abstractNum w:abstractNumId="11">
    <w:nsid w:val="4F3FF634"/>
    <w:multiLevelType w:val="singleLevel"/>
    <w:tmpl w:val="4F3FF634"/>
    <w:lvl w:ilvl="0" w:tentative="0">
      <w:start w:val="2"/>
      <w:numFmt w:val="decimal"/>
      <w:lvlText w:val="%1."/>
      <w:lvlJc w:val="left"/>
      <w:pPr>
        <w:tabs>
          <w:tab w:val="left" w:pos="312"/>
        </w:tabs>
      </w:pPr>
    </w:lvl>
  </w:abstractNum>
  <w:abstractNum w:abstractNumId="12">
    <w:nsid w:val="6EE40928"/>
    <w:multiLevelType w:val="singleLevel"/>
    <w:tmpl w:val="6EE40928"/>
    <w:lvl w:ilvl="0" w:tentative="0">
      <w:start w:val="19"/>
      <w:numFmt w:val="decimal"/>
      <w:suff w:val="space"/>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9"/>
  </w:num>
  <w:num w:numId="5">
    <w:abstractNumId w:val="13"/>
  </w:num>
  <w:num w:numId="6">
    <w:abstractNumId w:val="1"/>
  </w:num>
  <w:num w:numId="7">
    <w:abstractNumId w:val="10"/>
  </w:num>
  <w:num w:numId="8">
    <w:abstractNumId w:val="6"/>
  </w:num>
  <w:num w:numId="9">
    <w:abstractNumId w:val="3"/>
  </w:num>
  <w:num w:numId="10">
    <w:abstractNumId w:val="2"/>
  </w:num>
  <w:num w:numId="11">
    <w:abstractNumId w:val="12"/>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M2E4Y2U1ZWM4ZTQzM2NmZDhiMmI3OTEzMDM4OTgifQ=="/>
  </w:docVars>
  <w:rsids>
    <w:rsidRoot w:val="000476C9"/>
    <w:rsid w:val="00026639"/>
    <w:rsid w:val="00031E34"/>
    <w:rsid w:val="00045082"/>
    <w:rsid w:val="000476C9"/>
    <w:rsid w:val="00057290"/>
    <w:rsid w:val="00062802"/>
    <w:rsid w:val="000668F4"/>
    <w:rsid w:val="000777ED"/>
    <w:rsid w:val="0008223B"/>
    <w:rsid w:val="000A66D4"/>
    <w:rsid w:val="000B6609"/>
    <w:rsid w:val="000D3F0A"/>
    <w:rsid w:val="000F7C87"/>
    <w:rsid w:val="00144FBB"/>
    <w:rsid w:val="0014612A"/>
    <w:rsid w:val="001510F6"/>
    <w:rsid w:val="00151F1C"/>
    <w:rsid w:val="00175831"/>
    <w:rsid w:val="001B0DAA"/>
    <w:rsid w:val="001C2871"/>
    <w:rsid w:val="001F7133"/>
    <w:rsid w:val="00240D24"/>
    <w:rsid w:val="002425B6"/>
    <w:rsid w:val="00244C65"/>
    <w:rsid w:val="00275FFB"/>
    <w:rsid w:val="00276E33"/>
    <w:rsid w:val="0029733A"/>
    <w:rsid w:val="002B06D1"/>
    <w:rsid w:val="002B2621"/>
    <w:rsid w:val="002C1748"/>
    <w:rsid w:val="003227E0"/>
    <w:rsid w:val="00330614"/>
    <w:rsid w:val="003474C9"/>
    <w:rsid w:val="00367CE5"/>
    <w:rsid w:val="003C64AF"/>
    <w:rsid w:val="00400DE3"/>
    <w:rsid w:val="00405225"/>
    <w:rsid w:val="00424164"/>
    <w:rsid w:val="004663C9"/>
    <w:rsid w:val="004816EF"/>
    <w:rsid w:val="004A0225"/>
    <w:rsid w:val="004A10A5"/>
    <w:rsid w:val="004C0E37"/>
    <w:rsid w:val="004E24D6"/>
    <w:rsid w:val="004F456D"/>
    <w:rsid w:val="005005A2"/>
    <w:rsid w:val="00505C81"/>
    <w:rsid w:val="00532B08"/>
    <w:rsid w:val="00537B29"/>
    <w:rsid w:val="0057333D"/>
    <w:rsid w:val="005917E6"/>
    <w:rsid w:val="005A7208"/>
    <w:rsid w:val="005F53E0"/>
    <w:rsid w:val="005F65CD"/>
    <w:rsid w:val="00602D3C"/>
    <w:rsid w:val="00623349"/>
    <w:rsid w:val="00640840"/>
    <w:rsid w:val="006710DA"/>
    <w:rsid w:val="006811EF"/>
    <w:rsid w:val="00681BD2"/>
    <w:rsid w:val="00683439"/>
    <w:rsid w:val="00684BC4"/>
    <w:rsid w:val="006871EC"/>
    <w:rsid w:val="006A2D03"/>
    <w:rsid w:val="006F7044"/>
    <w:rsid w:val="00703943"/>
    <w:rsid w:val="0074045A"/>
    <w:rsid w:val="00760939"/>
    <w:rsid w:val="00776356"/>
    <w:rsid w:val="007B795F"/>
    <w:rsid w:val="007D68EE"/>
    <w:rsid w:val="007E7F11"/>
    <w:rsid w:val="00824EE4"/>
    <w:rsid w:val="008365BA"/>
    <w:rsid w:val="008A164C"/>
    <w:rsid w:val="008A2295"/>
    <w:rsid w:val="008A74D6"/>
    <w:rsid w:val="008B00C1"/>
    <w:rsid w:val="008B5E4B"/>
    <w:rsid w:val="008C6C96"/>
    <w:rsid w:val="008D726A"/>
    <w:rsid w:val="008F29F6"/>
    <w:rsid w:val="00902BAE"/>
    <w:rsid w:val="009137FC"/>
    <w:rsid w:val="009214B1"/>
    <w:rsid w:val="009426E5"/>
    <w:rsid w:val="00952BE2"/>
    <w:rsid w:val="00957CB3"/>
    <w:rsid w:val="00986758"/>
    <w:rsid w:val="009C39BA"/>
    <w:rsid w:val="009F0E01"/>
    <w:rsid w:val="00A1156B"/>
    <w:rsid w:val="00A50E03"/>
    <w:rsid w:val="00A652EC"/>
    <w:rsid w:val="00AD7338"/>
    <w:rsid w:val="00AE0EE5"/>
    <w:rsid w:val="00AE17B1"/>
    <w:rsid w:val="00B22A6B"/>
    <w:rsid w:val="00B67F2B"/>
    <w:rsid w:val="00B77E67"/>
    <w:rsid w:val="00B84663"/>
    <w:rsid w:val="00B87CE2"/>
    <w:rsid w:val="00BB0ED2"/>
    <w:rsid w:val="00BB7B8B"/>
    <w:rsid w:val="00BE5B5A"/>
    <w:rsid w:val="00BE5F1E"/>
    <w:rsid w:val="00BF349F"/>
    <w:rsid w:val="00C12DE3"/>
    <w:rsid w:val="00C20625"/>
    <w:rsid w:val="00C209FF"/>
    <w:rsid w:val="00C20AB3"/>
    <w:rsid w:val="00C21D32"/>
    <w:rsid w:val="00C42BBA"/>
    <w:rsid w:val="00C62744"/>
    <w:rsid w:val="00CF6DE8"/>
    <w:rsid w:val="00D06B18"/>
    <w:rsid w:val="00D14936"/>
    <w:rsid w:val="00D32D28"/>
    <w:rsid w:val="00D3404E"/>
    <w:rsid w:val="00D6125F"/>
    <w:rsid w:val="00DA1EA6"/>
    <w:rsid w:val="00DA25C6"/>
    <w:rsid w:val="00DB20ED"/>
    <w:rsid w:val="00DC05CB"/>
    <w:rsid w:val="00DE0AFC"/>
    <w:rsid w:val="00E1171E"/>
    <w:rsid w:val="00E36BAB"/>
    <w:rsid w:val="00E36E21"/>
    <w:rsid w:val="00E44227"/>
    <w:rsid w:val="00E442F7"/>
    <w:rsid w:val="00E73AA8"/>
    <w:rsid w:val="00EA0870"/>
    <w:rsid w:val="00EA09B9"/>
    <w:rsid w:val="00F30D99"/>
    <w:rsid w:val="00F44504"/>
    <w:rsid w:val="00F45A60"/>
    <w:rsid w:val="00F5582E"/>
    <w:rsid w:val="00F750C2"/>
    <w:rsid w:val="00F93F1C"/>
    <w:rsid w:val="00FD30DF"/>
    <w:rsid w:val="01176EA7"/>
    <w:rsid w:val="01201DB5"/>
    <w:rsid w:val="013B0DE8"/>
    <w:rsid w:val="015772A4"/>
    <w:rsid w:val="017068EF"/>
    <w:rsid w:val="01714809"/>
    <w:rsid w:val="018E0729"/>
    <w:rsid w:val="01EE7C08"/>
    <w:rsid w:val="01FA47FF"/>
    <w:rsid w:val="020967F0"/>
    <w:rsid w:val="02683E33"/>
    <w:rsid w:val="026B74AB"/>
    <w:rsid w:val="027C3466"/>
    <w:rsid w:val="028440C8"/>
    <w:rsid w:val="028F53D7"/>
    <w:rsid w:val="02A8425B"/>
    <w:rsid w:val="02BF068B"/>
    <w:rsid w:val="02CF2F40"/>
    <w:rsid w:val="032D29B2"/>
    <w:rsid w:val="03682B05"/>
    <w:rsid w:val="036A59B4"/>
    <w:rsid w:val="03782CF2"/>
    <w:rsid w:val="037B0283"/>
    <w:rsid w:val="037B54CB"/>
    <w:rsid w:val="03A8028B"/>
    <w:rsid w:val="03B5574C"/>
    <w:rsid w:val="03B634FC"/>
    <w:rsid w:val="03DB559F"/>
    <w:rsid w:val="03E77005"/>
    <w:rsid w:val="04325ECE"/>
    <w:rsid w:val="043D09D3"/>
    <w:rsid w:val="043F474B"/>
    <w:rsid w:val="044C50BA"/>
    <w:rsid w:val="04590024"/>
    <w:rsid w:val="046B3792"/>
    <w:rsid w:val="048E122E"/>
    <w:rsid w:val="04B05649"/>
    <w:rsid w:val="04F574FF"/>
    <w:rsid w:val="05177476"/>
    <w:rsid w:val="0526590B"/>
    <w:rsid w:val="053578FC"/>
    <w:rsid w:val="054162A1"/>
    <w:rsid w:val="056703FD"/>
    <w:rsid w:val="057228FE"/>
    <w:rsid w:val="05A36F5B"/>
    <w:rsid w:val="05ED01D7"/>
    <w:rsid w:val="05EE6367"/>
    <w:rsid w:val="05F652DD"/>
    <w:rsid w:val="062022B4"/>
    <w:rsid w:val="06823015"/>
    <w:rsid w:val="06A116ED"/>
    <w:rsid w:val="06A27213"/>
    <w:rsid w:val="06A62DD6"/>
    <w:rsid w:val="06AB60C8"/>
    <w:rsid w:val="06B238FA"/>
    <w:rsid w:val="06B33D85"/>
    <w:rsid w:val="06DD1E9B"/>
    <w:rsid w:val="06DE437D"/>
    <w:rsid w:val="06E11AE9"/>
    <w:rsid w:val="06E6018A"/>
    <w:rsid w:val="070C2530"/>
    <w:rsid w:val="070E6657"/>
    <w:rsid w:val="071D4AEC"/>
    <w:rsid w:val="07494150"/>
    <w:rsid w:val="074B1659"/>
    <w:rsid w:val="075958F9"/>
    <w:rsid w:val="078D5B51"/>
    <w:rsid w:val="079E6D53"/>
    <w:rsid w:val="07EC6998"/>
    <w:rsid w:val="08365E65"/>
    <w:rsid w:val="084B2743"/>
    <w:rsid w:val="084D31AF"/>
    <w:rsid w:val="0858402D"/>
    <w:rsid w:val="088E5CA1"/>
    <w:rsid w:val="08B651F8"/>
    <w:rsid w:val="08BA4CE8"/>
    <w:rsid w:val="08BD0334"/>
    <w:rsid w:val="08D538D0"/>
    <w:rsid w:val="08D5567E"/>
    <w:rsid w:val="08F024B8"/>
    <w:rsid w:val="097C01EF"/>
    <w:rsid w:val="09905A49"/>
    <w:rsid w:val="099C619C"/>
    <w:rsid w:val="099E0166"/>
    <w:rsid w:val="09CA5076"/>
    <w:rsid w:val="09D21BBD"/>
    <w:rsid w:val="09E638BB"/>
    <w:rsid w:val="0A2368BD"/>
    <w:rsid w:val="0A30445B"/>
    <w:rsid w:val="0A3463D4"/>
    <w:rsid w:val="0A391C3C"/>
    <w:rsid w:val="0A410AF1"/>
    <w:rsid w:val="0A5F48A1"/>
    <w:rsid w:val="0A652A31"/>
    <w:rsid w:val="0A6B07AC"/>
    <w:rsid w:val="0A7D421F"/>
    <w:rsid w:val="0A8C17D2"/>
    <w:rsid w:val="0AAB3E2E"/>
    <w:rsid w:val="0AB47515"/>
    <w:rsid w:val="0ABA7640"/>
    <w:rsid w:val="0ABF2205"/>
    <w:rsid w:val="0AE07ADE"/>
    <w:rsid w:val="0AE4604C"/>
    <w:rsid w:val="0AE61DC4"/>
    <w:rsid w:val="0AF344E1"/>
    <w:rsid w:val="0B3C457B"/>
    <w:rsid w:val="0B3C7C36"/>
    <w:rsid w:val="0B5207A2"/>
    <w:rsid w:val="0B6B1DCC"/>
    <w:rsid w:val="0BB21CA6"/>
    <w:rsid w:val="0BC8771C"/>
    <w:rsid w:val="0C030754"/>
    <w:rsid w:val="0C0D4587"/>
    <w:rsid w:val="0C201306"/>
    <w:rsid w:val="0C41127C"/>
    <w:rsid w:val="0CAA6E21"/>
    <w:rsid w:val="0CB677F4"/>
    <w:rsid w:val="0CE57FA0"/>
    <w:rsid w:val="0D026F80"/>
    <w:rsid w:val="0D2070E4"/>
    <w:rsid w:val="0D38442D"/>
    <w:rsid w:val="0D5F19BA"/>
    <w:rsid w:val="0D782A7C"/>
    <w:rsid w:val="0D8B0A01"/>
    <w:rsid w:val="0D9A6FB4"/>
    <w:rsid w:val="0DCB704F"/>
    <w:rsid w:val="0DE34399"/>
    <w:rsid w:val="0DF90060"/>
    <w:rsid w:val="0DFE11D3"/>
    <w:rsid w:val="0E107158"/>
    <w:rsid w:val="0E35096D"/>
    <w:rsid w:val="0EBC5FF0"/>
    <w:rsid w:val="0ECC1455"/>
    <w:rsid w:val="0ED478D1"/>
    <w:rsid w:val="0EF56A7A"/>
    <w:rsid w:val="0EF6412A"/>
    <w:rsid w:val="0F144A26"/>
    <w:rsid w:val="0F1862C4"/>
    <w:rsid w:val="0F3B0205"/>
    <w:rsid w:val="0F4E7F38"/>
    <w:rsid w:val="0F900131"/>
    <w:rsid w:val="0FE32D76"/>
    <w:rsid w:val="101148A2"/>
    <w:rsid w:val="10156CA8"/>
    <w:rsid w:val="10190546"/>
    <w:rsid w:val="101D03EC"/>
    <w:rsid w:val="10236D62"/>
    <w:rsid w:val="10303AE2"/>
    <w:rsid w:val="10482BD9"/>
    <w:rsid w:val="104D3C95"/>
    <w:rsid w:val="104E1F74"/>
    <w:rsid w:val="10613C9B"/>
    <w:rsid w:val="107D490A"/>
    <w:rsid w:val="10AD7E22"/>
    <w:rsid w:val="10B4026F"/>
    <w:rsid w:val="10F22B45"/>
    <w:rsid w:val="10FE773C"/>
    <w:rsid w:val="110C1E59"/>
    <w:rsid w:val="11186A50"/>
    <w:rsid w:val="112076B2"/>
    <w:rsid w:val="118061DD"/>
    <w:rsid w:val="11A16A45"/>
    <w:rsid w:val="11CB5870"/>
    <w:rsid w:val="11D34F02"/>
    <w:rsid w:val="11E80C1B"/>
    <w:rsid w:val="11E977FF"/>
    <w:rsid w:val="122E4051"/>
    <w:rsid w:val="124B783D"/>
    <w:rsid w:val="126B2BAF"/>
    <w:rsid w:val="1272218F"/>
    <w:rsid w:val="128B3251"/>
    <w:rsid w:val="12AC5875"/>
    <w:rsid w:val="12CA1FCB"/>
    <w:rsid w:val="12FE3A23"/>
    <w:rsid w:val="13142D0C"/>
    <w:rsid w:val="131A3751"/>
    <w:rsid w:val="134C7F2E"/>
    <w:rsid w:val="13651CF4"/>
    <w:rsid w:val="137B2A03"/>
    <w:rsid w:val="13882C94"/>
    <w:rsid w:val="138872CB"/>
    <w:rsid w:val="13946135"/>
    <w:rsid w:val="13A4439E"/>
    <w:rsid w:val="13B16CE7"/>
    <w:rsid w:val="13BB36C2"/>
    <w:rsid w:val="13D6595F"/>
    <w:rsid w:val="13D84274"/>
    <w:rsid w:val="13FB08AE"/>
    <w:rsid w:val="14065285"/>
    <w:rsid w:val="142E0338"/>
    <w:rsid w:val="143E4A1F"/>
    <w:rsid w:val="146D0E60"/>
    <w:rsid w:val="14861F22"/>
    <w:rsid w:val="14A10B0A"/>
    <w:rsid w:val="14A81E98"/>
    <w:rsid w:val="14AD3953"/>
    <w:rsid w:val="14B7715D"/>
    <w:rsid w:val="14D11E78"/>
    <w:rsid w:val="14D25715"/>
    <w:rsid w:val="14DA401C"/>
    <w:rsid w:val="14E82BDD"/>
    <w:rsid w:val="14F450DE"/>
    <w:rsid w:val="15013A7C"/>
    <w:rsid w:val="15082937"/>
    <w:rsid w:val="15237771"/>
    <w:rsid w:val="15254F5A"/>
    <w:rsid w:val="152956FC"/>
    <w:rsid w:val="152C2AC9"/>
    <w:rsid w:val="152D239E"/>
    <w:rsid w:val="153450AA"/>
    <w:rsid w:val="15453B8B"/>
    <w:rsid w:val="156009C5"/>
    <w:rsid w:val="157E0ABA"/>
    <w:rsid w:val="157F52EF"/>
    <w:rsid w:val="15A07014"/>
    <w:rsid w:val="15A3240F"/>
    <w:rsid w:val="15A5287C"/>
    <w:rsid w:val="15B64A89"/>
    <w:rsid w:val="15B66837"/>
    <w:rsid w:val="15B8435D"/>
    <w:rsid w:val="15B92B46"/>
    <w:rsid w:val="15EC4007"/>
    <w:rsid w:val="160A161F"/>
    <w:rsid w:val="160B0931"/>
    <w:rsid w:val="1662251B"/>
    <w:rsid w:val="166362D1"/>
    <w:rsid w:val="167254F5"/>
    <w:rsid w:val="169F551D"/>
    <w:rsid w:val="16A50D85"/>
    <w:rsid w:val="16A62408"/>
    <w:rsid w:val="16CC53F5"/>
    <w:rsid w:val="16F05D79"/>
    <w:rsid w:val="17013AE2"/>
    <w:rsid w:val="1706058E"/>
    <w:rsid w:val="170F61FF"/>
    <w:rsid w:val="171657DF"/>
    <w:rsid w:val="17253C74"/>
    <w:rsid w:val="17321EED"/>
    <w:rsid w:val="173739A8"/>
    <w:rsid w:val="174E3727"/>
    <w:rsid w:val="176614E5"/>
    <w:rsid w:val="17771FF6"/>
    <w:rsid w:val="17922A5F"/>
    <w:rsid w:val="17B15508"/>
    <w:rsid w:val="17BA59C3"/>
    <w:rsid w:val="17DA4A5F"/>
    <w:rsid w:val="17F90C5D"/>
    <w:rsid w:val="181E2A6D"/>
    <w:rsid w:val="18500982"/>
    <w:rsid w:val="18624A54"/>
    <w:rsid w:val="187D7B07"/>
    <w:rsid w:val="18876269"/>
    <w:rsid w:val="18890233"/>
    <w:rsid w:val="189D783A"/>
    <w:rsid w:val="18BA4B90"/>
    <w:rsid w:val="18C87A43"/>
    <w:rsid w:val="18DD2EB4"/>
    <w:rsid w:val="18E35613"/>
    <w:rsid w:val="18E7048C"/>
    <w:rsid w:val="18F558C8"/>
    <w:rsid w:val="1910625E"/>
    <w:rsid w:val="19322678"/>
    <w:rsid w:val="1941466A"/>
    <w:rsid w:val="197F1390"/>
    <w:rsid w:val="19B60BB4"/>
    <w:rsid w:val="19B65058"/>
    <w:rsid w:val="19DD25E4"/>
    <w:rsid w:val="19E41BC5"/>
    <w:rsid w:val="19FE1C77"/>
    <w:rsid w:val="1A082499"/>
    <w:rsid w:val="1A530AF8"/>
    <w:rsid w:val="1A7A6085"/>
    <w:rsid w:val="1AA64530"/>
    <w:rsid w:val="1ADC6D40"/>
    <w:rsid w:val="1AE244DA"/>
    <w:rsid w:val="1AE6371B"/>
    <w:rsid w:val="1AEB6B92"/>
    <w:rsid w:val="1AFF47DC"/>
    <w:rsid w:val="1B2E70E0"/>
    <w:rsid w:val="1B356450"/>
    <w:rsid w:val="1B5C10EF"/>
    <w:rsid w:val="1B6A434C"/>
    <w:rsid w:val="1BC7354C"/>
    <w:rsid w:val="1BCE4C1B"/>
    <w:rsid w:val="1BEA6AFC"/>
    <w:rsid w:val="1BED2887"/>
    <w:rsid w:val="1BF73705"/>
    <w:rsid w:val="1C297D63"/>
    <w:rsid w:val="1C3E30E2"/>
    <w:rsid w:val="1C4B6124"/>
    <w:rsid w:val="1C4E5A1B"/>
    <w:rsid w:val="1C6172DD"/>
    <w:rsid w:val="1C7163F4"/>
    <w:rsid w:val="1C7F5BD5"/>
    <w:rsid w:val="1CB810E7"/>
    <w:rsid w:val="1CC455BA"/>
    <w:rsid w:val="1CCB5F9D"/>
    <w:rsid w:val="1CD777BF"/>
    <w:rsid w:val="1CEF7AC8"/>
    <w:rsid w:val="1D0600A4"/>
    <w:rsid w:val="1D0E3BAD"/>
    <w:rsid w:val="1D3E783E"/>
    <w:rsid w:val="1DA82F09"/>
    <w:rsid w:val="1DE026A3"/>
    <w:rsid w:val="1E0740D4"/>
    <w:rsid w:val="1E1D25CC"/>
    <w:rsid w:val="1E360515"/>
    <w:rsid w:val="1E391DB3"/>
    <w:rsid w:val="1E430E84"/>
    <w:rsid w:val="1E83537E"/>
    <w:rsid w:val="1E894AE9"/>
    <w:rsid w:val="1E895406"/>
    <w:rsid w:val="1ECA6EAF"/>
    <w:rsid w:val="1EDD6BE3"/>
    <w:rsid w:val="1F122276"/>
    <w:rsid w:val="1F26058A"/>
    <w:rsid w:val="1F262338"/>
    <w:rsid w:val="1F2C1918"/>
    <w:rsid w:val="1F4924CA"/>
    <w:rsid w:val="1F7C464D"/>
    <w:rsid w:val="1F8F4381"/>
    <w:rsid w:val="1FB97650"/>
    <w:rsid w:val="1FDF698A"/>
    <w:rsid w:val="1FE4066F"/>
    <w:rsid w:val="1FFE5062"/>
    <w:rsid w:val="20294B6E"/>
    <w:rsid w:val="203C5B8B"/>
    <w:rsid w:val="20551ECD"/>
    <w:rsid w:val="20652BD5"/>
    <w:rsid w:val="2079293B"/>
    <w:rsid w:val="20AF45AF"/>
    <w:rsid w:val="20B971DB"/>
    <w:rsid w:val="20BA224F"/>
    <w:rsid w:val="20CE2C87"/>
    <w:rsid w:val="20D060D0"/>
    <w:rsid w:val="20D13AAD"/>
    <w:rsid w:val="20D61B3B"/>
    <w:rsid w:val="20DB01C7"/>
    <w:rsid w:val="21010555"/>
    <w:rsid w:val="21042B4C"/>
    <w:rsid w:val="21110DC5"/>
    <w:rsid w:val="213A656E"/>
    <w:rsid w:val="21404409"/>
    <w:rsid w:val="21431E7D"/>
    <w:rsid w:val="21621621"/>
    <w:rsid w:val="21635AC5"/>
    <w:rsid w:val="216E7FC6"/>
    <w:rsid w:val="216F2E69"/>
    <w:rsid w:val="2187115C"/>
    <w:rsid w:val="21995B8B"/>
    <w:rsid w:val="21A47E8B"/>
    <w:rsid w:val="21AC71BF"/>
    <w:rsid w:val="21BC60CD"/>
    <w:rsid w:val="21CB366A"/>
    <w:rsid w:val="21D24DF2"/>
    <w:rsid w:val="21DE60C6"/>
    <w:rsid w:val="22235254"/>
    <w:rsid w:val="2237563B"/>
    <w:rsid w:val="223C1E72"/>
    <w:rsid w:val="22456F79"/>
    <w:rsid w:val="226A7B95"/>
    <w:rsid w:val="226D64CF"/>
    <w:rsid w:val="22837AA1"/>
    <w:rsid w:val="2298377C"/>
    <w:rsid w:val="22BC0F7A"/>
    <w:rsid w:val="22DA1DB7"/>
    <w:rsid w:val="2397029B"/>
    <w:rsid w:val="23AF0E3F"/>
    <w:rsid w:val="23B2099F"/>
    <w:rsid w:val="23BD6FE3"/>
    <w:rsid w:val="23FE48AD"/>
    <w:rsid w:val="2412732E"/>
    <w:rsid w:val="24150BCD"/>
    <w:rsid w:val="241C0C82"/>
    <w:rsid w:val="242B03F0"/>
    <w:rsid w:val="2430105F"/>
    <w:rsid w:val="24311EAA"/>
    <w:rsid w:val="2432177F"/>
    <w:rsid w:val="24382DC9"/>
    <w:rsid w:val="243B4AD7"/>
    <w:rsid w:val="245060A9"/>
    <w:rsid w:val="24553407"/>
    <w:rsid w:val="246D27B7"/>
    <w:rsid w:val="24A3442A"/>
    <w:rsid w:val="24A94248"/>
    <w:rsid w:val="24D708E2"/>
    <w:rsid w:val="24DD793C"/>
    <w:rsid w:val="24E823E9"/>
    <w:rsid w:val="24EA25BE"/>
    <w:rsid w:val="254C7485"/>
    <w:rsid w:val="25535E50"/>
    <w:rsid w:val="25934EDA"/>
    <w:rsid w:val="259B3353"/>
    <w:rsid w:val="25B20DC9"/>
    <w:rsid w:val="25D725DE"/>
    <w:rsid w:val="25DA3E7C"/>
    <w:rsid w:val="25EE7927"/>
    <w:rsid w:val="260B490C"/>
    <w:rsid w:val="26121868"/>
    <w:rsid w:val="263A491A"/>
    <w:rsid w:val="263A6F46"/>
    <w:rsid w:val="26810100"/>
    <w:rsid w:val="26993D37"/>
    <w:rsid w:val="26CF0723"/>
    <w:rsid w:val="26E56F7C"/>
    <w:rsid w:val="26F1147D"/>
    <w:rsid w:val="26FE36E2"/>
    <w:rsid w:val="270319F8"/>
    <w:rsid w:val="2705317A"/>
    <w:rsid w:val="27172AFA"/>
    <w:rsid w:val="272A0E33"/>
    <w:rsid w:val="2751713C"/>
    <w:rsid w:val="27541A0C"/>
    <w:rsid w:val="27750300"/>
    <w:rsid w:val="27A62F3F"/>
    <w:rsid w:val="27AA5AD0"/>
    <w:rsid w:val="27C857A5"/>
    <w:rsid w:val="28090A48"/>
    <w:rsid w:val="283C2BCC"/>
    <w:rsid w:val="284A6F05"/>
    <w:rsid w:val="288D6ADC"/>
    <w:rsid w:val="28F34ED7"/>
    <w:rsid w:val="28FB65E3"/>
    <w:rsid w:val="291A676B"/>
    <w:rsid w:val="29341AF5"/>
    <w:rsid w:val="29353D60"/>
    <w:rsid w:val="29451F54"/>
    <w:rsid w:val="29453736"/>
    <w:rsid w:val="294A756A"/>
    <w:rsid w:val="29654BC7"/>
    <w:rsid w:val="29704C13"/>
    <w:rsid w:val="29836F76"/>
    <w:rsid w:val="299407E6"/>
    <w:rsid w:val="299F30D5"/>
    <w:rsid w:val="29AE18A7"/>
    <w:rsid w:val="29B53C62"/>
    <w:rsid w:val="29B6166B"/>
    <w:rsid w:val="29B844D4"/>
    <w:rsid w:val="29DD5CA8"/>
    <w:rsid w:val="29FB0865"/>
    <w:rsid w:val="2A245A47"/>
    <w:rsid w:val="2A2878AC"/>
    <w:rsid w:val="2A4B5348"/>
    <w:rsid w:val="2A4D10C0"/>
    <w:rsid w:val="2A694CD0"/>
    <w:rsid w:val="2ABB39C8"/>
    <w:rsid w:val="2AED752B"/>
    <w:rsid w:val="2B186C03"/>
    <w:rsid w:val="2B33475A"/>
    <w:rsid w:val="2BAD5B8F"/>
    <w:rsid w:val="2C2440A3"/>
    <w:rsid w:val="2C2871DC"/>
    <w:rsid w:val="2C2E4F21"/>
    <w:rsid w:val="2C33078A"/>
    <w:rsid w:val="2C3D5164"/>
    <w:rsid w:val="2C506C46"/>
    <w:rsid w:val="2C7C5C8D"/>
    <w:rsid w:val="2C972AC7"/>
    <w:rsid w:val="2CFF066C"/>
    <w:rsid w:val="2D0363AE"/>
    <w:rsid w:val="2D157E8F"/>
    <w:rsid w:val="2D305F8B"/>
    <w:rsid w:val="2D470FC7"/>
    <w:rsid w:val="2D4744ED"/>
    <w:rsid w:val="2D4F514F"/>
    <w:rsid w:val="2D5913AB"/>
    <w:rsid w:val="2D654973"/>
    <w:rsid w:val="2D850B71"/>
    <w:rsid w:val="2DBD655D"/>
    <w:rsid w:val="2E1168A9"/>
    <w:rsid w:val="2E1D6FFC"/>
    <w:rsid w:val="2E61338C"/>
    <w:rsid w:val="2E690493"/>
    <w:rsid w:val="2E911F29"/>
    <w:rsid w:val="2E9C199B"/>
    <w:rsid w:val="2ECB4CA9"/>
    <w:rsid w:val="2ED753FC"/>
    <w:rsid w:val="2EE4137C"/>
    <w:rsid w:val="2EE8585B"/>
    <w:rsid w:val="2EED4C20"/>
    <w:rsid w:val="2F192EFF"/>
    <w:rsid w:val="2F1E302B"/>
    <w:rsid w:val="2F394E6F"/>
    <w:rsid w:val="2F436F36"/>
    <w:rsid w:val="2F5F3629"/>
    <w:rsid w:val="2F735CB0"/>
    <w:rsid w:val="2F744949"/>
    <w:rsid w:val="2F837332"/>
    <w:rsid w:val="2FA86D99"/>
    <w:rsid w:val="2FB27C17"/>
    <w:rsid w:val="2FDE595C"/>
    <w:rsid w:val="2FF479A2"/>
    <w:rsid w:val="2FFC42E1"/>
    <w:rsid w:val="2FFD0E93"/>
    <w:rsid w:val="30201025"/>
    <w:rsid w:val="302F3B93"/>
    <w:rsid w:val="304F5466"/>
    <w:rsid w:val="30556452"/>
    <w:rsid w:val="306E3B3E"/>
    <w:rsid w:val="307A24E3"/>
    <w:rsid w:val="30A82681"/>
    <w:rsid w:val="30AF2EDF"/>
    <w:rsid w:val="31030136"/>
    <w:rsid w:val="31084050"/>
    <w:rsid w:val="31480833"/>
    <w:rsid w:val="3184574F"/>
    <w:rsid w:val="31881CE0"/>
    <w:rsid w:val="31A517E2"/>
    <w:rsid w:val="31A8136A"/>
    <w:rsid w:val="31BA3AA5"/>
    <w:rsid w:val="31C81E8A"/>
    <w:rsid w:val="322F554F"/>
    <w:rsid w:val="32364B30"/>
    <w:rsid w:val="326D3A78"/>
    <w:rsid w:val="326E6078"/>
    <w:rsid w:val="3284589B"/>
    <w:rsid w:val="32851613"/>
    <w:rsid w:val="32D7555D"/>
    <w:rsid w:val="32E77BD8"/>
    <w:rsid w:val="33093FF2"/>
    <w:rsid w:val="331062B4"/>
    <w:rsid w:val="332B4A08"/>
    <w:rsid w:val="333A00AF"/>
    <w:rsid w:val="335214F5"/>
    <w:rsid w:val="335C2374"/>
    <w:rsid w:val="33835B53"/>
    <w:rsid w:val="33C61EE3"/>
    <w:rsid w:val="33F26665"/>
    <w:rsid w:val="340F73E6"/>
    <w:rsid w:val="341D7D55"/>
    <w:rsid w:val="342E2DB9"/>
    <w:rsid w:val="34367069"/>
    <w:rsid w:val="343926B5"/>
    <w:rsid w:val="34572B3B"/>
    <w:rsid w:val="34833930"/>
    <w:rsid w:val="34AB35B3"/>
    <w:rsid w:val="34B8182C"/>
    <w:rsid w:val="34C06933"/>
    <w:rsid w:val="34E15227"/>
    <w:rsid w:val="34E16FD5"/>
    <w:rsid w:val="34F76FEC"/>
    <w:rsid w:val="3518676F"/>
    <w:rsid w:val="35466B8A"/>
    <w:rsid w:val="354A72A2"/>
    <w:rsid w:val="355419CC"/>
    <w:rsid w:val="3575596F"/>
    <w:rsid w:val="357A11D7"/>
    <w:rsid w:val="35906305"/>
    <w:rsid w:val="35AA386B"/>
    <w:rsid w:val="35AD5109"/>
    <w:rsid w:val="35F76EDE"/>
    <w:rsid w:val="35F965A0"/>
    <w:rsid w:val="360D5BA8"/>
    <w:rsid w:val="3628478F"/>
    <w:rsid w:val="362F565C"/>
    <w:rsid w:val="365E28A7"/>
    <w:rsid w:val="368C2F70"/>
    <w:rsid w:val="36981915"/>
    <w:rsid w:val="369A6268"/>
    <w:rsid w:val="36AA1648"/>
    <w:rsid w:val="36B204FD"/>
    <w:rsid w:val="36D14E27"/>
    <w:rsid w:val="36DC09F4"/>
    <w:rsid w:val="36FA25D0"/>
    <w:rsid w:val="370E5355"/>
    <w:rsid w:val="371A4A20"/>
    <w:rsid w:val="373115A2"/>
    <w:rsid w:val="37313B18"/>
    <w:rsid w:val="373479A2"/>
    <w:rsid w:val="3741188C"/>
    <w:rsid w:val="37A14EC2"/>
    <w:rsid w:val="37B00EE0"/>
    <w:rsid w:val="37B22EAA"/>
    <w:rsid w:val="37CD3840"/>
    <w:rsid w:val="37D67D3B"/>
    <w:rsid w:val="37E40B8A"/>
    <w:rsid w:val="380A6843"/>
    <w:rsid w:val="383E64EC"/>
    <w:rsid w:val="384004B6"/>
    <w:rsid w:val="384A4E91"/>
    <w:rsid w:val="385950D4"/>
    <w:rsid w:val="38646909"/>
    <w:rsid w:val="387617D6"/>
    <w:rsid w:val="38AA1DD4"/>
    <w:rsid w:val="38B95B73"/>
    <w:rsid w:val="38CA5FD2"/>
    <w:rsid w:val="38D8249D"/>
    <w:rsid w:val="38D96215"/>
    <w:rsid w:val="38DE5815"/>
    <w:rsid w:val="38E2331B"/>
    <w:rsid w:val="38E250CA"/>
    <w:rsid w:val="390A2872"/>
    <w:rsid w:val="39137979"/>
    <w:rsid w:val="39365415"/>
    <w:rsid w:val="394713D0"/>
    <w:rsid w:val="394A0EC1"/>
    <w:rsid w:val="395737C8"/>
    <w:rsid w:val="3966323C"/>
    <w:rsid w:val="397228F1"/>
    <w:rsid w:val="39797B9B"/>
    <w:rsid w:val="398B750F"/>
    <w:rsid w:val="39964B88"/>
    <w:rsid w:val="39B76556"/>
    <w:rsid w:val="39BC591B"/>
    <w:rsid w:val="39DF3CFF"/>
    <w:rsid w:val="39E12D91"/>
    <w:rsid w:val="39E14020"/>
    <w:rsid w:val="39E64804"/>
    <w:rsid w:val="39F5319F"/>
    <w:rsid w:val="39F8091D"/>
    <w:rsid w:val="39FA666B"/>
    <w:rsid w:val="3A045513"/>
    <w:rsid w:val="3A0550CD"/>
    <w:rsid w:val="3A0B68A2"/>
    <w:rsid w:val="3A145757"/>
    <w:rsid w:val="3A233BEC"/>
    <w:rsid w:val="3A2619FB"/>
    <w:rsid w:val="3A41410B"/>
    <w:rsid w:val="3A500759"/>
    <w:rsid w:val="3A52002D"/>
    <w:rsid w:val="3A7D39C5"/>
    <w:rsid w:val="3A9E7D64"/>
    <w:rsid w:val="3AA06FEA"/>
    <w:rsid w:val="3AA81CE5"/>
    <w:rsid w:val="3AA8411A"/>
    <w:rsid w:val="3AB679A5"/>
    <w:rsid w:val="3AFA0CA9"/>
    <w:rsid w:val="3AFD443D"/>
    <w:rsid w:val="3B031BF0"/>
    <w:rsid w:val="3B333841"/>
    <w:rsid w:val="3B4B164C"/>
    <w:rsid w:val="3B511F1C"/>
    <w:rsid w:val="3B680C88"/>
    <w:rsid w:val="3BAB20EB"/>
    <w:rsid w:val="3BB70A8F"/>
    <w:rsid w:val="3BCA461D"/>
    <w:rsid w:val="3BCC5093"/>
    <w:rsid w:val="3C2123AD"/>
    <w:rsid w:val="3C261771"/>
    <w:rsid w:val="3C642299"/>
    <w:rsid w:val="3C836BC3"/>
    <w:rsid w:val="3C8A1488"/>
    <w:rsid w:val="3C991F43"/>
    <w:rsid w:val="3CA4004C"/>
    <w:rsid w:val="3CB9353D"/>
    <w:rsid w:val="3CCB69E4"/>
    <w:rsid w:val="3CCD1FF0"/>
    <w:rsid w:val="3CED04E1"/>
    <w:rsid w:val="3CF218F1"/>
    <w:rsid w:val="3CF7310E"/>
    <w:rsid w:val="3CFF3BB8"/>
    <w:rsid w:val="3D0C0967"/>
    <w:rsid w:val="3D0F14E0"/>
    <w:rsid w:val="3D1912D6"/>
    <w:rsid w:val="3D5D11C3"/>
    <w:rsid w:val="3DB416A9"/>
    <w:rsid w:val="3DBF59D9"/>
    <w:rsid w:val="3DD61BEF"/>
    <w:rsid w:val="3DDA7253"/>
    <w:rsid w:val="3DDF42CD"/>
    <w:rsid w:val="3E1F35FD"/>
    <w:rsid w:val="3E2E2B5F"/>
    <w:rsid w:val="3E3076D3"/>
    <w:rsid w:val="3E483328"/>
    <w:rsid w:val="3E7A3FF6"/>
    <w:rsid w:val="3E8D3D29"/>
    <w:rsid w:val="3E9F580B"/>
    <w:rsid w:val="3EB412B6"/>
    <w:rsid w:val="3ED71449"/>
    <w:rsid w:val="3F255B16"/>
    <w:rsid w:val="3F6726C4"/>
    <w:rsid w:val="3F7B0026"/>
    <w:rsid w:val="3F8A64BB"/>
    <w:rsid w:val="3F9115F7"/>
    <w:rsid w:val="3FBE7F13"/>
    <w:rsid w:val="3FC53302"/>
    <w:rsid w:val="3FD17C46"/>
    <w:rsid w:val="3FD17FE9"/>
    <w:rsid w:val="40084C5B"/>
    <w:rsid w:val="404E340E"/>
    <w:rsid w:val="405C1C05"/>
    <w:rsid w:val="409C2F14"/>
    <w:rsid w:val="40B27A77"/>
    <w:rsid w:val="40B437EF"/>
    <w:rsid w:val="40C477AB"/>
    <w:rsid w:val="417B60BB"/>
    <w:rsid w:val="41E12B2C"/>
    <w:rsid w:val="420D186A"/>
    <w:rsid w:val="422519AB"/>
    <w:rsid w:val="42332AE8"/>
    <w:rsid w:val="42493A14"/>
    <w:rsid w:val="426271C1"/>
    <w:rsid w:val="428375A4"/>
    <w:rsid w:val="42B6714C"/>
    <w:rsid w:val="42B746C6"/>
    <w:rsid w:val="42BE6FB7"/>
    <w:rsid w:val="42EB101F"/>
    <w:rsid w:val="42FA6036"/>
    <w:rsid w:val="4335547F"/>
    <w:rsid w:val="433E3844"/>
    <w:rsid w:val="434D1CD9"/>
    <w:rsid w:val="43805C0B"/>
    <w:rsid w:val="438751EB"/>
    <w:rsid w:val="43984382"/>
    <w:rsid w:val="43A833B4"/>
    <w:rsid w:val="43A83DBD"/>
    <w:rsid w:val="43B14016"/>
    <w:rsid w:val="43C71A8C"/>
    <w:rsid w:val="43D23F8D"/>
    <w:rsid w:val="44093E52"/>
    <w:rsid w:val="44134886"/>
    <w:rsid w:val="441B20B5"/>
    <w:rsid w:val="443A225E"/>
    <w:rsid w:val="444F59C6"/>
    <w:rsid w:val="446472DA"/>
    <w:rsid w:val="44801C3A"/>
    <w:rsid w:val="448434D9"/>
    <w:rsid w:val="449432A7"/>
    <w:rsid w:val="44A43B7B"/>
    <w:rsid w:val="44B55D88"/>
    <w:rsid w:val="44B6499C"/>
    <w:rsid w:val="44CD1E57"/>
    <w:rsid w:val="44D10724"/>
    <w:rsid w:val="44E360E9"/>
    <w:rsid w:val="453E1BA6"/>
    <w:rsid w:val="45482758"/>
    <w:rsid w:val="45527208"/>
    <w:rsid w:val="457123A6"/>
    <w:rsid w:val="45964373"/>
    <w:rsid w:val="45AC4E88"/>
    <w:rsid w:val="45B44292"/>
    <w:rsid w:val="45B918A8"/>
    <w:rsid w:val="45C1250B"/>
    <w:rsid w:val="45EA50CF"/>
    <w:rsid w:val="45F96148"/>
    <w:rsid w:val="46195EA3"/>
    <w:rsid w:val="462F4F0C"/>
    <w:rsid w:val="467F5A88"/>
    <w:rsid w:val="468070CF"/>
    <w:rsid w:val="469841DE"/>
    <w:rsid w:val="469E7390"/>
    <w:rsid w:val="46A246F9"/>
    <w:rsid w:val="46AF075C"/>
    <w:rsid w:val="46B979E5"/>
    <w:rsid w:val="46C85F6C"/>
    <w:rsid w:val="46CC0DE7"/>
    <w:rsid w:val="46E26BDC"/>
    <w:rsid w:val="46FA5CD4"/>
    <w:rsid w:val="47025732"/>
    <w:rsid w:val="4780267D"/>
    <w:rsid w:val="479559FD"/>
    <w:rsid w:val="47B24801"/>
    <w:rsid w:val="47BE459A"/>
    <w:rsid w:val="47BE6B11"/>
    <w:rsid w:val="47C06F1E"/>
    <w:rsid w:val="47C32312"/>
    <w:rsid w:val="47F00E85"/>
    <w:rsid w:val="48401D5C"/>
    <w:rsid w:val="48645AFB"/>
    <w:rsid w:val="48914416"/>
    <w:rsid w:val="489C1D3C"/>
    <w:rsid w:val="48E2595B"/>
    <w:rsid w:val="48E93933"/>
    <w:rsid w:val="4900334A"/>
    <w:rsid w:val="493F0316"/>
    <w:rsid w:val="49634005"/>
    <w:rsid w:val="497C0C22"/>
    <w:rsid w:val="49E05DD4"/>
    <w:rsid w:val="4A3B0ADD"/>
    <w:rsid w:val="4A3E05CE"/>
    <w:rsid w:val="4A3F0E27"/>
    <w:rsid w:val="4A4E6A63"/>
    <w:rsid w:val="4A5D0A54"/>
    <w:rsid w:val="4A5D1E05"/>
    <w:rsid w:val="4A7A7858"/>
    <w:rsid w:val="4B0233A9"/>
    <w:rsid w:val="4B045373"/>
    <w:rsid w:val="4B11183E"/>
    <w:rsid w:val="4B2C501C"/>
    <w:rsid w:val="4B502367"/>
    <w:rsid w:val="4B534597"/>
    <w:rsid w:val="4B7D0C82"/>
    <w:rsid w:val="4B907CAA"/>
    <w:rsid w:val="4B9423F1"/>
    <w:rsid w:val="4BC15012"/>
    <w:rsid w:val="4BD9235C"/>
    <w:rsid w:val="4BEB6533"/>
    <w:rsid w:val="4BF2341E"/>
    <w:rsid w:val="4BF47196"/>
    <w:rsid w:val="4C101D8F"/>
    <w:rsid w:val="4C196BFC"/>
    <w:rsid w:val="4C5C2F8D"/>
    <w:rsid w:val="4C6D7028"/>
    <w:rsid w:val="4C895F48"/>
    <w:rsid w:val="4C9646F1"/>
    <w:rsid w:val="4CA84FB5"/>
    <w:rsid w:val="4CB30DFF"/>
    <w:rsid w:val="4CD34FFD"/>
    <w:rsid w:val="4CD9638C"/>
    <w:rsid w:val="4CDF554A"/>
    <w:rsid w:val="4D0D79B2"/>
    <w:rsid w:val="4D4D6E44"/>
    <w:rsid w:val="4D942A25"/>
    <w:rsid w:val="4D9C7AE5"/>
    <w:rsid w:val="4DA63427"/>
    <w:rsid w:val="4DAB7D28"/>
    <w:rsid w:val="4DDE00FE"/>
    <w:rsid w:val="4DDF3E76"/>
    <w:rsid w:val="4DF711BF"/>
    <w:rsid w:val="4E0062C6"/>
    <w:rsid w:val="4E135344"/>
    <w:rsid w:val="4E1C29D4"/>
    <w:rsid w:val="4E2963DD"/>
    <w:rsid w:val="4E2D4BE1"/>
    <w:rsid w:val="4E37780E"/>
    <w:rsid w:val="4E453CD9"/>
    <w:rsid w:val="4E4F57FC"/>
    <w:rsid w:val="4E604484"/>
    <w:rsid w:val="4E7C1E7B"/>
    <w:rsid w:val="4E8B1908"/>
    <w:rsid w:val="4E9A64E0"/>
    <w:rsid w:val="4EB175C0"/>
    <w:rsid w:val="4EB64BD7"/>
    <w:rsid w:val="4EDD17D1"/>
    <w:rsid w:val="4EEF00E8"/>
    <w:rsid w:val="4F0714E7"/>
    <w:rsid w:val="4F0F42E7"/>
    <w:rsid w:val="4F7D3946"/>
    <w:rsid w:val="4F912F4E"/>
    <w:rsid w:val="4F9C201E"/>
    <w:rsid w:val="4FA34FC2"/>
    <w:rsid w:val="4FAD422B"/>
    <w:rsid w:val="4FEA7D3C"/>
    <w:rsid w:val="4FEE65F2"/>
    <w:rsid w:val="4FF534DD"/>
    <w:rsid w:val="50016325"/>
    <w:rsid w:val="50095687"/>
    <w:rsid w:val="503A5994"/>
    <w:rsid w:val="50680152"/>
    <w:rsid w:val="50970A38"/>
    <w:rsid w:val="50B759B1"/>
    <w:rsid w:val="50E27F05"/>
    <w:rsid w:val="50E81293"/>
    <w:rsid w:val="51281690"/>
    <w:rsid w:val="512A365A"/>
    <w:rsid w:val="51600E2A"/>
    <w:rsid w:val="5176064D"/>
    <w:rsid w:val="518C1C1F"/>
    <w:rsid w:val="51C13FBE"/>
    <w:rsid w:val="51D33C8A"/>
    <w:rsid w:val="51DB6702"/>
    <w:rsid w:val="51E03207"/>
    <w:rsid w:val="51F03D35"/>
    <w:rsid w:val="5207576B"/>
    <w:rsid w:val="520C2D5F"/>
    <w:rsid w:val="5217598C"/>
    <w:rsid w:val="521A36CE"/>
    <w:rsid w:val="52224331"/>
    <w:rsid w:val="5223312E"/>
    <w:rsid w:val="52252DBB"/>
    <w:rsid w:val="523578CC"/>
    <w:rsid w:val="52365D7A"/>
    <w:rsid w:val="523D116B"/>
    <w:rsid w:val="5244074B"/>
    <w:rsid w:val="524B02A0"/>
    <w:rsid w:val="524D6C96"/>
    <w:rsid w:val="528D3EA0"/>
    <w:rsid w:val="52A02E49"/>
    <w:rsid w:val="52A35472"/>
    <w:rsid w:val="52BA1CE1"/>
    <w:rsid w:val="52BF26C9"/>
    <w:rsid w:val="52C13B4A"/>
    <w:rsid w:val="52C35B14"/>
    <w:rsid w:val="52DA2EF0"/>
    <w:rsid w:val="52DD6EFF"/>
    <w:rsid w:val="52EC6E19"/>
    <w:rsid w:val="53034162"/>
    <w:rsid w:val="53220A8C"/>
    <w:rsid w:val="535C1400"/>
    <w:rsid w:val="536B4A2C"/>
    <w:rsid w:val="53BF62DB"/>
    <w:rsid w:val="53EF7163"/>
    <w:rsid w:val="54120B01"/>
    <w:rsid w:val="545A47E3"/>
    <w:rsid w:val="549E2395"/>
    <w:rsid w:val="54BF7D95"/>
    <w:rsid w:val="54E57452"/>
    <w:rsid w:val="54F46459"/>
    <w:rsid w:val="550847F1"/>
    <w:rsid w:val="551560C9"/>
    <w:rsid w:val="552B02EF"/>
    <w:rsid w:val="552D2D4B"/>
    <w:rsid w:val="554F27E2"/>
    <w:rsid w:val="558477DD"/>
    <w:rsid w:val="558C043F"/>
    <w:rsid w:val="55942D51"/>
    <w:rsid w:val="559612BE"/>
    <w:rsid w:val="55C73B6D"/>
    <w:rsid w:val="55CB21FF"/>
    <w:rsid w:val="56075D18"/>
    <w:rsid w:val="561D553B"/>
    <w:rsid w:val="562E7748"/>
    <w:rsid w:val="562F6622"/>
    <w:rsid w:val="563D798B"/>
    <w:rsid w:val="565E627F"/>
    <w:rsid w:val="56674A08"/>
    <w:rsid w:val="56680EAC"/>
    <w:rsid w:val="56955A19"/>
    <w:rsid w:val="56C34335"/>
    <w:rsid w:val="56D55E16"/>
    <w:rsid w:val="57014E5D"/>
    <w:rsid w:val="571E5E9C"/>
    <w:rsid w:val="5724033C"/>
    <w:rsid w:val="57284198"/>
    <w:rsid w:val="5737262D"/>
    <w:rsid w:val="57887A5B"/>
    <w:rsid w:val="578F2469"/>
    <w:rsid w:val="57D121A9"/>
    <w:rsid w:val="57D637D1"/>
    <w:rsid w:val="57F14ED1"/>
    <w:rsid w:val="57FD73D2"/>
    <w:rsid w:val="580469B3"/>
    <w:rsid w:val="581D7A74"/>
    <w:rsid w:val="58331046"/>
    <w:rsid w:val="58492617"/>
    <w:rsid w:val="585316E8"/>
    <w:rsid w:val="586B6A32"/>
    <w:rsid w:val="58A12453"/>
    <w:rsid w:val="58AB6A17"/>
    <w:rsid w:val="58AD0DF8"/>
    <w:rsid w:val="58CD2EFE"/>
    <w:rsid w:val="590B5B1F"/>
    <w:rsid w:val="593353A4"/>
    <w:rsid w:val="593F66A5"/>
    <w:rsid w:val="59401C6C"/>
    <w:rsid w:val="594C3CDA"/>
    <w:rsid w:val="5952374E"/>
    <w:rsid w:val="597213EE"/>
    <w:rsid w:val="59796F2C"/>
    <w:rsid w:val="59883613"/>
    <w:rsid w:val="59B12B6A"/>
    <w:rsid w:val="59C02DAD"/>
    <w:rsid w:val="59C53DD7"/>
    <w:rsid w:val="59D423B5"/>
    <w:rsid w:val="59DB3743"/>
    <w:rsid w:val="59E832F7"/>
    <w:rsid w:val="59FD7B5D"/>
    <w:rsid w:val="5A0F269B"/>
    <w:rsid w:val="5A113609"/>
    <w:rsid w:val="5A144EA7"/>
    <w:rsid w:val="5A3F5CDB"/>
    <w:rsid w:val="5A5874BC"/>
    <w:rsid w:val="5A5D4A8A"/>
    <w:rsid w:val="5A987886"/>
    <w:rsid w:val="5AA77AC9"/>
    <w:rsid w:val="5AB26F84"/>
    <w:rsid w:val="5AB64AFF"/>
    <w:rsid w:val="5AC93EE4"/>
    <w:rsid w:val="5ADA39FB"/>
    <w:rsid w:val="5AE900E2"/>
    <w:rsid w:val="5AF71822"/>
    <w:rsid w:val="5B0171D9"/>
    <w:rsid w:val="5B4245F9"/>
    <w:rsid w:val="5B6559BA"/>
    <w:rsid w:val="5B743E4F"/>
    <w:rsid w:val="5B811D24"/>
    <w:rsid w:val="5BA069F2"/>
    <w:rsid w:val="5BAD110F"/>
    <w:rsid w:val="5BB95D06"/>
    <w:rsid w:val="5BE802A9"/>
    <w:rsid w:val="5BE90D8D"/>
    <w:rsid w:val="5C757E7F"/>
    <w:rsid w:val="5C7F2AAC"/>
    <w:rsid w:val="5C887C9D"/>
    <w:rsid w:val="5C9522CF"/>
    <w:rsid w:val="5C9A1694"/>
    <w:rsid w:val="5CA558C9"/>
    <w:rsid w:val="5CBF10FA"/>
    <w:rsid w:val="5CD2482C"/>
    <w:rsid w:val="5CF42BEF"/>
    <w:rsid w:val="5CFB54BF"/>
    <w:rsid w:val="5D1F428F"/>
    <w:rsid w:val="5D3134AF"/>
    <w:rsid w:val="5D347D3A"/>
    <w:rsid w:val="5D4810F0"/>
    <w:rsid w:val="5D5D12F2"/>
    <w:rsid w:val="5D5E0913"/>
    <w:rsid w:val="5D753EAF"/>
    <w:rsid w:val="5DC80482"/>
    <w:rsid w:val="5DCA1D31"/>
    <w:rsid w:val="5DD666D1"/>
    <w:rsid w:val="5DDE73BD"/>
    <w:rsid w:val="5DEF3C61"/>
    <w:rsid w:val="5E341674"/>
    <w:rsid w:val="5E6E3037"/>
    <w:rsid w:val="5E7A79CF"/>
    <w:rsid w:val="5EA467FA"/>
    <w:rsid w:val="5EAF2EA8"/>
    <w:rsid w:val="5EBD78BB"/>
    <w:rsid w:val="5ECE1C7D"/>
    <w:rsid w:val="5ED35331"/>
    <w:rsid w:val="5EDE1C9E"/>
    <w:rsid w:val="5F053010"/>
    <w:rsid w:val="5F0A5DEA"/>
    <w:rsid w:val="5F4311FE"/>
    <w:rsid w:val="5F526256"/>
    <w:rsid w:val="5F553F98"/>
    <w:rsid w:val="5F83325D"/>
    <w:rsid w:val="5F924CE9"/>
    <w:rsid w:val="5F9C1BC7"/>
    <w:rsid w:val="5FA07832"/>
    <w:rsid w:val="5FAB0D50"/>
    <w:rsid w:val="5FB06ECE"/>
    <w:rsid w:val="5FC15189"/>
    <w:rsid w:val="5FE777FC"/>
    <w:rsid w:val="5FF4730D"/>
    <w:rsid w:val="5FFD0D4C"/>
    <w:rsid w:val="601259E5"/>
    <w:rsid w:val="604D1BFF"/>
    <w:rsid w:val="605424A1"/>
    <w:rsid w:val="60681AA9"/>
    <w:rsid w:val="607466A0"/>
    <w:rsid w:val="60756827"/>
    <w:rsid w:val="60805044"/>
    <w:rsid w:val="60A83445"/>
    <w:rsid w:val="60B30F76"/>
    <w:rsid w:val="60C767CF"/>
    <w:rsid w:val="60DA2C4A"/>
    <w:rsid w:val="60E32FCD"/>
    <w:rsid w:val="60FD6695"/>
    <w:rsid w:val="61120392"/>
    <w:rsid w:val="61333774"/>
    <w:rsid w:val="61371BA7"/>
    <w:rsid w:val="613F280A"/>
    <w:rsid w:val="614376B6"/>
    <w:rsid w:val="61497B2C"/>
    <w:rsid w:val="61532D96"/>
    <w:rsid w:val="615D0EE2"/>
    <w:rsid w:val="61AA6E81"/>
    <w:rsid w:val="61DB6B35"/>
    <w:rsid w:val="61F44D32"/>
    <w:rsid w:val="620D3E7C"/>
    <w:rsid w:val="62175AF8"/>
    <w:rsid w:val="622F152D"/>
    <w:rsid w:val="6247450C"/>
    <w:rsid w:val="626A2EA0"/>
    <w:rsid w:val="62816E52"/>
    <w:rsid w:val="62816F7C"/>
    <w:rsid w:val="628C1A7E"/>
    <w:rsid w:val="62930822"/>
    <w:rsid w:val="6297662A"/>
    <w:rsid w:val="62A96AD4"/>
    <w:rsid w:val="62C92CD3"/>
    <w:rsid w:val="62CD073C"/>
    <w:rsid w:val="62D13935"/>
    <w:rsid w:val="630E4B89"/>
    <w:rsid w:val="63195DA0"/>
    <w:rsid w:val="632C5010"/>
    <w:rsid w:val="63334353"/>
    <w:rsid w:val="63355BCB"/>
    <w:rsid w:val="633839B4"/>
    <w:rsid w:val="634E142A"/>
    <w:rsid w:val="63512CC8"/>
    <w:rsid w:val="635602DE"/>
    <w:rsid w:val="635C3B47"/>
    <w:rsid w:val="63732C3E"/>
    <w:rsid w:val="63A86D8C"/>
    <w:rsid w:val="63CB2A7A"/>
    <w:rsid w:val="63D86F45"/>
    <w:rsid w:val="63FC70D8"/>
    <w:rsid w:val="64104931"/>
    <w:rsid w:val="641A755E"/>
    <w:rsid w:val="642A57DC"/>
    <w:rsid w:val="644545DB"/>
    <w:rsid w:val="644A1BF1"/>
    <w:rsid w:val="645D5839"/>
    <w:rsid w:val="64760C38"/>
    <w:rsid w:val="64AF3265"/>
    <w:rsid w:val="64BD6867"/>
    <w:rsid w:val="64C71494"/>
    <w:rsid w:val="64DB44A8"/>
    <w:rsid w:val="64FB2EEB"/>
    <w:rsid w:val="65212BBB"/>
    <w:rsid w:val="65420B1A"/>
    <w:rsid w:val="65562818"/>
    <w:rsid w:val="65705687"/>
    <w:rsid w:val="657D7DA4"/>
    <w:rsid w:val="658167F7"/>
    <w:rsid w:val="65941780"/>
    <w:rsid w:val="65D5198E"/>
    <w:rsid w:val="65DD0843"/>
    <w:rsid w:val="65EE47FE"/>
    <w:rsid w:val="65F04AFF"/>
    <w:rsid w:val="65FF07B9"/>
    <w:rsid w:val="66485DC8"/>
    <w:rsid w:val="664B7EA3"/>
    <w:rsid w:val="664D59C9"/>
    <w:rsid w:val="665E099B"/>
    <w:rsid w:val="666B0DCC"/>
    <w:rsid w:val="66855163"/>
    <w:rsid w:val="668D72D5"/>
    <w:rsid w:val="66974E96"/>
    <w:rsid w:val="66EF4CD2"/>
    <w:rsid w:val="67373FBB"/>
    <w:rsid w:val="674860D8"/>
    <w:rsid w:val="675114E9"/>
    <w:rsid w:val="67874F0A"/>
    <w:rsid w:val="67980EC5"/>
    <w:rsid w:val="67AB6E4B"/>
    <w:rsid w:val="67EB4BE7"/>
    <w:rsid w:val="67F90CE3"/>
    <w:rsid w:val="684828EC"/>
    <w:rsid w:val="684D1945"/>
    <w:rsid w:val="684D3A5E"/>
    <w:rsid w:val="685A261F"/>
    <w:rsid w:val="685F7C35"/>
    <w:rsid w:val="68660FC4"/>
    <w:rsid w:val="686B65DA"/>
    <w:rsid w:val="68776D2D"/>
    <w:rsid w:val="68AA7102"/>
    <w:rsid w:val="68BE495C"/>
    <w:rsid w:val="68CF4DBB"/>
    <w:rsid w:val="68D264C1"/>
    <w:rsid w:val="68E51EE8"/>
    <w:rsid w:val="690622C2"/>
    <w:rsid w:val="69076303"/>
    <w:rsid w:val="69110F2F"/>
    <w:rsid w:val="692E45A1"/>
    <w:rsid w:val="692F7608"/>
    <w:rsid w:val="694035C3"/>
    <w:rsid w:val="69670B4F"/>
    <w:rsid w:val="696F5C56"/>
    <w:rsid w:val="697A7775"/>
    <w:rsid w:val="69A711CC"/>
    <w:rsid w:val="69AF0748"/>
    <w:rsid w:val="69BC7874"/>
    <w:rsid w:val="69BF2811"/>
    <w:rsid w:val="69DF4B8A"/>
    <w:rsid w:val="69F54502"/>
    <w:rsid w:val="69F820EF"/>
    <w:rsid w:val="6A106C14"/>
    <w:rsid w:val="6A107439"/>
    <w:rsid w:val="6A165D5E"/>
    <w:rsid w:val="6A241853"/>
    <w:rsid w:val="6A4B66C3"/>
    <w:rsid w:val="6A537326"/>
    <w:rsid w:val="6A9A589E"/>
    <w:rsid w:val="6AA3205B"/>
    <w:rsid w:val="6AA85F4A"/>
    <w:rsid w:val="6AAF0A00"/>
    <w:rsid w:val="6AB778B5"/>
    <w:rsid w:val="6ABC4ECB"/>
    <w:rsid w:val="6ACC0C75"/>
    <w:rsid w:val="6AF40B09"/>
    <w:rsid w:val="6B0F5943"/>
    <w:rsid w:val="6B20545A"/>
    <w:rsid w:val="6B2B3DFF"/>
    <w:rsid w:val="6B3929BF"/>
    <w:rsid w:val="6B6A0DCB"/>
    <w:rsid w:val="6BBF4368"/>
    <w:rsid w:val="6BD91B7C"/>
    <w:rsid w:val="6BDB3A77"/>
    <w:rsid w:val="6BF13A6A"/>
    <w:rsid w:val="6C661592"/>
    <w:rsid w:val="6C67038E"/>
    <w:rsid w:val="6C922387"/>
    <w:rsid w:val="6C937EAD"/>
    <w:rsid w:val="6CA137BD"/>
    <w:rsid w:val="6CAA691B"/>
    <w:rsid w:val="6CB0166A"/>
    <w:rsid w:val="6CC83FFB"/>
    <w:rsid w:val="6CD82CFD"/>
    <w:rsid w:val="6CE66A13"/>
    <w:rsid w:val="6CF070AE"/>
    <w:rsid w:val="6CF3094C"/>
    <w:rsid w:val="6D0F39D8"/>
    <w:rsid w:val="6D2B64B4"/>
    <w:rsid w:val="6D3A680D"/>
    <w:rsid w:val="6D7777CF"/>
    <w:rsid w:val="6DA2484C"/>
    <w:rsid w:val="6DB90077"/>
    <w:rsid w:val="6DC4271A"/>
    <w:rsid w:val="6DC5053A"/>
    <w:rsid w:val="6DE533CB"/>
    <w:rsid w:val="6E3D217C"/>
    <w:rsid w:val="6E4A0A40"/>
    <w:rsid w:val="6E722F6C"/>
    <w:rsid w:val="6E922B12"/>
    <w:rsid w:val="6EB910A4"/>
    <w:rsid w:val="6ECD3B4B"/>
    <w:rsid w:val="6EDB2941"/>
    <w:rsid w:val="6EDF73DA"/>
    <w:rsid w:val="6F0F60B4"/>
    <w:rsid w:val="6F3C482C"/>
    <w:rsid w:val="6F5C6C7D"/>
    <w:rsid w:val="6F652494"/>
    <w:rsid w:val="6F6B5A47"/>
    <w:rsid w:val="6FA742F8"/>
    <w:rsid w:val="6FC50AA4"/>
    <w:rsid w:val="6FDE58E3"/>
    <w:rsid w:val="70074E3A"/>
    <w:rsid w:val="706A7177"/>
    <w:rsid w:val="70763D6E"/>
    <w:rsid w:val="707C234E"/>
    <w:rsid w:val="709A7A5C"/>
    <w:rsid w:val="70B328CC"/>
    <w:rsid w:val="70C4389A"/>
    <w:rsid w:val="70C60851"/>
    <w:rsid w:val="70F51137"/>
    <w:rsid w:val="710E3FA6"/>
    <w:rsid w:val="71105F71"/>
    <w:rsid w:val="71724535"/>
    <w:rsid w:val="71995F66"/>
    <w:rsid w:val="71C01A00"/>
    <w:rsid w:val="71CC28A9"/>
    <w:rsid w:val="71D52397"/>
    <w:rsid w:val="72012C72"/>
    <w:rsid w:val="7218332F"/>
    <w:rsid w:val="722F0678"/>
    <w:rsid w:val="72523E7A"/>
    <w:rsid w:val="729B5D0E"/>
    <w:rsid w:val="72A06B51"/>
    <w:rsid w:val="72D2171E"/>
    <w:rsid w:val="72D74F98"/>
    <w:rsid w:val="73072300"/>
    <w:rsid w:val="73075151"/>
    <w:rsid w:val="730B3518"/>
    <w:rsid w:val="732B40DF"/>
    <w:rsid w:val="73357F10"/>
    <w:rsid w:val="73532623"/>
    <w:rsid w:val="73597E6C"/>
    <w:rsid w:val="735A60D6"/>
    <w:rsid w:val="73734595"/>
    <w:rsid w:val="73871AC0"/>
    <w:rsid w:val="73903399"/>
    <w:rsid w:val="73B01345"/>
    <w:rsid w:val="73BB0416"/>
    <w:rsid w:val="73E536E4"/>
    <w:rsid w:val="73E7745D"/>
    <w:rsid w:val="74085EF5"/>
    <w:rsid w:val="740F0761"/>
    <w:rsid w:val="74116287"/>
    <w:rsid w:val="74212243"/>
    <w:rsid w:val="74250EE0"/>
    <w:rsid w:val="74460ADE"/>
    <w:rsid w:val="7467234B"/>
    <w:rsid w:val="74736F42"/>
    <w:rsid w:val="74C66459"/>
    <w:rsid w:val="74CD776A"/>
    <w:rsid w:val="74E21D58"/>
    <w:rsid w:val="74E4399C"/>
    <w:rsid w:val="74F11C15"/>
    <w:rsid w:val="74F773C5"/>
    <w:rsid w:val="751F49D4"/>
    <w:rsid w:val="75265D63"/>
    <w:rsid w:val="752B15CB"/>
    <w:rsid w:val="7544443B"/>
    <w:rsid w:val="75A76F2F"/>
    <w:rsid w:val="75B72E5F"/>
    <w:rsid w:val="75F55735"/>
    <w:rsid w:val="761107C1"/>
    <w:rsid w:val="762258C6"/>
    <w:rsid w:val="763E70DC"/>
    <w:rsid w:val="764A3CD3"/>
    <w:rsid w:val="76524935"/>
    <w:rsid w:val="76B92C06"/>
    <w:rsid w:val="76D161A2"/>
    <w:rsid w:val="76FF2D0F"/>
    <w:rsid w:val="77057BFA"/>
    <w:rsid w:val="771A4B55"/>
    <w:rsid w:val="771F6F0D"/>
    <w:rsid w:val="7791148D"/>
    <w:rsid w:val="779F6144"/>
    <w:rsid w:val="77A0780C"/>
    <w:rsid w:val="77D305BF"/>
    <w:rsid w:val="783B3DB6"/>
    <w:rsid w:val="7859644F"/>
    <w:rsid w:val="78745037"/>
    <w:rsid w:val="78827754"/>
    <w:rsid w:val="789E013A"/>
    <w:rsid w:val="78B83176"/>
    <w:rsid w:val="78C7537B"/>
    <w:rsid w:val="78D93E53"/>
    <w:rsid w:val="78F227FE"/>
    <w:rsid w:val="790068CB"/>
    <w:rsid w:val="79202AC9"/>
    <w:rsid w:val="792E5DB0"/>
    <w:rsid w:val="792F0F9E"/>
    <w:rsid w:val="796C6E19"/>
    <w:rsid w:val="79713251"/>
    <w:rsid w:val="79817A0B"/>
    <w:rsid w:val="798A5CBE"/>
    <w:rsid w:val="79907C4E"/>
    <w:rsid w:val="79C94C0D"/>
    <w:rsid w:val="79D25AA5"/>
    <w:rsid w:val="79D7762B"/>
    <w:rsid w:val="79FC3536"/>
    <w:rsid w:val="7A1563A6"/>
    <w:rsid w:val="7A266B63"/>
    <w:rsid w:val="7A410F49"/>
    <w:rsid w:val="7A6F1DFE"/>
    <w:rsid w:val="7A707EDB"/>
    <w:rsid w:val="7A961744"/>
    <w:rsid w:val="7AA03EC1"/>
    <w:rsid w:val="7ADC6EC3"/>
    <w:rsid w:val="7AE91D0C"/>
    <w:rsid w:val="7B256ABC"/>
    <w:rsid w:val="7B28153F"/>
    <w:rsid w:val="7B2F5245"/>
    <w:rsid w:val="7B340AAD"/>
    <w:rsid w:val="7B4056A4"/>
    <w:rsid w:val="7BA07EF1"/>
    <w:rsid w:val="7BB67714"/>
    <w:rsid w:val="7BB8348D"/>
    <w:rsid w:val="7BC2255D"/>
    <w:rsid w:val="7BCE4A5E"/>
    <w:rsid w:val="7C105077"/>
    <w:rsid w:val="7C296138"/>
    <w:rsid w:val="7C330D65"/>
    <w:rsid w:val="7C7B2E38"/>
    <w:rsid w:val="7C945CA8"/>
    <w:rsid w:val="7C961A20"/>
    <w:rsid w:val="7CB07F99"/>
    <w:rsid w:val="7CC04CEF"/>
    <w:rsid w:val="7CCE6984"/>
    <w:rsid w:val="7CE87DA1"/>
    <w:rsid w:val="7CFF439F"/>
    <w:rsid w:val="7D103B1A"/>
    <w:rsid w:val="7D264A48"/>
    <w:rsid w:val="7D4A280A"/>
    <w:rsid w:val="7D5E4C09"/>
    <w:rsid w:val="7D6531A0"/>
    <w:rsid w:val="7D8F193F"/>
    <w:rsid w:val="7DA056F0"/>
    <w:rsid w:val="7DB75612"/>
    <w:rsid w:val="7DC75C09"/>
    <w:rsid w:val="7DE20C95"/>
    <w:rsid w:val="7DF21B5E"/>
    <w:rsid w:val="7DF34C50"/>
    <w:rsid w:val="7DF7741D"/>
    <w:rsid w:val="7E01736D"/>
    <w:rsid w:val="7E024E93"/>
    <w:rsid w:val="7E042739"/>
    <w:rsid w:val="7E0F2A95"/>
    <w:rsid w:val="7E112285"/>
    <w:rsid w:val="7E3E236F"/>
    <w:rsid w:val="7E4454AB"/>
    <w:rsid w:val="7E6B0C8A"/>
    <w:rsid w:val="7E8B6C36"/>
    <w:rsid w:val="7E95590D"/>
    <w:rsid w:val="7EC64185"/>
    <w:rsid w:val="7ECA1745"/>
    <w:rsid w:val="7ED405DD"/>
    <w:rsid w:val="7EE8052D"/>
    <w:rsid w:val="7EF6785B"/>
    <w:rsid w:val="7F0013D2"/>
    <w:rsid w:val="7F236E5E"/>
    <w:rsid w:val="7F427C3D"/>
    <w:rsid w:val="7F482D79"/>
    <w:rsid w:val="7F544E80"/>
    <w:rsid w:val="7F6D27E0"/>
    <w:rsid w:val="7F6E0A32"/>
    <w:rsid w:val="7F871FE8"/>
    <w:rsid w:val="7F95569B"/>
    <w:rsid w:val="7FA21A0C"/>
    <w:rsid w:val="7FBB64BE"/>
    <w:rsid w:val="7FCA735A"/>
    <w:rsid w:val="7FCB7F52"/>
    <w:rsid w:val="7FD71D74"/>
    <w:rsid w:val="7FDE7B28"/>
    <w:rsid w:val="7FFC704C"/>
    <w:rsid w:val="F57B3F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3"/>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4"/>
    <w:qFormat/>
    <w:uiPriority w:val="99"/>
    <w:pPr>
      <w:keepNext/>
      <w:keepLines/>
      <w:spacing w:before="260" w:after="260" w:line="412" w:lineRule="auto"/>
      <w:outlineLvl w:val="1"/>
    </w:pPr>
    <w:rPr>
      <w:rFonts w:ascii="Arial" w:hAnsi="Arial" w:eastAsia="黑体" w:cs="Arial"/>
      <w:b/>
      <w:kern w:val="0"/>
      <w:sz w:val="32"/>
      <w:szCs w:val="32"/>
    </w:rPr>
  </w:style>
  <w:style w:type="paragraph" w:styleId="6">
    <w:name w:val="heading 3"/>
    <w:basedOn w:val="1"/>
    <w:next w:val="1"/>
    <w:link w:val="51"/>
    <w:qFormat/>
    <w:uiPriority w:val="99"/>
    <w:pPr>
      <w:keepNext/>
      <w:keepLines/>
      <w:spacing w:before="260" w:after="260" w:line="412" w:lineRule="auto"/>
      <w:ind w:left="459"/>
      <w:outlineLvl w:val="2"/>
    </w:pPr>
    <w:rPr>
      <w:rFonts w:eastAsia="仿宋_GB2312"/>
      <w:b/>
      <w:bCs/>
      <w:kern w:val="0"/>
      <w:sz w:val="32"/>
      <w:szCs w:val="32"/>
    </w:rPr>
  </w:style>
  <w:style w:type="paragraph" w:styleId="7">
    <w:name w:val="heading 4"/>
    <w:basedOn w:val="1"/>
    <w:next w:val="1"/>
    <w:link w:val="55"/>
    <w:qFormat/>
    <w:uiPriority w:val="99"/>
    <w:pPr>
      <w:keepNext/>
      <w:keepLines/>
      <w:spacing w:before="280" w:after="290" w:line="372" w:lineRule="auto"/>
      <w:outlineLvl w:val="3"/>
    </w:pPr>
    <w:rPr>
      <w:rFonts w:ascii="Arial" w:hAnsi="Arial" w:eastAsia="黑体" w:cs="Arial"/>
      <w:b/>
      <w:bCs/>
      <w:kern w:val="0"/>
      <w:sz w:val="28"/>
      <w:szCs w:val="28"/>
    </w:rPr>
  </w:style>
  <w:style w:type="character" w:default="1" w:styleId="36">
    <w:name w:val="Default Paragraph Font"/>
    <w:unhideWhenUsed/>
    <w:qFormat/>
    <w:uiPriority w:val="1"/>
  </w:style>
  <w:style w:type="table" w:default="1" w:styleId="3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52"/>
    <w:unhideWhenUsed/>
    <w:qFormat/>
    <w:uiPriority w:val="99"/>
    <w:pPr>
      <w:spacing w:before="100" w:beforeAutospacing="1" w:after="120"/>
    </w:pPr>
    <w:rPr>
      <w:kern w:val="0"/>
      <w:sz w:val="20"/>
      <w:szCs w:val="20"/>
    </w:rPr>
  </w:style>
  <w:style w:type="paragraph" w:styleId="3">
    <w:name w:val="Body Text 2"/>
    <w:basedOn w:val="1"/>
    <w:next w:val="2"/>
    <w:qFormat/>
    <w:uiPriority w:val="0"/>
    <w:pPr>
      <w:spacing w:line="360" w:lineRule="auto"/>
      <w:ind w:firstLine="480" w:firstLineChars="200"/>
    </w:pPr>
    <w:rPr>
      <w:rFonts w:ascii="仿宋_GB2312" w:hAnsi="宋体" w:eastAsia="仿宋_GB2312"/>
      <w:sz w:val="24"/>
      <w:szCs w:val="20"/>
    </w:rPr>
  </w:style>
  <w:style w:type="paragraph" w:styleId="8">
    <w:name w:val="toc 7"/>
    <w:basedOn w:val="1"/>
    <w:next w:val="1"/>
    <w:unhideWhenUsed/>
    <w:qFormat/>
    <w:uiPriority w:val="39"/>
    <w:pPr>
      <w:ind w:left="2520" w:leftChars="1200"/>
    </w:pPr>
    <w:rPr>
      <w:rFonts w:ascii="Calibri" w:hAnsi="Calibri" w:eastAsia="宋体" w:cs="Times New Roman"/>
      <w:szCs w:val="22"/>
    </w:rPr>
  </w:style>
  <w:style w:type="paragraph" w:styleId="9">
    <w:name w:val="index 8"/>
    <w:basedOn w:val="1"/>
    <w:next w:val="1"/>
    <w:unhideWhenUsed/>
    <w:qFormat/>
    <w:uiPriority w:val="99"/>
    <w:pPr>
      <w:jc w:val="center"/>
    </w:pPr>
    <w:rPr>
      <w:color w:val="000000"/>
      <w:sz w:val="32"/>
      <w:szCs w:val="32"/>
    </w:rPr>
  </w:style>
  <w:style w:type="paragraph" w:styleId="10">
    <w:name w:val="Normal Indent"/>
    <w:basedOn w:val="1"/>
    <w:next w:val="3"/>
    <w:qFormat/>
    <w:uiPriority w:val="99"/>
    <w:pPr>
      <w:ind w:firstLine="420"/>
    </w:pPr>
    <w:rPr>
      <w:szCs w:val="20"/>
    </w:rPr>
  </w:style>
  <w:style w:type="paragraph" w:styleId="11">
    <w:name w:val="annotation text"/>
    <w:basedOn w:val="1"/>
    <w:link w:val="56"/>
    <w:unhideWhenUsed/>
    <w:qFormat/>
    <w:uiPriority w:val="99"/>
    <w:pPr>
      <w:jc w:val="left"/>
    </w:pPr>
    <w:rPr>
      <w:kern w:val="0"/>
      <w:sz w:val="20"/>
      <w:szCs w:val="20"/>
    </w:rPr>
  </w:style>
  <w:style w:type="paragraph" w:styleId="12">
    <w:name w:val="Body Text 3"/>
    <w:basedOn w:val="1"/>
    <w:link w:val="57"/>
    <w:unhideWhenUsed/>
    <w:qFormat/>
    <w:uiPriority w:val="99"/>
    <w:rPr>
      <w:kern w:val="0"/>
      <w:sz w:val="24"/>
      <w:szCs w:val="24"/>
    </w:rPr>
  </w:style>
  <w:style w:type="paragraph" w:styleId="13">
    <w:name w:val="Body Text Indent"/>
    <w:basedOn w:val="1"/>
    <w:unhideWhenUsed/>
    <w:qFormat/>
    <w:uiPriority w:val="0"/>
    <w:pPr>
      <w:ind w:firstLine="353" w:firstLineChars="147"/>
    </w:pPr>
    <w:rPr>
      <w:rFonts w:ascii="宋体" w:hAnsi="宋体"/>
      <w:kern w:val="0"/>
    </w:rPr>
  </w:style>
  <w:style w:type="paragraph" w:styleId="14">
    <w:name w:val="List 2"/>
    <w:basedOn w:val="1"/>
    <w:qFormat/>
    <w:uiPriority w:val="0"/>
    <w:pPr>
      <w:ind w:left="100" w:leftChars="200" w:hanging="200" w:hangingChars="200"/>
    </w:pPr>
  </w:style>
  <w:style w:type="paragraph" w:styleId="15">
    <w:name w:val="toc 5"/>
    <w:basedOn w:val="1"/>
    <w:next w:val="1"/>
    <w:unhideWhenUsed/>
    <w:qFormat/>
    <w:uiPriority w:val="39"/>
    <w:pPr>
      <w:ind w:left="1680" w:leftChars="800"/>
    </w:pPr>
    <w:rPr>
      <w:rFonts w:ascii="Calibri" w:hAnsi="Calibri" w:eastAsia="宋体" w:cs="Times New Roman"/>
      <w:szCs w:val="22"/>
    </w:rPr>
  </w:style>
  <w:style w:type="paragraph" w:styleId="16">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7">
    <w:name w:val="Plain Text"/>
    <w:basedOn w:val="1"/>
    <w:link w:val="58"/>
    <w:unhideWhenUsed/>
    <w:qFormat/>
    <w:uiPriority w:val="99"/>
    <w:rPr>
      <w:rFonts w:hAnsi="Courier New"/>
      <w:kern w:val="0"/>
      <w:sz w:val="20"/>
      <w:szCs w:val="20"/>
    </w:rPr>
  </w:style>
  <w:style w:type="paragraph" w:styleId="18">
    <w:name w:val="toc 8"/>
    <w:basedOn w:val="1"/>
    <w:next w:val="1"/>
    <w:unhideWhenUsed/>
    <w:qFormat/>
    <w:uiPriority w:val="39"/>
    <w:pPr>
      <w:ind w:left="2940" w:leftChars="1400"/>
    </w:pPr>
    <w:rPr>
      <w:rFonts w:ascii="Calibri" w:hAnsi="Calibri" w:eastAsia="宋体" w:cs="Times New Roman"/>
      <w:szCs w:val="22"/>
    </w:rPr>
  </w:style>
  <w:style w:type="paragraph" w:styleId="19">
    <w:name w:val="Date"/>
    <w:basedOn w:val="1"/>
    <w:next w:val="1"/>
    <w:qFormat/>
    <w:uiPriority w:val="99"/>
    <w:pPr>
      <w:ind w:left="100" w:leftChars="2500"/>
    </w:pPr>
  </w:style>
  <w:style w:type="paragraph" w:styleId="20">
    <w:name w:val="Balloon Text"/>
    <w:basedOn w:val="1"/>
    <w:link w:val="59"/>
    <w:unhideWhenUsed/>
    <w:qFormat/>
    <w:uiPriority w:val="99"/>
    <w:rPr>
      <w:sz w:val="18"/>
      <w:szCs w:val="18"/>
    </w:rPr>
  </w:style>
  <w:style w:type="paragraph" w:styleId="21">
    <w:name w:val="footer"/>
    <w:basedOn w:val="1"/>
    <w:link w:val="60"/>
    <w:unhideWhenUsed/>
    <w:qFormat/>
    <w:uiPriority w:val="99"/>
    <w:pPr>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link w:val="61"/>
    <w:unhideWhenUsed/>
    <w:qFormat/>
    <w:uiPriority w:val="99"/>
    <w:pPr>
      <w:pBdr>
        <w:bottom w:val="single" w:color="auto" w:sz="6" w:space="1"/>
      </w:pBdr>
      <w:snapToGrid w:val="0"/>
      <w:jc w:val="center"/>
    </w:pPr>
    <w:rPr>
      <w:kern w:val="0"/>
      <w:sz w:val="18"/>
      <w:szCs w:val="18"/>
    </w:rPr>
  </w:style>
  <w:style w:type="paragraph" w:styleId="24">
    <w:name w:val="toc 1"/>
    <w:basedOn w:val="1"/>
    <w:next w:val="1"/>
    <w:unhideWhenUsed/>
    <w:qFormat/>
    <w:uiPriority w:val="39"/>
    <w:pPr>
      <w:widowControl/>
      <w:spacing w:before="100" w:beforeAutospacing="1" w:after="100" w:line="273" w:lineRule="auto"/>
      <w:jc w:val="center"/>
    </w:pPr>
    <w:rPr>
      <w:rFonts w:ascii="Calibri" w:hAnsi="Calibri" w:cs="Calibri"/>
      <w:kern w:val="0"/>
      <w:sz w:val="22"/>
      <w:szCs w:val="22"/>
    </w:rPr>
  </w:style>
  <w:style w:type="paragraph" w:styleId="25">
    <w:name w:val="toc 4"/>
    <w:basedOn w:val="1"/>
    <w:next w:val="1"/>
    <w:unhideWhenUsed/>
    <w:qFormat/>
    <w:uiPriority w:val="39"/>
    <w:pPr>
      <w:ind w:left="1260" w:leftChars="600"/>
    </w:pPr>
    <w:rPr>
      <w:rFonts w:ascii="Calibri" w:hAnsi="Calibri" w:eastAsia="宋体" w:cs="Times New Roman"/>
      <w:szCs w:val="22"/>
    </w:rPr>
  </w:style>
  <w:style w:type="paragraph" w:styleId="26">
    <w:name w:val="footnote text"/>
    <w:basedOn w:val="1"/>
    <w:link w:val="62"/>
    <w:unhideWhenUsed/>
    <w:qFormat/>
    <w:uiPriority w:val="99"/>
    <w:pPr>
      <w:snapToGrid w:val="0"/>
      <w:jc w:val="left"/>
    </w:pPr>
    <w:rPr>
      <w:sz w:val="18"/>
      <w:szCs w:val="18"/>
    </w:rPr>
  </w:style>
  <w:style w:type="paragraph" w:styleId="27">
    <w:name w:val="toc 6"/>
    <w:basedOn w:val="1"/>
    <w:next w:val="1"/>
    <w:unhideWhenUsed/>
    <w:qFormat/>
    <w:uiPriority w:val="39"/>
    <w:pPr>
      <w:ind w:left="2100" w:leftChars="1000"/>
    </w:pPr>
    <w:rPr>
      <w:rFonts w:ascii="Calibri" w:hAnsi="Calibri" w:eastAsia="宋体" w:cs="Times New Roman"/>
      <w:szCs w:val="22"/>
    </w:rPr>
  </w:style>
  <w:style w:type="paragraph" w:styleId="28">
    <w:name w:val="toc 2"/>
    <w:basedOn w:val="1"/>
    <w:next w:val="1"/>
    <w:unhideWhenUsed/>
    <w:qFormat/>
    <w:uiPriority w:val="39"/>
    <w:pPr>
      <w:widowControl/>
      <w:spacing w:before="100" w:beforeAutospacing="1" w:after="100" w:line="273" w:lineRule="auto"/>
      <w:ind w:left="220"/>
      <w:jc w:val="left"/>
    </w:pPr>
    <w:rPr>
      <w:rFonts w:ascii="Calibri" w:hAnsi="Calibri" w:cs="Calibri"/>
      <w:kern w:val="0"/>
      <w:sz w:val="22"/>
      <w:szCs w:val="22"/>
    </w:rPr>
  </w:style>
  <w:style w:type="paragraph" w:styleId="29">
    <w:name w:val="toc 9"/>
    <w:basedOn w:val="1"/>
    <w:next w:val="1"/>
    <w:unhideWhenUsed/>
    <w:qFormat/>
    <w:uiPriority w:val="39"/>
    <w:pPr>
      <w:ind w:left="3360" w:leftChars="1600"/>
    </w:pPr>
    <w:rPr>
      <w:rFonts w:ascii="Calibri" w:hAnsi="Calibri" w:eastAsia="宋体" w:cs="Times New Roman"/>
      <w:szCs w:val="22"/>
    </w:rPr>
  </w:style>
  <w:style w:type="paragraph" w:styleId="30">
    <w:name w:val="Normal (Web)"/>
    <w:basedOn w:val="1"/>
    <w:qFormat/>
    <w:uiPriority w:val="0"/>
    <w:pPr>
      <w:spacing w:line="432" w:lineRule="auto"/>
    </w:pPr>
    <w:rPr>
      <w:kern w:val="0"/>
    </w:rPr>
  </w:style>
  <w:style w:type="paragraph" w:styleId="31">
    <w:name w:val="annotation subject"/>
    <w:basedOn w:val="11"/>
    <w:next w:val="11"/>
    <w:link w:val="63"/>
    <w:unhideWhenUsed/>
    <w:qFormat/>
    <w:uiPriority w:val="99"/>
    <w:rPr>
      <w:b/>
      <w:bCs/>
      <w:kern w:val="2"/>
      <w:sz w:val="21"/>
      <w:szCs w:val="21"/>
    </w:rPr>
  </w:style>
  <w:style w:type="paragraph" w:styleId="32">
    <w:name w:val="Body Text First Indent"/>
    <w:basedOn w:val="2"/>
    <w:next w:val="33"/>
    <w:unhideWhenUsed/>
    <w:qFormat/>
    <w:uiPriority w:val="99"/>
    <w:pPr>
      <w:ind w:firstLine="420" w:firstLineChars="100"/>
    </w:pPr>
    <w:rPr>
      <w:rFonts w:ascii="Calibri" w:hAnsi="Calibri" w:eastAsia="宋体" w:cs="Times New Roman"/>
      <w:kern w:val="2"/>
      <w:sz w:val="21"/>
      <w:szCs w:val="22"/>
    </w:rPr>
  </w:style>
  <w:style w:type="paragraph" w:styleId="33">
    <w:name w:val="Body Text First Indent 2"/>
    <w:basedOn w:val="13"/>
    <w:unhideWhenUsed/>
    <w:qFormat/>
    <w:uiPriority w:val="0"/>
    <w:pPr>
      <w:spacing w:after="120"/>
      <w:ind w:left="420" w:leftChars="200" w:firstLine="420" w:firstLineChars="200"/>
    </w:pPr>
    <w:rPr>
      <w:rFonts w:ascii="Times New Roman" w:hAnsi="Times New Roman"/>
      <w:kern w:val="2"/>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page number"/>
    <w:qFormat/>
    <w:uiPriority w:val="99"/>
  </w:style>
  <w:style w:type="character" w:styleId="39">
    <w:name w:val="FollowedHyperlink"/>
    <w:basedOn w:val="36"/>
    <w:unhideWhenUsed/>
    <w:qFormat/>
    <w:uiPriority w:val="99"/>
    <w:rPr>
      <w:color w:val="800080"/>
      <w:u w:val="single"/>
    </w:rPr>
  </w:style>
  <w:style w:type="character" w:styleId="40">
    <w:name w:val="Emphasis"/>
    <w:basedOn w:val="36"/>
    <w:qFormat/>
    <w:uiPriority w:val="20"/>
    <w:rPr>
      <w:b/>
      <w:bCs/>
    </w:rPr>
  </w:style>
  <w:style w:type="character" w:styleId="41">
    <w:name w:val="HTML Definition"/>
    <w:basedOn w:val="36"/>
    <w:unhideWhenUsed/>
    <w:qFormat/>
    <w:uiPriority w:val="99"/>
  </w:style>
  <w:style w:type="character" w:styleId="42">
    <w:name w:val="HTML Typewriter"/>
    <w:basedOn w:val="36"/>
    <w:unhideWhenUsed/>
    <w:qFormat/>
    <w:uiPriority w:val="99"/>
    <w:rPr>
      <w:rFonts w:hint="default" w:ascii="monospace" w:hAnsi="monospace" w:eastAsia="monospace" w:cs="monospace"/>
      <w:sz w:val="20"/>
    </w:rPr>
  </w:style>
  <w:style w:type="character" w:styleId="43">
    <w:name w:val="HTML Acronym"/>
    <w:basedOn w:val="36"/>
    <w:unhideWhenUsed/>
    <w:qFormat/>
    <w:uiPriority w:val="99"/>
  </w:style>
  <w:style w:type="character" w:styleId="44">
    <w:name w:val="HTML Variable"/>
    <w:basedOn w:val="36"/>
    <w:unhideWhenUsed/>
    <w:qFormat/>
    <w:uiPriority w:val="99"/>
  </w:style>
  <w:style w:type="character" w:styleId="45">
    <w:name w:val="Hyperlink"/>
    <w:basedOn w:val="36"/>
    <w:unhideWhenUsed/>
    <w:qFormat/>
    <w:uiPriority w:val="99"/>
    <w:rPr>
      <w:color w:val="0000FF"/>
      <w:u w:val="single"/>
    </w:rPr>
  </w:style>
  <w:style w:type="character" w:styleId="46">
    <w:name w:val="HTML Code"/>
    <w:basedOn w:val="36"/>
    <w:unhideWhenUsed/>
    <w:qFormat/>
    <w:uiPriority w:val="99"/>
    <w:rPr>
      <w:rFonts w:hint="default" w:ascii="monospace" w:hAnsi="monospace" w:eastAsia="monospace" w:cs="monospace"/>
      <w:sz w:val="20"/>
    </w:rPr>
  </w:style>
  <w:style w:type="character" w:styleId="47">
    <w:name w:val="annotation reference"/>
    <w:basedOn w:val="36"/>
    <w:unhideWhenUsed/>
    <w:qFormat/>
    <w:uiPriority w:val="99"/>
    <w:rPr>
      <w:sz w:val="21"/>
      <w:szCs w:val="21"/>
    </w:rPr>
  </w:style>
  <w:style w:type="character" w:styleId="48">
    <w:name w:val="HTML Cite"/>
    <w:basedOn w:val="36"/>
    <w:unhideWhenUsed/>
    <w:qFormat/>
    <w:uiPriority w:val="99"/>
  </w:style>
  <w:style w:type="character" w:styleId="49">
    <w:name w:val="HTML Keyboard"/>
    <w:basedOn w:val="36"/>
    <w:unhideWhenUsed/>
    <w:qFormat/>
    <w:uiPriority w:val="99"/>
    <w:rPr>
      <w:rFonts w:hint="default" w:ascii="monospace" w:hAnsi="monospace" w:eastAsia="monospace" w:cs="monospace"/>
      <w:sz w:val="20"/>
    </w:rPr>
  </w:style>
  <w:style w:type="character" w:styleId="50">
    <w:name w:val="HTML Sample"/>
    <w:basedOn w:val="36"/>
    <w:unhideWhenUsed/>
    <w:qFormat/>
    <w:uiPriority w:val="99"/>
    <w:rPr>
      <w:rFonts w:ascii="monospace" w:hAnsi="monospace" w:eastAsia="monospace" w:cs="monospace"/>
    </w:rPr>
  </w:style>
  <w:style w:type="character" w:customStyle="1" w:styleId="51">
    <w:name w:val="标题 3 字符"/>
    <w:basedOn w:val="36"/>
    <w:link w:val="6"/>
    <w:qFormat/>
    <w:uiPriority w:val="99"/>
    <w:rPr>
      <w:rFonts w:ascii="Times New Roman" w:hAnsi="Times New Roman" w:eastAsia="仿宋_GB2312" w:cs="Times New Roman"/>
      <w:b/>
      <w:bCs/>
      <w:kern w:val="0"/>
      <w:sz w:val="32"/>
      <w:szCs w:val="32"/>
    </w:rPr>
  </w:style>
  <w:style w:type="character" w:customStyle="1" w:styleId="52">
    <w:name w:val="正文文本 字符"/>
    <w:basedOn w:val="36"/>
    <w:link w:val="2"/>
    <w:qFormat/>
    <w:uiPriority w:val="99"/>
    <w:rPr>
      <w:rFonts w:ascii="Times New Roman" w:hAnsi="Times New Roman" w:eastAsia="宋体" w:cs="Times New Roman"/>
      <w:kern w:val="0"/>
      <w:sz w:val="20"/>
      <w:szCs w:val="20"/>
    </w:rPr>
  </w:style>
  <w:style w:type="character" w:customStyle="1" w:styleId="53">
    <w:name w:val="标题 1 字符"/>
    <w:basedOn w:val="36"/>
    <w:link w:val="4"/>
    <w:qFormat/>
    <w:uiPriority w:val="99"/>
    <w:rPr>
      <w:rFonts w:ascii="Times New Roman" w:hAnsi="Times New Roman" w:eastAsia="宋体" w:cs="Times New Roman"/>
      <w:b/>
      <w:bCs/>
      <w:kern w:val="44"/>
      <w:sz w:val="44"/>
      <w:szCs w:val="44"/>
    </w:rPr>
  </w:style>
  <w:style w:type="character" w:customStyle="1" w:styleId="54">
    <w:name w:val="标题 2 字符"/>
    <w:basedOn w:val="36"/>
    <w:link w:val="5"/>
    <w:qFormat/>
    <w:uiPriority w:val="99"/>
    <w:rPr>
      <w:rFonts w:ascii="Arial" w:hAnsi="Arial" w:eastAsia="黑体" w:cs="Arial"/>
      <w:b/>
      <w:kern w:val="0"/>
      <w:sz w:val="32"/>
      <w:szCs w:val="32"/>
    </w:rPr>
  </w:style>
  <w:style w:type="character" w:customStyle="1" w:styleId="55">
    <w:name w:val="标题 4 字符"/>
    <w:basedOn w:val="36"/>
    <w:link w:val="7"/>
    <w:qFormat/>
    <w:uiPriority w:val="99"/>
    <w:rPr>
      <w:rFonts w:ascii="Arial" w:hAnsi="Arial" w:eastAsia="黑体" w:cs="Arial"/>
      <w:b/>
      <w:bCs/>
      <w:kern w:val="0"/>
      <w:sz w:val="28"/>
      <w:szCs w:val="28"/>
    </w:rPr>
  </w:style>
  <w:style w:type="character" w:customStyle="1" w:styleId="56">
    <w:name w:val="批注文字 字符"/>
    <w:basedOn w:val="36"/>
    <w:link w:val="11"/>
    <w:qFormat/>
    <w:uiPriority w:val="99"/>
    <w:rPr>
      <w:rFonts w:ascii="Times New Roman" w:hAnsi="Times New Roman" w:eastAsia="宋体" w:cs="Times New Roman"/>
      <w:kern w:val="0"/>
      <w:sz w:val="20"/>
      <w:szCs w:val="20"/>
    </w:rPr>
  </w:style>
  <w:style w:type="character" w:customStyle="1" w:styleId="57">
    <w:name w:val="正文文本 3 字符"/>
    <w:basedOn w:val="36"/>
    <w:link w:val="12"/>
    <w:qFormat/>
    <w:uiPriority w:val="99"/>
    <w:rPr>
      <w:rFonts w:ascii="Times New Roman" w:hAnsi="Times New Roman" w:eastAsia="宋体" w:cs="Times New Roman"/>
      <w:kern w:val="0"/>
      <w:sz w:val="24"/>
      <w:szCs w:val="24"/>
    </w:rPr>
  </w:style>
  <w:style w:type="character" w:customStyle="1" w:styleId="58">
    <w:name w:val="纯文本 字符"/>
    <w:basedOn w:val="36"/>
    <w:link w:val="17"/>
    <w:qFormat/>
    <w:uiPriority w:val="99"/>
    <w:rPr>
      <w:rFonts w:ascii="Times New Roman" w:hAnsi="Courier New" w:eastAsia="宋体" w:cs="Times New Roman"/>
      <w:kern w:val="0"/>
      <w:sz w:val="20"/>
      <w:szCs w:val="20"/>
    </w:rPr>
  </w:style>
  <w:style w:type="character" w:customStyle="1" w:styleId="59">
    <w:name w:val="批注框文本 字符"/>
    <w:basedOn w:val="36"/>
    <w:link w:val="20"/>
    <w:semiHidden/>
    <w:qFormat/>
    <w:uiPriority w:val="99"/>
    <w:rPr>
      <w:rFonts w:ascii="Times New Roman" w:hAnsi="Times New Roman" w:eastAsia="宋体" w:cs="Times New Roman"/>
      <w:sz w:val="18"/>
      <w:szCs w:val="18"/>
    </w:rPr>
  </w:style>
  <w:style w:type="character" w:customStyle="1" w:styleId="60">
    <w:name w:val="页脚 字符"/>
    <w:basedOn w:val="36"/>
    <w:link w:val="21"/>
    <w:qFormat/>
    <w:uiPriority w:val="99"/>
    <w:rPr>
      <w:rFonts w:ascii="Times New Roman" w:hAnsi="Times New Roman" w:eastAsia="宋体" w:cs="Times New Roman"/>
      <w:kern w:val="0"/>
      <w:sz w:val="18"/>
      <w:szCs w:val="18"/>
    </w:rPr>
  </w:style>
  <w:style w:type="character" w:customStyle="1" w:styleId="61">
    <w:name w:val="页眉 字符"/>
    <w:basedOn w:val="36"/>
    <w:link w:val="23"/>
    <w:qFormat/>
    <w:uiPriority w:val="99"/>
    <w:rPr>
      <w:rFonts w:ascii="Times New Roman" w:hAnsi="Times New Roman" w:eastAsia="宋体" w:cs="Times New Roman"/>
      <w:kern w:val="0"/>
      <w:sz w:val="18"/>
      <w:szCs w:val="18"/>
    </w:rPr>
  </w:style>
  <w:style w:type="character" w:customStyle="1" w:styleId="62">
    <w:name w:val="脚注文本 字符"/>
    <w:basedOn w:val="36"/>
    <w:link w:val="26"/>
    <w:qFormat/>
    <w:uiPriority w:val="99"/>
    <w:rPr>
      <w:rFonts w:ascii="Times New Roman" w:hAnsi="Times New Roman" w:eastAsia="宋体" w:cs="Times New Roman"/>
      <w:sz w:val="18"/>
      <w:szCs w:val="18"/>
    </w:rPr>
  </w:style>
  <w:style w:type="character" w:customStyle="1" w:styleId="63">
    <w:name w:val="批注主题 字符"/>
    <w:basedOn w:val="56"/>
    <w:link w:val="31"/>
    <w:semiHidden/>
    <w:qFormat/>
    <w:uiPriority w:val="99"/>
    <w:rPr>
      <w:rFonts w:ascii="Times New Roman" w:hAnsi="Times New Roman" w:eastAsia="宋体" w:cs="Times New Roman"/>
      <w:b/>
      <w:bCs/>
      <w:kern w:val="2"/>
      <w:sz w:val="21"/>
      <w:szCs w:val="21"/>
    </w:rPr>
  </w:style>
  <w:style w:type="character" w:customStyle="1" w:styleId="64">
    <w:name w:val="hover1"/>
    <w:basedOn w:val="36"/>
    <w:qFormat/>
    <w:uiPriority w:val="0"/>
    <w:rPr>
      <w:color w:val="2590EB"/>
    </w:rPr>
  </w:style>
  <w:style w:type="character" w:customStyle="1" w:styleId="65">
    <w:name w:val="15"/>
    <w:basedOn w:val="36"/>
    <w:qFormat/>
    <w:uiPriority w:val="0"/>
    <w:rPr>
      <w:rFonts w:hint="default" w:ascii="Arial" w:hAnsi="Arial" w:eastAsia="黑体" w:cs="Arial"/>
      <w:b/>
      <w:sz w:val="32"/>
      <w:szCs w:val="32"/>
    </w:rPr>
  </w:style>
  <w:style w:type="character" w:customStyle="1" w:styleId="66">
    <w:name w:val="hover2"/>
    <w:basedOn w:val="36"/>
    <w:qFormat/>
    <w:uiPriority w:val="0"/>
  </w:style>
  <w:style w:type="character" w:customStyle="1" w:styleId="67">
    <w:name w:val="font41"/>
    <w:basedOn w:val="36"/>
    <w:qFormat/>
    <w:uiPriority w:val="0"/>
    <w:rPr>
      <w:rFonts w:hint="eastAsia" w:ascii="宋体" w:hAnsi="宋体" w:eastAsia="宋体" w:cs="宋体"/>
      <w:color w:val="000000"/>
      <w:sz w:val="18"/>
      <w:szCs w:val="18"/>
      <w:u w:val="none"/>
    </w:rPr>
  </w:style>
  <w:style w:type="character" w:customStyle="1" w:styleId="68">
    <w:name w:val="hover"/>
    <w:basedOn w:val="36"/>
    <w:qFormat/>
    <w:uiPriority w:val="0"/>
    <w:rPr>
      <w:color w:val="2590EB"/>
    </w:rPr>
  </w:style>
  <w:style w:type="character" w:customStyle="1" w:styleId="69">
    <w:name w:val="NormalCharacter"/>
    <w:semiHidden/>
    <w:qFormat/>
    <w:uiPriority w:val="0"/>
  </w:style>
  <w:style w:type="character" w:customStyle="1" w:styleId="70">
    <w:name w:val="hover3"/>
    <w:basedOn w:val="36"/>
    <w:qFormat/>
    <w:uiPriority w:val="0"/>
    <w:rPr>
      <w:color w:val="2590EB"/>
      <w:shd w:val="clear" w:color="auto" w:fill="E9F4FD"/>
    </w:rPr>
  </w:style>
  <w:style w:type="paragraph" w:customStyle="1" w:styleId="71">
    <w:name w:val="Body Text First Indent1"/>
    <w:basedOn w:val="2"/>
    <w:next w:val="72"/>
    <w:qFormat/>
    <w:uiPriority w:val="0"/>
    <w:pPr>
      <w:ind w:firstLine="420" w:firstLineChars="100"/>
    </w:pPr>
  </w:style>
  <w:style w:type="paragraph" w:customStyle="1" w:styleId="72">
    <w:name w:val="正文首行缩进 21"/>
    <w:basedOn w:val="73"/>
    <w:qFormat/>
    <w:uiPriority w:val="0"/>
    <w:pPr>
      <w:ind w:firstLine="420" w:firstLineChars="200"/>
    </w:pPr>
  </w:style>
  <w:style w:type="paragraph" w:customStyle="1" w:styleId="73">
    <w:name w:val="正文文本缩进1"/>
    <w:basedOn w:val="1"/>
    <w:qFormat/>
    <w:uiPriority w:val="0"/>
    <w:pPr>
      <w:spacing w:line="360" w:lineRule="auto"/>
      <w:ind w:firstLine="482" w:firstLineChars="100"/>
      <w:jc w:val="center"/>
    </w:pPr>
    <w:rPr>
      <w:rFonts w:ascii="黑体" w:eastAsia="黑体"/>
      <w:b/>
      <w:sz w:val="48"/>
      <w:szCs w:val="28"/>
    </w:rPr>
  </w:style>
  <w:style w:type="paragraph" w:customStyle="1" w:styleId="74">
    <w:name w:val="样式 标题 3 + (中文) 黑体 小四 非加粗 段前: 7.8 磅 段后: 0 磅 行距: 固定值 20 磅"/>
    <w:basedOn w:val="6"/>
    <w:qFormat/>
    <w:uiPriority w:val="0"/>
    <w:pPr>
      <w:spacing w:before="0" w:after="0" w:line="400" w:lineRule="exact"/>
      <w:ind w:left="0"/>
    </w:pPr>
    <w:rPr>
      <w:rFonts w:eastAsia="黑体" w:cs="宋体"/>
      <w:b w:val="0"/>
      <w:bCs w:val="0"/>
      <w:sz w:val="24"/>
      <w:szCs w:val="24"/>
    </w:rPr>
  </w:style>
  <w:style w:type="paragraph" w:customStyle="1" w:styleId="75">
    <w:name w:val="PlainText"/>
    <w:basedOn w:val="1"/>
    <w:qFormat/>
    <w:uiPriority w:val="0"/>
    <w:rPr>
      <w:rFonts w:ascii="宋体" w:hAnsi="Courier New"/>
    </w:rPr>
  </w:style>
  <w:style w:type="paragraph" w:customStyle="1" w:styleId="76">
    <w:name w:val="UserStyle_194"/>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77">
    <w:name w:val="xl72"/>
    <w:basedOn w:val="1"/>
    <w:next w:val="19"/>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styleId="78">
    <w:name w:val="List Paragraph"/>
    <w:basedOn w:val="1"/>
    <w:qFormat/>
    <w:uiPriority w:val="1"/>
    <w:pPr>
      <w:ind w:left="112" w:firstLine="436"/>
    </w:pPr>
  </w:style>
  <w:style w:type="paragraph" w:customStyle="1" w:styleId="79">
    <w:name w:val="Heading4"/>
    <w:basedOn w:val="1"/>
    <w:next w:val="1"/>
    <w:qFormat/>
    <w:uiPriority w:val="0"/>
    <w:pPr>
      <w:keepNext/>
      <w:keepLines/>
    </w:pPr>
    <w:rPr>
      <w:rFonts w:ascii="Arial" w:hAnsi="Arial"/>
      <w:b/>
    </w:rPr>
  </w:style>
  <w:style w:type="paragraph" w:customStyle="1" w:styleId="80">
    <w:name w:val="xl87"/>
    <w:basedOn w:val="1"/>
    <w:next w:val="77"/>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81">
    <w:name w:val="标题 41"/>
    <w:basedOn w:val="1"/>
    <w:qFormat/>
    <w:uiPriority w:val="0"/>
    <w:pPr>
      <w:spacing w:before="100" w:beforeAutospacing="1" w:after="100" w:afterAutospacing="1"/>
      <w:ind w:left="1205" w:hanging="486"/>
      <w:outlineLvl w:val="4"/>
    </w:pPr>
    <w:rPr>
      <w:b/>
      <w:bCs/>
      <w:sz w:val="24"/>
      <w:szCs w:val="24"/>
    </w:rPr>
  </w:style>
  <w:style w:type="paragraph" w:customStyle="1" w:styleId="82">
    <w:name w:val="列表段落1"/>
    <w:basedOn w:val="1"/>
    <w:unhideWhenUsed/>
    <w:qFormat/>
    <w:uiPriority w:val="34"/>
    <w:pPr>
      <w:ind w:firstLine="420" w:firstLineChars="200"/>
    </w:pPr>
  </w:style>
  <w:style w:type="paragraph" w:customStyle="1" w:styleId="83">
    <w:name w:val="段"/>
    <w:basedOn w:val="1"/>
    <w:next w:val="1"/>
    <w:qFormat/>
    <w:uiPriority w:val="0"/>
    <w:pPr>
      <w:widowControl/>
      <w:autoSpaceDE w:val="0"/>
      <w:autoSpaceDN w:val="0"/>
      <w:adjustRightInd w:val="0"/>
      <w:snapToGrid w:val="0"/>
      <w:spacing w:line="360" w:lineRule="auto"/>
      <w:ind w:firstLine="200" w:firstLineChars="200"/>
    </w:pPr>
    <w:rPr>
      <w:rFonts w:ascii="宋体" w:hAnsi="宋体" w:cs="宋体"/>
      <w:kern w:val="0"/>
      <w:sz w:val="24"/>
      <w:szCs w:val="24"/>
    </w:rPr>
  </w:style>
  <w:style w:type="paragraph" w:customStyle="1" w:styleId="84">
    <w:name w:val="NO3"/>
    <w:basedOn w:val="1"/>
    <w:qFormat/>
    <w:uiPriority w:val="0"/>
    <w:pPr>
      <w:tabs>
        <w:tab w:val="left" w:pos="907"/>
      </w:tabs>
      <w:spacing w:line="360" w:lineRule="auto"/>
    </w:pPr>
    <w:rPr>
      <w:rFonts w:ascii="宋体" w:hAnsi="宋体"/>
      <w:sz w:val="24"/>
    </w:rPr>
  </w:style>
  <w:style w:type="paragraph" w:customStyle="1" w:styleId="85">
    <w:name w:val="无间隔11"/>
    <w:basedOn w:val="1"/>
    <w:qFormat/>
    <w:uiPriority w:val="0"/>
    <w:rPr>
      <w:rFonts w:ascii="Calibri" w:hAnsi="Calibri" w:cs="Calibri"/>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sz w:val="28"/>
      <w:szCs w:val="28"/>
    </w:rPr>
  </w:style>
  <w:style w:type="paragraph" w:customStyle="1" w:styleId="88">
    <w:name w:val="2"/>
    <w:basedOn w:val="1"/>
    <w:next w:val="1"/>
    <w:qFormat/>
    <w:uiPriority w:val="0"/>
    <w:rPr>
      <w:kern w:val="0"/>
    </w:rPr>
  </w:style>
  <w:style w:type="paragraph" w:customStyle="1" w:styleId="89">
    <w:name w:val="正文1"/>
    <w:basedOn w:val="1"/>
    <w:next w:val="90"/>
    <w:qFormat/>
    <w:uiPriority w:val="0"/>
    <w:pPr>
      <w:spacing w:line="380" w:lineRule="exact"/>
      <w:jc w:val="center"/>
    </w:pPr>
    <w:rPr>
      <w:rFonts w:ascii="黑体" w:eastAsia="黑体"/>
    </w:rPr>
  </w:style>
  <w:style w:type="paragraph" w:customStyle="1" w:styleId="90">
    <w:name w:val="表格"/>
    <w:basedOn w:val="1"/>
    <w:qFormat/>
    <w:uiPriority w:val="0"/>
    <w:pPr>
      <w:jc w:val="center"/>
    </w:pPr>
    <w:rPr>
      <w:rFonts w:ascii="华文细黑"/>
    </w:rPr>
  </w:style>
  <w:style w:type="paragraph" w:customStyle="1" w:styleId="91">
    <w:name w:val="大标题"/>
    <w:basedOn w:val="1"/>
    <w:next w:val="33"/>
    <w:qFormat/>
    <w:uiPriority w:val="0"/>
    <w:pPr>
      <w:jc w:val="center"/>
    </w:pPr>
    <w:rPr>
      <w:rFonts w:ascii="Arial" w:hAnsi="Arial"/>
      <w:b/>
      <w:sz w:val="28"/>
      <w:szCs w:val="24"/>
    </w:rPr>
  </w:style>
  <w:style w:type="paragraph" w:customStyle="1" w:styleId="92">
    <w:name w:val="Table Text"/>
    <w:basedOn w:val="1"/>
    <w:semiHidden/>
    <w:qFormat/>
    <w:uiPriority w:val="0"/>
    <w:rPr>
      <w:rFonts w:ascii="宋体" w:hAnsi="宋体" w:cs="宋体"/>
      <w:sz w:val="20"/>
      <w:szCs w:val="20"/>
      <w:lang w:eastAsia="en-US"/>
    </w:rPr>
  </w:style>
  <w:style w:type="paragraph" w:customStyle="1" w:styleId="93">
    <w:name w:val="Char Char10 Char Char Char Char"/>
    <w:basedOn w:val="1"/>
    <w:next w:val="80"/>
    <w:qFormat/>
    <w:uiPriority w:val="99"/>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5">
    <w:name w:val="Table Paragraph"/>
    <w:basedOn w:val="1"/>
    <w:qFormat/>
    <w:uiPriority w:val="1"/>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Default"/>
    <w:basedOn w:val="1"/>
    <w:next w:val="93"/>
    <w:qFormat/>
    <w:uiPriority w:val="0"/>
    <w:pPr>
      <w:autoSpaceDE w:val="0"/>
      <w:autoSpaceDN w:val="0"/>
      <w:adjustRightInd w:val="0"/>
      <w:jc w:val="left"/>
    </w:pPr>
    <w:rPr>
      <w:rFonts w:ascii="宋体" w:hAnsi="宋体" w:cs="宋体"/>
      <w:color w:val="000000"/>
      <w:kern w:val="0"/>
      <w:sz w:val="24"/>
      <w:szCs w:val="24"/>
    </w:rPr>
  </w:style>
  <w:style w:type="paragraph" w:customStyle="1" w:styleId="98">
    <w:name w:val="TOC 标题1"/>
    <w:basedOn w:val="4"/>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99">
    <w:name w:val="列出段落1"/>
    <w:basedOn w:val="1"/>
    <w:qFormat/>
    <w:uiPriority w:val="0"/>
    <w:pPr>
      <w:ind w:firstLine="420" w:firstLineChars="200"/>
    </w:pPr>
    <w:rPr>
      <w:szCs w:val="21"/>
    </w:rPr>
  </w:style>
  <w:style w:type="paragraph" w:customStyle="1" w:styleId="100">
    <w:name w:val="style4"/>
    <w:basedOn w:val="1"/>
    <w:next w:val="88"/>
    <w:qFormat/>
    <w:uiPriority w:val="0"/>
    <w:pPr>
      <w:widowControl/>
      <w:spacing w:before="280" w:after="280"/>
    </w:pPr>
    <w:rPr>
      <w:rFonts w:ascii="宋体" w:hAnsi="宋体" w:cs="宋体"/>
      <w:sz w:val="18"/>
      <w:szCs w:val="18"/>
    </w:rPr>
  </w:style>
  <w:style w:type="paragraph" w:customStyle="1" w:styleId="10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0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1651</Words>
  <Characters>1815</Characters>
  <Lines>1</Lines>
  <Paragraphs>1</Paragraphs>
  <TotalTime>38</TotalTime>
  <ScaleCrop>false</ScaleCrop>
  <LinksUpToDate>false</LinksUpToDate>
  <CharactersWithSpaces>1891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2024-07-23T14:47:00Z</dcterms:created>
  <dc:creator>PC</dc:creator>
  <cp:lastModifiedBy>程萌</cp:lastModifiedBy>
  <cp:lastPrinted>2024-12-24T02:25:00Z</cp:lastPrinted>
  <dcterms:modified xsi:type="dcterms:W3CDTF">2025-02-18T03:27:20Z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441903CFC41B49119EB6BC48D3691122_13</vt:lpwstr>
  </property>
  <property fmtid="{D5CDD505-2E9C-101B-9397-08002B2CF9AE}" pid="4" name="KSOTemplateDocerSaveRecord">
    <vt:lpwstr>eyJoZGlkIjoiOWYzM2E4Y2U1ZWM4ZTQzM2NmZDhiMmI3OTEzMDM4OTgiLCJ1c2VySWQiOiIxNjE2MjM4MjM0In0=</vt:lpwstr>
  </property>
</Properties>
</file>