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bCs/>
          <w:sz w:val="36"/>
          <w:szCs w:val="36"/>
        </w:rPr>
      </w:pPr>
    </w:p>
    <w:p>
      <w:pPr>
        <w:spacing w:line="600" w:lineRule="auto"/>
        <w:ind w:firstLine="0" w:firstLineChars="0"/>
        <w:jc w:val="center"/>
        <w:rPr>
          <w:rFonts w:cs="宋体"/>
          <w:b/>
          <w:bCs/>
          <w:sz w:val="44"/>
          <w:szCs w:val="44"/>
        </w:rPr>
      </w:pPr>
      <w:r>
        <w:rPr>
          <w:rFonts w:hint="eastAsia" w:cs="宋体"/>
          <w:b/>
          <w:bCs/>
          <w:sz w:val="44"/>
          <w:szCs w:val="44"/>
        </w:rPr>
        <w:t>河南信息统计职业学院新校区建设二期（统计与大数据产教融合实训基地）监理项目</w:t>
      </w:r>
    </w:p>
    <w:p>
      <w:pPr>
        <w:spacing w:line="600" w:lineRule="auto"/>
        <w:ind w:firstLine="1927"/>
        <w:rPr>
          <w:rFonts w:cs="宋体"/>
          <w:b/>
          <w:bCs/>
          <w:spacing w:val="60"/>
          <w:sz w:val="84"/>
          <w:szCs w:val="84"/>
        </w:rPr>
      </w:pPr>
    </w:p>
    <w:p>
      <w:pPr>
        <w:pStyle w:val="21"/>
        <w:ind w:firstLine="0" w:firstLineChars="0"/>
        <w:rPr>
          <w:rFonts w:cs="宋体"/>
        </w:rPr>
      </w:pPr>
    </w:p>
    <w:p>
      <w:pPr>
        <w:pStyle w:val="21"/>
        <w:ind w:firstLine="560"/>
        <w:rPr>
          <w:rFonts w:cs="宋体"/>
        </w:rPr>
      </w:pPr>
    </w:p>
    <w:p>
      <w:pPr>
        <w:spacing w:line="240" w:lineRule="auto"/>
        <w:ind w:firstLine="0" w:firstLineChars="0"/>
        <w:jc w:val="center"/>
        <w:rPr>
          <w:rFonts w:cs="宋体"/>
          <w:b/>
          <w:sz w:val="72"/>
          <w:szCs w:val="72"/>
        </w:rPr>
      </w:pPr>
      <w:r>
        <w:rPr>
          <w:rFonts w:hint="eastAsia" w:cs="宋体"/>
          <w:b/>
          <w:bCs/>
          <w:spacing w:val="60"/>
          <w:sz w:val="72"/>
          <w:szCs w:val="72"/>
        </w:rPr>
        <w:t>招 标 文 件</w:t>
      </w:r>
    </w:p>
    <w:p>
      <w:pPr>
        <w:ind w:firstLine="482"/>
        <w:jc w:val="center"/>
        <w:rPr>
          <w:rFonts w:cs="宋体"/>
          <w:b/>
          <w:sz w:val="24"/>
        </w:rPr>
      </w:pPr>
      <w:r>
        <w:rPr>
          <w:rFonts w:hint="eastAsia" w:cs="宋体"/>
          <w:b/>
          <w:sz w:val="24"/>
        </w:rPr>
        <w:t>招标编号：</w:t>
      </w:r>
      <w:r>
        <w:rPr>
          <w:rFonts w:hint="eastAsia" w:cs="宋体"/>
          <w:b/>
          <w:sz w:val="24"/>
          <w:lang w:eastAsia="zh-CN"/>
        </w:rPr>
        <w:t>豫财招标采购-2023-1341</w:t>
      </w:r>
    </w:p>
    <w:p>
      <w:pPr>
        <w:spacing w:line="20" w:lineRule="exact"/>
        <w:ind w:firstLine="40"/>
        <w:rPr>
          <w:rFonts w:ascii="楷体" w:hAnsi="楷体" w:eastAsia="楷体" w:cs="楷体"/>
          <w:bCs/>
          <w:sz w:val="2"/>
          <w:szCs w:val="2"/>
        </w:rPr>
      </w:pPr>
    </w:p>
    <w:p>
      <w:pPr>
        <w:spacing w:line="20" w:lineRule="exact"/>
        <w:ind w:firstLine="40"/>
        <w:rPr>
          <w:rFonts w:ascii="楷体" w:hAnsi="楷体" w:eastAsia="楷体" w:cs="楷体"/>
          <w:bCs/>
          <w:sz w:val="2"/>
          <w:szCs w:val="2"/>
        </w:rPr>
      </w:pPr>
    </w:p>
    <w:p>
      <w:pPr>
        <w:spacing w:line="20" w:lineRule="exact"/>
        <w:ind w:firstLine="40"/>
        <w:rPr>
          <w:rFonts w:ascii="楷体" w:hAnsi="楷体" w:eastAsia="楷体" w:cs="楷体"/>
          <w:bCs/>
          <w:sz w:val="2"/>
          <w:szCs w:val="2"/>
        </w:rPr>
      </w:pPr>
    </w:p>
    <w:p>
      <w:pPr>
        <w:spacing w:line="20" w:lineRule="exact"/>
        <w:ind w:firstLine="40"/>
        <w:rPr>
          <w:rFonts w:ascii="楷体" w:hAnsi="楷体" w:eastAsia="楷体" w:cs="楷体"/>
          <w:bCs/>
          <w:sz w:val="2"/>
          <w:szCs w:val="2"/>
        </w:rPr>
      </w:pPr>
    </w:p>
    <w:p>
      <w:pPr>
        <w:spacing w:line="20" w:lineRule="exact"/>
        <w:ind w:firstLine="40"/>
        <w:rPr>
          <w:rFonts w:ascii="楷体" w:hAnsi="楷体" w:eastAsia="楷体" w:cs="楷体"/>
          <w:bCs/>
          <w:sz w:val="2"/>
          <w:szCs w:val="2"/>
        </w:rPr>
      </w:pPr>
    </w:p>
    <w:p>
      <w:pPr>
        <w:spacing w:line="20" w:lineRule="exact"/>
        <w:ind w:firstLine="40"/>
        <w:rPr>
          <w:rFonts w:ascii="楷体" w:hAnsi="楷体" w:eastAsia="楷体" w:cs="楷体"/>
          <w:bCs/>
          <w:sz w:val="2"/>
          <w:szCs w:val="2"/>
        </w:rPr>
      </w:pPr>
    </w:p>
    <w:p>
      <w:pPr>
        <w:spacing w:line="20" w:lineRule="exact"/>
        <w:ind w:firstLine="40"/>
        <w:rPr>
          <w:rFonts w:ascii="楷体" w:hAnsi="楷体" w:eastAsia="楷体" w:cs="楷体"/>
          <w:bCs/>
          <w:sz w:val="2"/>
          <w:szCs w:val="2"/>
        </w:rPr>
      </w:pPr>
    </w:p>
    <w:p>
      <w:pPr>
        <w:ind w:firstLine="482"/>
        <w:jc w:val="center"/>
        <w:rPr>
          <w:rFonts w:ascii="楷体" w:hAnsi="楷体" w:eastAsia="楷体" w:cs="楷体"/>
          <w:b/>
          <w:sz w:val="24"/>
        </w:rPr>
      </w:pPr>
    </w:p>
    <w:p>
      <w:pPr>
        <w:pStyle w:val="21"/>
        <w:ind w:firstLine="482"/>
        <w:rPr>
          <w:rFonts w:ascii="楷体" w:hAnsi="楷体" w:eastAsia="楷体" w:cs="楷体"/>
          <w:b/>
          <w:sz w:val="24"/>
        </w:rPr>
      </w:pPr>
    </w:p>
    <w:p>
      <w:pPr>
        <w:pStyle w:val="21"/>
        <w:ind w:firstLine="482"/>
        <w:rPr>
          <w:rFonts w:ascii="楷体" w:hAnsi="楷体" w:eastAsia="楷体" w:cs="楷体"/>
          <w:b/>
          <w:sz w:val="24"/>
        </w:rPr>
      </w:pPr>
    </w:p>
    <w:p>
      <w:pPr>
        <w:pStyle w:val="21"/>
        <w:ind w:firstLine="482"/>
        <w:rPr>
          <w:rFonts w:ascii="楷体" w:hAnsi="楷体" w:eastAsia="楷体" w:cs="楷体"/>
          <w:b/>
          <w:sz w:val="24"/>
        </w:rPr>
      </w:pPr>
    </w:p>
    <w:p>
      <w:pPr>
        <w:pStyle w:val="21"/>
        <w:ind w:firstLine="482"/>
        <w:rPr>
          <w:rFonts w:ascii="楷体" w:hAnsi="楷体" w:eastAsia="楷体" w:cs="楷体"/>
          <w:b/>
          <w:sz w:val="24"/>
        </w:rPr>
      </w:pPr>
    </w:p>
    <w:p>
      <w:pPr>
        <w:pStyle w:val="21"/>
        <w:ind w:firstLine="482"/>
        <w:rPr>
          <w:rFonts w:ascii="楷体" w:hAnsi="楷体" w:eastAsia="楷体" w:cs="楷体"/>
          <w:b/>
          <w:sz w:val="24"/>
        </w:rPr>
      </w:pPr>
    </w:p>
    <w:p>
      <w:pPr>
        <w:pStyle w:val="21"/>
        <w:ind w:firstLine="482"/>
        <w:rPr>
          <w:rFonts w:ascii="楷体" w:hAnsi="楷体" w:eastAsia="楷体" w:cs="楷体"/>
          <w:b/>
          <w:sz w:val="24"/>
        </w:rPr>
      </w:pPr>
    </w:p>
    <w:p>
      <w:pPr>
        <w:pStyle w:val="21"/>
        <w:ind w:firstLine="482"/>
        <w:rPr>
          <w:rFonts w:ascii="楷体" w:hAnsi="楷体" w:eastAsia="楷体" w:cs="楷体"/>
          <w:b/>
          <w:sz w:val="24"/>
        </w:rPr>
      </w:pPr>
    </w:p>
    <w:p>
      <w:pPr>
        <w:tabs>
          <w:tab w:val="left" w:pos="1470"/>
        </w:tabs>
        <w:spacing w:line="600" w:lineRule="exact"/>
        <w:ind w:firstLine="640"/>
        <w:rPr>
          <w:rFonts w:ascii="楷体" w:hAnsi="楷体" w:eastAsia="楷体" w:cs="楷体"/>
          <w:bCs/>
          <w:spacing w:val="-10"/>
          <w:sz w:val="34"/>
          <w:szCs w:val="34"/>
        </w:rPr>
      </w:pPr>
      <w:r>
        <w:rPr>
          <w:rFonts w:hint="eastAsia" w:ascii="楷体" w:hAnsi="楷体" w:eastAsia="楷体" w:cs="楷体"/>
          <w:bCs/>
          <w:spacing w:val="-10"/>
          <w:sz w:val="34"/>
          <w:szCs w:val="34"/>
        </w:rPr>
        <w:t xml:space="preserve">   </w:t>
      </w:r>
    </w:p>
    <w:p>
      <w:pPr>
        <w:spacing w:line="480" w:lineRule="auto"/>
        <w:ind w:firstLine="2108" w:firstLineChars="700"/>
        <w:rPr>
          <w:b/>
          <w:sz w:val="30"/>
          <w:szCs w:val="30"/>
        </w:rPr>
      </w:pPr>
      <w:r>
        <w:rPr>
          <w:rFonts w:hint="eastAsia"/>
          <w:b/>
          <w:sz w:val="30"/>
          <w:szCs w:val="30"/>
        </w:rPr>
        <w:t>招   标   人：河南信息统计职业学院</w:t>
      </w:r>
    </w:p>
    <w:p>
      <w:pPr>
        <w:spacing w:line="480" w:lineRule="auto"/>
        <w:ind w:firstLine="2108" w:firstLineChars="700"/>
        <w:rPr>
          <w:b/>
          <w:sz w:val="30"/>
          <w:szCs w:val="30"/>
        </w:rPr>
      </w:pPr>
      <w:r>
        <w:rPr>
          <w:rFonts w:hint="eastAsia"/>
          <w:b/>
          <w:sz w:val="30"/>
          <w:szCs w:val="30"/>
        </w:rPr>
        <w:t>招标代理机构：中恒诚远项目管理有限公司</w:t>
      </w:r>
    </w:p>
    <w:p>
      <w:pPr>
        <w:tabs>
          <w:tab w:val="left" w:pos="3405"/>
          <w:tab w:val="center" w:pos="4156"/>
        </w:tabs>
        <w:spacing w:line="480" w:lineRule="auto"/>
        <w:ind w:firstLine="2108" w:firstLineChars="700"/>
        <w:rPr>
          <w:b/>
          <w:sz w:val="30"/>
          <w:szCs w:val="30"/>
        </w:rPr>
      </w:pPr>
      <w:r>
        <w:rPr>
          <w:rFonts w:hint="eastAsia"/>
          <w:b/>
          <w:sz w:val="30"/>
          <w:szCs w:val="30"/>
        </w:rPr>
        <w:t>日        期：二〇二三年十二月</w:t>
      </w:r>
    </w:p>
    <w:p>
      <w:pPr>
        <w:spacing w:line="360" w:lineRule="auto"/>
        <w:ind w:firstLine="600"/>
        <w:jc w:val="center"/>
        <w:rPr>
          <w:rFonts w:ascii="楷体" w:hAnsi="楷体" w:eastAsia="楷体" w:cs="楷体"/>
          <w:bCs/>
          <w:color w:val="000000"/>
          <w:sz w:val="30"/>
          <w:szCs w:val="30"/>
        </w:rPr>
      </w:pPr>
    </w:p>
    <w:p>
      <w:pPr>
        <w:pStyle w:val="21"/>
        <w:ind w:firstLine="560"/>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1191" w:footer="1134" w:gutter="0"/>
          <w:pgNumType w:start="0"/>
          <w:cols w:space="720" w:num="1"/>
          <w:docGrid w:type="lines" w:linePitch="312" w:charSpace="0"/>
        </w:sectPr>
      </w:pPr>
    </w:p>
    <w:p>
      <w:pPr>
        <w:ind w:firstLine="420"/>
      </w:pPr>
    </w:p>
    <w:p>
      <w:pPr>
        <w:tabs>
          <w:tab w:val="left" w:pos="4500"/>
        </w:tabs>
        <w:adjustRightInd w:val="0"/>
        <w:spacing w:line="240" w:lineRule="auto"/>
        <w:ind w:firstLine="482"/>
        <w:jc w:val="center"/>
        <w:rPr>
          <w:b/>
          <w:bCs/>
          <w:sz w:val="24"/>
          <w:szCs w:val="24"/>
        </w:rPr>
      </w:pPr>
      <w:r>
        <w:rPr>
          <w:rFonts w:hint="eastAsia" w:cs="宋体"/>
          <w:b/>
          <w:bCs/>
          <w:kern w:val="0"/>
          <w:position w:val="-1"/>
          <w:sz w:val="24"/>
          <w:szCs w:val="24"/>
        </w:rPr>
        <w:t>目  录</w:t>
      </w:r>
    </w:p>
    <w:p>
      <w:pPr>
        <w:pStyle w:val="18"/>
        <w:ind w:firstLine="420"/>
        <w:rPr>
          <w:rFonts w:asciiTheme="minorHAnsi" w:hAnsiTheme="minorHAnsi" w:eastAsiaTheme="minorEastAsia" w:cstheme="minorBidi"/>
          <w14:ligatures w14:val="standardContextual"/>
        </w:rPr>
      </w:pPr>
      <w:r>
        <w:rPr>
          <w:rFonts w:hint="eastAsia" w:cs="宋体"/>
          <w:szCs w:val="21"/>
        </w:rPr>
        <w:fldChar w:fldCharType="begin"/>
      </w:r>
      <w:r>
        <w:rPr>
          <w:rFonts w:hint="eastAsia" w:cs="宋体"/>
          <w:szCs w:val="21"/>
        </w:rPr>
        <w:instrText xml:space="preserve"> TOC \o "1-3" \h \z </w:instrText>
      </w:r>
      <w:r>
        <w:rPr>
          <w:rFonts w:hint="eastAsia" w:cs="宋体"/>
          <w:szCs w:val="21"/>
        </w:rPr>
        <w:fldChar w:fldCharType="separate"/>
      </w:r>
      <w:r>
        <w:fldChar w:fldCharType="begin"/>
      </w:r>
      <w:r>
        <w:instrText xml:space="preserve"> HYPERLINK \l "_Toc152663893" </w:instrText>
      </w:r>
      <w:r>
        <w:fldChar w:fldCharType="separate"/>
      </w:r>
      <w:r>
        <w:rPr>
          <w:rStyle w:val="25"/>
        </w:rPr>
        <w:t>第一章 招标公告</w:t>
      </w:r>
      <w:r>
        <w:tab/>
      </w:r>
      <w:r>
        <w:fldChar w:fldCharType="begin"/>
      </w:r>
      <w:r>
        <w:instrText xml:space="preserve"> PAGEREF _Toc152663893 \h </w:instrText>
      </w:r>
      <w:r>
        <w:fldChar w:fldCharType="separate"/>
      </w:r>
      <w:r>
        <w:t>6</w:t>
      </w:r>
      <w:r>
        <w:fldChar w:fldCharType="end"/>
      </w:r>
      <w:r>
        <w:fldChar w:fldCharType="end"/>
      </w:r>
    </w:p>
    <w:p>
      <w:pPr>
        <w:pStyle w:val="18"/>
        <w:ind w:firstLine="420"/>
        <w:rPr>
          <w:rFonts w:asciiTheme="minorHAnsi" w:hAnsiTheme="minorHAnsi" w:eastAsiaTheme="minorEastAsia" w:cstheme="minorBidi"/>
          <w14:ligatures w14:val="standardContextual"/>
        </w:rPr>
      </w:pPr>
      <w:r>
        <w:fldChar w:fldCharType="begin"/>
      </w:r>
      <w:r>
        <w:instrText xml:space="preserve"> HYPERLINK \l "_Toc152663894" </w:instrText>
      </w:r>
      <w:r>
        <w:fldChar w:fldCharType="separate"/>
      </w:r>
      <w:r>
        <w:rPr>
          <w:rStyle w:val="25"/>
        </w:rPr>
        <w:t>第二章 投标人须知</w:t>
      </w:r>
      <w:r>
        <w:tab/>
      </w:r>
      <w:r>
        <w:fldChar w:fldCharType="begin"/>
      </w:r>
      <w:r>
        <w:instrText xml:space="preserve"> PAGEREF _Toc152663894 \h </w:instrText>
      </w:r>
      <w:r>
        <w:fldChar w:fldCharType="separate"/>
      </w:r>
      <w:r>
        <w:t>10</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"_Toc152663895" </w:instrText>
      </w:r>
      <w:r>
        <w:fldChar w:fldCharType="separate"/>
      </w:r>
      <w:r>
        <w:rPr>
          <w:rStyle w:val="25"/>
        </w:rPr>
        <w:t>1. 总则</w:t>
      </w:r>
      <w:r>
        <w:tab/>
      </w:r>
      <w:r>
        <w:fldChar w:fldCharType="begin"/>
      </w:r>
      <w:r>
        <w:instrText xml:space="preserve"> PAGEREF _Toc152663895 \h </w:instrText>
      </w:r>
      <w:r>
        <w:fldChar w:fldCharType="separate"/>
      </w:r>
      <w:r>
        <w:t>19</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"_Toc152663896" </w:instrText>
      </w:r>
      <w:r>
        <w:fldChar w:fldCharType="separate"/>
      </w:r>
      <w:r>
        <w:rPr>
          <w:rStyle w:val="25"/>
        </w:rPr>
        <w:t>1.1 招标项目概况</w:t>
      </w:r>
      <w:r>
        <w:tab/>
      </w:r>
      <w:r>
        <w:fldChar w:fldCharType="begin"/>
      </w:r>
      <w:r>
        <w:instrText xml:space="preserve"> PAGEREF _Toc152663896 \h </w:instrText>
      </w:r>
      <w:r>
        <w:fldChar w:fldCharType="separate"/>
      </w:r>
      <w:r>
        <w:t>19</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"_Toc152663897" </w:instrText>
      </w:r>
      <w:r>
        <w:fldChar w:fldCharType="separate"/>
      </w:r>
      <w:r>
        <w:rPr>
          <w:rStyle w:val="25"/>
          <w:rFonts w:cs="宋体"/>
        </w:rPr>
        <w:t>1.2 招标项目的资金来源及落实情况</w:t>
      </w:r>
      <w:r>
        <w:tab/>
      </w:r>
      <w:r>
        <w:fldChar w:fldCharType="begin"/>
      </w:r>
      <w:r>
        <w:instrText xml:space="preserve"> PAGEREF _Toc152663897 \h </w:instrText>
      </w:r>
      <w:r>
        <w:fldChar w:fldCharType="separate"/>
      </w:r>
      <w:r>
        <w:t>19</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"_Toc152663898" </w:instrText>
      </w:r>
      <w:r>
        <w:fldChar w:fldCharType="separate"/>
      </w:r>
      <w:r>
        <w:rPr>
          <w:rStyle w:val="25"/>
          <w:rFonts w:cs="宋体"/>
        </w:rPr>
        <w:t>1.3 招标范围、监理服务期限、质量控制目标和安全控制目标</w:t>
      </w:r>
      <w:r>
        <w:tab/>
      </w:r>
      <w:r>
        <w:fldChar w:fldCharType="begin"/>
      </w:r>
      <w:r>
        <w:instrText xml:space="preserve"> PAGEREF _Toc152663898 \h </w:instrText>
      </w:r>
      <w:r>
        <w:fldChar w:fldCharType="separate"/>
      </w:r>
      <w:r>
        <w:t>19</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"_Toc152663899" </w:instrText>
      </w:r>
      <w:r>
        <w:fldChar w:fldCharType="separate"/>
      </w:r>
      <w:r>
        <w:rPr>
          <w:rStyle w:val="25"/>
          <w:rFonts w:cs="宋体"/>
        </w:rPr>
        <w:t>1.4 投标人资格要求</w:t>
      </w:r>
      <w:r>
        <w:tab/>
      </w:r>
      <w:r>
        <w:fldChar w:fldCharType="begin"/>
      </w:r>
      <w:r>
        <w:instrText xml:space="preserve"> PAGEREF _Toc152663899 \h </w:instrText>
      </w:r>
      <w:r>
        <w:fldChar w:fldCharType="separate"/>
      </w:r>
      <w:r>
        <w:t>19</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"_Toc152663900" </w:instrText>
      </w:r>
      <w:r>
        <w:fldChar w:fldCharType="separate"/>
      </w:r>
      <w:r>
        <w:rPr>
          <w:rStyle w:val="25"/>
          <w:rFonts w:cs="宋体"/>
        </w:rPr>
        <w:t>1.5 费用承担</w:t>
      </w:r>
      <w:r>
        <w:tab/>
      </w:r>
      <w:r>
        <w:fldChar w:fldCharType="begin"/>
      </w:r>
      <w:r>
        <w:instrText xml:space="preserve"> PAGEREF _Toc152663900 \h </w:instrText>
      </w:r>
      <w:r>
        <w:fldChar w:fldCharType="separate"/>
      </w:r>
      <w:r>
        <w:t>20</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"_Toc152663901" </w:instrText>
      </w:r>
      <w:r>
        <w:fldChar w:fldCharType="separate"/>
      </w:r>
      <w:r>
        <w:rPr>
          <w:rStyle w:val="25"/>
          <w:rFonts w:cs="宋体"/>
        </w:rPr>
        <w:t>1.6 保密</w:t>
      </w:r>
      <w:r>
        <w:tab/>
      </w:r>
      <w:r>
        <w:fldChar w:fldCharType="begin"/>
      </w:r>
      <w:r>
        <w:instrText xml:space="preserve"> PAGEREF _Toc152663901 \h </w:instrText>
      </w:r>
      <w:r>
        <w:fldChar w:fldCharType="separate"/>
      </w:r>
      <w:r>
        <w:t>21</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"_Toc152663902" </w:instrText>
      </w:r>
      <w:r>
        <w:fldChar w:fldCharType="separate"/>
      </w:r>
      <w:r>
        <w:rPr>
          <w:rStyle w:val="25"/>
          <w:rFonts w:cs="宋体"/>
        </w:rPr>
        <w:t>1.7 语言文字</w:t>
      </w:r>
      <w:r>
        <w:tab/>
      </w:r>
      <w:r>
        <w:fldChar w:fldCharType="begin"/>
      </w:r>
      <w:r>
        <w:instrText xml:space="preserve"> PAGEREF _Toc152663902 \h </w:instrText>
      </w:r>
      <w:r>
        <w:fldChar w:fldCharType="separate"/>
      </w:r>
      <w:r>
        <w:t>21</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"_Toc152663903" </w:instrText>
      </w:r>
      <w:r>
        <w:fldChar w:fldCharType="separate"/>
      </w:r>
      <w:r>
        <w:rPr>
          <w:rStyle w:val="25"/>
          <w:rFonts w:cs="宋体"/>
        </w:rPr>
        <w:t>1.8 计量单位</w:t>
      </w:r>
      <w:r>
        <w:tab/>
      </w:r>
      <w:r>
        <w:fldChar w:fldCharType="begin"/>
      </w:r>
      <w:r>
        <w:instrText xml:space="preserve"> PAGEREF _Toc152663903 \h </w:instrText>
      </w:r>
      <w:r>
        <w:fldChar w:fldCharType="separate"/>
      </w:r>
      <w:r>
        <w:t>21</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"_Toc152663904" </w:instrText>
      </w:r>
      <w:r>
        <w:fldChar w:fldCharType="separate"/>
      </w:r>
      <w:r>
        <w:rPr>
          <w:rStyle w:val="25"/>
          <w:rFonts w:cs="宋体"/>
        </w:rPr>
        <w:t>1.9 踏勘现场</w:t>
      </w:r>
      <w:r>
        <w:tab/>
      </w:r>
      <w:r>
        <w:fldChar w:fldCharType="begin"/>
      </w:r>
      <w:r>
        <w:instrText xml:space="preserve"> PAGEREF _Toc152663904 \h </w:instrText>
      </w:r>
      <w:r>
        <w:fldChar w:fldCharType="separate"/>
      </w:r>
      <w:r>
        <w:t>21</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"_Toc152663905" </w:instrText>
      </w:r>
      <w:r>
        <w:fldChar w:fldCharType="separate"/>
      </w:r>
      <w:r>
        <w:rPr>
          <w:rStyle w:val="25"/>
          <w:rFonts w:cs="宋体"/>
        </w:rPr>
        <w:t>1.10 投标预备会</w:t>
      </w:r>
      <w:r>
        <w:tab/>
      </w:r>
      <w:r>
        <w:fldChar w:fldCharType="begin"/>
      </w:r>
      <w:r>
        <w:instrText xml:space="preserve"> PAGEREF _Toc152663905 \h </w:instrText>
      </w:r>
      <w:r>
        <w:fldChar w:fldCharType="separate"/>
      </w:r>
      <w:r>
        <w:t>21</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"_Toc152663906" </w:instrText>
      </w:r>
      <w:r>
        <w:fldChar w:fldCharType="separate"/>
      </w:r>
      <w:r>
        <w:rPr>
          <w:rStyle w:val="25"/>
          <w:rFonts w:cs="宋体"/>
        </w:rPr>
        <w:t>1.11 分包</w:t>
      </w:r>
      <w:r>
        <w:tab/>
      </w:r>
      <w:r>
        <w:fldChar w:fldCharType="begin"/>
      </w:r>
      <w:r>
        <w:instrText xml:space="preserve"> PAGEREF _Toc152663906 \h </w:instrText>
      </w:r>
      <w:r>
        <w:fldChar w:fldCharType="separate"/>
      </w:r>
      <w:r>
        <w:t>21</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"_Toc152663907" </w:instrText>
      </w:r>
      <w:r>
        <w:fldChar w:fldCharType="separate"/>
      </w:r>
      <w:r>
        <w:rPr>
          <w:rStyle w:val="25"/>
          <w:rFonts w:cs="宋体"/>
        </w:rPr>
        <w:t>1.12 响应和偏差</w:t>
      </w:r>
      <w:r>
        <w:tab/>
      </w:r>
      <w:r>
        <w:fldChar w:fldCharType="begin"/>
      </w:r>
      <w:r>
        <w:instrText xml:space="preserve"> PAGEREF _Toc152663907 \h </w:instrText>
      </w:r>
      <w:r>
        <w:fldChar w:fldCharType="separate"/>
      </w:r>
      <w:r>
        <w:t>21</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"_Toc152663908" </w:instrText>
      </w:r>
      <w:r>
        <w:fldChar w:fldCharType="separate"/>
      </w:r>
      <w:r>
        <w:rPr>
          <w:rStyle w:val="25"/>
          <w:rFonts w:cs="宋体"/>
        </w:rPr>
        <w:t>2. 招标文件</w:t>
      </w:r>
      <w:r>
        <w:tab/>
      </w:r>
      <w:r>
        <w:fldChar w:fldCharType="begin"/>
      </w:r>
      <w:r>
        <w:instrText xml:space="preserve"> PAGEREF _Toc152663908 \h </w:instrText>
      </w:r>
      <w:r>
        <w:fldChar w:fldCharType="separate"/>
      </w:r>
      <w:r>
        <w:t>22</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"_Toc152663909" </w:instrText>
      </w:r>
      <w:r>
        <w:fldChar w:fldCharType="separate"/>
      </w:r>
      <w:r>
        <w:rPr>
          <w:rStyle w:val="25"/>
        </w:rPr>
        <w:t>2.1 招标文件的组成</w:t>
      </w:r>
      <w:r>
        <w:tab/>
      </w:r>
      <w:r>
        <w:fldChar w:fldCharType="begin"/>
      </w:r>
      <w:r>
        <w:instrText xml:space="preserve"> PAGEREF _Toc152663909 \h </w:instrText>
      </w:r>
      <w:r>
        <w:fldChar w:fldCharType="separate"/>
      </w:r>
      <w:r>
        <w:t>22</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"_Toc152663910" </w:instrText>
      </w:r>
      <w:r>
        <w:fldChar w:fldCharType="separate"/>
      </w:r>
      <w:r>
        <w:rPr>
          <w:rStyle w:val="25"/>
        </w:rPr>
        <w:t>2.2 招标文件的澄清</w:t>
      </w:r>
      <w:r>
        <w:tab/>
      </w:r>
      <w:r>
        <w:fldChar w:fldCharType="begin"/>
      </w:r>
      <w:r>
        <w:instrText xml:space="preserve"> PAGEREF _Toc152663910 \h </w:instrText>
      </w:r>
      <w:r>
        <w:fldChar w:fldCharType="separate"/>
      </w:r>
      <w:r>
        <w:t>22</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"_Toc152663911" </w:instrText>
      </w:r>
      <w:r>
        <w:fldChar w:fldCharType="separate"/>
      </w:r>
      <w:r>
        <w:rPr>
          <w:rStyle w:val="25"/>
        </w:rPr>
        <w:t>2.3 招标文件的修改</w:t>
      </w:r>
      <w:r>
        <w:tab/>
      </w:r>
      <w:r>
        <w:fldChar w:fldCharType="begin"/>
      </w:r>
      <w:r>
        <w:instrText xml:space="preserve"> PAGEREF _Toc152663911 \h </w:instrText>
      </w:r>
      <w:r>
        <w:fldChar w:fldCharType="separate"/>
      </w:r>
      <w:r>
        <w:t>22</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"_Toc152663912" </w:instrText>
      </w:r>
      <w:r>
        <w:fldChar w:fldCharType="separate"/>
      </w:r>
      <w:r>
        <w:rPr>
          <w:rStyle w:val="25"/>
        </w:rPr>
        <w:t>2.4 招标文件的异议</w:t>
      </w:r>
      <w:r>
        <w:tab/>
      </w:r>
      <w:r>
        <w:fldChar w:fldCharType="begin"/>
      </w:r>
      <w:r>
        <w:instrText xml:space="preserve"> PAGEREF _Toc152663912 \h </w:instrText>
      </w:r>
      <w:r>
        <w:fldChar w:fldCharType="separate"/>
      </w:r>
      <w:r>
        <w:t>23</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"_Toc152663913" </w:instrText>
      </w:r>
      <w:r>
        <w:fldChar w:fldCharType="separate"/>
      </w:r>
      <w:r>
        <w:rPr>
          <w:rStyle w:val="25"/>
        </w:rPr>
        <w:t>3. 投标文件</w:t>
      </w:r>
      <w:r>
        <w:tab/>
      </w:r>
      <w:r>
        <w:fldChar w:fldCharType="begin"/>
      </w:r>
      <w:r>
        <w:instrText xml:space="preserve"> PAGEREF _Toc152663913 \h </w:instrText>
      </w:r>
      <w:r>
        <w:fldChar w:fldCharType="separate"/>
      </w:r>
      <w:r>
        <w:t>23</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"_Toc152663914" </w:instrText>
      </w:r>
      <w:r>
        <w:fldChar w:fldCharType="separate"/>
      </w:r>
      <w:r>
        <w:rPr>
          <w:rStyle w:val="25"/>
        </w:rPr>
        <w:t>3.1 投标文件的组成</w:t>
      </w:r>
      <w:r>
        <w:tab/>
      </w:r>
      <w:r>
        <w:fldChar w:fldCharType="begin"/>
      </w:r>
      <w:r>
        <w:instrText xml:space="preserve"> PAGEREF _Toc152663914 \h </w:instrText>
      </w:r>
      <w:r>
        <w:fldChar w:fldCharType="separate"/>
      </w:r>
      <w:r>
        <w:t>23</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"_Toc152663915" </w:instrText>
      </w:r>
      <w:r>
        <w:fldChar w:fldCharType="separate"/>
      </w:r>
      <w:r>
        <w:rPr>
          <w:rStyle w:val="25"/>
        </w:rPr>
        <w:t>3.2 投标报价</w:t>
      </w:r>
      <w:r>
        <w:tab/>
      </w:r>
      <w:r>
        <w:fldChar w:fldCharType="begin"/>
      </w:r>
      <w:r>
        <w:instrText xml:space="preserve"> PAGEREF _Toc152663915 \h </w:instrText>
      </w:r>
      <w:r>
        <w:fldChar w:fldCharType="separate"/>
      </w:r>
      <w:r>
        <w:t>23</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"_Toc152663916" </w:instrText>
      </w:r>
      <w:r>
        <w:fldChar w:fldCharType="separate"/>
      </w:r>
      <w:r>
        <w:rPr>
          <w:rStyle w:val="25"/>
        </w:rPr>
        <w:t>3.3 投标有效期</w:t>
      </w:r>
      <w:r>
        <w:tab/>
      </w:r>
      <w:r>
        <w:fldChar w:fldCharType="begin"/>
      </w:r>
      <w:r>
        <w:instrText xml:space="preserve"> PAGEREF _Toc152663916 \h </w:instrText>
      </w:r>
      <w:r>
        <w:fldChar w:fldCharType="separate"/>
      </w:r>
      <w:r>
        <w:t>24</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"_Toc152663917" </w:instrText>
      </w:r>
      <w:r>
        <w:fldChar w:fldCharType="separate"/>
      </w:r>
      <w:r>
        <w:rPr>
          <w:rStyle w:val="25"/>
        </w:rPr>
        <w:t>3.4 投标保证金</w:t>
      </w:r>
      <w:r>
        <w:tab/>
      </w:r>
      <w:r>
        <w:fldChar w:fldCharType="begin"/>
      </w:r>
      <w:r>
        <w:instrText xml:space="preserve"> PAGEREF _Toc152663917 \h </w:instrText>
      </w:r>
      <w:r>
        <w:fldChar w:fldCharType="separate"/>
      </w:r>
      <w:r>
        <w:t>24</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"_Toc152663918" </w:instrText>
      </w:r>
      <w:r>
        <w:fldChar w:fldCharType="separate"/>
      </w:r>
      <w:r>
        <w:rPr>
          <w:rStyle w:val="25"/>
        </w:rPr>
        <w:t>3.5 资格审查资料</w:t>
      </w:r>
      <w:r>
        <w:tab/>
      </w:r>
      <w:r>
        <w:fldChar w:fldCharType="begin"/>
      </w:r>
      <w:r>
        <w:instrText xml:space="preserve"> PAGEREF _Toc152663918 \h </w:instrText>
      </w:r>
      <w:r>
        <w:fldChar w:fldCharType="separate"/>
      </w:r>
      <w:r>
        <w:t>24</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"_Toc152663919" </w:instrText>
      </w:r>
      <w:r>
        <w:fldChar w:fldCharType="separate"/>
      </w:r>
      <w:r>
        <w:rPr>
          <w:rStyle w:val="25"/>
        </w:rPr>
        <w:t>3.6 备选投标方案</w:t>
      </w:r>
      <w:r>
        <w:tab/>
      </w:r>
      <w:r>
        <w:fldChar w:fldCharType="begin"/>
      </w:r>
      <w:r>
        <w:instrText xml:space="preserve"> PAGEREF _Toc152663919 \h </w:instrText>
      </w:r>
      <w:r>
        <w:fldChar w:fldCharType="separate"/>
      </w:r>
      <w:r>
        <w:t>25</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"_Toc152663920" </w:instrText>
      </w:r>
      <w:r>
        <w:fldChar w:fldCharType="separate"/>
      </w:r>
      <w:r>
        <w:rPr>
          <w:rStyle w:val="25"/>
        </w:rPr>
        <w:t>3.7 投标文件的编制</w:t>
      </w:r>
      <w:r>
        <w:tab/>
      </w:r>
      <w:r>
        <w:fldChar w:fldCharType="begin"/>
      </w:r>
      <w:r>
        <w:instrText xml:space="preserve"> PAGEREF _Toc152663920 \h </w:instrText>
      </w:r>
      <w:r>
        <w:fldChar w:fldCharType="separate"/>
      </w:r>
      <w:r>
        <w:t>25</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"_Toc152663921" </w:instrText>
      </w:r>
      <w:r>
        <w:fldChar w:fldCharType="separate"/>
      </w:r>
      <w:r>
        <w:rPr>
          <w:rStyle w:val="25"/>
        </w:rPr>
        <w:t>4. 投标</w:t>
      </w:r>
      <w:r>
        <w:tab/>
      </w:r>
      <w:r>
        <w:fldChar w:fldCharType="begin"/>
      </w:r>
      <w:r>
        <w:instrText xml:space="preserve"> PAGEREF _Toc152663921 \h </w:instrText>
      </w:r>
      <w:r>
        <w:fldChar w:fldCharType="separate"/>
      </w:r>
      <w:r>
        <w:t>26</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"_Toc152663922" </w:instrText>
      </w:r>
      <w:r>
        <w:fldChar w:fldCharType="separate"/>
      </w:r>
      <w:r>
        <w:rPr>
          <w:rStyle w:val="25"/>
        </w:rPr>
        <w:t>4.1 投标文件的密封和标记</w:t>
      </w:r>
      <w:r>
        <w:tab/>
      </w:r>
      <w:r>
        <w:fldChar w:fldCharType="begin"/>
      </w:r>
      <w:r>
        <w:instrText xml:space="preserve"> PAGEREF _Toc152663922 \h </w:instrText>
      </w:r>
      <w:r>
        <w:fldChar w:fldCharType="separate"/>
      </w:r>
      <w:r>
        <w:t>26</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"_Toc152663923" </w:instrText>
      </w:r>
      <w:r>
        <w:fldChar w:fldCharType="separate"/>
      </w:r>
      <w:r>
        <w:rPr>
          <w:rStyle w:val="25"/>
        </w:rPr>
        <w:t>4.2 投标文件的递交</w:t>
      </w:r>
      <w:r>
        <w:tab/>
      </w:r>
      <w:r>
        <w:fldChar w:fldCharType="begin"/>
      </w:r>
      <w:r>
        <w:instrText xml:space="preserve"> PAGEREF _Toc152663923 \h </w:instrText>
      </w:r>
      <w:r>
        <w:fldChar w:fldCharType="separate"/>
      </w:r>
      <w:r>
        <w:t>26</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"_Toc152663924" </w:instrText>
      </w:r>
      <w:r>
        <w:fldChar w:fldCharType="separate"/>
      </w:r>
      <w:r>
        <w:rPr>
          <w:rStyle w:val="25"/>
        </w:rPr>
        <w:t>4.3 投标文件的修改与撤回</w:t>
      </w:r>
      <w:r>
        <w:tab/>
      </w:r>
      <w:r>
        <w:fldChar w:fldCharType="begin"/>
      </w:r>
      <w:r>
        <w:instrText xml:space="preserve"> PAGEREF _Toc152663924 \h </w:instrText>
      </w:r>
      <w:r>
        <w:fldChar w:fldCharType="separate"/>
      </w:r>
      <w:r>
        <w:t>26</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"_Toc152663925" </w:instrText>
      </w:r>
      <w:r>
        <w:fldChar w:fldCharType="separate"/>
      </w:r>
      <w:r>
        <w:rPr>
          <w:rStyle w:val="25"/>
        </w:rPr>
        <w:t>5. 开标</w:t>
      </w:r>
      <w:r>
        <w:tab/>
      </w:r>
      <w:r>
        <w:fldChar w:fldCharType="begin"/>
      </w:r>
      <w:r>
        <w:instrText xml:space="preserve"> PAGEREF _Toc152663925 \h </w:instrText>
      </w:r>
      <w:r>
        <w:fldChar w:fldCharType="separate"/>
      </w:r>
      <w:r>
        <w:t>26</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"_Toc152663926" </w:instrText>
      </w:r>
      <w:r>
        <w:fldChar w:fldCharType="separate"/>
      </w:r>
      <w:r>
        <w:rPr>
          <w:rStyle w:val="25"/>
        </w:rPr>
        <w:t>5.1 开标时间和地点</w:t>
      </w:r>
      <w:r>
        <w:tab/>
      </w:r>
      <w:r>
        <w:fldChar w:fldCharType="begin"/>
      </w:r>
      <w:r>
        <w:instrText xml:space="preserve"> PAGEREF _Toc152663926 \h </w:instrText>
      </w:r>
      <w:r>
        <w:fldChar w:fldCharType="separate"/>
      </w:r>
      <w:r>
        <w:t>26</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"_Toc152663927" </w:instrText>
      </w:r>
      <w:r>
        <w:fldChar w:fldCharType="separate"/>
      </w:r>
      <w:r>
        <w:rPr>
          <w:rStyle w:val="25"/>
        </w:rPr>
        <w:t>5.2 开标程序</w:t>
      </w:r>
      <w:r>
        <w:tab/>
      </w:r>
      <w:r>
        <w:fldChar w:fldCharType="begin"/>
      </w:r>
      <w:r>
        <w:instrText xml:space="preserve"> PAGEREF _Toc152663927 \h </w:instrText>
      </w:r>
      <w:r>
        <w:fldChar w:fldCharType="separate"/>
      </w:r>
      <w:r>
        <w:t>27</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"_Toc152663928" </w:instrText>
      </w:r>
      <w:r>
        <w:fldChar w:fldCharType="separate"/>
      </w:r>
      <w:r>
        <w:rPr>
          <w:rStyle w:val="25"/>
        </w:rPr>
        <w:t>5.3 开标异议</w:t>
      </w:r>
      <w:r>
        <w:tab/>
      </w:r>
      <w:r>
        <w:fldChar w:fldCharType="begin"/>
      </w:r>
      <w:r>
        <w:instrText xml:space="preserve"> PAGEREF _Toc152663928 \h </w:instrText>
      </w:r>
      <w:r>
        <w:fldChar w:fldCharType="separate"/>
      </w:r>
      <w:r>
        <w:t>27</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"_Toc152663929" </w:instrText>
      </w:r>
      <w:r>
        <w:fldChar w:fldCharType="separate"/>
      </w:r>
      <w:r>
        <w:rPr>
          <w:rStyle w:val="25"/>
        </w:rPr>
        <w:t>6. 评标</w:t>
      </w:r>
      <w:r>
        <w:tab/>
      </w:r>
      <w:r>
        <w:fldChar w:fldCharType="begin"/>
      </w:r>
      <w:r>
        <w:instrText xml:space="preserve"> PAGEREF _Toc152663929 \h </w:instrText>
      </w:r>
      <w:r>
        <w:fldChar w:fldCharType="separate"/>
      </w:r>
      <w:r>
        <w:t>27</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"_Toc152663930" </w:instrText>
      </w:r>
      <w:r>
        <w:fldChar w:fldCharType="separate"/>
      </w:r>
      <w:r>
        <w:rPr>
          <w:rStyle w:val="25"/>
        </w:rPr>
        <w:t>6.1 评标委员会</w:t>
      </w:r>
      <w:r>
        <w:tab/>
      </w:r>
      <w:r>
        <w:fldChar w:fldCharType="begin"/>
      </w:r>
      <w:r>
        <w:instrText xml:space="preserve"> PAGEREF _Toc152663930 \h </w:instrText>
      </w:r>
      <w:r>
        <w:fldChar w:fldCharType="separate"/>
      </w:r>
      <w:r>
        <w:t>27</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"_Toc152663931" </w:instrText>
      </w:r>
      <w:r>
        <w:fldChar w:fldCharType="separate"/>
      </w:r>
      <w:r>
        <w:rPr>
          <w:rStyle w:val="25"/>
        </w:rPr>
        <w:t>6.2 评标原则</w:t>
      </w:r>
      <w:r>
        <w:tab/>
      </w:r>
      <w:r>
        <w:fldChar w:fldCharType="begin"/>
      </w:r>
      <w:r>
        <w:instrText xml:space="preserve"> PAGEREF _Toc152663931 \h </w:instrText>
      </w:r>
      <w:r>
        <w:fldChar w:fldCharType="separate"/>
      </w:r>
      <w:r>
        <w:t>27</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"_Toc152663932" </w:instrText>
      </w:r>
      <w:r>
        <w:fldChar w:fldCharType="separate"/>
      </w:r>
      <w:r>
        <w:rPr>
          <w:rStyle w:val="25"/>
        </w:rPr>
        <w:t>6.3 评标</w:t>
      </w:r>
      <w:r>
        <w:tab/>
      </w:r>
      <w:r>
        <w:fldChar w:fldCharType="begin"/>
      </w:r>
      <w:r>
        <w:instrText xml:space="preserve"> PAGEREF _Toc152663932 \h </w:instrText>
      </w:r>
      <w:r>
        <w:fldChar w:fldCharType="separate"/>
      </w:r>
      <w:r>
        <w:t>27</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"_Toc152663933" </w:instrText>
      </w:r>
      <w:r>
        <w:fldChar w:fldCharType="separate"/>
      </w:r>
      <w:r>
        <w:rPr>
          <w:rStyle w:val="25"/>
        </w:rPr>
        <w:t>7. 合同授予</w:t>
      </w:r>
      <w:r>
        <w:tab/>
      </w:r>
      <w:r>
        <w:fldChar w:fldCharType="begin"/>
      </w:r>
      <w:r>
        <w:instrText xml:space="preserve"> PAGEREF _Toc152663933 \h </w:instrText>
      </w:r>
      <w:r>
        <w:fldChar w:fldCharType="separate"/>
      </w:r>
      <w:r>
        <w:t>28</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"_Toc152663934" </w:instrText>
      </w:r>
      <w:r>
        <w:fldChar w:fldCharType="separate"/>
      </w:r>
      <w:r>
        <w:rPr>
          <w:rStyle w:val="25"/>
        </w:rPr>
        <w:t>7.1 中标候选人公示</w:t>
      </w:r>
      <w:r>
        <w:tab/>
      </w:r>
      <w:r>
        <w:fldChar w:fldCharType="begin"/>
      </w:r>
      <w:r>
        <w:instrText xml:space="preserve"> PAGEREF _Toc152663934 \h </w:instrText>
      </w:r>
      <w:r>
        <w:fldChar w:fldCharType="separate"/>
      </w:r>
      <w:r>
        <w:t>28</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"_Toc152663935" </w:instrText>
      </w:r>
      <w:r>
        <w:fldChar w:fldCharType="separate"/>
      </w:r>
      <w:r>
        <w:rPr>
          <w:rStyle w:val="25"/>
        </w:rPr>
        <w:t>7.2 评标结果异议</w:t>
      </w:r>
      <w:r>
        <w:tab/>
      </w:r>
      <w:r>
        <w:fldChar w:fldCharType="begin"/>
      </w:r>
      <w:r>
        <w:instrText xml:space="preserve"> PAGEREF _Toc152663935 \h </w:instrText>
      </w:r>
      <w:r>
        <w:fldChar w:fldCharType="separate"/>
      </w:r>
      <w:r>
        <w:t>28</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"_Toc152663936" </w:instrText>
      </w:r>
      <w:r>
        <w:fldChar w:fldCharType="separate"/>
      </w:r>
      <w:r>
        <w:rPr>
          <w:rStyle w:val="25"/>
        </w:rPr>
        <w:t>7.3 中标候选人履约能力审查</w:t>
      </w:r>
      <w:r>
        <w:tab/>
      </w:r>
      <w:r>
        <w:fldChar w:fldCharType="begin"/>
      </w:r>
      <w:r>
        <w:instrText xml:space="preserve"> PAGEREF _Toc152663936 \h </w:instrText>
      </w:r>
      <w:r>
        <w:fldChar w:fldCharType="separate"/>
      </w:r>
      <w:r>
        <w:t>28</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"_Toc152663937" </w:instrText>
      </w:r>
      <w:r>
        <w:fldChar w:fldCharType="separate"/>
      </w:r>
      <w:r>
        <w:rPr>
          <w:rStyle w:val="25"/>
        </w:rPr>
        <w:t>7.4 定标</w:t>
      </w:r>
      <w:r>
        <w:tab/>
      </w:r>
      <w:r>
        <w:fldChar w:fldCharType="begin"/>
      </w:r>
      <w:r>
        <w:instrText xml:space="preserve"> PAGEREF _Toc152663937 \h </w:instrText>
      </w:r>
      <w:r>
        <w:fldChar w:fldCharType="separate"/>
      </w:r>
      <w:r>
        <w:t>28</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"_Toc152663938" </w:instrText>
      </w:r>
      <w:r>
        <w:fldChar w:fldCharType="separate"/>
      </w:r>
      <w:r>
        <w:rPr>
          <w:rStyle w:val="25"/>
        </w:rPr>
        <w:t>7.5 中标通知</w:t>
      </w:r>
      <w:r>
        <w:tab/>
      </w:r>
      <w:r>
        <w:fldChar w:fldCharType="begin"/>
      </w:r>
      <w:r>
        <w:instrText xml:space="preserve"> PAGEREF _Toc152663938 \h </w:instrText>
      </w:r>
      <w:r>
        <w:fldChar w:fldCharType="separate"/>
      </w:r>
      <w:r>
        <w:t>28</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"_Toc152663939" </w:instrText>
      </w:r>
      <w:r>
        <w:fldChar w:fldCharType="separate"/>
      </w:r>
      <w:r>
        <w:rPr>
          <w:rStyle w:val="25"/>
        </w:rPr>
        <w:t>7.6 履约保证金</w:t>
      </w:r>
      <w:r>
        <w:tab/>
      </w:r>
      <w:r>
        <w:fldChar w:fldCharType="begin"/>
      </w:r>
      <w:r>
        <w:instrText xml:space="preserve"> PAGEREF _Toc152663939 \h </w:instrText>
      </w:r>
      <w:r>
        <w:fldChar w:fldCharType="separate"/>
      </w:r>
      <w:r>
        <w:t>28</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"_Toc152663940" </w:instrText>
      </w:r>
      <w:r>
        <w:fldChar w:fldCharType="separate"/>
      </w:r>
      <w:r>
        <w:rPr>
          <w:rStyle w:val="25"/>
        </w:rPr>
        <w:t>7.7 签订合同</w:t>
      </w:r>
      <w:r>
        <w:tab/>
      </w:r>
      <w:r>
        <w:fldChar w:fldCharType="begin"/>
      </w:r>
      <w:r>
        <w:instrText xml:space="preserve"> PAGEREF _Toc152663940 \h </w:instrText>
      </w:r>
      <w:r>
        <w:fldChar w:fldCharType="separate"/>
      </w:r>
      <w:r>
        <w:t>28</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"_Toc152663941" </w:instrText>
      </w:r>
      <w:r>
        <w:fldChar w:fldCharType="separate"/>
      </w:r>
      <w:r>
        <w:rPr>
          <w:rStyle w:val="25"/>
        </w:rPr>
        <w:t>8. 纪律和监督</w:t>
      </w:r>
      <w:r>
        <w:tab/>
      </w:r>
      <w:r>
        <w:fldChar w:fldCharType="begin"/>
      </w:r>
      <w:r>
        <w:instrText xml:space="preserve"> PAGEREF _Toc152663941 \h </w:instrText>
      </w:r>
      <w:r>
        <w:fldChar w:fldCharType="separate"/>
      </w:r>
      <w:r>
        <w:t>29</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"_Toc152663942" </w:instrText>
      </w:r>
      <w:r>
        <w:fldChar w:fldCharType="separate"/>
      </w:r>
      <w:r>
        <w:rPr>
          <w:rStyle w:val="25"/>
        </w:rPr>
        <w:t>8.1 对招标人的纪律要求</w:t>
      </w:r>
      <w:r>
        <w:tab/>
      </w:r>
      <w:r>
        <w:fldChar w:fldCharType="begin"/>
      </w:r>
      <w:r>
        <w:instrText xml:space="preserve"> PAGEREF _Toc152663942 \h </w:instrText>
      </w:r>
      <w:r>
        <w:fldChar w:fldCharType="separate"/>
      </w:r>
      <w:r>
        <w:t>29</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"_Toc152663943" </w:instrText>
      </w:r>
      <w:r>
        <w:fldChar w:fldCharType="separate"/>
      </w:r>
      <w:r>
        <w:rPr>
          <w:rStyle w:val="25"/>
        </w:rPr>
        <w:t>8.2 对投标人的纪律要求</w:t>
      </w:r>
      <w:r>
        <w:tab/>
      </w:r>
      <w:r>
        <w:fldChar w:fldCharType="begin"/>
      </w:r>
      <w:r>
        <w:instrText xml:space="preserve"> PAGEREF _Toc152663943 \h </w:instrText>
      </w:r>
      <w:r>
        <w:fldChar w:fldCharType="separate"/>
      </w:r>
      <w:r>
        <w:t>29</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"_Toc152663944" </w:instrText>
      </w:r>
      <w:r>
        <w:fldChar w:fldCharType="separate"/>
      </w:r>
      <w:r>
        <w:rPr>
          <w:rStyle w:val="25"/>
        </w:rPr>
        <w:t>8.3 对评标委员会成员的纪律要求</w:t>
      </w:r>
      <w:r>
        <w:tab/>
      </w:r>
      <w:r>
        <w:fldChar w:fldCharType="begin"/>
      </w:r>
      <w:r>
        <w:instrText xml:space="preserve"> PAGEREF _Toc152663944 \h </w:instrText>
      </w:r>
      <w:r>
        <w:fldChar w:fldCharType="separate"/>
      </w:r>
      <w:r>
        <w:t>29</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"_Toc152663945" </w:instrText>
      </w:r>
      <w:r>
        <w:fldChar w:fldCharType="separate"/>
      </w:r>
      <w:r>
        <w:rPr>
          <w:rStyle w:val="25"/>
        </w:rPr>
        <w:t>8.4 对与评标活动有关的工作人员的纪律要求</w:t>
      </w:r>
      <w:r>
        <w:tab/>
      </w:r>
      <w:r>
        <w:fldChar w:fldCharType="begin"/>
      </w:r>
      <w:r>
        <w:instrText xml:space="preserve"> PAGEREF _Toc152663945 \h </w:instrText>
      </w:r>
      <w:r>
        <w:fldChar w:fldCharType="separate"/>
      </w:r>
      <w:r>
        <w:t>29</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"_Toc152663946" </w:instrText>
      </w:r>
      <w:r>
        <w:fldChar w:fldCharType="separate"/>
      </w:r>
      <w:r>
        <w:rPr>
          <w:rStyle w:val="25"/>
        </w:rPr>
        <w:t>8.5 投诉</w:t>
      </w:r>
      <w:r>
        <w:tab/>
      </w:r>
      <w:r>
        <w:fldChar w:fldCharType="begin"/>
      </w:r>
      <w:r>
        <w:instrText xml:space="preserve"> PAGEREF _Toc152663946 \h </w:instrText>
      </w:r>
      <w:r>
        <w:fldChar w:fldCharType="separate"/>
      </w:r>
      <w:r>
        <w:t>29</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"_Toc152663947" </w:instrText>
      </w:r>
      <w:r>
        <w:fldChar w:fldCharType="separate"/>
      </w:r>
      <w:r>
        <w:rPr>
          <w:rStyle w:val="25"/>
        </w:rPr>
        <w:t>9. 是否采用电子招标投标</w:t>
      </w:r>
      <w:r>
        <w:tab/>
      </w:r>
      <w:r>
        <w:fldChar w:fldCharType="begin"/>
      </w:r>
      <w:r>
        <w:instrText xml:space="preserve"> PAGEREF _Toc152663947 \h </w:instrText>
      </w:r>
      <w:r>
        <w:fldChar w:fldCharType="separate"/>
      </w:r>
      <w:r>
        <w:t>29</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"_Toc152663948" </w:instrText>
      </w:r>
      <w:r>
        <w:fldChar w:fldCharType="separate"/>
      </w:r>
      <w:r>
        <w:rPr>
          <w:rStyle w:val="25"/>
        </w:rPr>
        <w:t>10. 需要补充的其他内容</w:t>
      </w:r>
      <w:r>
        <w:tab/>
      </w:r>
      <w:r>
        <w:fldChar w:fldCharType="begin"/>
      </w:r>
      <w:r>
        <w:instrText xml:space="preserve"> PAGEREF _Toc152663948 \h </w:instrText>
      </w:r>
      <w:r>
        <w:fldChar w:fldCharType="separate"/>
      </w:r>
      <w:r>
        <w:t>30</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"_Toc152663949" </w:instrText>
      </w:r>
      <w:r>
        <w:fldChar w:fldCharType="separate"/>
      </w:r>
      <w:r>
        <w:rPr>
          <w:rStyle w:val="25"/>
        </w:rPr>
        <w:t>附件一：问题澄清通知</w:t>
      </w:r>
      <w:r>
        <w:tab/>
      </w:r>
      <w:r>
        <w:fldChar w:fldCharType="begin"/>
      </w:r>
      <w:r>
        <w:instrText xml:space="preserve"> PAGEREF _Toc152663949 \h </w:instrText>
      </w:r>
      <w:r>
        <w:fldChar w:fldCharType="separate"/>
      </w:r>
      <w:r>
        <w:t>31</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"_Toc152663950" </w:instrText>
      </w:r>
      <w:r>
        <w:fldChar w:fldCharType="separate"/>
      </w:r>
      <w:r>
        <w:rPr>
          <w:rStyle w:val="25"/>
          <w:rFonts w:cs="宋体"/>
        </w:rPr>
        <w:t>附件二：问题的澄清</w:t>
      </w:r>
      <w:r>
        <w:tab/>
      </w:r>
      <w:r>
        <w:fldChar w:fldCharType="begin"/>
      </w:r>
      <w:r>
        <w:instrText xml:space="preserve"> PAGEREF _Toc152663950 \h </w:instrText>
      </w:r>
      <w:r>
        <w:fldChar w:fldCharType="separate"/>
      </w:r>
      <w:r>
        <w:t>32</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"_Toc152663951" </w:instrText>
      </w:r>
      <w:r>
        <w:fldChar w:fldCharType="separate"/>
      </w:r>
      <w:r>
        <w:rPr>
          <w:rStyle w:val="25"/>
          <w:rFonts w:cs="宋体"/>
        </w:rPr>
        <w:t>附件三：确认通知</w:t>
      </w:r>
      <w:r>
        <w:tab/>
      </w:r>
      <w:r>
        <w:fldChar w:fldCharType="begin"/>
      </w:r>
      <w:r>
        <w:instrText xml:space="preserve"> PAGEREF _Toc152663951 \h </w:instrText>
      </w:r>
      <w:r>
        <w:fldChar w:fldCharType="separate"/>
      </w:r>
      <w:r>
        <w:t>33</w:t>
      </w:r>
      <w:r>
        <w:fldChar w:fldCharType="end"/>
      </w:r>
      <w:r>
        <w:fldChar w:fldCharType="end"/>
      </w:r>
    </w:p>
    <w:p>
      <w:pPr>
        <w:pStyle w:val="18"/>
        <w:ind w:firstLine="420"/>
        <w:rPr>
          <w:rFonts w:asciiTheme="minorHAnsi" w:hAnsiTheme="minorHAnsi" w:eastAsiaTheme="minorEastAsia" w:cstheme="minorBidi"/>
          <w14:ligatures w14:val="standardContextual"/>
        </w:rPr>
      </w:pPr>
      <w:r>
        <w:fldChar w:fldCharType="begin"/>
      </w:r>
      <w:r>
        <w:instrText xml:space="preserve"> HYPERLINK \l "_Toc152663952" </w:instrText>
      </w:r>
      <w:r>
        <w:fldChar w:fldCharType="separate"/>
      </w:r>
      <w:r>
        <w:rPr>
          <w:rStyle w:val="25"/>
        </w:rPr>
        <w:t>第三章 评标办法（综合评估法）</w:t>
      </w:r>
      <w:r>
        <w:tab/>
      </w:r>
      <w:r>
        <w:fldChar w:fldCharType="begin"/>
      </w:r>
      <w:r>
        <w:instrText xml:space="preserve"> PAGEREF _Toc152663952 \h </w:instrText>
      </w:r>
      <w:r>
        <w:fldChar w:fldCharType="separate"/>
      </w:r>
      <w:r>
        <w:t>34</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"_Toc152663953" </w:instrText>
      </w:r>
      <w:r>
        <w:fldChar w:fldCharType="separate"/>
      </w:r>
      <w:r>
        <w:rPr>
          <w:rStyle w:val="25"/>
        </w:rPr>
        <w:t>1. 评标方法</w:t>
      </w:r>
      <w:r>
        <w:tab/>
      </w:r>
      <w:r>
        <w:fldChar w:fldCharType="begin"/>
      </w:r>
      <w:r>
        <w:instrText xml:space="preserve"> PAGEREF _Toc152663953 \h </w:instrText>
      </w:r>
      <w:r>
        <w:fldChar w:fldCharType="separate"/>
      </w:r>
      <w:r>
        <w:t>41</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"_Toc152663954" </w:instrText>
      </w:r>
      <w:r>
        <w:fldChar w:fldCharType="separate"/>
      </w:r>
      <w:r>
        <w:rPr>
          <w:rStyle w:val="25"/>
        </w:rPr>
        <w:t>2. 评审标准</w:t>
      </w:r>
      <w:r>
        <w:tab/>
      </w:r>
      <w:r>
        <w:fldChar w:fldCharType="begin"/>
      </w:r>
      <w:r>
        <w:instrText xml:space="preserve"> PAGEREF _Toc152663954 \h </w:instrText>
      </w:r>
      <w:r>
        <w:fldChar w:fldCharType="separate"/>
      </w:r>
      <w:r>
        <w:t>41</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"_Toc152663955" </w:instrText>
      </w:r>
      <w:r>
        <w:fldChar w:fldCharType="separate"/>
      </w:r>
      <w:r>
        <w:rPr>
          <w:rStyle w:val="25"/>
        </w:rPr>
        <w:t>2.1 初步评审标准</w:t>
      </w:r>
      <w:r>
        <w:tab/>
      </w:r>
      <w:r>
        <w:fldChar w:fldCharType="begin"/>
      </w:r>
      <w:r>
        <w:instrText xml:space="preserve"> PAGEREF _Toc152663955 \h </w:instrText>
      </w:r>
      <w:r>
        <w:fldChar w:fldCharType="separate"/>
      </w:r>
      <w:r>
        <w:t>41</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"_Toc152663956" </w:instrText>
      </w:r>
      <w:r>
        <w:fldChar w:fldCharType="separate"/>
      </w:r>
      <w:r>
        <w:rPr>
          <w:rStyle w:val="25"/>
        </w:rPr>
        <w:t>2.2 分值构成与评分标准</w:t>
      </w:r>
      <w:r>
        <w:tab/>
      </w:r>
      <w:r>
        <w:fldChar w:fldCharType="begin"/>
      </w:r>
      <w:r>
        <w:instrText xml:space="preserve"> PAGEREF _Toc152663956 \h </w:instrText>
      </w:r>
      <w:r>
        <w:fldChar w:fldCharType="separate"/>
      </w:r>
      <w:r>
        <w:t>41</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"_Toc152663957" </w:instrText>
      </w:r>
      <w:r>
        <w:fldChar w:fldCharType="separate"/>
      </w:r>
      <w:r>
        <w:rPr>
          <w:rStyle w:val="25"/>
        </w:rPr>
        <w:t>3. 评标程序</w:t>
      </w:r>
      <w:r>
        <w:tab/>
      </w:r>
      <w:r>
        <w:fldChar w:fldCharType="begin"/>
      </w:r>
      <w:r>
        <w:instrText xml:space="preserve"> PAGEREF _Toc152663957 \h </w:instrText>
      </w:r>
      <w:r>
        <w:fldChar w:fldCharType="separate"/>
      </w:r>
      <w:r>
        <w:t>41</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"_Toc152663958" </w:instrText>
      </w:r>
      <w:r>
        <w:fldChar w:fldCharType="separate"/>
      </w:r>
      <w:r>
        <w:rPr>
          <w:rStyle w:val="25"/>
        </w:rPr>
        <w:t>3.1 初步评审</w:t>
      </w:r>
      <w:r>
        <w:tab/>
      </w:r>
      <w:r>
        <w:fldChar w:fldCharType="begin"/>
      </w:r>
      <w:r>
        <w:instrText xml:space="preserve"> PAGEREF _Toc152663958 \h </w:instrText>
      </w:r>
      <w:r>
        <w:fldChar w:fldCharType="separate"/>
      </w:r>
      <w:r>
        <w:t>41</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"_Toc152663959" </w:instrText>
      </w:r>
      <w:r>
        <w:fldChar w:fldCharType="separate"/>
      </w:r>
      <w:r>
        <w:rPr>
          <w:rStyle w:val="25"/>
        </w:rPr>
        <w:t>3.2 详细评审</w:t>
      </w:r>
      <w:r>
        <w:tab/>
      </w:r>
      <w:r>
        <w:fldChar w:fldCharType="begin"/>
      </w:r>
      <w:r>
        <w:instrText xml:space="preserve"> PAGEREF _Toc152663959 \h </w:instrText>
      </w:r>
      <w:r>
        <w:fldChar w:fldCharType="separate"/>
      </w:r>
      <w:r>
        <w:t>42</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"_Toc152663960" </w:instrText>
      </w:r>
      <w:r>
        <w:fldChar w:fldCharType="separate"/>
      </w:r>
      <w:r>
        <w:rPr>
          <w:rStyle w:val="25"/>
        </w:rPr>
        <w:t>3.3 投标文件的澄清</w:t>
      </w:r>
      <w:r>
        <w:tab/>
      </w:r>
      <w:r>
        <w:fldChar w:fldCharType="begin"/>
      </w:r>
      <w:r>
        <w:instrText xml:space="preserve"> PAGEREF _Toc152663960 \h </w:instrText>
      </w:r>
      <w:r>
        <w:fldChar w:fldCharType="separate"/>
      </w:r>
      <w:r>
        <w:t>42</w:t>
      </w:r>
      <w:r>
        <w:fldChar w:fldCharType="end"/>
      </w:r>
      <w:r>
        <w:fldChar w:fldCharType="end"/>
      </w:r>
    </w:p>
    <w:p>
      <w:pPr>
        <w:pStyle w:val="12"/>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"_Toc152663961" </w:instrText>
      </w:r>
      <w:r>
        <w:fldChar w:fldCharType="separate"/>
      </w:r>
      <w:r>
        <w:rPr>
          <w:rStyle w:val="25"/>
        </w:rPr>
        <w:t>3.4 评标结果</w:t>
      </w:r>
      <w:r>
        <w:tab/>
      </w:r>
      <w:r>
        <w:fldChar w:fldCharType="begin"/>
      </w:r>
      <w:r>
        <w:instrText xml:space="preserve"> PAGEREF _Toc152663961 \h </w:instrText>
      </w:r>
      <w:r>
        <w:fldChar w:fldCharType="separate"/>
      </w:r>
      <w:r>
        <w:t>43</w:t>
      </w:r>
      <w:r>
        <w:fldChar w:fldCharType="end"/>
      </w:r>
      <w:r>
        <w:fldChar w:fldCharType="end"/>
      </w:r>
    </w:p>
    <w:p>
      <w:pPr>
        <w:pStyle w:val="18"/>
        <w:ind w:firstLine="420"/>
        <w:rPr>
          <w:rFonts w:asciiTheme="minorHAnsi" w:hAnsiTheme="minorHAnsi" w:eastAsiaTheme="minorEastAsia" w:cstheme="minorBidi"/>
          <w14:ligatures w14:val="standardContextual"/>
        </w:rPr>
      </w:pPr>
      <w:r>
        <w:fldChar w:fldCharType="begin"/>
      </w:r>
      <w:r>
        <w:instrText xml:space="preserve"> HYPERLINK \l "_Toc152663962" </w:instrText>
      </w:r>
      <w:r>
        <w:fldChar w:fldCharType="separate"/>
      </w:r>
      <w:r>
        <w:rPr>
          <w:rStyle w:val="25"/>
        </w:rPr>
        <w:t>第四章 合同条款及格式</w:t>
      </w:r>
      <w:r>
        <w:tab/>
      </w:r>
      <w:r>
        <w:fldChar w:fldCharType="begin"/>
      </w:r>
      <w:r>
        <w:instrText xml:space="preserve"> PAGEREF _Toc152663962 \h </w:instrText>
      </w:r>
      <w:r>
        <w:fldChar w:fldCharType="separate"/>
      </w:r>
      <w:r>
        <w:t>44</w:t>
      </w:r>
      <w:r>
        <w:fldChar w:fldCharType="end"/>
      </w:r>
      <w:r>
        <w:fldChar w:fldCharType="end"/>
      </w:r>
    </w:p>
    <w:p>
      <w:pPr>
        <w:pStyle w:val="18"/>
        <w:ind w:firstLine="420"/>
        <w:rPr>
          <w:rFonts w:asciiTheme="minorHAnsi" w:hAnsiTheme="minorHAnsi" w:eastAsiaTheme="minorEastAsia" w:cstheme="minorBidi"/>
          <w14:ligatures w14:val="standardContextual"/>
        </w:rPr>
      </w:pPr>
      <w:r>
        <w:fldChar w:fldCharType="begin"/>
      </w:r>
      <w:r>
        <w:instrText xml:space="preserve"> HYPERLINK \l "_Toc152663963" </w:instrText>
      </w:r>
      <w:r>
        <w:fldChar w:fldCharType="separate"/>
      </w:r>
      <w:r>
        <w:rPr>
          <w:rStyle w:val="25"/>
        </w:rPr>
        <w:t>第五章 委托人要求</w:t>
      </w:r>
      <w:r>
        <w:tab/>
      </w:r>
      <w:r>
        <w:fldChar w:fldCharType="begin"/>
      </w:r>
      <w:r>
        <w:instrText xml:space="preserve"> PAGEREF _Toc152663963 \h </w:instrText>
      </w:r>
      <w:r>
        <w:fldChar w:fldCharType="separate"/>
      </w:r>
      <w:r>
        <w:t>79</w:t>
      </w:r>
      <w:r>
        <w:fldChar w:fldCharType="end"/>
      </w:r>
      <w:r>
        <w:fldChar w:fldCharType="end"/>
      </w:r>
    </w:p>
    <w:p>
      <w:pPr>
        <w:pStyle w:val="18"/>
        <w:ind w:firstLine="420"/>
        <w:rPr>
          <w:rFonts w:asciiTheme="minorHAnsi" w:hAnsiTheme="minorHAnsi" w:eastAsiaTheme="minorEastAsia" w:cstheme="minorBidi"/>
          <w14:ligatures w14:val="standardContextual"/>
        </w:rPr>
      </w:pPr>
      <w:r>
        <w:fldChar w:fldCharType="begin"/>
      </w:r>
      <w:r>
        <w:instrText xml:space="preserve"> HYPERLINK \l "_Toc152663964" </w:instrText>
      </w:r>
      <w:r>
        <w:fldChar w:fldCharType="separate"/>
      </w:r>
      <w:r>
        <w:rPr>
          <w:rStyle w:val="25"/>
        </w:rPr>
        <w:t>第六章 投标文件格式</w:t>
      </w:r>
      <w:r>
        <w:tab/>
      </w:r>
      <w:r>
        <w:fldChar w:fldCharType="begin"/>
      </w:r>
      <w:r>
        <w:instrText xml:space="preserve"> PAGEREF _Toc152663964 \h </w:instrText>
      </w:r>
      <w:r>
        <w:fldChar w:fldCharType="separate"/>
      </w:r>
      <w:r>
        <w:t>80</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"_Toc152663965" </w:instrText>
      </w:r>
      <w:r>
        <w:fldChar w:fldCharType="separate"/>
      </w:r>
      <w:r>
        <w:rPr>
          <w:rStyle w:val="25"/>
        </w:rPr>
        <w:t>一、投标函及投标函附录</w:t>
      </w:r>
      <w:r>
        <w:tab/>
      </w:r>
      <w:r>
        <w:fldChar w:fldCharType="begin"/>
      </w:r>
      <w:r>
        <w:instrText xml:space="preserve"> PAGEREF _Toc152663965 \h </w:instrText>
      </w:r>
      <w:r>
        <w:fldChar w:fldCharType="separate"/>
      </w:r>
      <w:r>
        <w:t>82</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"_Toc152663966" </w:instrText>
      </w:r>
      <w:r>
        <w:fldChar w:fldCharType="separate"/>
      </w:r>
      <w:r>
        <w:rPr>
          <w:rStyle w:val="25"/>
        </w:rPr>
        <w:t>二、法定代表人身份证明</w:t>
      </w:r>
      <w:r>
        <w:tab/>
      </w:r>
      <w:r>
        <w:fldChar w:fldCharType="begin"/>
      </w:r>
      <w:r>
        <w:instrText xml:space="preserve"> PAGEREF _Toc152663966 \h </w:instrText>
      </w:r>
      <w:r>
        <w:fldChar w:fldCharType="separate"/>
      </w:r>
      <w:r>
        <w:t>84</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"_Toc152663967" </w:instrText>
      </w:r>
      <w:r>
        <w:fldChar w:fldCharType="separate"/>
      </w:r>
      <w:r>
        <w:rPr>
          <w:rStyle w:val="25"/>
        </w:rPr>
        <w:t>三、授权委托书</w:t>
      </w:r>
      <w:r>
        <w:tab/>
      </w:r>
      <w:r>
        <w:fldChar w:fldCharType="begin"/>
      </w:r>
      <w:r>
        <w:instrText xml:space="preserve"> PAGEREF _Toc152663967 \h </w:instrText>
      </w:r>
      <w:r>
        <w:fldChar w:fldCharType="separate"/>
      </w:r>
      <w:r>
        <w:t>85</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"_Toc152663968" </w:instrText>
      </w:r>
      <w:r>
        <w:fldChar w:fldCharType="separate"/>
      </w:r>
      <w:r>
        <w:rPr>
          <w:rStyle w:val="25"/>
        </w:rPr>
        <w:t>四、资格审查资料</w:t>
      </w:r>
      <w:r>
        <w:tab/>
      </w:r>
      <w:r>
        <w:fldChar w:fldCharType="begin"/>
      </w:r>
      <w:r>
        <w:instrText xml:space="preserve"> PAGEREF _Toc152663968 \h </w:instrText>
      </w:r>
      <w:r>
        <w:fldChar w:fldCharType="separate"/>
      </w:r>
      <w:r>
        <w:t>86</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"_Toc152663969" </w:instrText>
      </w:r>
      <w:r>
        <w:fldChar w:fldCharType="separate"/>
      </w:r>
      <w:r>
        <w:rPr>
          <w:rStyle w:val="25"/>
        </w:rPr>
        <w:t>五、监理大纲</w:t>
      </w:r>
      <w:r>
        <w:tab/>
      </w:r>
      <w:r>
        <w:fldChar w:fldCharType="begin"/>
      </w:r>
      <w:r>
        <w:instrText xml:space="preserve"> PAGEREF _Toc152663969 \h </w:instrText>
      </w:r>
      <w:r>
        <w:fldChar w:fldCharType="separate"/>
      </w:r>
      <w:r>
        <w:t>92</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"_Toc152663970" </w:instrText>
      </w:r>
      <w:r>
        <w:fldChar w:fldCharType="separate"/>
      </w:r>
      <w:r>
        <w:rPr>
          <w:rStyle w:val="25"/>
        </w:rPr>
        <w:t>六、拟投入现场监理人员配置</w:t>
      </w:r>
      <w:r>
        <w:tab/>
      </w:r>
      <w:r>
        <w:fldChar w:fldCharType="begin"/>
      </w:r>
      <w:r>
        <w:instrText xml:space="preserve"> PAGEREF _Toc152663970 \h </w:instrText>
      </w:r>
      <w:r>
        <w:fldChar w:fldCharType="separate"/>
      </w:r>
      <w:r>
        <w:t>93</w:t>
      </w:r>
      <w:r>
        <w:fldChar w:fldCharType="end"/>
      </w:r>
      <w:r>
        <w:fldChar w:fldCharType="end"/>
      </w:r>
    </w:p>
    <w:p>
      <w:pPr>
        <w:pStyle w:val="19"/>
        <w:tabs>
          <w:tab w:val="right" w:leader="dot" w:pos="9005"/>
        </w:tabs>
        <w:ind w:firstLine="420"/>
        <w:rPr>
          <w:rFonts w:asciiTheme="minorHAnsi" w:hAnsiTheme="minorHAnsi" w:eastAsiaTheme="minorEastAsia" w:cstheme="minorBidi"/>
          <w14:ligatures w14:val="standardContextual"/>
        </w:rPr>
      </w:pPr>
      <w:r>
        <w:fldChar w:fldCharType="begin"/>
      </w:r>
      <w:r>
        <w:instrText xml:space="preserve"> HYPERLINK \l "_Toc152663971" </w:instrText>
      </w:r>
      <w:r>
        <w:fldChar w:fldCharType="separate"/>
      </w:r>
      <w:r>
        <w:rPr>
          <w:rStyle w:val="25"/>
        </w:rPr>
        <w:t>七、其他资料</w:t>
      </w:r>
      <w:r>
        <w:tab/>
      </w:r>
      <w:r>
        <w:fldChar w:fldCharType="begin"/>
      </w:r>
      <w:r>
        <w:instrText xml:space="preserve"> PAGEREF _Toc152663971 \h </w:instrText>
      </w:r>
      <w:r>
        <w:fldChar w:fldCharType="separate"/>
      </w:r>
      <w:r>
        <w:t>96</w:t>
      </w:r>
      <w:r>
        <w:fldChar w:fldCharType="end"/>
      </w:r>
      <w:r>
        <w:fldChar w:fldCharType="end"/>
      </w:r>
    </w:p>
    <w:p>
      <w:pPr>
        <w:adjustRightInd w:val="0"/>
        <w:spacing w:line="360" w:lineRule="exact"/>
        <w:ind w:firstLine="420"/>
      </w:pPr>
      <w:r>
        <w:rPr>
          <w:rFonts w:hint="eastAsia" w:cs="宋体"/>
          <w:szCs w:val="21"/>
        </w:rPr>
        <w:fldChar w:fldCharType="end"/>
      </w:r>
    </w:p>
    <w:p>
      <w:pPr>
        <w:ind w:firstLine="420"/>
      </w:pPr>
      <w:r>
        <w:rPr>
          <w:rFonts w:hint="eastAsia"/>
        </w:rPr>
        <w:br w:type="page"/>
      </w:r>
    </w:p>
    <w:p>
      <w:pPr>
        <w:widowControl/>
        <w:ind w:firstLine="562"/>
        <w:jc w:val="center"/>
        <w:rPr>
          <w:b/>
          <w:bCs/>
          <w:sz w:val="28"/>
          <w:szCs w:val="28"/>
        </w:rPr>
      </w:pPr>
      <w:bookmarkStart w:id="0" w:name="_Toc12464"/>
      <w:r>
        <w:rPr>
          <w:rFonts w:hint="eastAsia"/>
          <w:b/>
          <w:bCs/>
          <w:sz w:val="28"/>
          <w:szCs w:val="28"/>
        </w:rPr>
        <w:t>特别提示</w:t>
      </w:r>
    </w:p>
    <w:p>
      <w:pPr>
        <w:widowControl/>
        <w:ind w:firstLine="420"/>
        <w:rPr>
          <w:b/>
          <w:bCs/>
          <w:szCs w:val="20"/>
        </w:rPr>
      </w:pPr>
      <w:r>
        <w:rPr>
          <w:rFonts w:hint="eastAsia" w:cs="宋体"/>
          <w:szCs w:val="21"/>
        </w:rPr>
        <w:t>本招标项目通过《河南省公共资源交易中心网》（</w:t>
      </w:r>
      <w:r>
        <w:rPr>
          <w:rFonts w:hint="eastAsia"/>
          <w:szCs w:val="21"/>
        </w:rPr>
        <w:t>http://www.hnggzy.net</w:t>
      </w:r>
      <w:r>
        <w:rPr>
          <w:rFonts w:hint="eastAsia" w:cs="宋体"/>
          <w:szCs w:val="21"/>
        </w:rPr>
        <w:t>）进行全电子化招投标。投标人应登录《河南省公共资源交易中心网站》进行电子注册、注册成为《河南省公共资源交易中心网站》会员并取得CA</w:t>
      </w:r>
      <w:r>
        <w:rPr>
          <w:rFonts w:hint="eastAsia" w:ascii="Times New Roman" w:hAnsi="Times New Roman"/>
          <w:szCs w:val="20"/>
        </w:rPr>
        <w:t>数字证书（以下</w:t>
      </w:r>
      <w:r>
        <w:rPr>
          <w:rFonts w:hint="eastAsia" w:cs="宋体"/>
          <w:szCs w:val="21"/>
        </w:rPr>
        <w:t>简称CA）后，方能参与招投标活动。</w:t>
      </w:r>
    </w:p>
    <w:p>
      <w:pPr>
        <w:widowControl/>
        <w:ind w:firstLine="0" w:firstLineChars="0"/>
        <w:rPr>
          <w:b/>
          <w:bCs/>
          <w:szCs w:val="20"/>
        </w:rPr>
      </w:pPr>
      <w:r>
        <w:rPr>
          <w:rFonts w:hint="eastAsia"/>
          <w:b/>
          <w:bCs/>
          <w:szCs w:val="20"/>
        </w:rPr>
        <w:t>1.投标人注册</w:t>
      </w:r>
    </w:p>
    <w:p>
      <w:pPr>
        <w:widowControl/>
        <w:ind w:firstLine="420"/>
        <w:rPr>
          <w:rFonts w:ascii="Times New Roman" w:hAnsi="Times New Roman"/>
          <w:szCs w:val="20"/>
        </w:rPr>
      </w:pPr>
      <w:r>
        <w:rPr>
          <w:rFonts w:hint="eastAsia" w:ascii="Times New Roman" w:hAnsi="Times New Roman"/>
          <w:szCs w:val="20"/>
        </w:rPr>
        <w:t>市场主体需要完成信息登记及</w:t>
      </w:r>
      <w:r>
        <w:rPr>
          <w:rFonts w:hint="eastAsia" w:cs="宋体"/>
          <w:szCs w:val="21"/>
        </w:rPr>
        <w:t>CA</w:t>
      </w:r>
      <w:r>
        <w:rPr>
          <w:rFonts w:hint="eastAsia" w:ascii="Times New Roman" w:hAnsi="Times New Roman"/>
          <w:szCs w:val="20"/>
        </w:rPr>
        <w:t>办理，才能通过省公共资源交易平台参与交易活动，具体办理事宜请查阅</w:t>
      </w:r>
      <w:r>
        <w:rPr>
          <w:rFonts w:hint="eastAsia" w:cs="宋体"/>
          <w:szCs w:val="21"/>
        </w:rPr>
        <w:t>《河南省公共资源交易中心网》 （</w:t>
      </w:r>
      <w:r>
        <w:rPr>
          <w:rFonts w:hint="eastAsia"/>
          <w:szCs w:val="21"/>
        </w:rPr>
        <w:t>http://www.hnggzy.net</w:t>
      </w:r>
      <w:r>
        <w:rPr>
          <w:rFonts w:hint="eastAsia" w:cs="宋体"/>
          <w:szCs w:val="21"/>
        </w:rPr>
        <w:t>）</w:t>
      </w:r>
      <w:r>
        <w:rPr>
          <w:rFonts w:hint="eastAsia"/>
          <w:szCs w:val="20"/>
        </w:rPr>
        <w:t xml:space="preserve"> “公共服务”</w:t>
      </w:r>
      <w:r>
        <w:rPr>
          <w:rFonts w:hint="eastAsia"/>
          <w:szCs w:val="21"/>
        </w:rPr>
        <w:t>“办事指南”专区的“新交易平台使用手册（培训资料）”</w:t>
      </w:r>
      <w:r>
        <w:rPr>
          <w:rFonts w:hint="eastAsia"/>
          <w:szCs w:val="20"/>
        </w:rPr>
        <w:t>。</w:t>
      </w:r>
    </w:p>
    <w:p>
      <w:pPr>
        <w:widowControl/>
        <w:ind w:firstLine="0" w:firstLineChars="0"/>
        <w:rPr>
          <w:b/>
          <w:bCs/>
          <w:szCs w:val="20"/>
        </w:rPr>
      </w:pPr>
      <w:r>
        <w:rPr>
          <w:rFonts w:hint="eastAsia"/>
          <w:b/>
          <w:bCs/>
          <w:szCs w:val="20"/>
        </w:rPr>
        <w:t>2.招标文件的下载</w:t>
      </w:r>
    </w:p>
    <w:p>
      <w:pPr>
        <w:widowControl/>
        <w:ind w:firstLine="420"/>
        <w:rPr>
          <w:rFonts w:cs="宋体"/>
          <w:szCs w:val="21"/>
        </w:rPr>
      </w:pPr>
      <w:r>
        <w:rPr>
          <w:rFonts w:hint="eastAsia" w:cs="宋体"/>
          <w:szCs w:val="21"/>
        </w:rPr>
        <w:t>投标人应使用CA登录《河南省公共资源交易中心网》（</w:t>
      </w:r>
      <w:r>
        <w:rPr>
          <w:rFonts w:hint="eastAsia"/>
          <w:szCs w:val="21"/>
        </w:rPr>
        <w:t>http://www.hnggzy.net</w:t>
      </w:r>
      <w:r>
        <w:rPr>
          <w:rFonts w:hint="eastAsia" w:cs="宋体"/>
          <w:szCs w:val="21"/>
        </w:rPr>
        <w:t>），下载电子招标文件</w:t>
      </w:r>
      <w:r>
        <w:rPr>
          <w:rFonts w:hint="eastAsia"/>
          <w:szCs w:val="20"/>
        </w:rPr>
        <w:t>及其他附件（若有）</w:t>
      </w:r>
      <w:r>
        <w:rPr>
          <w:rFonts w:hint="eastAsia" w:cs="宋体"/>
          <w:szCs w:val="21"/>
        </w:rPr>
        <w:t>。</w:t>
      </w:r>
    </w:p>
    <w:p>
      <w:pPr>
        <w:widowControl/>
        <w:ind w:firstLine="0" w:firstLineChars="0"/>
        <w:rPr>
          <w:b/>
          <w:bCs/>
          <w:szCs w:val="20"/>
        </w:rPr>
      </w:pPr>
      <w:r>
        <w:rPr>
          <w:rFonts w:hint="eastAsia"/>
          <w:b/>
          <w:bCs/>
          <w:szCs w:val="20"/>
        </w:rPr>
        <w:t>3.投标文件制作</w:t>
      </w:r>
    </w:p>
    <w:p>
      <w:pPr>
        <w:widowControl/>
        <w:ind w:firstLine="420"/>
        <w:rPr>
          <w:szCs w:val="20"/>
        </w:rPr>
      </w:pPr>
      <w:r>
        <w:rPr>
          <w:rFonts w:hint="eastAsia"/>
          <w:szCs w:val="20"/>
        </w:rPr>
        <w:t>3.1投标人获取招标文件后，请到河南省公共资源交易中心网站（</w:t>
      </w:r>
      <w:r>
        <w:rPr>
          <w:rFonts w:hint="eastAsia"/>
          <w:szCs w:val="21"/>
        </w:rPr>
        <w:t>http://www.hnggzy.net</w:t>
      </w:r>
      <w:r>
        <w:rPr>
          <w:rFonts w:hint="eastAsia"/>
          <w:szCs w:val="20"/>
        </w:rPr>
        <w:t>）“公共服务”“下载专区”栏目下载最新版本的“投标文件制作工具安装包文件”，并使用安装后的制作工具制作电子投标文件。</w:t>
      </w:r>
    </w:p>
    <w:p>
      <w:pPr>
        <w:widowControl/>
        <w:ind w:firstLine="420"/>
        <w:rPr>
          <w:szCs w:val="20"/>
        </w:rPr>
      </w:pPr>
      <w:r>
        <w:rPr>
          <w:rFonts w:hint="eastAsia"/>
          <w:szCs w:val="20"/>
        </w:rPr>
        <w:t>3.2电子投标文件的制作：请查阅“河南省公共资源交易中心（</w:t>
      </w:r>
      <w:r>
        <w:rPr>
          <w:rFonts w:hint="eastAsia"/>
          <w:szCs w:val="21"/>
        </w:rPr>
        <w:t>http://www.hnggzy.net</w:t>
      </w:r>
      <w:r>
        <w:rPr>
          <w:rFonts w:hint="eastAsia"/>
          <w:szCs w:val="20"/>
        </w:rPr>
        <w:t>）”网站“公共服务”“办事指南”专区的相关手册。</w:t>
      </w:r>
    </w:p>
    <w:p>
      <w:pPr>
        <w:ind w:firstLine="420"/>
        <w:rPr>
          <w:szCs w:val="20"/>
        </w:rPr>
      </w:pPr>
      <w:r>
        <w:rPr>
          <w:rFonts w:hint="eastAsia"/>
          <w:szCs w:val="20"/>
        </w:rPr>
        <w:t>3.3</w:t>
      </w:r>
      <w:r>
        <w:rPr>
          <w:rFonts w:hint="eastAsia" w:ascii="Calibri" w:hAnsi="Calibri"/>
          <w:szCs w:val="20"/>
        </w:rPr>
        <w:t>投标人编辑电子投标文件时，根据招标文件要求用法人</w:t>
      </w:r>
      <w:r>
        <w:rPr>
          <w:rFonts w:hint="eastAsia" w:cs="宋体"/>
          <w:szCs w:val="21"/>
        </w:rPr>
        <w:t>CA</w:t>
      </w:r>
      <w:r>
        <w:rPr>
          <w:rFonts w:hint="eastAsia" w:ascii="Calibri" w:hAnsi="Calibri"/>
          <w:szCs w:val="20"/>
        </w:rPr>
        <w:t>和企业</w:t>
      </w:r>
      <w:r>
        <w:rPr>
          <w:rFonts w:hint="eastAsia" w:cs="宋体"/>
          <w:szCs w:val="21"/>
        </w:rPr>
        <w:t>CA</w:t>
      </w:r>
      <w:r>
        <w:rPr>
          <w:rFonts w:hint="eastAsia" w:ascii="Calibri" w:hAnsi="Calibri"/>
          <w:szCs w:val="20"/>
        </w:rPr>
        <w:t>进行签章制作；最后一步生成电子投标文件时，</w:t>
      </w:r>
      <w:r>
        <w:rPr>
          <w:rFonts w:hint="eastAsia" w:cs="宋体"/>
          <w:szCs w:val="21"/>
        </w:rPr>
        <w:t>必须用本单位的企业CA，不能用法人CA</w:t>
      </w:r>
      <w:r>
        <w:rPr>
          <w:rFonts w:hint="eastAsia" w:ascii="Calibri" w:hAnsi="Calibri"/>
          <w:szCs w:val="20"/>
        </w:rPr>
        <w:t>。</w:t>
      </w:r>
    </w:p>
    <w:p>
      <w:pPr>
        <w:ind w:firstLine="420"/>
        <w:rPr>
          <w:szCs w:val="20"/>
        </w:rPr>
      </w:pPr>
      <w:r>
        <w:rPr>
          <w:rFonts w:hint="eastAsia"/>
          <w:szCs w:val="20"/>
        </w:rPr>
        <w:t>3.4</w:t>
      </w:r>
      <w:r>
        <w:rPr>
          <w:rFonts w:hint="eastAsia" w:cs="宋体"/>
          <w:b/>
          <w:szCs w:val="21"/>
        </w:rPr>
        <w:t>投标人必须在主体库中上传项目相关人员、业绩等信息，评标时评标委员会须以主体库中抓取的信息为准，未按要求将不予认可。</w:t>
      </w:r>
    </w:p>
    <w:p>
      <w:pPr>
        <w:ind w:firstLine="420"/>
        <w:rPr>
          <w:rFonts w:ascii="Calibri" w:hAnsi="Calibri"/>
          <w:szCs w:val="20"/>
        </w:rPr>
      </w:pPr>
      <w:r>
        <w:rPr>
          <w:szCs w:val="20"/>
        </w:rPr>
        <w:t>3.5</w:t>
      </w:r>
      <w:r>
        <w:rPr>
          <w:rFonts w:hint="eastAsia" w:ascii="Calibri" w:hAnsi="Calibri"/>
          <w:szCs w:val="20"/>
        </w:rPr>
        <w:t>电子投标文件中的图片应使用扫描件，投标人应合理设置图片大小，保证投标文件总容量不至于过大，避免影响顺利上传。投标文件须按要求进行电子签章后，最终生成电子文件。</w:t>
      </w:r>
    </w:p>
    <w:p>
      <w:pPr>
        <w:ind w:firstLine="420"/>
        <w:rPr>
          <w:rFonts w:ascii="Calibri" w:hAnsi="Calibri"/>
          <w:szCs w:val="20"/>
        </w:rPr>
      </w:pPr>
      <w:r>
        <w:rPr>
          <w:rFonts w:hint="eastAsia"/>
          <w:szCs w:val="20"/>
        </w:rPr>
        <w:t>3.6</w:t>
      </w:r>
      <w:r>
        <w:rPr>
          <w:rFonts w:hint="eastAsia" w:ascii="Calibri" w:hAnsi="Calibri"/>
          <w:szCs w:val="20"/>
        </w:rPr>
        <w:t>由于投标人原因，未按要求制作、上传、加密电子投标文件，造成文件上传失败的，责任由投标人承担。</w:t>
      </w:r>
    </w:p>
    <w:p>
      <w:pPr>
        <w:ind w:firstLine="0" w:firstLineChars="0"/>
        <w:rPr>
          <w:rFonts w:ascii="Calibri" w:hAnsi="Calibri"/>
          <w:szCs w:val="20"/>
        </w:rPr>
      </w:pPr>
      <w:r>
        <w:rPr>
          <w:rFonts w:hint="eastAsia"/>
          <w:b/>
          <w:bCs/>
          <w:szCs w:val="20"/>
        </w:rPr>
        <w:t>4.投标文件的上传</w:t>
      </w:r>
    </w:p>
    <w:p>
      <w:pPr>
        <w:widowControl/>
        <w:ind w:firstLine="420"/>
        <w:rPr>
          <w:szCs w:val="20"/>
        </w:rPr>
      </w:pPr>
      <w:r>
        <w:rPr>
          <w:rFonts w:hint="eastAsia"/>
          <w:szCs w:val="20"/>
        </w:rPr>
        <w:t>4.1上传的电子投标文件为加密版投标文件,需在投标截止时间前通过“河南省公共资源交易中心</w:t>
      </w:r>
      <w:r>
        <w:rPr>
          <w:rFonts w:hint="eastAsia"/>
          <w:szCs w:val="21"/>
        </w:rPr>
        <w:t>http://www.hnggzy.net</w:t>
      </w:r>
      <w:r>
        <w:rPr>
          <w:rFonts w:hint="eastAsia"/>
          <w:szCs w:val="20"/>
        </w:rPr>
        <w:t>） ”电子交易平台内上传。</w:t>
      </w:r>
      <w:r>
        <w:rPr>
          <w:rFonts w:hint="eastAsia" w:cs="宋体"/>
          <w:szCs w:val="21"/>
        </w:rPr>
        <w:t>电子投标文件上传成功后，请自行打印“网上投标回执单”。</w:t>
      </w:r>
      <w:r>
        <w:rPr>
          <w:rFonts w:hint="eastAsia"/>
          <w:szCs w:val="20"/>
        </w:rPr>
        <w:t>请投标人在上传时认真检查上传投标文件是否完整、正确。</w:t>
      </w:r>
    </w:p>
    <w:p>
      <w:pPr>
        <w:widowControl/>
        <w:ind w:firstLine="420"/>
        <w:rPr>
          <w:szCs w:val="20"/>
        </w:rPr>
      </w:pPr>
      <w:r>
        <w:rPr>
          <w:rFonts w:hint="eastAsia"/>
          <w:szCs w:val="20"/>
        </w:rPr>
        <w:t>4.2招标文件格式所要求包含的全部资料应全部制作在投标文件内，严格按照本项目招标文件所有格式如实填写（不涉及的内容除外），不应存在漏项或缺项。</w:t>
      </w:r>
    </w:p>
    <w:p>
      <w:pPr>
        <w:widowControl/>
        <w:ind w:firstLine="420"/>
        <w:rPr>
          <w:rFonts w:cs="宋体"/>
          <w:szCs w:val="21"/>
        </w:rPr>
      </w:pPr>
      <w:r>
        <w:rPr>
          <w:rFonts w:hint="eastAsia"/>
          <w:szCs w:val="20"/>
        </w:rPr>
        <w:t>4.3</w:t>
      </w:r>
      <w:r>
        <w:rPr>
          <w:rFonts w:hint="eastAsia" w:cs="宋体"/>
          <w:szCs w:val="21"/>
        </w:rPr>
        <w:t>投标文件以电子上传文件为准。</w:t>
      </w:r>
    </w:p>
    <w:p>
      <w:pPr>
        <w:widowControl/>
        <w:ind w:firstLine="0" w:firstLineChars="0"/>
        <w:rPr>
          <w:b/>
          <w:bCs/>
          <w:szCs w:val="20"/>
        </w:rPr>
      </w:pPr>
      <w:r>
        <w:rPr>
          <w:rFonts w:hint="eastAsia"/>
          <w:b/>
          <w:bCs/>
          <w:szCs w:val="20"/>
        </w:rPr>
        <w:t>5.澄清与变更</w:t>
      </w:r>
    </w:p>
    <w:p>
      <w:pPr>
        <w:widowControl/>
        <w:ind w:firstLine="420"/>
        <w:rPr>
          <w:szCs w:val="20"/>
        </w:rPr>
      </w:pPr>
      <w:r>
        <w:rPr>
          <w:rFonts w:hint="eastAsia"/>
          <w:szCs w:val="20"/>
        </w:rPr>
        <w:t>招标人、招标代理机构对已发出的招标文件进行的澄清、更正或更改，澄清、更正或更改的内容将作为招标文件的组成部分。招标代理机构将通过河南省公共资源交易中心网站“变更公告”和系统内部“答疑文件”告知投标人，对于各项目中已下载招标文件的投标人，系统将通过第三方短信群发方式提醒投标人进行查询。</w:t>
      </w:r>
    </w:p>
    <w:p>
      <w:pPr>
        <w:widowControl/>
        <w:ind w:firstLine="420"/>
        <w:rPr>
          <w:szCs w:val="20"/>
        </w:rPr>
      </w:pPr>
      <w:r>
        <w:rPr>
          <w:rFonts w:hint="eastAsia"/>
          <w:szCs w:val="20"/>
        </w:rPr>
        <w:t>各投标人须重新下载最新的招标文件和答疑文件，以此编制投标文件。投标人注册时所留手机联系方式要保持畅通，因联系方式变更而未及时更新系统内联系方式的，将会造成收不到短信。</w:t>
      </w:r>
    </w:p>
    <w:p>
      <w:pPr>
        <w:widowControl/>
        <w:ind w:firstLine="0" w:firstLineChars="0"/>
        <w:rPr>
          <w:b/>
          <w:bCs/>
          <w:szCs w:val="20"/>
        </w:rPr>
      </w:pPr>
      <w:r>
        <w:rPr>
          <w:rFonts w:hint="eastAsia"/>
          <w:b/>
          <w:bCs/>
          <w:szCs w:val="20"/>
        </w:rPr>
        <w:t>6.开标</w:t>
      </w:r>
    </w:p>
    <w:p>
      <w:pPr>
        <w:widowControl/>
        <w:ind w:firstLine="422"/>
        <w:rPr>
          <w:b/>
          <w:bCs/>
          <w:szCs w:val="21"/>
        </w:rPr>
      </w:pPr>
      <w:r>
        <w:rPr>
          <w:rFonts w:hint="eastAsia" w:cs="宋体"/>
          <w:b/>
          <w:szCs w:val="21"/>
        </w:rPr>
        <w:t>本招标项目采用“远程不见面”开标方式，远程开标大厅网址（登录</w:t>
      </w:r>
      <w:r>
        <w:rPr>
          <w:rFonts w:cs="宋体"/>
          <w:b/>
          <w:szCs w:val="21"/>
        </w:rPr>
        <w:t>河南省公共资源交易中心网站首页“不见面开标大厅登录”</w:t>
      </w:r>
      <w:r>
        <w:rPr>
          <w:rFonts w:hint="eastAsia" w:cs="宋体"/>
          <w:b/>
          <w:szCs w:val="21"/>
        </w:rPr>
        <w:t>），投标人无需到河南省公共资源交易中心现场参加开标会议，无需到达现场提交原件资料。投标人应当在投标文件递交截止时间前，登录远程开标大厅，在线准时参加开标活动并进行投标文件解密等。各投标人应在规定时间内对本单位的投标文件进行解密，因加密电子投标文件未能上传成功或未在规定时间内解密的，其投标将被拒绝。</w:t>
      </w:r>
      <w:r>
        <w:rPr>
          <w:rFonts w:hint="eastAsia"/>
          <w:b/>
          <w:bCs/>
          <w:szCs w:val="21"/>
        </w:rPr>
        <w:t>不见面服务的具体事宜请查阅河南省公共资源交易中心网站“公共服务”“办事指南”专区的“新交易平台使用手册（培训资料）”。</w:t>
      </w:r>
    </w:p>
    <w:p>
      <w:pPr>
        <w:widowControl/>
        <w:ind w:firstLine="0" w:firstLineChars="0"/>
        <w:rPr>
          <w:b/>
          <w:bCs/>
          <w:szCs w:val="20"/>
        </w:rPr>
      </w:pPr>
      <w:r>
        <w:rPr>
          <w:rFonts w:hint="eastAsia"/>
          <w:b/>
          <w:bCs/>
          <w:szCs w:val="20"/>
        </w:rPr>
        <w:t>7.其他</w:t>
      </w:r>
    </w:p>
    <w:p>
      <w:pPr>
        <w:widowControl/>
        <w:ind w:firstLine="420"/>
        <w:rPr>
          <w:szCs w:val="20"/>
        </w:rPr>
      </w:pPr>
      <w:r>
        <w:rPr>
          <w:rFonts w:hint="eastAsia"/>
          <w:bCs/>
          <w:szCs w:val="20"/>
        </w:rPr>
        <w:t>其他未尽事宜</w:t>
      </w:r>
      <w:r>
        <w:rPr>
          <w:rFonts w:hint="eastAsia"/>
          <w:szCs w:val="21"/>
        </w:rPr>
        <w:t>请查阅</w:t>
      </w:r>
      <w:r>
        <w:rPr>
          <w:rFonts w:hint="eastAsia"/>
          <w:szCs w:val="20"/>
        </w:rPr>
        <w:t>河南省公共资源交易中心网站相关电子招标投标手册及指南，本提示内容如与河南省公共资源交易中心网站相关电子招标投标手册及指南</w:t>
      </w:r>
      <w:r>
        <w:rPr>
          <w:rFonts w:hint="eastAsia"/>
          <w:szCs w:val="21"/>
        </w:rPr>
        <w:t>不一致时，以</w:t>
      </w:r>
      <w:r>
        <w:rPr>
          <w:rFonts w:hint="eastAsia"/>
          <w:szCs w:val="20"/>
        </w:rPr>
        <w:t>河南省公共资源交易中心网站相关电子招标投标手册及指南内容为准。</w:t>
      </w:r>
    </w:p>
    <w:p>
      <w:pPr>
        <w:ind w:firstLine="0" w:firstLineChars="0"/>
      </w:pPr>
    </w:p>
    <w:p>
      <w:pPr>
        <w:ind w:firstLine="420"/>
      </w:pPr>
      <w:r>
        <w:rPr>
          <w:rFonts w:hint="eastAsia"/>
        </w:rPr>
        <w:br w:type="page"/>
      </w:r>
    </w:p>
    <w:p>
      <w:pPr>
        <w:pStyle w:val="2"/>
      </w:pPr>
      <w:bookmarkStart w:id="1" w:name="_Toc152663893"/>
      <w:r>
        <w:rPr>
          <w:rFonts w:hint="eastAsia"/>
        </w:rPr>
        <w:t>第一章 招标公告</w:t>
      </w:r>
      <w:bookmarkEnd w:id="0"/>
      <w:bookmarkEnd w:id="1"/>
    </w:p>
    <w:p>
      <w:pPr>
        <w:autoSpaceDE/>
        <w:autoSpaceDN/>
        <w:spacing w:line="520" w:lineRule="exact"/>
        <w:ind w:firstLine="562"/>
        <w:jc w:val="center"/>
        <w:rPr>
          <w:rFonts w:cs="宋体"/>
          <w:sz w:val="28"/>
          <w:szCs w:val="28"/>
        </w:rPr>
      </w:pPr>
      <w:bookmarkStart w:id="2" w:name="_Toc23814"/>
      <w:r>
        <w:rPr>
          <w:rFonts w:hint="eastAsia" w:cs="宋体"/>
          <w:b/>
          <w:kern w:val="0"/>
          <w:sz w:val="28"/>
          <w:szCs w:val="28"/>
        </w:rPr>
        <w:t>河南信息统计职业学院新校区建设二期（统计与大数据产教融合实训基地）监理项目招标公告</w:t>
      </w:r>
      <w:bookmarkStart w:id="3" w:name="_Toc28755"/>
      <w:bookmarkStart w:id="4" w:name="_Toc8663"/>
      <w:bookmarkStart w:id="5" w:name="_Toc529988272"/>
      <w:bookmarkStart w:id="6" w:name="_Toc30387"/>
      <w:bookmarkStart w:id="7" w:name="_Toc5053"/>
      <w:bookmarkStart w:id="8" w:name="_Toc6191"/>
    </w:p>
    <w:bookmarkEnd w:id="3"/>
    <w:bookmarkEnd w:id="4"/>
    <w:bookmarkEnd w:id="5"/>
    <w:bookmarkEnd w:id="6"/>
    <w:bookmarkEnd w:id="7"/>
    <w:bookmarkEnd w:id="8"/>
    <w:p>
      <w:pPr>
        <w:spacing w:line="480" w:lineRule="exact"/>
        <w:rPr>
          <w:rFonts w:hint="eastAsia" w:ascii="宋体" w:hAnsi="宋体" w:cs="宋体"/>
          <w:b/>
          <w:bCs/>
          <w:color w:val="000000"/>
          <w:szCs w:val="21"/>
        </w:rPr>
      </w:pPr>
      <w:r>
        <w:rPr>
          <w:rFonts w:hint="eastAsia" w:ascii="宋体" w:hAnsi="宋体" w:cs="宋体"/>
          <w:b/>
          <w:bCs/>
          <w:color w:val="000000"/>
          <w:szCs w:val="21"/>
        </w:rPr>
        <w:t>项目概况</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val="0"/>
          <w:bCs w:val="0"/>
          <w:color w:val="000000"/>
          <w:szCs w:val="21"/>
        </w:rPr>
      </w:pPr>
      <w:r>
        <w:rPr>
          <w:rFonts w:hint="eastAsia" w:ascii="宋体" w:hAnsi="宋体" w:cs="宋体"/>
          <w:b w:val="0"/>
          <w:bCs w:val="0"/>
          <w:color w:val="000000"/>
          <w:szCs w:val="21"/>
          <w:u w:val="single"/>
          <w:lang w:eastAsia="zh-CN"/>
        </w:rPr>
        <w:t>河南信息统计职业学院新校区建设二期（统计与大数据产教融合实训基地）监理项目</w:t>
      </w:r>
      <w:r>
        <w:rPr>
          <w:rFonts w:hint="eastAsia" w:ascii="宋体" w:hAnsi="宋体" w:cs="宋体"/>
          <w:b w:val="0"/>
          <w:bCs w:val="0"/>
          <w:color w:val="000000"/>
          <w:szCs w:val="21"/>
        </w:rPr>
        <w:t>的潜在投标人应在河南省公共资源交易中心平台系统（http://www.hnggzy.com）获取招标文件，并于</w:t>
      </w:r>
      <w:r>
        <w:rPr>
          <w:rFonts w:hint="eastAsia" w:ascii="宋体" w:hAnsi="宋体" w:cs="宋体"/>
          <w:b w:val="0"/>
          <w:bCs w:val="0"/>
          <w:color w:val="000000"/>
          <w:szCs w:val="21"/>
          <w:highlight w:val="none"/>
          <w:u w:val="single"/>
          <w:lang w:val="en-US" w:eastAsia="zh-CN"/>
        </w:rPr>
        <w:t>2024</w:t>
      </w:r>
      <w:r>
        <w:rPr>
          <w:rFonts w:hint="eastAsia" w:ascii="宋体" w:hAnsi="宋体" w:cs="宋体"/>
          <w:b w:val="0"/>
          <w:bCs w:val="0"/>
          <w:color w:val="000000"/>
          <w:szCs w:val="21"/>
          <w:highlight w:val="none"/>
          <w:lang w:eastAsia="zh-CN"/>
        </w:rPr>
        <w:t>年</w:t>
      </w:r>
      <w:r>
        <w:rPr>
          <w:rFonts w:hint="eastAsia" w:ascii="宋体" w:hAnsi="宋体" w:cs="宋体"/>
          <w:b w:val="0"/>
          <w:bCs w:val="0"/>
          <w:color w:val="000000"/>
          <w:szCs w:val="21"/>
          <w:highlight w:val="none"/>
          <w:u w:val="single"/>
          <w:lang w:val="en-US" w:eastAsia="zh-CN"/>
        </w:rPr>
        <w:t>1</w:t>
      </w:r>
      <w:r>
        <w:rPr>
          <w:rFonts w:hint="eastAsia" w:ascii="宋体" w:hAnsi="宋体" w:cs="宋体"/>
          <w:b w:val="0"/>
          <w:bCs w:val="0"/>
          <w:color w:val="000000"/>
          <w:szCs w:val="21"/>
          <w:highlight w:val="none"/>
        </w:rPr>
        <w:t>月</w:t>
      </w:r>
      <w:r>
        <w:rPr>
          <w:rFonts w:hint="eastAsia" w:ascii="宋体" w:hAnsi="宋体" w:cs="宋体"/>
          <w:b w:val="0"/>
          <w:bCs w:val="0"/>
          <w:color w:val="000000"/>
          <w:szCs w:val="21"/>
          <w:highlight w:val="none"/>
          <w:u w:val="single"/>
          <w:lang w:val="en-US" w:eastAsia="zh-CN"/>
        </w:rPr>
        <w:t>09</w:t>
      </w:r>
      <w:r>
        <w:rPr>
          <w:rFonts w:hint="eastAsia" w:ascii="宋体" w:hAnsi="宋体" w:cs="宋体"/>
          <w:b w:val="0"/>
          <w:bCs w:val="0"/>
          <w:color w:val="000000"/>
          <w:szCs w:val="21"/>
          <w:highlight w:val="none"/>
        </w:rPr>
        <w:t>日</w:t>
      </w:r>
      <w:r>
        <w:rPr>
          <w:rFonts w:hint="eastAsia" w:ascii="宋体" w:hAnsi="宋体" w:cs="宋体"/>
          <w:b w:val="0"/>
          <w:bCs w:val="0"/>
          <w:color w:val="000000"/>
          <w:szCs w:val="21"/>
          <w:highlight w:val="none"/>
          <w:u w:val="single"/>
        </w:rPr>
        <w:t>09</w:t>
      </w:r>
      <w:r>
        <w:rPr>
          <w:rFonts w:hint="eastAsia" w:ascii="宋体" w:hAnsi="宋体" w:cs="宋体"/>
          <w:b w:val="0"/>
          <w:bCs w:val="0"/>
          <w:color w:val="000000"/>
          <w:szCs w:val="21"/>
          <w:highlight w:val="none"/>
        </w:rPr>
        <w:t>时</w:t>
      </w:r>
      <w:r>
        <w:rPr>
          <w:rFonts w:hint="eastAsia" w:ascii="宋体" w:hAnsi="宋体" w:cs="宋体"/>
          <w:b w:val="0"/>
          <w:bCs w:val="0"/>
          <w:color w:val="000000"/>
          <w:szCs w:val="21"/>
          <w:highlight w:val="none"/>
          <w:u w:val="single"/>
        </w:rPr>
        <w:t>00</w:t>
      </w:r>
      <w:r>
        <w:rPr>
          <w:rFonts w:hint="eastAsia" w:ascii="宋体" w:hAnsi="宋体" w:cs="宋体"/>
          <w:b w:val="0"/>
          <w:bCs w:val="0"/>
          <w:color w:val="000000"/>
          <w:szCs w:val="21"/>
          <w:highlight w:val="none"/>
        </w:rPr>
        <w:t>分</w:t>
      </w:r>
      <w:r>
        <w:rPr>
          <w:rFonts w:hint="eastAsia" w:ascii="宋体" w:hAnsi="宋体" w:cs="宋体"/>
          <w:b w:val="0"/>
          <w:bCs w:val="0"/>
          <w:color w:val="000000"/>
          <w:szCs w:val="21"/>
        </w:rPr>
        <w:t>（北京时间）前递交投标文件。</w:t>
      </w:r>
    </w:p>
    <w:p>
      <w:pPr>
        <w:spacing w:line="480" w:lineRule="exact"/>
        <w:rPr>
          <w:rFonts w:hint="eastAsia" w:ascii="宋体" w:hAnsi="宋体" w:cs="宋体"/>
          <w:b/>
          <w:bCs/>
          <w:color w:val="000000"/>
          <w:szCs w:val="21"/>
        </w:rPr>
      </w:pPr>
      <w:r>
        <w:rPr>
          <w:rFonts w:hint="eastAsia" w:ascii="宋体" w:hAnsi="宋体" w:cs="宋体"/>
          <w:b/>
          <w:bCs/>
          <w:color w:val="000000"/>
          <w:szCs w:val="21"/>
        </w:rPr>
        <w:t>一、项目基本情况</w:t>
      </w:r>
    </w:p>
    <w:p>
      <w:pPr>
        <w:spacing w:line="480" w:lineRule="exact"/>
        <w:ind w:firstLine="420" w:firstLineChars="200"/>
        <w:rPr>
          <w:rFonts w:hint="eastAsia" w:ascii="宋体" w:hAnsi="宋体" w:eastAsia="宋体" w:cs="宋体"/>
          <w:b w:val="0"/>
          <w:bCs w:val="0"/>
          <w:color w:val="000000"/>
          <w:szCs w:val="21"/>
          <w:highlight w:val="none"/>
          <w:lang w:eastAsia="zh-CN"/>
        </w:rPr>
      </w:pPr>
      <w:r>
        <w:rPr>
          <w:rFonts w:hint="eastAsia" w:ascii="宋体" w:hAnsi="宋体" w:cs="宋体"/>
          <w:b w:val="0"/>
          <w:bCs w:val="0"/>
          <w:color w:val="000000"/>
          <w:szCs w:val="21"/>
          <w:highlight w:val="none"/>
        </w:rPr>
        <w:t>1、项目编号：</w:t>
      </w:r>
      <w:r>
        <w:rPr>
          <w:rFonts w:hint="eastAsia" w:ascii="宋体" w:hAnsi="宋体" w:cs="宋体"/>
          <w:b w:val="0"/>
          <w:bCs w:val="0"/>
          <w:color w:val="000000"/>
          <w:szCs w:val="21"/>
          <w:highlight w:val="none"/>
          <w:lang w:eastAsia="zh-CN"/>
        </w:rPr>
        <w:t>豫财招标采购-2023-1341</w:t>
      </w:r>
    </w:p>
    <w:p>
      <w:pPr>
        <w:spacing w:line="480" w:lineRule="exact"/>
        <w:ind w:firstLine="420" w:firstLineChars="200"/>
        <w:rPr>
          <w:rFonts w:hint="eastAsia" w:ascii="宋体" w:hAnsi="宋体" w:cs="宋体"/>
          <w:b w:val="0"/>
          <w:bCs w:val="0"/>
          <w:color w:val="000000"/>
          <w:szCs w:val="21"/>
        </w:rPr>
      </w:pPr>
      <w:r>
        <w:rPr>
          <w:rFonts w:hint="eastAsia" w:ascii="宋体" w:hAnsi="宋体" w:cs="宋体"/>
          <w:b w:val="0"/>
          <w:bCs w:val="0"/>
          <w:color w:val="000000"/>
          <w:szCs w:val="21"/>
        </w:rPr>
        <w:t>2、项目名称：</w:t>
      </w:r>
      <w:r>
        <w:rPr>
          <w:rFonts w:hint="eastAsia" w:ascii="宋体" w:hAnsi="宋体" w:cs="宋体"/>
          <w:b w:val="0"/>
          <w:bCs w:val="0"/>
          <w:color w:val="000000"/>
          <w:szCs w:val="21"/>
          <w:lang w:eastAsia="zh-CN"/>
        </w:rPr>
        <w:t>河南信息统计职业学院新校区建设二期（统计与大数据产教融合实训基地）监理项目</w:t>
      </w:r>
    </w:p>
    <w:p>
      <w:pPr>
        <w:spacing w:line="480" w:lineRule="exact"/>
        <w:ind w:firstLine="420" w:firstLineChars="200"/>
        <w:rPr>
          <w:rFonts w:hint="eastAsia" w:ascii="宋体" w:hAnsi="宋体" w:cs="宋体"/>
          <w:b w:val="0"/>
          <w:bCs w:val="0"/>
          <w:color w:val="000000"/>
          <w:szCs w:val="21"/>
        </w:rPr>
      </w:pPr>
      <w:r>
        <w:rPr>
          <w:rFonts w:hint="eastAsia" w:ascii="宋体" w:hAnsi="宋体" w:cs="宋体"/>
          <w:b w:val="0"/>
          <w:bCs w:val="0"/>
          <w:color w:val="000000"/>
          <w:szCs w:val="21"/>
        </w:rPr>
        <w:t>3、采购方式：公开招标</w:t>
      </w:r>
    </w:p>
    <w:p>
      <w:pPr>
        <w:spacing w:line="480" w:lineRule="exact"/>
        <w:ind w:firstLine="420" w:firstLineChars="200"/>
        <w:rPr>
          <w:rFonts w:hint="eastAsia" w:ascii="宋体" w:hAnsi="宋体" w:cs="宋体"/>
          <w:color w:val="000000"/>
          <w:szCs w:val="21"/>
        </w:rPr>
      </w:pPr>
      <w:r>
        <w:rPr>
          <w:rFonts w:hint="eastAsia" w:ascii="宋体" w:hAnsi="宋体" w:cs="宋体"/>
          <w:b w:val="0"/>
          <w:bCs w:val="0"/>
          <w:color w:val="000000"/>
          <w:szCs w:val="21"/>
        </w:rPr>
        <w:t>4、预算金额：</w:t>
      </w:r>
      <w:r>
        <w:rPr>
          <w:rFonts w:hint="eastAsia" w:ascii="宋体" w:hAnsi="宋体" w:eastAsia="宋体" w:cs="宋体"/>
          <w:b w:val="0"/>
          <w:bCs w:val="0"/>
          <w:color w:val="000000"/>
          <w:szCs w:val="21"/>
          <w:lang w:val="en-US" w:eastAsia="zh-CN"/>
        </w:rPr>
        <w:t>1460000.00</w:t>
      </w:r>
      <w:r>
        <w:rPr>
          <w:rFonts w:hint="eastAsia" w:ascii="宋体" w:hAnsi="宋体" w:eastAsia="宋体" w:cs="宋体"/>
          <w:color w:val="000000"/>
          <w:szCs w:val="21"/>
        </w:rPr>
        <w:t>元</w:t>
      </w:r>
    </w:p>
    <w:p>
      <w:pPr>
        <w:spacing w:line="480" w:lineRule="exact"/>
        <w:ind w:firstLine="735" w:firstLineChars="350"/>
        <w:rPr>
          <w:rFonts w:hint="eastAsia" w:ascii="宋体" w:hAnsi="宋体" w:cs="宋体"/>
          <w:color w:val="000000"/>
          <w:szCs w:val="21"/>
        </w:rPr>
      </w:pPr>
      <w:r>
        <w:rPr>
          <w:rFonts w:hint="eastAsia" w:ascii="宋体" w:hAnsi="宋体" w:cs="宋体"/>
          <w:color w:val="000000"/>
          <w:szCs w:val="21"/>
        </w:rPr>
        <w:t>最高限价：</w:t>
      </w:r>
      <w:r>
        <w:rPr>
          <w:rFonts w:hint="eastAsia" w:ascii="宋体" w:hAnsi="宋体" w:eastAsia="宋体" w:cs="宋体"/>
          <w:b w:val="0"/>
          <w:bCs w:val="0"/>
          <w:color w:val="000000"/>
          <w:szCs w:val="21"/>
          <w:lang w:val="en-US" w:eastAsia="zh-CN"/>
        </w:rPr>
        <w:t>1460000.00</w:t>
      </w:r>
      <w:r>
        <w:rPr>
          <w:rFonts w:hint="eastAsia" w:ascii="宋体" w:hAnsi="宋体" w:eastAsia="宋体" w:cs="宋体"/>
          <w:color w:val="000000"/>
          <w:szCs w:val="21"/>
        </w:rPr>
        <w:t>元</w:t>
      </w:r>
    </w:p>
    <w:tbl>
      <w:tblPr>
        <w:tblStyle w:val="22"/>
        <w:tblW w:w="8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239"/>
        <w:gridCol w:w="3042"/>
        <w:gridCol w:w="1676"/>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76" w:type="dxa"/>
            <w:noWrap w:val="0"/>
            <w:vAlign w:val="center"/>
          </w:tcPr>
          <w:p>
            <w:pPr>
              <w:widowControl/>
              <w:adjustRightInd w:val="0"/>
              <w:snapToGrid w:val="0"/>
              <w:spacing w:line="480" w:lineRule="exact"/>
              <w:ind w:left="0" w:leftChars="0" w:firstLine="0" w:firstLineChars="0"/>
              <w:jc w:val="both"/>
              <w:rPr>
                <w:rFonts w:hint="eastAsia" w:ascii="宋体" w:hAnsi="宋体" w:cs="宋体"/>
                <w:b w:val="0"/>
                <w:bCs/>
                <w:color w:val="000000"/>
                <w:szCs w:val="21"/>
              </w:rPr>
            </w:pPr>
            <w:r>
              <w:rPr>
                <w:rFonts w:hint="eastAsia" w:ascii="宋体" w:hAnsi="宋体" w:cs="宋体"/>
                <w:b w:val="0"/>
                <w:bCs/>
                <w:color w:val="000000"/>
                <w:szCs w:val="21"/>
              </w:rPr>
              <w:t>序号</w:t>
            </w:r>
          </w:p>
        </w:tc>
        <w:tc>
          <w:tcPr>
            <w:tcW w:w="1239" w:type="dxa"/>
            <w:noWrap w:val="0"/>
            <w:vAlign w:val="center"/>
          </w:tcPr>
          <w:p>
            <w:pPr>
              <w:widowControl/>
              <w:adjustRightInd w:val="0"/>
              <w:snapToGrid w:val="0"/>
              <w:spacing w:line="480" w:lineRule="exact"/>
              <w:ind w:left="0" w:leftChars="0" w:firstLine="0" w:firstLineChars="0"/>
              <w:jc w:val="center"/>
              <w:rPr>
                <w:rFonts w:hint="eastAsia" w:ascii="宋体" w:hAnsi="宋体" w:cs="宋体"/>
                <w:b w:val="0"/>
                <w:bCs/>
                <w:color w:val="000000"/>
                <w:szCs w:val="21"/>
              </w:rPr>
            </w:pPr>
            <w:r>
              <w:rPr>
                <w:rFonts w:hint="eastAsia" w:ascii="宋体" w:hAnsi="宋体" w:cs="宋体"/>
                <w:b w:val="0"/>
                <w:bCs/>
                <w:color w:val="000000"/>
                <w:szCs w:val="21"/>
              </w:rPr>
              <w:t>包号</w:t>
            </w:r>
          </w:p>
        </w:tc>
        <w:tc>
          <w:tcPr>
            <w:tcW w:w="3042" w:type="dxa"/>
            <w:noWrap w:val="0"/>
            <w:vAlign w:val="center"/>
          </w:tcPr>
          <w:p>
            <w:pPr>
              <w:widowControl/>
              <w:adjustRightInd w:val="0"/>
              <w:snapToGrid w:val="0"/>
              <w:spacing w:line="480" w:lineRule="exact"/>
              <w:jc w:val="center"/>
              <w:rPr>
                <w:rFonts w:hint="eastAsia" w:ascii="宋体" w:hAnsi="宋体" w:cs="宋体"/>
                <w:b w:val="0"/>
                <w:bCs/>
                <w:color w:val="000000"/>
                <w:szCs w:val="21"/>
              </w:rPr>
            </w:pPr>
            <w:r>
              <w:rPr>
                <w:rFonts w:hint="eastAsia" w:ascii="宋体" w:hAnsi="宋体" w:cs="宋体"/>
                <w:b w:val="0"/>
                <w:bCs/>
                <w:color w:val="000000"/>
                <w:szCs w:val="21"/>
              </w:rPr>
              <w:t>包名称</w:t>
            </w:r>
          </w:p>
        </w:tc>
        <w:tc>
          <w:tcPr>
            <w:tcW w:w="1676" w:type="dxa"/>
            <w:noWrap w:val="0"/>
            <w:vAlign w:val="center"/>
          </w:tcPr>
          <w:p>
            <w:pPr>
              <w:widowControl/>
              <w:adjustRightInd w:val="0"/>
              <w:snapToGrid w:val="0"/>
              <w:spacing w:line="480" w:lineRule="exact"/>
              <w:ind w:left="0" w:leftChars="0" w:firstLine="0" w:firstLineChars="0"/>
              <w:jc w:val="both"/>
              <w:rPr>
                <w:rFonts w:hint="eastAsia" w:ascii="宋体" w:hAnsi="宋体" w:cs="宋体"/>
                <w:b w:val="0"/>
                <w:bCs/>
                <w:color w:val="000000"/>
                <w:szCs w:val="21"/>
              </w:rPr>
            </w:pPr>
            <w:r>
              <w:rPr>
                <w:rFonts w:hint="eastAsia" w:ascii="宋体" w:hAnsi="宋体" w:cs="宋体"/>
                <w:b w:val="0"/>
                <w:bCs/>
                <w:color w:val="000000"/>
                <w:szCs w:val="21"/>
              </w:rPr>
              <w:t>包预算（元）</w:t>
            </w:r>
          </w:p>
        </w:tc>
        <w:tc>
          <w:tcPr>
            <w:tcW w:w="1815" w:type="dxa"/>
            <w:noWrap w:val="0"/>
            <w:vAlign w:val="center"/>
          </w:tcPr>
          <w:p>
            <w:pPr>
              <w:widowControl/>
              <w:adjustRightInd w:val="0"/>
              <w:snapToGrid w:val="0"/>
              <w:spacing w:line="480" w:lineRule="exact"/>
              <w:ind w:left="0" w:leftChars="0" w:firstLine="0" w:firstLineChars="0"/>
              <w:jc w:val="both"/>
              <w:rPr>
                <w:rFonts w:hint="eastAsia" w:ascii="宋体" w:hAnsi="宋体" w:cs="宋体"/>
                <w:b w:val="0"/>
                <w:bCs/>
                <w:color w:val="000000"/>
                <w:szCs w:val="21"/>
              </w:rPr>
            </w:pPr>
            <w:r>
              <w:rPr>
                <w:rFonts w:hint="eastAsia" w:ascii="宋体" w:hAnsi="宋体" w:cs="宋体"/>
                <w:b w:val="0"/>
                <w:bCs/>
                <w:color w:val="000000"/>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76" w:type="dxa"/>
            <w:noWrap w:val="0"/>
            <w:vAlign w:val="center"/>
          </w:tcPr>
          <w:p>
            <w:pPr>
              <w:widowControl/>
              <w:adjustRightInd w:val="0"/>
              <w:snapToGrid w:val="0"/>
              <w:spacing w:line="480" w:lineRule="exact"/>
              <w:ind w:left="0" w:leftChars="0" w:firstLine="0" w:firstLineChars="0"/>
              <w:jc w:val="center"/>
              <w:rPr>
                <w:rFonts w:hint="eastAsia" w:ascii="宋体" w:hAnsi="宋体" w:cs="宋体"/>
                <w:bCs/>
                <w:color w:val="000000"/>
                <w:szCs w:val="21"/>
              </w:rPr>
            </w:pPr>
            <w:r>
              <w:rPr>
                <w:rFonts w:hint="eastAsia" w:ascii="宋体" w:hAnsi="宋体" w:cs="宋体"/>
                <w:bCs/>
                <w:color w:val="000000"/>
                <w:szCs w:val="21"/>
              </w:rPr>
              <w:t>1</w:t>
            </w:r>
          </w:p>
        </w:tc>
        <w:tc>
          <w:tcPr>
            <w:tcW w:w="1239" w:type="dxa"/>
            <w:noWrap w:val="0"/>
            <w:vAlign w:val="center"/>
          </w:tcPr>
          <w:p>
            <w:pPr>
              <w:widowControl/>
              <w:adjustRightInd w:val="0"/>
              <w:snapToGrid w:val="0"/>
              <w:spacing w:line="480" w:lineRule="exact"/>
              <w:ind w:left="0" w:leftChars="0" w:firstLine="0" w:firstLineChars="0"/>
              <w:jc w:val="both"/>
              <w:rPr>
                <w:rFonts w:ascii="宋体" w:hAnsi="宋体" w:cs="宋体"/>
                <w:bCs/>
                <w:color w:val="000000"/>
                <w:szCs w:val="21"/>
              </w:rPr>
            </w:pPr>
            <w:r>
              <w:rPr>
                <w:rFonts w:hint="default" w:ascii="宋体" w:hAnsi="宋体" w:cs="宋体"/>
                <w:bCs/>
                <w:color w:val="000000"/>
                <w:szCs w:val="21"/>
              </w:rPr>
              <w:t>豫政采(2)20232173-1</w:t>
            </w:r>
          </w:p>
        </w:tc>
        <w:tc>
          <w:tcPr>
            <w:tcW w:w="3042" w:type="dxa"/>
            <w:noWrap w:val="0"/>
            <w:vAlign w:val="center"/>
          </w:tcPr>
          <w:p>
            <w:pPr>
              <w:widowControl/>
              <w:adjustRightInd w:val="0"/>
              <w:snapToGrid w:val="0"/>
              <w:spacing w:line="480" w:lineRule="exact"/>
              <w:ind w:left="0" w:leftChars="0" w:firstLine="0" w:firstLineChars="0"/>
              <w:jc w:val="both"/>
              <w:rPr>
                <w:rFonts w:hint="eastAsia" w:ascii="宋体" w:hAnsi="宋体" w:cs="宋体"/>
                <w:bCs/>
                <w:color w:val="000000"/>
                <w:szCs w:val="21"/>
              </w:rPr>
            </w:pPr>
            <w:r>
              <w:rPr>
                <w:rFonts w:hint="eastAsia" w:ascii="宋体" w:hAnsi="宋体" w:cs="宋体"/>
                <w:b w:val="0"/>
                <w:bCs w:val="0"/>
                <w:color w:val="000000"/>
                <w:szCs w:val="21"/>
                <w:lang w:eastAsia="zh-CN"/>
              </w:rPr>
              <w:t>河南信息统计职业学院新校区建设二期（统计与大数据产教融合实训基地）监理项目</w:t>
            </w:r>
          </w:p>
        </w:tc>
        <w:tc>
          <w:tcPr>
            <w:tcW w:w="1676" w:type="dxa"/>
            <w:noWrap w:val="0"/>
            <w:vAlign w:val="center"/>
          </w:tcPr>
          <w:p>
            <w:pPr>
              <w:widowControl/>
              <w:adjustRightInd w:val="0"/>
              <w:snapToGrid w:val="0"/>
              <w:spacing w:line="480" w:lineRule="exact"/>
              <w:ind w:left="0" w:leftChars="0" w:firstLine="0" w:firstLineChars="0"/>
              <w:jc w:val="center"/>
              <w:rPr>
                <w:rFonts w:hint="eastAsia" w:ascii="宋体" w:hAnsi="宋体" w:eastAsia="宋体" w:cs="宋体"/>
                <w:bCs/>
                <w:color w:val="000000"/>
                <w:szCs w:val="21"/>
                <w:lang w:eastAsia="zh-CN"/>
              </w:rPr>
            </w:pPr>
            <w:r>
              <w:rPr>
                <w:rFonts w:hint="eastAsia" w:ascii="宋体" w:hAnsi="宋体" w:eastAsia="宋体" w:cs="宋体"/>
                <w:b w:val="0"/>
                <w:bCs w:val="0"/>
                <w:color w:val="000000"/>
                <w:szCs w:val="21"/>
                <w:lang w:val="en-US" w:eastAsia="zh-CN"/>
              </w:rPr>
              <w:t>1460000.00</w:t>
            </w:r>
          </w:p>
        </w:tc>
        <w:tc>
          <w:tcPr>
            <w:tcW w:w="1815" w:type="dxa"/>
            <w:noWrap w:val="0"/>
            <w:vAlign w:val="center"/>
          </w:tcPr>
          <w:p>
            <w:pPr>
              <w:widowControl/>
              <w:adjustRightInd w:val="0"/>
              <w:snapToGrid w:val="0"/>
              <w:spacing w:line="480" w:lineRule="exact"/>
              <w:ind w:left="0" w:leftChars="0" w:firstLine="0" w:firstLineChars="0"/>
              <w:jc w:val="center"/>
              <w:rPr>
                <w:rFonts w:hint="eastAsia" w:ascii="宋体" w:hAnsi="宋体" w:eastAsia="宋体" w:cs="宋体"/>
                <w:bCs/>
                <w:color w:val="000000"/>
                <w:szCs w:val="21"/>
                <w:lang w:eastAsia="zh-CN"/>
              </w:rPr>
            </w:pPr>
            <w:r>
              <w:rPr>
                <w:rFonts w:hint="eastAsia" w:ascii="宋体" w:hAnsi="宋体" w:eastAsia="宋体" w:cs="宋体"/>
                <w:b w:val="0"/>
                <w:bCs w:val="0"/>
                <w:color w:val="000000"/>
                <w:szCs w:val="21"/>
                <w:lang w:val="en-US" w:eastAsia="zh-CN"/>
              </w:rPr>
              <w:t>1460000.00</w:t>
            </w:r>
          </w:p>
        </w:tc>
      </w:tr>
    </w:tbl>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val="0"/>
          <w:bCs w:val="0"/>
          <w:color w:val="000000"/>
          <w:szCs w:val="21"/>
        </w:rPr>
      </w:pPr>
      <w:r>
        <w:rPr>
          <w:rFonts w:hint="eastAsia" w:ascii="宋体" w:hAnsi="宋体" w:cs="宋体"/>
          <w:b w:val="0"/>
          <w:bCs w:val="0"/>
          <w:color w:val="000000"/>
          <w:szCs w:val="21"/>
        </w:rPr>
        <w:t>5、采购需求（包括但不限于标的的名称、数量、简要技术需求或服务要求等）</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val="0"/>
          <w:bCs w:val="0"/>
          <w:color w:val="000000"/>
          <w:szCs w:val="21"/>
        </w:rPr>
      </w:pPr>
      <w:r>
        <w:rPr>
          <w:rFonts w:hint="eastAsia" w:ascii="宋体" w:hAnsi="宋体" w:cs="宋体"/>
          <w:b w:val="0"/>
          <w:bCs w:val="0"/>
          <w:color w:val="000000"/>
          <w:szCs w:val="21"/>
        </w:rPr>
        <w:t>5.1采购内容：在河南信息统计职业学院新校区建设项目二期（统计与大数据产教融合实训基地项目）概算范围内项目，详见概算文件、相关图纸。</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val="0"/>
          <w:bCs w:val="0"/>
          <w:color w:val="000000"/>
          <w:szCs w:val="21"/>
        </w:rPr>
      </w:pPr>
      <w:r>
        <w:rPr>
          <w:rFonts w:hint="eastAsia" w:ascii="宋体" w:hAnsi="宋体" w:cs="宋体"/>
          <w:b w:val="0"/>
          <w:bCs w:val="0"/>
          <w:color w:val="000000"/>
          <w:szCs w:val="21"/>
        </w:rPr>
        <w:t>合同签订后，在监理项目实施过程中，在项目预算范围内</w:t>
      </w:r>
      <w:r>
        <w:rPr>
          <w:rFonts w:hint="eastAsia" w:ascii="宋体" w:hAnsi="宋体" w:cs="宋体"/>
          <w:b w:val="0"/>
          <w:bCs w:val="0"/>
          <w:color w:val="000000"/>
          <w:szCs w:val="21"/>
          <w:lang w:eastAsia="zh-CN"/>
        </w:rPr>
        <w:t>采购人</w:t>
      </w:r>
      <w:r>
        <w:rPr>
          <w:rFonts w:hint="eastAsia" w:ascii="宋体" w:hAnsi="宋体" w:cs="宋体"/>
          <w:b w:val="0"/>
          <w:bCs w:val="0"/>
          <w:color w:val="000000"/>
          <w:szCs w:val="21"/>
        </w:rPr>
        <w:t>可以根据实际情况对概算范围内项目进行增减，具体以委托任务书为准，投标人应对此知悉并认可；</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000000"/>
          <w:szCs w:val="21"/>
          <w:lang w:eastAsia="zh-CN"/>
        </w:rPr>
      </w:pPr>
      <w:r>
        <w:rPr>
          <w:rFonts w:hint="eastAsia" w:ascii="宋体" w:hAnsi="宋体" w:cs="宋体"/>
          <w:b w:val="0"/>
          <w:bCs w:val="0"/>
          <w:color w:val="000000"/>
          <w:szCs w:val="21"/>
        </w:rPr>
        <w:t>5.</w:t>
      </w:r>
      <w:r>
        <w:rPr>
          <w:rFonts w:hint="eastAsia" w:ascii="宋体" w:hAnsi="宋体" w:cs="宋体"/>
          <w:b w:val="0"/>
          <w:bCs w:val="0"/>
          <w:color w:val="000000"/>
          <w:szCs w:val="21"/>
          <w:lang w:val="en-US" w:eastAsia="zh-CN"/>
        </w:rPr>
        <w:t>2标段划分：本项目划分为一个标段；</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000000"/>
        </w:rPr>
      </w:pPr>
      <w:r>
        <w:rPr>
          <w:rFonts w:hint="eastAsia" w:ascii="宋体" w:hAnsi="宋体" w:eastAsia="宋体" w:cs="宋体"/>
          <w:b w:val="0"/>
          <w:bCs w:val="0"/>
          <w:color w:val="000000"/>
          <w:lang w:val="en-US" w:eastAsia="zh-CN"/>
        </w:rPr>
        <w:t>5.3</w:t>
      </w:r>
      <w:r>
        <w:rPr>
          <w:rFonts w:hint="eastAsia" w:ascii="宋体" w:hAnsi="宋体" w:eastAsia="宋体" w:cs="宋体"/>
          <w:b w:val="0"/>
          <w:bCs w:val="0"/>
          <w:color w:val="000000"/>
        </w:rPr>
        <w:t>建设规模：项目总建筑面积28000平方米（含地下建筑面积5000平方米)；相关设备安装及电力、道路管网等配套设施；</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000000"/>
          <w:szCs w:val="21"/>
          <w:lang w:eastAsia="zh-CN"/>
        </w:rPr>
      </w:pPr>
      <w:r>
        <w:rPr>
          <w:rFonts w:hint="eastAsia" w:ascii="宋体" w:hAnsi="宋体" w:eastAsia="宋体" w:cs="宋体"/>
          <w:b w:val="0"/>
          <w:bCs w:val="0"/>
          <w:color w:val="000000"/>
        </w:rPr>
        <w:t>5.</w:t>
      </w:r>
      <w:r>
        <w:rPr>
          <w:rFonts w:hint="eastAsia" w:ascii="宋体" w:hAnsi="宋体" w:eastAsia="宋体" w:cs="宋体"/>
          <w:b w:val="0"/>
          <w:bCs w:val="0"/>
          <w:color w:val="000000"/>
          <w:lang w:val="en-US" w:eastAsia="zh-CN"/>
        </w:rPr>
        <w:t>4建设</w:t>
      </w:r>
      <w:r>
        <w:rPr>
          <w:rFonts w:hint="eastAsia" w:ascii="宋体" w:hAnsi="宋体" w:eastAsia="宋体" w:cs="宋体"/>
          <w:b w:val="0"/>
          <w:bCs w:val="0"/>
          <w:color w:val="000000"/>
        </w:rPr>
        <w:t>地点：郑州市郑东新区河南信息统计职业学院白沙校区（郑东新区白沙园区金龙路北、休明路南，刘集街西，松鹤街东）；</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000000"/>
          <w:szCs w:val="21"/>
          <w:lang w:eastAsia="zh-CN"/>
        </w:rPr>
      </w:pPr>
      <w:r>
        <w:rPr>
          <w:rFonts w:hint="eastAsia" w:ascii="宋体" w:hAnsi="宋体" w:cs="宋体"/>
          <w:b w:val="0"/>
          <w:bCs w:val="0"/>
          <w:color w:val="000000"/>
          <w:szCs w:val="21"/>
        </w:rPr>
        <w:t>5.</w:t>
      </w:r>
      <w:r>
        <w:rPr>
          <w:rFonts w:hint="eastAsia" w:ascii="宋体" w:hAnsi="宋体" w:cs="宋体"/>
          <w:b w:val="0"/>
          <w:bCs w:val="0"/>
          <w:color w:val="000000"/>
          <w:szCs w:val="21"/>
          <w:lang w:val="en-US" w:eastAsia="zh-CN"/>
        </w:rPr>
        <w:t>5监理服务期限</w:t>
      </w:r>
      <w:r>
        <w:rPr>
          <w:rFonts w:hint="eastAsia" w:ascii="宋体" w:hAnsi="宋体" w:cs="宋体"/>
          <w:b w:val="0"/>
          <w:bCs w:val="0"/>
          <w:color w:val="000000"/>
          <w:szCs w:val="21"/>
          <w:highlight w:val="none"/>
        </w:rPr>
        <w:t>：自合同签订之日起至项目缺陷责任期满或至项目审计结束（结束时间以后发生者时间为准）；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000000"/>
        </w:rPr>
      </w:pPr>
      <w:r>
        <w:rPr>
          <w:rFonts w:hint="eastAsia" w:ascii="宋体" w:hAnsi="宋体" w:eastAsia="宋体" w:cs="宋体"/>
          <w:b w:val="0"/>
          <w:bCs w:val="0"/>
          <w:color w:val="000000"/>
        </w:rPr>
        <w:t>5.</w:t>
      </w:r>
      <w:r>
        <w:rPr>
          <w:rFonts w:hint="eastAsia" w:ascii="宋体" w:hAnsi="宋体" w:eastAsia="宋体" w:cs="宋体"/>
          <w:b w:val="0"/>
          <w:bCs w:val="0"/>
          <w:color w:val="000000"/>
          <w:lang w:val="en-US" w:eastAsia="zh-CN"/>
        </w:rPr>
        <w:t>6</w:t>
      </w:r>
      <w:r>
        <w:rPr>
          <w:rFonts w:hint="eastAsia" w:ascii="宋体" w:hAnsi="宋体" w:eastAsia="宋体" w:cs="宋体"/>
          <w:b w:val="0"/>
          <w:bCs w:val="0"/>
          <w:color w:val="000000"/>
        </w:rPr>
        <w:t>质量控制目标：达到国家质量验收规范合格及以上标准；</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宋体" w:hAnsi="宋体" w:eastAsia="宋体" w:cs="宋体"/>
          <w:b w:val="0"/>
          <w:bCs w:val="0"/>
          <w:color w:val="000000"/>
          <w:lang w:val="en-US" w:eastAsia="zh-CN"/>
        </w:rPr>
      </w:pPr>
      <w:r>
        <w:rPr>
          <w:rFonts w:hint="eastAsia" w:ascii="宋体" w:hAnsi="宋体" w:eastAsia="宋体" w:cs="宋体"/>
          <w:b w:val="0"/>
          <w:bCs w:val="0"/>
          <w:color w:val="000000"/>
          <w:lang w:val="en-US" w:eastAsia="zh-CN"/>
        </w:rPr>
        <w:t>5.7安全控制目标：保证在建工程的质量、规范和安全，不发生人员伤亡事故。</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000000"/>
          <w:szCs w:val="21"/>
          <w:lang w:eastAsia="zh-CN"/>
        </w:rPr>
      </w:pPr>
      <w:r>
        <w:rPr>
          <w:rFonts w:hint="eastAsia" w:ascii="宋体" w:hAnsi="宋体" w:cs="宋体"/>
          <w:b w:val="0"/>
          <w:bCs w:val="0"/>
          <w:color w:val="000000"/>
          <w:szCs w:val="21"/>
        </w:rPr>
        <w:t>6、合同履行期限：</w:t>
      </w:r>
      <w:r>
        <w:rPr>
          <w:rFonts w:hint="eastAsia" w:ascii="宋体" w:hAnsi="宋体" w:cs="宋体"/>
          <w:b w:val="0"/>
          <w:bCs w:val="0"/>
          <w:color w:val="000000"/>
          <w:szCs w:val="21"/>
          <w:lang w:eastAsia="zh-CN"/>
        </w:rPr>
        <w:t>合同权利义务全部履行完毕。</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color w:val="000000"/>
          <w:szCs w:val="21"/>
          <w:lang w:eastAsia="zh-CN"/>
        </w:rPr>
      </w:pPr>
      <w:r>
        <w:rPr>
          <w:rFonts w:hint="eastAsia" w:ascii="宋体" w:hAnsi="宋体" w:cs="宋体"/>
          <w:b w:val="0"/>
          <w:bCs w:val="0"/>
          <w:color w:val="000000"/>
          <w:szCs w:val="21"/>
        </w:rPr>
        <w:t>7、本项目是否接受联合体投标：否</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b w:val="0"/>
          <w:bCs w:val="0"/>
          <w:color w:val="000000"/>
          <w:szCs w:val="21"/>
        </w:rPr>
      </w:pPr>
      <w:r>
        <w:rPr>
          <w:rFonts w:hint="eastAsia" w:ascii="宋体" w:hAnsi="宋体" w:cs="宋体"/>
          <w:b w:val="0"/>
          <w:bCs w:val="0"/>
          <w:color w:val="000000"/>
          <w:szCs w:val="21"/>
        </w:rPr>
        <w:t>8、是否接受进口产品：否</w:t>
      </w:r>
    </w:p>
    <w:p>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宋体" w:hAnsi="宋体" w:eastAsia="宋体" w:cs="宋体"/>
          <w:b w:val="0"/>
          <w:bCs w:val="0"/>
          <w:color w:val="000000"/>
          <w:szCs w:val="21"/>
          <w:lang w:val="en-US" w:eastAsia="zh-CN"/>
        </w:rPr>
      </w:pPr>
      <w:r>
        <w:rPr>
          <w:rFonts w:hint="eastAsia" w:ascii="宋体" w:hAnsi="宋体" w:cs="宋体"/>
          <w:b w:val="0"/>
          <w:bCs w:val="0"/>
          <w:color w:val="000000"/>
          <w:szCs w:val="21"/>
          <w:lang w:val="en-US" w:eastAsia="zh-CN"/>
        </w:rPr>
        <w:t>9、是否专门面向中小企业：否</w:t>
      </w:r>
    </w:p>
    <w:p>
      <w:pPr>
        <w:spacing w:line="480" w:lineRule="exact"/>
        <w:rPr>
          <w:rFonts w:hint="eastAsia" w:ascii="宋体" w:hAnsi="宋体" w:cs="宋体"/>
          <w:b/>
          <w:bCs/>
          <w:color w:val="000000"/>
          <w:szCs w:val="21"/>
        </w:rPr>
      </w:pPr>
      <w:r>
        <w:rPr>
          <w:rFonts w:hint="eastAsia" w:ascii="宋体" w:hAnsi="宋体" w:cs="宋体"/>
          <w:b/>
          <w:bCs/>
          <w:color w:val="000000"/>
          <w:szCs w:val="21"/>
        </w:rPr>
        <w:t>二、申请人资格要求：</w:t>
      </w:r>
    </w:p>
    <w:p>
      <w:pPr>
        <w:spacing w:line="480" w:lineRule="exact"/>
        <w:ind w:firstLine="420" w:firstLineChars="200"/>
        <w:rPr>
          <w:rFonts w:hint="eastAsia" w:ascii="宋体" w:hAnsi="宋体" w:cs="宋体"/>
          <w:b w:val="0"/>
          <w:bCs w:val="0"/>
          <w:color w:val="000000"/>
          <w:szCs w:val="21"/>
        </w:rPr>
      </w:pPr>
      <w:r>
        <w:rPr>
          <w:rFonts w:hint="eastAsia" w:ascii="宋体" w:hAnsi="宋体" w:cs="宋体"/>
          <w:b w:val="0"/>
          <w:bCs w:val="0"/>
          <w:color w:val="000000"/>
          <w:szCs w:val="21"/>
        </w:rPr>
        <w:t>1、满足《中华人民共和国政府采购法》第二十二条规定；</w:t>
      </w:r>
    </w:p>
    <w:p>
      <w:pPr>
        <w:spacing w:line="480" w:lineRule="exact"/>
        <w:ind w:firstLine="420" w:firstLineChars="200"/>
        <w:rPr>
          <w:rFonts w:hint="eastAsia" w:ascii="宋体" w:hAnsi="宋体" w:cs="宋体"/>
          <w:b w:val="0"/>
          <w:bCs w:val="0"/>
          <w:color w:val="000000"/>
          <w:szCs w:val="21"/>
        </w:rPr>
      </w:pPr>
      <w:r>
        <w:rPr>
          <w:rFonts w:hint="eastAsia" w:ascii="宋体" w:hAnsi="宋体" w:cs="宋体"/>
          <w:b w:val="0"/>
          <w:bCs w:val="0"/>
          <w:color w:val="000000"/>
          <w:szCs w:val="21"/>
        </w:rPr>
        <w:t>2、落实政府采购政策满足的资格要求：</w:t>
      </w:r>
      <w:r>
        <w:rPr>
          <w:rFonts w:hint="eastAsia" w:ascii="宋体" w:hAnsi="宋体" w:cs="宋体"/>
          <w:b w:val="0"/>
          <w:bCs w:val="0"/>
          <w:color w:val="000000"/>
          <w:szCs w:val="21"/>
          <w:lang w:val="en-US" w:eastAsia="zh-CN"/>
        </w:rPr>
        <w:t>本项目执行促进中小型企业发展政策（监狱企业、残疾人福利性企业视同小微企业）等政府采购政策。</w:t>
      </w:r>
    </w:p>
    <w:p>
      <w:pPr>
        <w:spacing w:line="480" w:lineRule="exact"/>
        <w:ind w:firstLine="420" w:firstLineChars="200"/>
        <w:rPr>
          <w:rFonts w:hint="eastAsia" w:ascii="宋体" w:hAnsi="宋体" w:cs="宋体"/>
          <w:b w:val="0"/>
          <w:bCs w:val="0"/>
          <w:color w:val="000000"/>
          <w:szCs w:val="21"/>
        </w:rPr>
      </w:pPr>
      <w:r>
        <w:rPr>
          <w:rFonts w:hint="eastAsia" w:ascii="宋体" w:hAnsi="宋体" w:cs="宋体"/>
          <w:b w:val="0"/>
          <w:bCs w:val="0"/>
          <w:color w:val="000000"/>
          <w:szCs w:val="21"/>
        </w:rPr>
        <w:t>3、本项目的特定资格要求</w:t>
      </w:r>
    </w:p>
    <w:p>
      <w:pPr>
        <w:spacing w:line="480" w:lineRule="exact"/>
        <w:ind w:firstLine="420" w:firstLineChars="200"/>
        <w:rPr>
          <w:rFonts w:hint="eastAsia" w:ascii="宋体" w:hAnsi="宋体" w:eastAsia="宋体" w:cs="宋体"/>
          <w:b w:val="0"/>
          <w:bCs w:val="0"/>
          <w:color w:val="000000"/>
          <w:szCs w:val="21"/>
        </w:rPr>
      </w:pPr>
      <w:bookmarkStart w:id="9" w:name="_Toc9970"/>
      <w:bookmarkStart w:id="10" w:name="_Toc25483"/>
      <w:bookmarkStart w:id="11" w:name="_Toc32703"/>
      <w:bookmarkStart w:id="12" w:name="_Toc529988289"/>
      <w:bookmarkStart w:id="13" w:name="_Toc25416"/>
      <w:bookmarkStart w:id="14" w:name="_Toc22488"/>
      <w:bookmarkStart w:id="15" w:name="_Toc5387"/>
      <w:r>
        <w:rPr>
          <w:rFonts w:hint="eastAsia" w:ascii="宋体" w:hAnsi="宋体" w:eastAsia="宋体" w:cs="宋体"/>
          <w:b w:val="0"/>
          <w:bCs w:val="0"/>
          <w:color w:val="000000"/>
          <w:szCs w:val="21"/>
        </w:rPr>
        <w:t>3.1资质要求：</w:t>
      </w:r>
      <w:bookmarkEnd w:id="9"/>
      <w:bookmarkEnd w:id="10"/>
      <w:bookmarkEnd w:id="11"/>
      <w:bookmarkEnd w:id="12"/>
      <w:bookmarkEnd w:id="13"/>
      <w:bookmarkEnd w:id="14"/>
      <w:bookmarkEnd w:id="15"/>
      <w:r>
        <w:rPr>
          <w:rFonts w:hint="eastAsia" w:ascii="宋体" w:hAnsi="宋体" w:eastAsia="宋体" w:cs="宋体"/>
          <w:b w:val="0"/>
          <w:bCs w:val="0"/>
          <w:color w:val="000000"/>
          <w:szCs w:val="21"/>
        </w:rPr>
        <w:t>投标人须在中华人民共和国境内注册，具备独立法人资格，具有有效的营业执照，具有建设行政主管部门核发的房屋建筑工程监理甲级或具有工程监理综合资质。</w:t>
      </w:r>
    </w:p>
    <w:p>
      <w:pPr>
        <w:spacing w:line="480" w:lineRule="exact"/>
        <w:ind w:firstLine="420" w:firstLineChars="200"/>
        <w:rPr>
          <w:rFonts w:hint="eastAsia" w:ascii="宋体" w:hAnsi="宋体" w:eastAsia="宋体" w:cs="宋体"/>
          <w:b w:val="0"/>
          <w:bCs w:val="0"/>
          <w:color w:val="000000"/>
          <w:szCs w:val="21"/>
        </w:rPr>
      </w:pPr>
      <w:bookmarkStart w:id="16" w:name="_Toc5849"/>
      <w:bookmarkStart w:id="17" w:name="_Toc25422"/>
      <w:bookmarkStart w:id="18" w:name="_Toc22637"/>
      <w:bookmarkStart w:id="19" w:name="_Toc25240"/>
      <w:r>
        <w:rPr>
          <w:rFonts w:hint="eastAsia" w:ascii="宋体" w:hAnsi="宋体" w:eastAsia="宋体" w:cs="宋体"/>
          <w:b w:val="0"/>
          <w:bCs w:val="0"/>
          <w:color w:val="000000"/>
          <w:szCs w:val="21"/>
        </w:rPr>
        <w:t>3.</w:t>
      </w:r>
      <w:bookmarkEnd w:id="16"/>
      <w:bookmarkEnd w:id="17"/>
      <w:bookmarkEnd w:id="18"/>
      <w:bookmarkEnd w:id="19"/>
      <w:r>
        <w:rPr>
          <w:rFonts w:hint="eastAsia" w:ascii="宋体" w:hAnsi="宋体" w:eastAsia="宋体" w:cs="宋体"/>
          <w:b w:val="0"/>
          <w:bCs w:val="0"/>
          <w:color w:val="000000"/>
          <w:szCs w:val="21"/>
        </w:rPr>
        <w:t>2财务要求：投标人财务状况良好，提供2022年度经会计师事务所或审计机构审计的财务会计报告，成立年限不足的按实际提供或提供银行资信证明。</w:t>
      </w:r>
    </w:p>
    <w:p>
      <w:pPr>
        <w:spacing w:line="480" w:lineRule="exact"/>
        <w:ind w:firstLine="420" w:firstLineChars="200"/>
        <w:rPr>
          <w:rFonts w:hint="eastAsia" w:ascii="宋体" w:hAnsi="宋体" w:eastAsia="宋体" w:cs="宋体"/>
          <w:b w:val="0"/>
          <w:bCs w:val="0"/>
          <w:color w:val="000000"/>
          <w:szCs w:val="21"/>
        </w:rPr>
      </w:pPr>
      <w:bookmarkStart w:id="20" w:name="_Toc1739"/>
      <w:bookmarkStart w:id="21" w:name="_Toc91"/>
      <w:bookmarkStart w:id="22" w:name="_Toc1539"/>
      <w:bookmarkStart w:id="23" w:name="_Toc242"/>
      <w:r>
        <w:rPr>
          <w:rFonts w:hint="eastAsia" w:ascii="宋体" w:hAnsi="宋体" w:eastAsia="宋体" w:cs="宋体"/>
          <w:b w:val="0"/>
          <w:bCs w:val="0"/>
          <w:color w:val="000000"/>
          <w:szCs w:val="21"/>
        </w:rPr>
        <w:t>3.3业绩要求：投标人自2020年01月01日起至投标截止时间止以来须具备至少1项中华人民共和国境内的公共建筑类建筑工程监理项目业绩，业绩单项合同建筑面积不少于20000平方米（以合同签订时间为准，提供中标通知书、合同协议书）。</w:t>
      </w:r>
    </w:p>
    <w:p>
      <w:pPr>
        <w:spacing w:line="480" w:lineRule="exact"/>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3.</w:t>
      </w:r>
      <w:bookmarkEnd w:id="20"/>
      <w:bookmarkEnd w:id="21"/>
      <w:bookmarkEnd w:id="22"/>
      <w:bookmarkEnd w:id="23"/>
      <w:r>
        <w:rPr>
          <w:rFonts w:hint="eastAsia" w:ascii="宋体" w:hAnsi="宋体" w:eastAsia="宋体" w:cs="宋体"/>
          <w:b w:val="0"/>
          <w:bCs w:val="0"/>
          <w:color w:val="000000"/>
          <w:szCs w:val="21"/>
        </w:rPr>
        <w:t>4总监理工程师要求：拟派项目总监理工程师须具有相关专业高级工程师及以上技术职称，具有住房和城乡建设部颁发的注册监理工程师证书、注册专业为房屋建筑工程，本单位注册,且在有效期内（提供投标人在当地社保部门为其缴纳的2023年以来连续6个月的社保证明）。自2020年01月01日起至投标截止时间止以来须具备至少1项中华人民共和国境内的公共建筑类建筑工程监理项目业绩，业绩单项合同建筑面积不少于20000平方米（以合同签订时间为准，提供中标通知书、合同协议书）。</w:t>
      </w:r>
    </w:p>
    <w:p>
      <w:pPr>
        <w:spacing w:line="480" w:lineRule="exact"/>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3.5 信誉要求：投标人及其法定代表人、拟派总监理工程师未被“中国执行信息公开网”（http://zxgk.court.gov.cn/shixin/）列入“失信被执行人”（投标人须提供网站查询结果截图，需包括查询日期，查询日期为公告发布之日之后。）。</w:t>
      </w:r>
    </w:p>
    <w:p>
      <w:pPr>
        <w:spacing w:line="480" w:lineRule="exact"/>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3.6 其它要求：单位负责人为同一人或者存在控股、管理关系的不同单位，不得同时参加本项目投标。【提供在“全国企业信用信息公示系统”中查询打印的相关证明材料（需包含公司基本信息、股东信息及股权变更信息）】。</w:t>
      </w:r>
    </w:p>
    <w:p>
      <w:pPr>
        <w:spacing w:line="480" w:lineRule="exact"/>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3.7 本次招标不接受联合体投标。</w:t>
      </w:r>
    </w:p>
    <w:p>
      <w:pPr>
        <w:spacing w:line="480" w:lineRule="exact"/>
        <w:rPr>
          <w:rFonts w:hint="eastAsia" w:ascii="宋体" w:hAnsi="宋体" w:cs="宋体"/>
          <w:b/>
          <w:bCs/>
          <w:color w:val="000000"/>
          <w:szCs w:val="21"/>
        </w:rPr>
      </w:pPr>
      <w:r>
        <w:rPr>
          <w:rFonts w:hint="eastAsia" w:ascii="宋体" w:hAnsi="宋体" w:cs="宋体"/>
          <w:b/>
          <w:bCs/>
          <w:color w:val="000000"/>
          <w:szCs w:val="21"/>
        </w:rPr>
        <w:t>三、获取招标文件</w:t>
      </w:r>
    </w:p>
    <w:p>
      <w:pPr>
        <w:spacing w:line="48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1、时间：202</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19</w:t>
      </w:r>
      <w:r>
        <w:rPr>
          <w:rFonts w:hint="eastAsia" w:ascii="宋体" w:hAnsi="宋体" w:cs="宋体"/>
          <w:color w:val="000000"/>
          <w:szCs w:val="21"/>
          <w:highlight w:val="none"/>
        </w:rPr>
        <w:t>日至202</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25</w:t>
      </w:r>
      <w:r>
        <w:rPr>
          <w:rFonts w:hint="eastAsia" w:ascii="宋体" w:hAnsi="宋体" w:cs="宋体"/>
          <w:color w:val="000000"/>
          <w:szCs w:val="21"/>
          <w:highlight w:val="none"/>
        </w:rPr>
        <w:t>日，每天上午00:00至12:00，下午12:00至23:59（北京时间，法定节假日除外。）</w:t>
      </w:r>
    </w:p>
    <w:p>
      <w:pPr>
        <w:spacing w:line="480" w:lineRule="exact"/>
        <w:ind w:firstLine="420" w:firstLineChars="200"/>
        <w:rPr>
          <w:rFonts w:hint="eastAsia" w:ascii="宋体" w:hAnsi="宋体" w:cs="宋体"/>
          <w:color w:val="000000"/>
          <w:szCs w:val="21"/>
        </w:rPr>
      </w:pPr>
      <w:r>
        <w:rPr>
          <w:rFonts w:hint="eastAsia" w:ascii="宋体" w:hAnsi="宋体" w:cs="宋体"/>
          <w:color w:val="000000"/>
          <w:szCs w:val="21"/>
        </w:rPr>
        <w:t>2、地点：</w:t>
      </w:r>
      <w:r>
        <w:rPr>
          <w:rFonts w:hint="eastAsia" w:ascii="宋体" w:hAnsi="宋体" w:cs="宋体"/>
          <w:szCs w:val="21"/>
          <w:shd w:val="clear" w:color="auto" w:fill="FFFFFF"/>
        </w:rPr>
        <w:t>河南省公共资源交易中心平台系统（http://www.hnggzy.com）</w:t>
      </w:r>
    </w:p>
    <w:p>
      <w:pPr>
        <w:spacing w:line="480" w:lineRule="exact"/>
        <w:ind w:firstLine="420" w:firstLineChars="200"/>
        <w:rPr>
          <w:rFonts w:hint="eastAsia" w:ascii="宋体" w:hAnsi="宋体" w:cs="宋体"/>
          <w:color w:val="000000"/>
          <w:szCs w:val="21"/>
        </w:rPr>
      </w:pPr>
      <w:r>
        <w:rPr>
          <w:rFonts w:hint="eastAsia" w:ascii="宋体" w:hAnsi="宋体" w:cs="宋体"/>
          <w:color w:val="000000"/>
          <w:szCs w:val="21"/>
        </w:rPr>
        <w:t>3、方式：</w:t>
      </w:r>
      <w:r>
        <w:rPr>
          <w:rFonts w:hint="eastAsia" w:ascii="宋体" w:hAnsi="宋体" w:cs="宋体"/>
          <w:szCs w:val="21"/>
          <w:shd w:val="clear" w:color="auto" w:fill="FFFFFF"/>
        </w:rPr>
        <w:t>凭CA密钥市场主体登录并在规定时间内按网上提示下载招标文件及资料；投标供应商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spacing w:line="480" w:lineRule="exact"/>
        <w:ind w:firstLine="420" w:firstLineChars="200"/>
        <w:rPr>
          <w:rFonts w:hint="eastAsia" w:ascii="宋体" w:hAnsi="宋体" w:cs="宋体"/>
          <w:color w:val="000000"/>
          <w:szCs w:val="21"/>
        </w:rPr>
      </w:pPr>
      <w:r>
        <w:rPr>
          <w:rFonts w:hint="eastAsia" w:ascii="宋体" w:hAnsi="宋体" w:cs="宋体"/>
          <w:color w:val="000000"/>
          <w:szCs w:val="21"/>
        </w:rPr>
        <w:t>4、售价：0元。</w:t>
      </w:r>
    </w:p>
    <w:p>
      <w:pPr>
        <w:spacing w:line="480" w:lineRule="exact"/>
        <w:rPr>
          <w:rFonts w:hint="eastAsia" w:ascii="宋体" w:hAnsi="宋体" w:cs="宋体"/>
          <w:b/>
          <w:bCs/>
          <w:color w:val="000000"/>
          <w:szCs w:val="21"/>
        </w:rPr>
      </w:pPr>
      <w:r>
        <w:rPr>
          <w:rFonts w:hint="eastAsia" w:ascii="宋体" w:hAnsi="宋体" w:cs="宋体"/>
          <w:b/>
          <w:bCs/>
          <w:color w:val="000000"/>
          <w:szCs w:val="21"/>
        </w:rPr>
        <w:t>四、投标截止时间及地点</w:t>
      </w:r>
    </w:p>
    <w:p>
      <w:pPr>
        <w:spacing w:line="48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1、时间：20</w:t>
      </w:r>
      <w:r>
        <w:rPr>
          <w:rFonts w:hint="eastAsia" w:ascii="宋体" w:hAnsi="宋体" w:cs="宋体"/>
          <w:color w:val="000000"/>
          <w:szCs w:val="21"/>
          <w:highlight w:val="none"/>
          <w:lang w:val="en-US" w:eastAsia="zh-CN"/>
        </w:rPr>
        <w:t>24</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01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09</w:t>
      </w:r>
      <w:r>
        <w:rPr>
          <w:rFonts w:hint="eastAsia" w:ascii="宋体" w:hAnsi="宋体" w:cs="宋体"/>
          <w:color w:val="000000"/>
          <w:szCs w:val="21"/>
          <w:highlight w:val="none"/>
        </w:rPr>
        <w:t>日09时00分（北京时间）</w:t>
      </w:r>
    </w:p>
    <w:p>
      <w:pPr>
        <w:spacing w:line="480" w:lineRule="exact"/>
        <w:ind w:firstLine="420" w:firstLineChars="200"/>
        <w:jc w:val="left"/>
        <w:rPr>
          <w:rFonts w:hint="eastAsia" w:ascii="宋体" w:hAnsi="宋体" w:cs="宋体"/>
          <w:color w:val="000000"/>
          <w:szCs w:val="21"/>
        </w:rPr>
      </w:pPr>
      <w:r>
        <w:rPr>
          <w:rFonts w:hint="eastAsia" w:ascii="宋体" w:hAnsi="宋体" w:cs="宋体"/>
          <w:color w:val="000000"/>
          <w:szCs w:val="21"/>
        </w:rPr>
        <w:t>2、地点：</w:t>
      </w:r>
      <w:r>
        <w:rPr>
          <w:rFonts w:hint="eastAsia" w:ascii="宋体" w:hAnsi="宋体" w:cs="宋体"/>
          <w:bCs/>
          <w:szCs w:val="21"/>
        </w:rPr>
        <w:t>加密电子投标文件须在投标截止时间前上传至河南省公共资源交易中心交易系统指定位置；加密投标文件逾期上传，采购人不予受理。</w:t>
      </w:r>
    </w:p>
    <w:p>
      <w:pPr>
        <w:spacing w:line="480" w:lineRule="exact"/>
        <w:rPr>
          <w:rFonts w:hint="eastAsia" w:ascii="宋体" w:hAnsi="宋体" w:cs="宋体"/>
          <w:b/>
          <w:bCs/>
          <w:color w:val="000000"/>
          <w:szCs w:val="21"/>
        </w:rPr>
      </w:pPr>
      <w:r>
        <w:rPr>
          <w:rFonts w:hint="eastAsia" w:ascii="宋体" w:hAnsi="宋体" w:cs="宋体"/>
          <w:b/>
          <w:bCs/>
          <w:color w:val="000000"/>
          <w:szCs w:val="21"/>
        </w:rPr>
        <w:t>五、开标时间及地点</w:t>
      </w:r>
    </w:p>
    <w:p>
      <w:pPr>
        <w:spacing w:line="48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1、时间：20</w:t>
      </w:r>
      <w:r>
        <w:rPr>
          <w:rFonts w:hint="eastAsia" w:ascii="宋体" w:hAnsi="宋体" w:cs="宋体"/>
          <w:color w:val="000000"/>
          <w:szCs w:val="21"/>
          <w:highlight w:val="none"/>
          <w:lang w:val="en-US" w:eastAsia="zh-CN"/>
        </w:rPr>
        <w:t>24</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01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09</w:t>
      </w:r>
      <w:r>
        <w:rPr>
          <w:rFonts w:hint="eastAsia" w:ascii="宋体" w:hAnsi="宋体" w:cs="宋体"/>
          <w:color w:val="000000"/>
          <w:szCs w:val="21"/>
          <w:highlight w:val="none"/>
        </w:rPr>
        <w:t>日09时00分（北京时间）</w:t>
      </w:r>
    </w:p>
    <w:p>
      <w:pPr>
        <w:spacing w:line="480" w:lineRule="exact"/>
        <w:ind w:firstLine="420" w:firstLineChars="200"/>
        <w:jc w:val="left"/>
        <w:rPr>
          <w:rFonts w:hint="eastAsia" w:ascii="宋体" w:hAnsi="宋体" w:cs="宋体"/>
          <w:color w:val="000000"/>
          <w:szCs w:val="21"/>
        </w:rPr>
      </w:pPr>
      <w:r>
        <w:rPr>
          <w:rFonts w:hint="eastAsia" w:ascii="宋体" w:hAnsi="宋体" w:cs="宋体"/>
          <w:color w:val="000000"/>
          <w:szCs w:val="21"/>
        </w:rPr>
        <w:t>2、地点：</w:t>
      </w:r>
      <w:r>
        <w:rPr>
          <w:rFonts w:hint="eastAsia" w:ascii="宋体" w:hAnsi="宋体" w:cs="宋体"/>
          <w:bCs/>
          <w:szCs w:val="21"/>
          <w:highlight w:val="none"/>
        </w:rPr>
        <w:t>河南省公共资源交易中心远程开标室（三）-2（郑州</w:t>
      </w:r>
      <w:r>
        <w:rPr>
          <w:rFonts w:hint="eastAsia" w:ascii="宋体" w:hAnsi="宋体" w:cs="宋体"/>
          <w:bCs/>
          <w:szCs w:val="21"/>
        </w:rPr>
        <w:t>市经二路与纬四路交叉口向南5米路西）</w:t>
      </w:r>
    </w:p>
    <w:p>
      <w:pPr>
        <w:spacing w:line="480" w:lineRule="exact"/>
        <w:rPr>
          <w:rFonts w:hint="eastAsia" w:ascii="宋体" w:hAnsi="宋体" w:cs="宋体"/>
          <w:b/>
          <w:bCs/>
          <w:color w:val="000000"/>
          <w:szCs w:val="21"/>
        </w:rPr>
      </w:pPr>
      <w:r>
        <w:rPr>
          <w:rFonts w:hint="eastAsia" w:ascii="宋体" w:hAnsi="宋体" w:cs="宋体"/>
          <w:b/>
          <w:bCs/>
          <w:color w:val="000000"/>
          <w:szCs w:val="21"/>
        </w:rPr>
        <w:t>六、发布公告的媒介及招标公告期限</w:t>
      </w:r>
    </w:p>
    <w:p>
      <w:pPr>
        <w:spacing w:line="480" w:lineRule="exact"/>
        <w:ind w:firstLine="420" w:firstLineChars="200"/>
        <w:jc w:val="left"/>
        <w:rPr>
          <w:rFonts w:hint="eastAsia" w:ascii="宋体" w:hAnsi="宋体" w:cs="宋体"/>
          <w:color w:val="000000"/>
          <w:szCs w:val="21"/>
        </w:rPr>
      </w:pPr>
      <w:r>
        <w:rPr>
          <w:rFonts w:hint="eastAsia" w:ascii="宋体" w:hAnsi="宋体" w:cs="宋体"/>
          <w:color w:val="000000"/>
          <w:szCs w:val="21"/>
        </w:rPr>
        <w:t>本次招标公告在《河南省政府采购网》</w:t>
      </w:r>
      <w:r>
        <w:rPr>
          <w:rFonts w:hint="eastAsia" w:ascii="宋体" w:hAnsi="宋体" w:cs="宋体"/>
          <w:color w:val="000000"/>
          <w:szCs w:val="21"/>
          <w:lang w:eastAsia="zh-CN"/>
        </w:rPr>
        <w:t>、</w:t>
      </w:r>
      <w:r>
        <w:rPr>
          <w:rFonts w:hint="eastAsia" w:ascii="宋体" w:hAnsi="宋体" w:cs="宋体"/>
          <w:color w:val="000000"/>
          <w:szCs w:val="21"/>
        </w:rPr>
        <w:t>《中国招标投标公共服务平台》、《河南省电子招标投标公共服务平台》、《河南省公共资源交易中心网》</w:t>
      </w:r>
      <w:r>
        <w:rPr>
          <w:rFonts w:hint="eastAsia" w:ascii="宋体" w:hAnsi="宋体" w:cs="宋体"/>
          <w:color w:val="000000"/>
          <w:szCs w:val="21"/>
          <w:highlight w:val="none"/>
        </w:rPr>
        <w:t>上发</w:t>
      </w:r>
      <w:r>
        <w:rPr>
          <w:rFonts w:hint="eastAsia" w:ascii="宋体" w:hAnsi="宋体" w:cs="宋体"/>
          <w:color w:val="000000"/>
          <w:szCs w:val="21"/>
        </w:rPr>
        <w:t>布</w:t>
      </w:r>
      <w:r>
        <w:rPr>
          <w:rFonts w:hint="eastAsia" w:ascii="宋体" w:hAnsi="宋体" w:cs="宋体"/>
          <w:color w:val="000000"/>
          <w:szCs w:val="21"/>
          <w:lang w:eastAsia="zh-CN"/>
        </w:rPr>
        <w:t>，</w:t>
      </w:r>
      <w:r>
        <w:rPr>
          <w:rFonts w:hint="eastAsia" w:ascii="宋体" w:hAnsi="宋体" w:cs="宋体"/>
          <w:color w:val="000000"/>
          <w:szCs w:val="21"/>
        </w:rPr>
        <w:t>招标公告期限为五个工作日。</w:t>
      </w:r>
    </w:p>
    <w:p>
      <w:pPr>
        <w:spacing w:line="480" w:lineRule="exact"/>
        <w:rPr>
          <w:rFonts w:hint="eastAsia" w:ascii="宋体" w:hAnsi="宋体" w:cs="宋体"/>
          <w:b/>
          <w:bCs/>
          <w:color w:val="000000"/>
          <w:szCs w:val="21"/>
        </w:rPr>
      </w:pPr>
      <w:r>
        <w:rPr>
          <w:rFonts w:hint="eastAsia" w:ascii="宋体" w:hAnsi="宋体" w:cs="宋体"/>
          <w:b/>
          <w:bCs/>
          <w:color w:val="000000"/>
          <w:szCs w:val="21"/>
        </w:rPr>
        <w:t>七、其他补充事宜</w:t>
      </w:r>
    </w:p>
    <w:p>
      <w:pPr>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zCs w:val="21"/>
          <w:lang w:eastAsia="zh-CN"/>
        </w:rPr>
        <w:t>、</w:t>
      </w:r>
      <w:r>
        <w:rPr>
          <w:rFonts w:hint="eastAsia" w:ascii="宋体" w:hAnsi="宋体" w:eastAsia="宋体" w:cs="宋体"/>
          <w:color w:val="000000"/>
          <w:szCs w:val="21"/>
        </w:rPr>
        <w:t>本项目采用“远程不见面”开启方式，供应商无需到河南省公共资源交易中心现场参加开标会议，无需到达现场提交原件资料。供应商应当在投标截止时间前，登录远程开标大厅www.hnggzy.net，在线准时参加开标活动并在规定时间内进行文件解密、答疑澄清等。各投标人应在规定时间内对本单位的</w:t>
      </w:r>
      <w:r>
        <w:rPr>
          <w:rFonts w:hint="eastAsia" w:ascii="宋体" w:hAnsi="宋体" w:eastAsia="宋体" w:cs="宋体"/>
          <w:color w:val="000000"/>
          <w:szCs w:val="21"/>
          <w:lang w:val="en-US" w:eastAsia="zh-CN"/>
        </w:rPr>
        <w:t>投标</w:t>
      </w:r>
      <w:r>
        <w:rPr>
          <w:rFonts w:hint="eastAsia" w:ascii="宋体" w:hAnsi="宋体" w:eastAsia="宋体" w:cs="宋体"/>
          <w:color w:val="000000"/>
          <w:szCs w:val="21"/>
        </w:rPr>
        <w:t>文件解密，投标人如在交易平台系统规定时间内没有解密成功的，视为放弃投标。</w:t>
      </w:r>
    </w:p>
    <w:p>
      <w:pPr>
        <w:spacing w:line="4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color w:val="000000"/>
          <w:szCs w:val="21"/>
          <w:lang w:eastAsia="zh-CN"/>
        </w:rPr>
        <w:t>、</w:t>
      </w:r>
      <w:r>
        <w:rPr>
          <w:rFonts w:hint="eastAsia" w:ascii="宋体" w:hAnsi="宋体" w:eastAsia="宋体" w:cs="宋体"/>
          <w:color w:val="000000"/>
          <w:szCs w:val="21"/>
        </w:rPr>
        <w:t>本项目执行促进中小企业、监狱企业、残疾人福利性企业发展等。本项目支持河南省政府采购合同融资政策。</w:t>
      </w:r>
    </w:p>
    <w:p>
      <w:pPr>
        <w:spacing w:line="480" w:lineRule="exact"/>
        <w:rPr>
          <w:rFonts w:hint="eastAsia" w:ascii="宋体" w:hAnsi="宋体" w:cs="宋体"/>
          <w:b/>
          <w:bCs/>
          <w:color w:val="000000"/>
          <w:szCs w:val="21"/>
        </w:rPr>
      </w:pPr>
      <w:r>
        <w:rPr>
          <w:rFonts w:hint="eastAsia" w:ascii="宋体" w:hAnsi="宋体" w:cs="宋体"/>
          <w:b/>
          <w:bCs/>
          <w:color w:val="000000"/>
          <w:szCs w:val="21"/>
        </w:rPr>
        <w:t>八、凡对本次招标提出询问，请按照以下方式联系</w:t>
      </w:r>
    </w:p>
    <w:p>
      <w:pPr>
        <w:spacing w:line="480" w:lineRule="exact"/>
        <w:ind w:firstLine="210" w:firstLineChars="100"/>
        <w:jc w:val="left"/>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w:t>
      </w:r>
      <w:r>
        <w:rPr>
          <w:rFonts w:hint="eastAsia" w:ascii="宋体" w:hAnsi="宋体" w:cs="宋体"/>
          <w:color w:val="000000"/>
          <w:szCs w:val="21"/>
        </w:rPr>
        <w:t>采购人信息</w:t>
      </w:r>
    </w:p>
    <w:p>
      <w:pPr>
        <w:spacing w:line="480" w:lineRule="exact"/>
        <w:ind w:firstLine="420" w:firstLineChars="200"/>
        <w:jc w:val="left"/>
        <w:rPr>
          <w:rFonts w:hint="eastAsia" w:ascii="宋体" w:hAnsi="宋体" w:cs="宋体"/>
          <w:color w:val="000000"/>
          <w:szCs w:val="21"/>
        </w:rPr>
      </w:pPr>
      <w:r>
        <w:rPr>
          <w:rFonts w:hint="eastAsia" w:ascii="宋体" w:hAnsi="宋体" w:cs="宋体"/>
          <w:color w:val="000000"/>
          <w:szCs w:val="21"/>
        </w:rPr>
        <w:t>名  称：</w:t>
      </w:r>
      <w:r>
        <w:rPr>
          <w:rFonts w:hint="eastAsia" w:ascii="宋体" w:hAnsi="宋体" w:cs="宋体"/>
          <w:color w:val="000000"/>
          <w:szCs w:val="21"/>
          <w:lang w:eastAsia="zh-CN"/>
        </w:rPr>
        <w:t>河南信息统计职业学院</w:t>
      </w:r>
    </w:p>
    <w:p>
      <w:pPr>
        <w:spacing w:line="480" w:lineRule="exact"/>
        <w:ind w:firstLine="420" w:firstLineChars="200"/>
        <w:jc w:val="left"/>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lang w:val="en-US" w:eastAsia="zh-CN"/>
        </w:rPr>
        <w:t>河南省郑州市金水区鑫苑路5号</w:t>
      </w:r>
    </w:p>
    <w:p>
      <w:pPr>
        <w:spacing w:line="48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联系人：方晓正</w:t>
      </w:r>
    </w:p>
    <w:p>
      <w:pPr>
        <w:spacing w:line="48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联系方式：0371-56858628</w:t>
      </w:r>
    </w:p>
    <w:p>
      <w:pPr>
        <w:spacing w:line="480" w:lineRule="exact"/>
        <w:ind w:firstLine="210" w:firstLineChars="100"/>
        <w:jc w:val="left"/>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lang w:eastAsia="zh-CN"/>
        </w:rPr>
        <w:t>、</w:t>
      </w:r>
      <w:r>
        <w:rPr>
          <w:rFonts w:hint="eastAsia" w:ascii="宋体" w:hAnsi="宋体" w:cs="宋体"/>
          <w:color w:val="000000"/>
          <w:szCs w:val="21"/>
        </w:rPr>
        <w:t>采购代理机构信息（如有）</w:t>
      </w:r>
    </w:p>
    <w:p>
      <w:pPr>
        <w:spacing w:line="480" w:lineRule="exact"/>
        <w:ind w:firstLine="420" w:firstLineChars="200"/>
        <w:jc w:val="left"/>
        <w:rPr>
          <w:rFonts w:hint="eastAsia" w:ascii="宋体" w:hAnsi="宋体" w:eastAsia="宋体" w:cs="宋体"/>
          <w:color w:val="000000"/>
          <w:szCs w:val="21"/>
          <w:lang w:eastAsia="zh-CN"/>
        </w:rPr>
      </w:pPr>
      <w:r>
        <w:rPr>
          <w:rFonts w:hint="eastAsia" w:ascii="宋体" w:hAnsi="宋体" w:cs="宋体"/>
          <w:color w:val="000000"/>
          <w:szCs w:val="21"/>
        </w:rPr>
        <w:t>名  称：</w:t>
      </w:r>
      <w:r>
        <w:rPr>
          <w:rFonts w:hint="eastAsia" w:ascii="宋体" w:hAnsi="宋体" w:eastAsia="宋体" w:cs="宋体"/>
          <w:kern w:val="1"/>
          <w:sz w:val="21"/>
          <w:szCs w:val="21"/>
          <w:lang w:val="en-US" w:eastAsia="zh-CN"/>
        </w:rPr>
        <w:t>中恒诚远项目管理有限公司</w:t>
      </w:r>
    </w:p>
    <w:p>
      <w:pPr>
        <w:spacing w:line="480" w:lineRule="exact"/>
        <w:ind w:firstLine="420" w:firstLineChars="200"/>
        <w:jc w:val="left"/>
        <w:rPr>
          <w:rFonts w:hint="eastAsia" w:ascii="宋体" w:hAnsi="宋体" w:eastAsia="宋体" w:cs="宋体"/>
          <w:color w:val="000000"/>
          <w:szCs w:val="21"/>
          <w:lang w:eastAsia="zh-CN"/>
        </w:rPr>
      </w:pPr>
      <w:r>
        <w:rPr>
          <w:rFonts w:hint="eastAsia" w:ascii="宋体" w:hAnsi="宋体" w:cs="宋体"/>
          <w:color w:val="000000"/>
          <w:szCs w:val="21"/>
        </w:rPr>
        <w:t>地  址：</w:t>
      </w:r>
      <w:r>
        <w:rPr>
          <w:rFonts w:hint="eastAsia" w:ascii="宋体" w:hAnsi="宋体" w:eastAsia="宋体" w:cs="宋体"/>
          <w:kern w:val="1"/>
          <w:sz w:val="21"/>
          <w:szCs w:val="21"/>
          <w:lang w:val="en-US" w:eastAsia="zh-CN"/>
        </w:rPr>
        <w:t>郑州市农业南路招银大厦2号楼12层</w:t>
      </w:r>
    </w:p>
    <w:p>
      <w:pPr>
        <w:spacing w:line="480" w:lineRule="exact"/>
        <w:ind w:firstLine="420" w:firstLineChars="200"/>
        <w:jc w:val="left"/>
        <w:rPr>
          <w:rFonts w:hint="eastAsia" w:ascii="宋体" w:hAnsi="宋体" w:eastAsia="宋体" w:cs="宋体"/>
          <w:color w:val="000000"/>
          <w:szCs w:val="21"/>
          <w:lang w:eastAsia="zh-CN"/>
        </w:rPr>
      </w:pPr>
      <w:r>
        <w:rPr>
          <w:rFonts w:hint="eastAsia" w:ascii="宋体" w:hAnsi="宋体" w:cs="宋体"/>
          <w:color w:val="000000"/>
          <w:szCs w:val="21"/>
        </w:rPr>
        <w:t>联系人：</w:t>
      </w:r>
      <w:r>
        <w:rPr>
          <w:rFonts w:hint="eastAsia" w:cs="宋体"/>
          <w:color w:val="000000"/>
          <w:szCs w:val="21"/>
        </w:rPr>
        <w:t>李智沛</w:t>
      </w:r>
    </w:p>
    <w:p>
      <w:pPr>
        <w:spacing w:line="480" w:lineRule="exact"/>
        <w:ind w:firstLine="420" w:firstLineChars="200"/>
        <w:jc w:val="left"/>
        <w:rPr>
          <w:rFonts w:hint="default" w:ascii="宋体" w:hAnsi="宋体" w:eastAsia="宋体" w:cs="宋体"/>
          <w:color w:val="000000"/>
          <w:szCs w:val="21"/>
          <w:lang w:val="en-US" w:eastAsia="zh-CN"/>
        </w:rPr>
      </w:pPr>
      <w:r>
        <w:rPr>
          <w:rFonts w:hint="eastAsia" w:ascii="宋体" w:hAnsi="宋体" w:cs="宋体"/>
          <w:color w:val="000000"/>
          <w:szCs w:val="21"/>
        </w:rPr>
        <w:t>联系方式：</w:t>
      </w:r>
      <w:r>
        <w:rPr>
          <w:rFonts w:hint="eastAsia" w:cs="宋体"/>
        </w:rPr>
        <w:t>13393721107</w:t>
      </w:r>
    </w:p>
    <w:p>
      <w:pPr>
        <w:spacing w:line="480" w:lineRule="exact"/>
        <w:ind w:firstLine="210" w:firstLineChars="100"/>
        <w:jc w:val="left"/>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w:t>
      </w:r>
      <w:r>
        <w:rPr>
          <w:rFonts w:hint="eastAsia" w:ascii="宋体" w:hAnsi="宋体" w:cs="宋体"/>
          <w:color w:val="000000"/>
          <w:szCs w:val="21"/>
        </w:rPr>
        <w:t>项目联系方式</w:t>
      </w:r>
    </w:p>
    <w:p>
      <w:pPr>
        <w:spacing w:line="480" w:lineRule="exact"/>
        <w:ind w:firstLine="420" w:firstLineChars="200"/>
        <w:jc w:val="left"/>
        <w:rPr>
          <w:rFonts w:hint="eastAsia" w:ascii="宋体" w:hAnsi="宋体" w:cs="宋体"/>
          <w:color w:val="000000"/>
          <w:szCs w:val="21"/>
        </w:rPr>
      </w:pPr>
      <w:r>
        <w:rPr>
          <w:rFonts w:hint="eastAsia" w:ascii="宋体" w:hAnsi="宋体" w:cs="宋体"/>
          <w:color w:val="000000"/>
          <w:szCs w:val="21"/>
        </w:rPr>
        <w:t>项目联系人：</w:t>
      </w:r>
      <w:r>
        <w:rPr>
          <w:rFonts w:hint="eastAsia" w:cs="宋体"/>
          <w:color w:val="000000"/>
          <w:szCs w:val="21"/>
        </w:rPr>
        <w:t>李智沛</w:t>
      </w:r>
    </w:p>
    <w:p>
      <w:pPr>
        <w:spacing w:line="480" w:lineRule="exact"/>
        <w:ind w:firstLine="420" w:firstLineChars="200"/>
        <w:jc w:val="left"/>
        <w:rPr>
          <w:rFonts w:hint="eastAsia" w:ascii="宋体" w:hAnsi="宋体" w:cs="宋体"/>
          <w:color w:val="000000"/>
          <w:szCs w:val="21"/>
        </w:rPr>
      </w:pPr>
      <w:r>
        <w:rPr>
          <w:rFonts w:hint="eastAsia" w:ascii="宋体" w:hAnsi="宋体" w:cs="宋体"/>
          <w:color w:val="000000"/>
          <w:szCs w:val="21"/>
        </w:rPr>
        <w:t>联系方式：13393721107</w:t>
      </w:r>
    </w:p>
    <w:p>
      <w:pPr>
        <w:autoSpaceDE/>
        <w:autoSpaceDN/>
        <w:ind w:firstLine="420"/>
        <w:jc w:val="center"/>
      </w:pPr>
      <w:r>
        <w:rPr>
          <w:rFonts w:hint="eastAsia" w:cs="宋体"/>
        </w:rPr>
        <w:br w:type="page"/>
      </w:r>
      <w:bookmarkEnd w:id="2"/>
      <w:bookmarkStart w:id="24" w:name="_Toc10317"/>
    </w:p>
    <w:p>
      <w:pPr>
        <w:pStyle w:val="2"/>
      </w:pPr>
      <w:bookmarkStart w:id="25" w:name="_Toc152663894"/>
      <w:r>
        <w:rPr>
          <w:rFonts w:hint="eastAsia"/>
        </w:rPr>
        <w:t>第二章 投标人须知</w:t>
      </w:r>
      <w:bookmarkEnd w:id="24"/>
      <w:bookmarkEnd w:id="25"/>
    </w:p>
    <w:p>
      <w:pPr>
        <w:autoSpaceDE/>
        <w:autoSpaceDN/>
        <w:spacing w:line="520" w:lineRule="exact"/>
        <w:ind w:firstLine="562"/>
        <w:jc w:val="center"/>
        <w:rPr>
          <w:rFonts w:cs="宋体"/>
          <w:b/>
          <w:kern w:val="0"/>
          <w:sz w:val="28"/>
          <w:szCs w:val="28"/>
        </w:rPr>
      </w:pPr>
      <w:bookmarkStart w:id="26" w:name="_Toc5435"/>
      <w:r>
        <w:rPr>
          <w:rFonts w:hint="eastAsia" w:cs="宋体"/>
          <w:b/>
          <w:kern w:val="0"/>
          <w:sz w:val="28"/>
          <w:szCs w:val="28"/>
        </w:rPr>
        <w:t>投标人须知前附表</w:t>
      </w:r>
      <w:bookmarkEnd w:id="26"/>
    </w:p>
    <w:tbl>
      <w:tblPr>
        <w:tblStyle w:val="22"/>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785"/>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b/>
                <w:bCs/>
                <w:szCs w:val="21"/>
              </w:rPr>
            </w:pPr>
            <w:r>
              <w:rPr>
                <w:rFonts w:hint="eastAsia" w:cs="宋体"/>
                <w:b/>
                <w:bCs/>
                <w:szCs w:val="21"/>
              </w:rPr>
              <w:t>条款号</w:t>
            </w:r>
          </w:p>
        </w:tc>
        <w:tc>
          <w:tcPr>
            <w:tcW w:w="1785" w:type="dxa"/>
            <w:vAlign w:val="center"/>
          </w:tcPr>
          <w:p>
            <w:pPr>
              <w:ind w:firstLine="0" w:firstLineChars="0"/>
              <w:jc w:val="center"/>
              <w:rPr>
                <w:rFonts w:cs="宋体"/>
                <w:b/>
                <w:bCs/>
                <w:szCs w:val="21"/>
              </w:rPr>
            </w:pPr>
            <w:r>
              <w:rPr>
                <w:rFonts w:hint="eastAsia" w:cs="宋体"/>
                <w:b/>
                <w:bCs/>
                <w:szCs w:val="21"/>
              </w:rPr>
              <w:t>条款名称</w:t>
            </w:r>
          </w:p>
        </w:tc>
        <w:tc>
          <w:tcPr>
            <w:tcW w:w="7233" w:type="dxa"/>
            <w:vAlign w:val="center"/>
          </w:tcPr>
          <w:p>
            <w:pPr>
              <w:ind w:firstLine="0" w:firstLineChars="0"/>
              <w:jc w:val="center"/>
              <w:rPr>
                <w:rFonts w:cs="宋体"/>
                <w:b/>
                <w:bCs/>
                <w:szCs w:val="21"/>
              </w:rPr>
            </w:pPr>
            <w:r>
              <w:rPr>
                <w:rFonts w:hint="eastAsia" w:cs="宋体"/>
                <w:b/>
                <w:bCs/>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szCs w:val="21"/>
              </w:rPr>
              <w:t>1.1.2</w:t>
            </w:r>
          </w:p>
        </w:tc>
        <w:tc>
          <w:tcPr>
            <w:tcW w:w="1785" w:type="dxa"/>
            <w:vAlign w:val="center"/>
          </w:tcPr>
          <w:p>
            <w:pPr>
              <w:ind w:firstLine="0" w:firstLineChars="0"/>
              <w:jc w:val="center"/>
              <w:rPr>
                <w:rFonts w:cs="宋体"/>
                <w:szCs w:val="21"/>
              </w:rPr>
            </w:pPr>
            <w:r>
              <w:rPr>
                <w:rFonts w:hint="eastAsia" w:cs="宋体"/>
                <w:szCs w:val="21"/>
              </w:rPr>
              <w:t>招标人</w:t>
            </w:r>
          </w:p>
        </w:tc>
        <w:tc>
          <w:tcPr>
            <w:tcW w:w="7233" w:type="dxa"/>
            <w:vAlign w:val="center"/>
          </w:tcPr>
          <w:p>
            <w:pPr>
              <w:widowControl/>
              <w:autoSpaceDE/>
              <w:autoSpaceDN/>
              <w:ind w:firstLine="0" w:firstLineChars="0"/>
              <w:jc w:val="both"/>
              <w:outlineLvl w:val="0"/>
              <w:rPr>
                <w:rFonts w:cs="宋体"/>
                <w:szCs w:val="21"/>
              </w:rPr>
            </w:pPr>
            <w:r>
              <w:rPr>
                <w:rFonts w:hint="eastAsia" w:cs="宋体"/>
                <w:szCs w:val="21"/>
              </w:rPr>
              <w:t>招标人：</w:t>
            </w:r>
            <w:r>
              <w:rPr>
                <w:rFonts w:hint="eastAsia" w:cs="宋体"/>
              </w:rPr>
              <w:t>河南信息统计职业学院</w:t>
            </w:r>
          </w:p>
          <w:p>
            <w:pPr>
              <w:widowControl/>
              <w:autoSpaceDE/>
              <w:autoSpaceDN/>
              <w:ind w:firstLine="0" w:firstLineChars="0"/>
              <w:jc w:val="both"/>
              <w:outlineLvl w:val="0"/>
              <w:rPr>
                <w:rFonts w:cs="宋体"/>
                <w:szCs w:val="21"/>
              </w:rPr>
            </w:pPr>
            <w:r>
              <w:rPr>
                <w:rFonts w:hint="eastAsia" w:cs="宋体"/>
                <w:szCs w:val="21"/>
              </w:rPr>
              <w:t>地  址：</w:t>
            </w:r>
            <w:r>
              <w:rPr>
                <w:rFonts w:hint="eastAsia" w:cs="宋体"/>
                <w:color w:val="000000"/>
                <w:szCs w:val="21"/>
              </w:rPr>
              <w:t>河南省郑州市金水区鑫苑路5号</w:t>
            </w:r>
          </w:p>
          <w:p>
            <w:pPr>
              <w:widowControl/>
              <w:autoSpaceDE/>
              <w:autoSpaceDN/>
              <w:ind w:firstLine="0" w:firstLineChars="0"/>
              <w:jc w:val="both"/>
              <w:outlineLvl w:val="0"/>
              <w:rPr>
                <w:rFonts w:cs="宋体"/>
                <w:szCs w:val="21"/>
              </w:rPr>
            </w:pPr>
            <w:r>
              <w:rPr>
                <w:rFonts w:hint="eastAsia" w:cs="宋体"/>
                <w:szCs w:val="21"/>
              </w:rPr>
              <w:t>联系人：</w:t>
            </w:r>
            <w:r>
              <w:rPr>
                <w:rFonts w:hint="eastAsia" w:cs="宋体"/>
                <w:color w:val="000000" w:themeColor="text1"/>
                <w14:textFill>
                  <w14:solidFill>
                    <w14:schemeClr w14:val="tx1"/>
                  </w14:solidFill>
                </w14:textFill>
              </w:rPr>
              <w:t>方晓正</w:t>
            </w:r>
          </w:p>
          <w:p>
            <w:pPr>
              <w:widowControl/>
              <w:autoSpaceDE/>
              <w:autoSpaceDN/>
              <w:ind w:firstLine="0" w:firstLineChars="0"/>
              <w:jc w:val="both"/>
              <w:outlineLvl w:val="0"/>
              <w:rPr>
                <w:rFonts w:cs="宋体"/>
                <w:szCs w:val="21"/>
              </w:rPr>
            </w:pPr>
            <w:r>
              <w:rPr>
                <w:rFonts w:hint="eastAsia" w:cs="宋体"/>
                <w:szCs w:val="21"/>
              </w:rPr>
              <w:t>电  话：</w:t>
            </w:r>
            <w:r>
              <w:rPr>
                <w:rFonts w:hint="eastAsia" w:cs="宋体"/>
              </w:rPr>
              <w:t>0</w:t>
            </w:r>
            <w:r>
              <w:rPr>
                <w:rFonts w:cs="宋体"/>
              </w:rPr>
              <w:t>371-56858628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szCs w:val="21"/>
              </w:rPr>
              <w:t>1.1.3</w:t>
            </w:r>
          </w:p>
        </w:tc>
        <w:tc>
          <w:tcPr>
            <w:tcW w:w="1785" w:type="dxa"/>
            <w:vAlign w:val="center"/>
          </w:tcPr>
          <w:p>
            <w:pPr>
              <w:ind w:firstLine="0" w:firstLineChars="0"/>
              <w:jc w:val="center"/>
              <w:rPr>
                <w:rFonts w:cs="宋体"/>
                <w:szCs w:val="21"/>
              </w:rPr>
            </w:pPr>
            <w:r>
              <w:rPr>
                <w:rFonts w:hint="eastAsia" w:cs="宋体"/>
                <w:szCs w:val="21"/>
              </w:rPr>
              <w:t>招标代理机构</w:t>
            </w:r>
          </w:p>
        </w:tc>
        <w:tc>
          <w:tcPr>
            <w:tcW w:w="7233" w:type="dxa"/>
            <w:vAlign w:val="center"/>
          </w:tcPr>
          <w:p>
            <w:pPr>
              <w:widowControl/>
              <w:autoSpaceDE/>
              <w:autoSpaceDN/>
              <w:ind w:firstLine="0" w:firstLineChars="0"/>
              <w:jc w:val="both"/>
              <w:outlineLvl w:val="0"/>
            </w:pPr>
            <w:r>
              <w:rPr>
                <w:rFonts w:hint="eastAsia"/>
              </w:rPr>
              <w:t>招标代理机构：</w:t>
            </w:r>
            <w:r>
              <w:rPr>
                <w:rFonts w:hint="eastAsia" w:cs="宋体"/>
                <w:kern w:val="1"/>
                <w:szCs w:val="21"/>
              </w:rPr>
              <w:t>中恒诚远项目管理有限公司</w:t>
            </w:r>
          </w:p>
          <w:p>
            <w:pPr>
              <w:widowControl/>
              <w:autoSpaceDE/>
              <w:autoSpaceDN/>
              <w:ind w:firstLine="0" w:firstLineChars="0"/>
              <w:jc w:val="both"/>
              <w:outlineLvl w:val="0"/>
            </w:pPr>
            <w:r>
              <w:rPr>
                <w:rFonts w:hint="eastAsia"/>
              </w:rPr>
              <w:t>地  址：</w:t>
            </w:r>
            <w:r>
              <w:rPr>
                <w:rFonts w:hint="eastAsia" w:cs="宋体"/>
                <w:kern w:val="1"/>
                <w:szCs w:val="21"/>
              </w:rPr>
              <w:t>郑州市农业南路招银大厦2号楼12层</w:t>
            </w:r>
          </w:p>
          <w:p>
            <w:pPr>
              <w:widowControl/>
              <w:autoSpaceDE/>
              <w:autoSpaceDN/>
              <w:ind w:firstLine="0" w:firstLineChars="0"/>
              <w:jc w:val="both"/>
              <w:outlineLvl w:val="0"/>
            </w:pPr>
            <w:r>
              <w:rPr>
                <w:rFonts w:hint="eastAsia"/>
              </w:rPr>
              <w:t>联系人：</w:t>
            </w:r>
            <w:r>
              <w:rPr>
                <w:rFonts w:hint="eastAsia" w:cs="宋体"/>
                <w:color w:val="000000"/>
                <w:szCs w:val="21"/>
              </w:rPr>
              <w:t>李智沛</w:t>
            </w:r>
          </w:p>
          <w:p>
            <w:pPr>
              <w:widowControl/>
              <w:autoSpaceDE/>
              <w:autoSpaceDN/>
              <w:ind w:firstLine="0" w:firstLineChars="0"/>
              <w:jc w:val="both"/>
              <w:outlineLvl w:val="0"/>
            </w:pPr>
            <w:r>
              <w:rPr>
                <w:rFonts w:hint="eastAsia"/>
              </w:rPr>
              <w:t>电  话：</w:t>
            </w:r>
            <w:r>
              <w:rPr>
                <w:rFonts w:hint="eastAsia" w:cs="宋体"/>
              </w:rPr>
              <w:t>13393721107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szCs w:val="21"/>
              </w:rPr>
              <w:t>1.1.4</w:t>
            </w:r>
          </w:p>
        </w:tc>
        <w:tc>
          <w:tcPr>
            <w:tcW w:w="1785" w:type="dxa"/>
            <w:vAlign w:val="center"/>
          </w:tcPr>
          <w:p>
            <w:pPr>
              <w:ind w:firstLine="0" w:firstLineChars="0"/>
              <w:jc w:val="center"/>
              <w:rPr>
                <w:rFonts w:cs="宋体"/>
                <w:szCs w:val="21"/>
              </w:rPr>
            </w:pPr>
            <w:r>
              <w:rPr>
                <w:rFonts w:hint="eastAsia" w:cs="宋体"/>
                <w:szCs w:val="21"/>
              </w:rPr>
              <w:t>招标项目名称</w:t>
            </w:r>
          </w:p>
        </w:tc>
        <w:tc>
          <w:tcPr>
            <w:tcW w:w="7233" w:type="dxa"/>
            <w:vAlign w:val="center"/>
          </w:tcPr>
          <w:p>
            <w:pPr>
              <w:autoSpaceDE/>
              <w:autoSpaceDN/>
              <w:ind w:firstLine="0" w:firstLineChars="0"/>
              <w:jc w:val="both"/>
              <w:rPr>
                <w:rFonts w:cs="宋体"/>
              </w:rPr>
            </w:pPr>
            <w:r>
              <w:rPr>
                <w:rFonts w:hint="eastAsia" w:cs="宋体"/>
              </w:rPr>
              <w:t>河南信息统计职业学院新校区建设二期（统计与大数据产教融合实训基地）监理项目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szCs w:val="21"/>
              </w:rPr>
              <w:t>1.1.5</w:t>
            </w:r>
          </w:p>
        </w:tc>
        <w:tc>
          <w:tcPr>
            <w:tcW w:w="1785" w:type="dxa"/>
            <w:vAlign w:val="center"/>
          </w:tcPr>
          <w:p>
            <w:pPr>
              <w:ind w:firstLine="0" w:firstLineChars="0"/>
              <w:jc w:val="center"/>
              <w:rPr>
                <w:rFonts w:cs="宋体"/>
                <w:szCs w:val="21"/>
              </w:rPr>
            </w:pPr>
            <w:r>
              <w:rPr>
                <w:rFonts w:hint="eastAsia" w:cs="宋体"/>
                <w:szCs w:val="21"/>
              </w:rPr>
              <w:t>项目建设地点</w:t>
            </w:r>
          </w:p>
        </w:tc>
        <w:tc>
          <w:tcPr>
            <w:tcW w:w="7233" w:type="dxa"/>
            <w:vAlign w:val="center"/>
          </w:tcPr>
          <w:p>
            <w:pPr>
              <w:autoSpaceDE/>
              <w:autoSpaceDN/>
              <w:ind w:firstLine="0" w:firstLineChars="0"/>
              <w:jc w:val="both"/>
              <w:rPr>
                <w:rFonts w:cs="宋体"/>
              </w:rPr>
            </w:pPr>
            <w:r>
              <w:rPr>
                <w:rFonts w:hint="eastAsia" w:cs="宋体"/>
              </w:rPr>
              <w:t>郑州市郑东新区河南信息统计职业学院白沙校区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szCs w:val="21"/>
              </w:rPr>
              <w:t>1.1.6</w:t>
            </w:r>
          </w:p>
        </w:tc>
        <w:tc>
          <w:tcPr>
            <w:tcW w:w="1785" w:type="dxa"/>
            <w:vAlign w:val="center"/>
          </w:tcPr>
          <w:p>
            <w:pPr>
              <w:ind w:firstLine="0" w:firstLineChars="0"/>
              <w:jc w:val="center"/>
              <w:rPr>
                <w:rFonts w:cs="宋体"/>
                <w:szCs w:val="21"/>
              </w:rPr>
            </w:pPr>
            <w:r>
              <w:rPr>
                <w:rFonts w:hint="eastAsia" w:cs="宋体"/>
                <w:szCs w:val="21"/>
              </w:rPr>
              <w:t>项目建设规模</w:t>
            </w:r>
          </w:p>
        </w:tc>
        <w:tc>
          <w:tcPr>
            <w:tcW w:w="7233" w:type="dxa"/>
            <w:vAlign w:val="center"/>
          </w:tcPr>
          <w:p>
            <w:pPr>
              <w:autoSpaceDE/>
              <w:autoSpaceDN/>
              <w:ind w:firstLine="0" w:firstLineChars="0"/>
              <w:jc w:val="both"/>
              <w:rPr>
                <w:rFonts w:cs="宋体"/>
              </w:rPr>
            </w:pPr>
            <w:r>
              <w:rPr>
                <w:rFonts w:hint="eastAsia" w:cs="宋体"/>
              </w:rPr>
              <w:t>项目总建筑面积28000平方米（含地下建筑面积5000平方米)；相关设备安装及电力、道路管网等配套设施；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szCs w:val="21"/>
              </w:rPr>
              <w:t>1.2.1</w:t>
            </w:r>
          </w:p>
        </w:tc>
        <w:tc>
          <w:tcPr>
            <w:tcW w:w="1785" w:type="dxa"/>
            <w:vAlign w:val="center"/>
          </w:tcPr>
          <w:p>
            <w:pPr>
              <w:ind w:firstLine="0" w:firstLineChars="0"/>
              <w:jc w:val="center"/>
              <w:rPr>
                <w:rFonts w:cs="宋体"/>
                <w:szCs w:val="21"/>
              </w:rPr>
            </w:pPr>
            <w:r>
              <w:rPr>
                <w:rFonts w:hint="eastAsia" w:cs="宋体"/>
                <w:szCs w:val="21"/>
              </w:rPr>
              <w:t>资金来源</w:t>
            </w:r>
          </w:p>
        </w:tc>
        <w:tc>
          <w:tcPr>
            <w:tcW w:w="7233" w:type="dxa"/>
            <w:vAlign w:val="center"/>
          </w:tcPr>
          <w:p>
            <w:pPr>
              <w:ind w:firstLine="0" w:firstLineChars="0"/>
              <w:jc w:val="both"/>
              <w:rPr>
                <w:rFonts w:cs="宋体"/>
                <w:szCs w:val="21"/>
              </w:rPr>
            </w:pPr>
            <w:r>
              <w:rPr>
                <w:rFonts w:hint="eastAsia" w:cs="宋体"/>
              </w:rPr>
              <w:t>财政资金及自筹资金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szCs w:val="21"/>
              </w:rPr>
              <w:t>1.2.2</w:t>
            </w:r>
          </w:p>
        </w:tc>
        <w:tc>
          <w:tcPr>
            <w:tcW w:w="1785" w:type="dxa"/>
            <w:vAlign w:val="center"/>
          </w:tcPr>
          <w:p>
            <w:pPr>
              <w:ind w:firstLine="0" w:firstLineChars="0"/>
              <w:jc w:val="center"/>
              <w:rPr>
                <w:rFonts w:cs="宋体"/>
                <w:szCs w:val="21"/>
              </w:rPr>
            </w:pPr>
            <w:r>
              <w:rPr>
                <w:rFonts w:hint="eastAsia" w:cs="宋体"/>
                <w:szCs w:val="21"/>
              </w:rPr>
              <w:t>资金落实情况</w:t>
            </w:r>
          </w:p>
        </w:tc>
        <w:tc>
          <w:tcPr>
            <w:tcW w:w="7233" w:type="dxa"/>
            <w:vAlign w:val="center"/>
          </w:tcPr>
          <w:p>
            <w:pPr>
              <w:ind w:firstLine="0" w:firstLineChars="0"/>
              <w:jc w:val="both"/>
              <w:rPr>
                <w:rFonts w:cs="宋体"/>
                <w:szCs w:val="21"/>
              </w:rPr>
            </w:pPr>
            <w:r>
              <w:rPr>
                <w:rFonts w:hint="eastAsia"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szCs w:val="21"/>
              </w:rPr>
              <w:t>1.2.3</w:t>
            </w:r>
          </w:p>
        </w:tc>
        <w:tc>
          <w:tcPr>
            <w:tcW w:w="1785" w:type="dxa"/>
            <w:vAlign w:val="center"/>
          </w:tcPr>
          <w:p>
            <w:pPr>
              <w:ind w:firstLine="0" w:firstLineChars="0"/>
              <w:jc w:val="center"/>
              <w:rPr>
                <w:rFonts w:cs="宋体"/>
                <w:b/>
                <w:bCs/>
                <w:szCs w:val="21"/>
              </w:rPr>
            </w:pPr>
            <w:r>
              <w:rPr>
                <w:rFonts w:hint="eastAsia" w:cs="宋体"/>
                <w:b/>
                <w:bCs/>
                <w:szCs w:val="21"/>
              </w:rPr>
              <w:t>概算建筑安装工程费</w:t>
            </w:r>
          </w:p>
        </w:tc>
        <w:tc>
          <w:tcPr>
            <w:tcW w:w="7233" w:type="dxa"/>
            <w:vAlign w:val="center"/>
          </w:tcPr>
          <w:p>
            <w:pPr>
              <w:ind w:firstLine="0" w:firstLineChars="0"/>
              <w:jc w:val="both"/>
              <w:rPr>
                <w:rFonts w:cs="宋体"/>
                <w:b/>
                <w:bCs/>
                <w:szCs w:val="21"/>
              </w:rPr>
            </w:pPr>
            <w:r>
              <w:rPr>
                <w:rFonts w:hint="eastAsia" w:cs="宋体"/>
                <w:b/>
                <w:bCs/>
                <w:szCs w:val="21"/>
              </w:rPr>
              <w:t>12</w:t>
            </w:r>
            <w:r>
              <w:rPr>
                <w:rFonts w:cs="宋体"/>
                <w:b/>
                <w:bCs/>
                <w:szCs w:val="21"/>
              </w:rPr>
              <w:t>160.89</w:t>
            </w:r>
            <w:r>
              <w:rPr>
                <w:rFonts w:hint="eastAsia" w:cs="宋体"/>
                <w:b/>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2" w:type="dxa"/>
            <w:vAlign w:val="center"/>
          </w:tcPr>
          <w:p>
            <w:pPr>
              <w:ind w:firstLine="0" w:firstLineChars="0"/>
              <w:jc w:val="center"/>
              <w:rPr>
                <w:rFonts w:cs="宋体"/>
                <w:szCs w:val="21"/>
              </w:rPr>
            </w:pPr>
            <w:r>
              <w:rPr>
                <w:rFonts w:hint="eastAsia" w:cs="宋体"/>
                <w:szCs w:val="21"/>
              </w:rPr>
              <w:t>1.3.1</w:t>
            </w:r>
          </w:p>
        </w:tc>
        <w:tc>
          <w:tcPr>
            <w:tcW w:w="1785" w:type="dxa"/>
            <w:vAlign w:val="center"/>
          </w:tcPr>
          <w:p>
            <w:pPr>
              <w:ind w:firstLine="0" w:firstLineChars="0"/>
              <w:jc w:val="center"/>
              <w:rPr>
                <w:rFonts w:cs="宋体"/>
                <w:szCs w:val="21"/>
              </w:rPr>
            </w:pPr>
            <w:r>
              <w:rPr>
                <w:rFonts w:hint="eastAsia" w:cs="宋体"/>
                <w:szCs w:val="21"/>
              </w:rPr>
              <w:t>招标范围</w:t>
            </w:r>
          </w:p>
        </w:tc>
        <w:tc>
          <w:tcPr>
            <w:tcW w:w="7233" w:type="dxa"/>
            <w:vAlign w:val="center"/>
          </w:tcPr>
          <w:p>
            <w:pPr>
              <w:autoSpaceDE/>
              <w:autoSpaceDN/>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在河南信息统计职业学院新校区建设项目二期（统计与大数据产教融合实训基地项目）概算</w:t>
            </w:r>
            <w:r>
              <w:rPr>
                <w:rFonts w:hint="eastAsia" w:cs="宋体"/>
              </w:rPr>
              <w:t>范围内项目，详</w:t>
            </w:r>
            <w:r>
              <w:rPr>
                <w:rFonts w:hint="eastAsia" w:cs="宋体"/>
                <w:color w:val="000000" w:themeColor="text1"/>
                <w14:textFill>
                  <w14:solidFill>
                    <w14:schemeClr w14:val="tx1"/>
                  </w14:solidFill>
                </w14:textFill>
              </w:rPr>
              <w:t>见概算文件、相关图纸。</w:t>
            </w:r>
          </w:p>
          <w:p>
            <w:pPr>
              <w:autoSpaceDE/>
              <w:autoSpaceDN/>
              <w:ind w:firstLine="0" w:firstLineChars="0"/>
            </w:pPr>
            <w:r>
              <w:rPr>
                <w:rFonts w:hint="eastAsia" w:cs="宋体"/>
                <w:color w:val="000000" w:themeColor="text1"/>
                <w14:textFill>
                  <w14:solidFill>
                    <w14:schemeClr w14:val="tx1"/>
                  </w14:solidFill>
                </w14:textFill>
              </w:rPr>
              <w:t>合同签订后，在监理项目实施过程中，在采购预算范围内招标人可以根据实际情况对概算范围内项目进行增减，具体以委托任务书为准，投标人应对此知悉并认可</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szCs w:val="21"/>
              </w:rPr>
              <w:t>1.3.2</w:t>
            </w:r>
          </w:p>
        </w:tc>
        <w:tc>
          <w:tcPr>
            <w:tcW w:w="1785" w:type="dxa"/>
            <w:shd w:val="clear" w:color="auto" w:fill="auto"/>
            <w:vAlign w:val="center"/>
          </w:tcPr>
          <w:p>
            <w:pPr>
              <w:ind w:firstLine="0" w:firstLineChars="0"/>
              <w:jc w:val="center"/>
              <w:rPr>
                <w:rFonts w:cs="宋体"/>
                <w:szCs w:val="21"/>
              </w:rPr>
            </w:pPr>
            <w:r>
              <w:rPr>
                <w:rFonts w:hint="eastAsia" w:cs="宋体"/>
                <w:szCs w:val="21"/>
              </w:rPr>
              <w:t>监理服务期限</w:t>
            </w:r>
          </w:p>
        </w:tc>
        <w:tc>
          <w:tcPr>
            <w:tcW w:w="7233" w:type="dxa"/>
            <w:shd w:val="clear" w:color="auto" w:fill="auto"/>
            <w:vAlign w:val="center"/>
          </w:tcPr>
          <w:p>
            <w:pPr>
              <w:autoSpaceDE/>
              <w:autoSpaceDN/>
              <w:ind w:firstLine="0" w:firstLineChars="0"/>
              <w:jc w:val="both"/>
            </w:pPr>
            <w:r>
              <w:rPr>
                <w:rFonts w:hint="eastAsia" w:cs="宋体"/>
              </w:rPr>
              <w:t>自合同签订之日起至项目缺陷责任期满或至项目审计结束（结束时间以后发生者时间为准）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szCs w:val="21"/>
              </w:rPr>
              <w:t>1.3.3</w:t>
            </w:r>
          </w:p>
        </w:tc>
        <w:tc>
          <w:tcPr>
            <w:tcW w:w="1785" w:type="dxa"/>
            <w:vAlign w:val="center"/>
          </w:tcPr>
          <w:p>
            <w:pPr>
              <w:ind w:firstLine="0" w:firstLineChars="0"/>
              <w:jc w:val="center"/>
              <w:rPr>
                <w:rFonts w:cs="宋体"/>
                <w:szCs w:val="21"/>
              </w:rPr>
            </w:pPr>
            <w:r>
              <w:rPr>
                <w:rFonts w:hint="eastAsia" w:cs="宋体"/>
                <w:szCs w:val="21"/>
              </w:rPr>
              <w:t>质量控制目标</w:t>
            </w:r>
          </w:p>
        </w:tc>
        <w:tc>
          <w:tcPr>
            <w:tcW w:w="7233" w:type="dxa"/>
            <w:vAlign w:val="center"/>
          </w:tcPr>
          <w:p>
            <w:pPr>
              <w:ind w:firstLine="0" w:firstLineChars="0"/>
              <w:jc w:val="both"/>
              <w:rPr>
                <w:rFonts w:cs="宋体"/>
                <w:szCs w:val="21"/>
              </w:rPr>
            </w:pPr>
            <w:r>
              <w:rPr>
                <w:rFonts w:hint="eastAsia" w:cs="宋体"/>
              </w:rPr>
              <w:t>达到国家质量验收规范合格及以上标准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szCs w:val="21"/>
              </w:rPr>
              <w:t>1.3.4</w:t>
            </w:r>
          </w:p>
        </w:tc>
        <w:tc>
          <w:tcPr>
            <w:tcW w:w="1785" w:type="dxa"/>
            <w:vAlign w:val="center"/>
          </w:tcPr>
          <w:p>
            <w:pPr>
              <w:ind w:firstLine="0" w:firstLineChars="0"/>
              <w:jc w:val="center"/>
              <w:rPr>
                <w:rFonts w:cs="宋体"/>
                <w:szCs w:val="21"/>
              </w:rPr>
            </w:pPr>
            <w:r>
              <w:rPr>
                <w:rFonts w:hint="eastAsia" w:cs="宋体"/>
                <w:szCs w:val="21"/>
              </w:rPr>
              <w:t>安全控制目标</w:t>
            </w:r>
          </w:p>
        </w:tc>
        <w:tc>
          <w:tcPr>
            <w:tcW w:w="7233" w:type="dxa"/>
            <w:vAlign w:val="center"/>
          </w:tcPr>
          <w:p>
            <w:pPr>
              <w:ind w:firstLine="0" w:firstLineChars="0"/>
              <w:jc w:val="both"/>
              <w:rPr>
                <w:rFonts w:cs="宋体"/>
                <w:szCs w:val="21"/>
              </w:rPr>
            </w:pPr>
            <w:r>
              <w:rPr>
                <w:rFonts w:hint="eastAsia" w:cs="Tahoma" w:asciiTheme="minorEastAsia" w:hAnsiTheme="minorEastAsia"/>
                <w:bCs/>
                <w:kern w:val="0"/>
                <w:szCs w:val="21"/>
              </w:rPr>
              <w:t>保证在建工程的质量、规范和安全，不发生人员伤亡事故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862" w:type="dxa"/>
            <w:vAlign w:val="center"/>
          </w:tcPr>
          <w:p>
            <w:pPr>
              <w:ind w:firstLine="0" w:firstLineChars="0"/>
              <w:jc w:val="center"/>
              <w:rPr>
                <w:rFonts w:cs="宋体"/>
                <w:szCs w:val="21"/>
              </w:rPr>
            </w:pPr>
            <w:r>
              <w:rPr>
                <w:rFonts w:hint="eastAsia" w:cs="宋体"/>
                <w:szCs w:val="21"/>
              </w:rPr>
              <w:t>1.4.1</w:t>
            </w:r>
          </w:p>
        </w:tc>
        <w:tc>
          <w:tcPr>
            <w:tcW w:w="1785" w:type="dxa"/>
            <w:vAlign w:val="center"/>
          </w:tcPr>
          <w:p>
            <w:pPr>
              <w:ind w:firstLine="0" w:firstLineChars="0"/>
              <w:jc w:val="center"/>
              <w:rPr>
                <w:rFonts w:cs="宋体"/>
                <w:szCs w:val="21"/>
              </w:rPr>
            </w:pPr>
            <w:r>
              <w:rPr>
                <w:rFonts w:hint="eastAsia" w:cs="宋体"/>
                <w:szCs w:val="21"/>
              </w:rPr>
              <w:t>投标人资质条件、能力、信誉</w:t>
            </w:r>
          </w:p>
        </w:tc>
        <w:tc>
          <w:tcPr>
            <w:tcW w:w="7233" w:type="dxa"/>
            <w:vAlign w:val="center"/>
          </w:tcPr>
          <w:p>
            <w:pPr>
              <w:autoSpaceDE/>
              <w:autoSpaceDN/>
              <w:ind w:firstLine="0" w:firstLineChars="0"/>
              <w:rPr>
                <w:rFonts w:hint="default" w:eastAsia="宋体" w:cs="宋体"/>
                <w:szCs w:val="21"/>
                <w:lang w:val="en-US" w:eastAsia="zh-CN"/>
              </w:rPr>
            </w:pPr>
            <w:r>
              <w:rPr>
                <w:rFonts w:hint="eastAsia" w:cs="宋体"/>
                <w:b/>
                <w:bCs/>
                <w:lang w:val="en-US"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1.4.2</w:t>
            </w:r>
          </w:p>
        </w:tc>
        <w:tc>
          <w:tcPr>
            <w:tcW w:w="1785" w:type="dxa"/>
            <w:vAlign w:val="center"/>
          </w:tcPr>
          <w:p>
            <w:pPr>
              <w:ind w:firstLine="0" w:firstLineChars="0"/>
              <w:jc w:val="center"/>
              <w:rPr>
                <w:rFonts w:cs="宋体"/>
                <w:szCs w:val="21"/>
              </w:rPr>
            </w:pPr>
            <w:r>
              <w:rPr>
                <w:rFonts w:hint="eastAsia" w:cs="宋体"/>
                <w:kern w:val="0"/>
                <w:szCs w:val="21"/>
              </w:rPr>
              <w:t>是否接受联合体投标</w:t>
            </w:r>
          </w:p>
        </w:tc>
        <w:tc>
          <w:tcPr>
            <w:tcW w:w="7233" w:type="dxa"/>
            <w:vAlign w:val="center"/>
          </w:tcPr>
          <w:p>
            <w:pPr>
              <w:ind w:firstLine="0" w:firstLineChars="0"/>
              <w:jc w:val="both"/>
              <w:rPr>
                <w:rFonts w:cs="宋体"/>
                <w:szCs w:val="21"/>
              </w:rPr>
            </w:pPr>
            <w:r>
              <w:rPr>
                <w:rFonts w:hint="eastAsia" w:cs="宋体"/>
                <w:b/>
                <w:bCs/>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1.4.3</w:t>
            </w:r>
          </w:p>
        </w:tc>
        <w:tc>
          <w:tcPr>
            <w:tcW w:w="1785" w:type="dxa"/>
            <w:vAlign w:val="center"/>
          </w:tcPr>
          <w:p>
            <w:pPr>
              <w:ind w:firstLine="0" w:firstLineChars="0"/>
              <w:jc w:val="center"/>
              <w:rPr>
                <w:rFonts w:cs="宋体"/>
                <w:szCs w:val="21"/>
              </w:rPr>
            </w:pPr>
            <w:r>
              <w:rPr>
                <w:rFonts w:hint="eastAsia" w:cs="宋体"/>
                <w:kern w:val="0"/>
                <w:szCs w:val="21"/>
              </w:rPr>
              <w:t>投标人不得存在的其他情形</w:t>
            </w:r>
          </w:p>
        </w:tc>
        <w:tc>
          <w:tcPr>
            <w:tcW w:w="7233" w:type="dxa"/>
            <w:vAlign w:val="center"/>
          </w:tcPr>
          <w:p>
            <w:pPr>
              <w:ind w:firstLine="0" w:firstLineChars="0"/>
              <w:jc w:val="both"/>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1.9.1</w:t>
            </w:r>
          </w:p>
        </w:tc>
        <w:tc>
          <w:tcPr>
            <w:tcW w:w="1785" w:type="dxa"/>
            <w:vAlign w:val="center"/>
          </w:tcPr>
          <w:p>
            <w:pPr>
              <w:ind w:firstLine="0" w:firstLineChars="0"/>
              <w:jc w:val="center"/>
              <w:rPr>
                <w:rFonts w:cs="宋体"/>
                <w:szCs w:val="21"/>
              </w:rPr>
            </w:pPr>
            <w:r>
              <w:rPr>
                <w:rFonts w:hint="eastAsia" w:cs="宋体"/>
                <w:kern w:val="0"/>
                <w:szCs w:val="21"/>
              </w:rPr>
              <w:t>踏勘现场</w:t>
            </w:r>
          </w:p>
        </w:tc>
        <w:tc>
          <w:tcPr>
            <w:tcW w:w="7233" w:type="dxa"/>
            <w:vAlign w:val="center"/>
          </w:tcPr>
          <w:p>
            <w:pPr>
              <w:ind w:firstLine="0" w:firstLineChars="0"/>
              <w:jc w:val="both"/>
              <w:rPr>
                <w:rFonts w:cs="宋体"/>
                <w:szCs w:val="21"/>
              </w:rPr>
            </w:pPr>
            <w:r>
              <w:rPr>
                <w:rFonts w:hint="eastAsia" w:cs="宋体"/>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1.10.1</w:t>
            </w:r>
          </w:p>
        </w:tc>
        <w:tc>
          <w:tcPr>
            <w:tcW w:w="1785" w:type="dxa"/>
            <w:vAlign w:val="center"/>
          </w:tcPr>
          <w:p>
            <w:pPr>
              <w:ind w:firstLine="0" w:firstLineChars="0"/>
              <w:jc w:val="center"/>
              <w:rPr>
                <w:rFonts w:cs="宋体"/>
                <w:szCs w:val="21"/>
              </w:rPr>
            </w:pPr>
            <w:r>
              <w:rPr>
                <w:rFonts w:hint="eastAsia" w:cs="宋体"/>
                <w:kern w:val="0"/>
                <w:szCs w:val="21"/>
              </w:rPr>
              <w:t>投标预备会</w:t>
            </w:r>
          </w:p>
        </w:tc>
        <w:tc>
          <w:tcPr>
            <w:tcW w:w="7233" w:type="dxa"/>
            <w:vAlign w:val="center"/>
          </w:tcPr>
          <w:p>
            <w:pPr>
              <w:ind w:firstLine="0" w:firstLineChars="0"/>
              <w:jc w:val="both"/>
              <w:rPr>
                <w:rFonts w:cs="宋体"/>
                <w:szCs w:val="21"/>
              </w:rPr>
            </w:pPr>
            <w:r>
              <w:rPr>
                <w:rFonts w:hint="eastAsia" w:cs="宋体"/>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2" w:type="dxa"/>
            <w:vMerge w:val="restart"/>
            <w:vAlign w:val="center"/>
          </w:tcPr>
          <w:p>
            <w:pPr>
              <w:ind w:firstLine="0" w:firstLineChars="0"/>
              <w:jc w:val="center"/>
              <w:rPr>
                <w:rFonts w:cs="宋体"/>
                <w:szCs w:val="21"/>
              </w:rPr>
            </w:pPr>
            <w:r>
              <w:rPr>
                <w:rFonts w:hint="eastAsia" w:cs="宋体"/>
                <w:kern w:val="0"/>
                <w:szCs w:val="21"/>
              </w:rPr>
              <w:t>1.10.2</w:t>
            </w:r>
          </w:p>
        </w:tc>
        <w:tc>
          <w:tcPr>
            <w:tcW w:w="1785" w:type="dxa"/>
            <w:vMerge w:val="restart"/>
            <w:vAlign w:val="center"/>
          </w:tcPr>
          <w:p>
            <w:pPr>
              <w:ind w:firstLine="0" w:firstLineChars="0"/>
              <w:jc w:val="center"/>
              <w:rPr>
                <w:rFonts w:cs="宋体"/>
                <w:szCs w:val="21"/>
              </w:rPr>
            </w:pPr>
            <w:r>
              <w:rPr>
                <w:rFonts w:hint="eastAsia" w:cs="宋体"/>
                <w:kern w:val="0"/>
                <w:szCs w:val="21"/>
              </w:rPr>
              <w:t>投标人在投标预备会前提出问题</w:t>
            </w:r>
          </w:p>
        </w:tc>
        <w:tc>
          <w:tcPr>
            <w:tcW w:w="7233" w:type="dxa"/>
            <w:vAlign w:val="center"/>
          </w:tcPr>
          <w:p>
            <w:pPr>
              <w:ind w:firstLine="0" w:firstLineChars="0"/>
              <w:jc w:val="both"/>
              <w:rPr>
                <w:rFonts w:cs="宋体"/>
                <w:szCs w:val="21"/>
              </w:rPr>
            </w:pPr>
            <w:r>
              <w:rPr>
                <w:rFonts w:hint="eastAsia" w:cs="宋体"/>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pPr>
              <w:ind w:firstLine="0" w:firstLineChars="0"/>
              <w:jc w:val="center"/>
              <w:rPr>
                <w:rFonts w:cs="宋体"/>
                <w:szCs w:val="21"/>
              </w:rPr>
            </w:pPr>
          </w:p>
        </w:tc>
        <w:tc>
          <w:tcPr>
            <w:tcW w:w="1785" w:type="dxa"/>
            <w:vMerge w:val="continue"/>
            <w:vAlign w:val="center"/>
          </w:tcPr>
          <w:p>
            <w:pPr>
              <w:ind w:firstLine="0" w:firstLineChars="0"/>
              <w:jc w:val="center"/>
              <w:rPr>
                <w:rFonts w:cs="宋体"/>
                <w:szCs w:val="21"/>
              </w:rPr>
            </w:pPr>
          </w:p>
        </w:tc>
        <w:tc>
          <w:tcPr>
            <w:tcW w:w="7233" w:type="dxa"/>
            <w:vAlign w:val="center"/>
          </w:tcPr>
          <w:p>
            <w:pPr>
              <w:ind w:firstLine="0" w:firstLineChars="0"/>
              <w:jc w:val="both"/>
              <w:rPr>
                <w:rFonts w:cs="宋体"/>
                <w:szCs w:val="21"/>
              </w:rPr>
            </w:pPr>
            <w:r>
              <w:rPr>
                <w:rFonts w:hint="eastAsia" w:cs="宋体"/>
                <w:szCs w:val="21"/>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62" w:type="dxa"/>
            <w:vAlign w:val="center"/>
          </w:tcPr>
          <w:p>
            <w:pPr>
              <w:ind w:firstLine="0" w:firstLineChars="0"/>
              <w:jc w:val="center"/>
              <w:rPr>
                <w:rFonts w:cs="宋体"/>
                <w:szCs w:val="21"/>
              </w:rPr>
            </w:pPr>
            <w:r>
              <w:rPr>
                <w:rFonts w:hint="eastAsia" w:cs="宋体"/>
                <w:kern w:val="0"/>
                <w:szCs w:val="21"/>
              </w:rPr>
              <w:t>1.10.3</w:t>
            </w:r>
          </w:p>
        </w:tc>
        <w:tc>
          <w:tcPr>
            <w:tcW w:w="1785" w:type="dxa"/>
            <w:vAlign w:val="center"/>
          </w:tcPr>
          <w:p>
            <w:pPr>
              <w:ind w:firstLine="0" w:firstLineChars="0"/>
              <w:jc w:val="center"/>
              <w:rPr>
                <w:rFonts w:cs="宋体"/>
                <w:szCs w:val="21"/>
              </w:rPr>
            </w:pPr>
            <w:r>
              <w:rPr>
                <w:rFonts w:hint="eastAsia" w:cs="宋体"/>
                <w:szCs w:val="21"/>
              </w:rPr>
              <w:t>招标文件澄清发出的形式</w:t>
            </w:r>
          </w:p>
        </w:tc>
        <w:tc>
          <w:tcPr>
            <w:tcW w:w="7233" w:type="dxa"/>
            <w:vAlign w:val="center"/>
          </w:tcPr>
          <w:p>
            <w:pPr>
              <w:ind w:firstLine="0" w:firstLineChars="0"/>
              <w:jc w:val="both"/>
              <w:rPr>
                <w:rFonts w:cs="宋体"/>
                <w:szCs w:val="21"/>
              </w:rPr>
            </w:pPr>
            <w:r>
              <w:rPr>
                <w:rFonts w:hint="eastAsia" w:cs="宋体"/>
                <w:szCs w:val="21"/>
              </w:rPr>
              <w:t>在原公告发布媒体上发布澄清或修改公告，投标人在投标截止时间前须自行查看，因投标人未及时查看而造成的后果自负。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1.12.1</w:t>
            </w:r>
          </w:p>
        </w:tc>
        <w:tc>
          <w:tcPr>
            <w:tcW w:w="1785" w:type="dxa"/>
            <w:vAlign w:val="center"/>
          </w:tcPr>
          <w:p>
            <w:pPr>
              <w:ind w:firstLine="0" w:firstLineChars="0"/>
              <w:jc w:val="center"/>
              <w:rPr>
                <w:rFonts w:cs="宋体"/>
                <w:szCs w:val="21"/>
              </w:rPr>
            </w:pPr>
            <w:r>
              <w:rPr>
                <w:rFonts w:hint="eastAsia" w:cs="宋体"/>
                <w:szCs w:val="21"/>
              </w:rPr>
              <w:t>实质性要求和条件</w:t>
            </w:r>
          </w:p>
        </w:tc>
        <w:tc>
          <w:tcPr>
            <w:tcW w:w="7233" w:type="dxa"/>
            <w:vAlign w:val="center"/>
          </w:tcPr>
          <w:p>
            <w:pPr>
              <w:ind w:firstLine="0" w:firstLineChars="0"/>
              <w:jc w:val="both"/>
              <w:rPr>
                <w:rFonts w:cs="宋体"/>
                <w:szCs w:val="21"/>
              </w:rPr>
            </w:pPr>
            <w:r>
              <w:rPr>
                <w:rFonts w:hint="eastAsia" w:cs="宋体"/>
                <w:szCs w:val="21"/>
              </w:rPr>
              <w:t>同第三章“评标办法前附表”第2.1.3项规定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1.12.3</w:t>
            </w:r>
          </w:p>
        </w:tc>
        <w:tc>
          <w:tcPr>
            <w:tcW w:w="1785" w:type="dxa"/>
            <w:vAlign w:val="center"/>
          </w:tcPr>
          <w:p>
            <w:pPr>
              <w:ind w:firstLine="0" w:firstLineChars="0"/>
              <w:jc w:val="center"/>
              <w:rPr>
                <w:rFonts w:cs="宋体"/>
                <w:szCs w:val="21"/>
              </w:rPr>
            </w:pPr>
            <w:r>
              <w:rPr>
                <w:rFonts w:hint="eastAsia" w:cs="宋体"/>
                <w:szCs w:val="21"/>
              </w:rPr>
              <w:t>偏差</w:t>
            </w:r>
          </w:p>
        </w:tc>
        <w:tc>
          <w:tcPr>
            <w:tcW w:w="7233" w:type="dxa"/>
            <w:vAlign w:val="center"/>
          </w:tcPr>
          <w:p>
            <w:pPr>
              <w:ind w:firstLine="0" w:firstLineChars="0"/>
              <w:jc w:val="both"/>
              <w:rPr>
                <w:rFonts w:cs="宋体"/>
                <w:szCs w:val="21"/>
              </w:rPr>
            </w:pPr>
            <w:r>
              <w:rPr>
                <w:rFonts w:hint="eastAsia"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2.1</w:t>
            </w:r>
          </w:p>
        </w:tc>
        <w:tc>
          <w:tcPr>
            <w:tcW w:w="1785" w:type="dxa"/>
            <w:vAlign w:val="center"/>
          </w:tcPr>
          <w:p>
            <w:pPr>
              <w:ind w:firstLine="0" w:firstLineChars="0"/>
              <w:jc w:val="center"/>
              <w:rPr>
                <w:rFonts w:cs="宋体"/>
                <w:szCs w:val="21"/>
              </w:rPr>
            </w:pPr>
            <w:r>
              <w:rPr>
                <w:rFonts w:hint="eastAsia" w:cs="宋体"/>
                <w:szCs w:val="21"/>
              </w:rPr>
              <w:t>构成招标文件的其他资料</w:t>
            </w:r>
          </w:p>
        </w:tc>
        <w:tc>
          <w:tcPr>
            <w:tcW w:w="7233" w:type="dxa"/>
            <w:vAlign w:val="center"/>
          </w:tcPr>
          <w:p>
            <w:pPr>
              <w:ind w:firstLine="0" w:firstLineChars="0"/>
              <w:jc w:val="both"/>
              <w:rPr>
                <w:rFonts w:cs="宋体"/>
                <w:szCs w:val="21"/>
              </w:rPr>
            </w:pPr>
            <w:r>
              <w:rPr>
                <w:rFonts w:hint="eastAsia" w:cs="宋体"/>
                <w:szCs w:val="21"/>
              </w:rPr>
              <w:t>招标文件的澄清、修改、补充等文件；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restart"/>
            <w:vAlign w:val="center"/>
          </w:tcPr>
          <w:p>
            <w:pPr>
              <w:ind w:firstLine="0" w:firstLineChars="0"/>
              <w:jc w:val="center"/>
              <w:rPr>
                <w:rFonts w:cs="宋体"/>
                <w:szCs w:val="21"/>
              </w:rPr>
            </w:pPr>
            <w:r>
              <w:rPr>
                <w:rFonts w:hint="eastAsia" w:cs="宋体"/>
                <w:kern w:val="0"/>
                <w:szCs w:val="21"/>
              </w:rPr>
              <w:t>2.2.1</w:t>
            </w:r>
          </w:p>
        </w:tc>
        <w:tc>
          <w:tcPr>
            <w:tcW w:w="1785" w:type="dxa"/>
            <w:vMerge w:val="restart"/>
            <w:vAlign w:val="center"/>
          </w:tcPr>
          <w:p>
            <w:pPr>
              <w:ind w:firstLine="0" w:firstLineChars="0"/>
              <w:jc w:val="center"/>
              <w:rPr>
                <w:rFonts w:cs="宋体"/>
                <w:szCs w:val="21"/>
              </w:rPr>
            </w:pPr>
            <w:r>
              <w:rPr>
                <w:rFonts w:hint="eastAsia" w:cs="宋体"/>
                <w:kern w:val="0"/>
                <w:szCs w:val="21"/>
              </w:rPr>
              <w:t>投标人要求澄清招标文件</w:t>
            </w:r>
          </w:p>
        </w:tc>
        <w:tc>
          <w:tcPr>
            <w:tcW w:w="7233" w:type="dxa"/>
            <w:vAlign w:val="center"/>
          </w:tcPr>
          <w:p>
            <w:pPr>
              <w:ind w:firstLine="0" w:firstLineChars="0"/>
              <w:jc w:val="both"/>
              <w:rPr>
                <w:rFonts w:cs="宋体"/>
                <w:szCs w:val="21"/>
              </w:rPr>
            </w:pPr>
            <w:r>
              <w:rPr>
                <w:rFonts w:hint="eastAsia" w:cs="宋体"/>
                <w:szCs w:val="21"/>
              </w:rPr>
              <w:t>时间：递交投标文件的截止之日15日前。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pPr>
              <w:ind w:firstLine="0" w:firstLineChars="0"/>
              <w:jc w:val="center"/>
              <w:rPr>
                <w:rFonts w:cs="宋体"/>
                <w:szCs w:val="21"/>
              </w:rPr>
            </w:pPr>
          </w:p>
        </w:tc>
        <w:tc>
          <w:tcPr>
            <w:tcW w:w="1785" w:type="dxa"/>
            <w:vMerge w:val="continue"/>
            <w:vAlign w:val="center"/>
          </w:tcPr>
          <w:p>
            <w:pPr>
              <w:ind w:firstLine="0" w:firstLineChars="0"/>
              <w:jc w:val="center"/>
              <w:rPr>
                <w:rFonts w:cs="宋体"/>
                <w:szCs w:val="21"/>
              </w:rPr>
            </w:pPr>
          </w:p>
        </w:tc>
        <w:tc>
          <w:tcPr>
            <w:tcW w:w="7233" w:type="dxa"/>
            <w:vAlign w:val="center"/>
          </w:tcPr>
          <w:p>
            <w:pPr>
              <w:ind w:firstLine="0" w:firstLineChars="0"/>
              <w:jc w:val="both"/>
              <w:rPr>
                <w:rFonts w:cs="宋体"/>
                <w:szCs w:val="21"/>
              </w:rPr>
            </w:pPr>
            <w:r>
              <w:rPr>
                <w:rFonts w:hint="eastAsia" w:cs="宋体"/>
                <w:szCs w:val="21"/>
              </w:rPr>
              <w:t>形式：在《河南省公共资源交易中心》电子交易平台提出。招标人仅对规定时间内提出的问题进行答复，但不指明问题来源。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2.2.2</w:t>
            </w:r>
          </w:p>
        </w:tc>
        <w:tc>
          <w:tcPr>
            <w:tcW w:w="1785" w:type="dxa"/>
            <w:vAlign w:val="center"/>
          </w:tcPr>
          <w:p>
            <w:pPr>
              <w:ind w:firstLine="0" w:firstLineChars="0"/>
              <w:jc w:val="center"/>
              <w:rPr>
                <w:rFonts w:cs="宋体"/>
                <w:szCs w:val="21"/>
              </w:rPr>
            </w:pPr>
            <w:r>
              <w:rPr>
                <w:rFonts w:hint="eastAsia" w:cs="宋体"/>
                <w:kern w:val="0"/>
                <w:szCs w:val="21"/>
              </w:rPr>
              <w:t>招标文件澄清发出的形式</w:t>
            </w:r>
          </w:p>
        </w:tc>
        <w:tc>
          <w:tcPr>
            <w:tcW w:w="7233" w:type="dxa"/>
            <w:vAlign w:val="center"/>
          </w:tcPr>
          <w:p>
            <w:pPr>
              <w:ind w:firstLine="0" w:firstLineChars="0"/>
              <w:jc w:val="both"/>
              <w:rPr>
                <w:rFonts w:cs="宋体"/>
                <w:szCs w:val="21"/>
              </w:rPr>
            </w:pPr>
            <w:r>
              <w:rPr>
                <w:rFonts w:hint="eastAsia" w:cs="宋体"/>
                <w:szCs w:val="21"/>
              </w:rPr>
              <w:t>在《河南省公共资源交易中心》电子交易平台发布，投标人在《河南省公共资源交易中心》电子交易平台自行下载查看。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restart"/>
            <w:vAlign w:val="center"/>
          </w:tcPr>
          <w:p>
            <w:pPr>
              <w:ind w:firstLine="0" w:firstLineChars="0"/>
              <w:jc w:val="center"/>
              <w:rPr>
                <w:rFonts w:cs="宋体"/>
                <w:szCs w:val="21"/>
              </w:rPr>
            </w:pPr>
            <w:r>
              <w:rPr>
                <w:rFonts w:hint="eastAsia" w:cs="宋体"/>
                <w:kern w:val="0"/>
                <w:szCs w:val="21"/>
              </w:rPr>
              <w:t>2.2.3</w:t>
            </w:r>
          </w:p>
        </w:tc>
        <w:tc>
          <w:tcPr>
            <w:tcW w:w="1785" w:type="dxa"/>
            <w:vMerge w:val="restart"/>
            <w:vAlign w:val="center"/>
          </w:tcPr>
          <w:p>
            <w:pPr>
              <w:ind w:firstLine="0" w:firstLineChars="0"/>
              <w:jc w:val="center"/>
              <w:rPr>
                <w:rFonts w:cs="宋体"/>
                <w:szCs w:val="21"/>
              </w:rPr>
            </w:pPr>
            <w:r>
              <w:rPr>
                <w:rFonts w:hint="eastAsia" w:cs="宋体"/>
                <w:kern w:val="0"/>
                <w:szCs w:val="21"/>
              </w:rPr>
              <w:t>投标人确认收到招标文件澄清</w:t>
            </w:r>
          </w:p>
        </w:tc>
        <w:tc>
          <w:tcPr>
            <w:tcW w:w="7233" w:type="dxa"/>
            <w:tcBorders>
              <w:bottom w:val="single" w:color="000000" w:sz="4" w:space="0"/>
            </w:tcBorders>
            <w:vAlign w:val="center"/>
          </w:tcPr>
          <w:p>
            <w:pPr>
              <w:ind w:firstLine="0" w:firstLineChars="0"/>
              <w:jc w:val="both"/>
              <w:rPr>
                <w:rFonts w:cs="宋体"/>
                <w:szCs w:val="21"/>
              </w:rPr>
            </w:pPr>
            <w:r>
              <w:rPr>
                <w:rFonts w:hint="eastAsia" w:cs="宋体"/>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pPr>
              <w:ind w:firstLine="0" w:firstLineChars="0"/>
              <w:jc w:val="center"/>
              <w:rPr>
                <w:rFonts w:cs="宋体"/>
                <w:kern w:val="0"/>
                <w:szCs w:val="21"/>
              </w:rPr>
            </w:pPr>
          </w:p>
        </w:tc>
        <w:tc>
          <w:tcPr>
            <w:tcW w:w="1785" w:type="dxa"/>
            <w:vMerge w:val="continue"/>
            <w:vAlign w:val="center"/>
          </w:tcPr>
          <w:p>
            <w:pPr>
              <w:ind w:firstLine="0" w:firstLineChars="0"/>
              <w:jc w:val="center"/>
              <w:rPr>
                <w:rFonts w:cs="宋体"/>
                <w:kern w:val="0"/>
                <w:szCs w:val="21"/>
              </w:rPr>
            </w:pPr>
          </w:p>
        </w:tc>
        <w:tc>
          <w:tcPr>
            <w:tcW w:w="7233" w:type="dxa"/>
            <w:tcBorders>
              <w:top w:val="single" w:color="000000" w:sz="4" w:space="0"/>
            </w:tcBorders>
            <w:vAlign w:val="center"/>
          </w:tcPr>
          <w:p>
            <w:pPr>
              <w:ind w:firstLine="0" w:firstLineChars="0"/>
              <w:jc w:val="both"/>
              <w:rPr>
                <w:rFonts w:cs="宋体"/>
                <w:szCs w:val="21"/>
              </w:rPr>
            </w:pPr>
            <w:r>
              <w:rPr>
                <w:rFonts w:hint="eastAsia" w:cs="宋体"/>
                <w:szCs w:val="21"/>
              </w:rPr>
              <w:t>形式：</w:t>
            </w:r>
            <w:r>
              <w:rPr>
                <w:rFonts w:hint="eastAsia" w:ascii="Times New Roman" w:hAnsi="Times New Roman"/>
                <w:szCs w:val="21"/>
              </w:rPr>
              <w:t>澄清内容一经在《河南省公共资源交易中心》电子交易平台发布，视作已送达所有投标人，并对投标人具有约束力。投标人在投标截止时间前须自行查看、下载招标文件的澄清，因投标人未及时查看和下载而造成的后果自负。</w:t>
            </w:r>
            <w:r>
              <w:rPr>
                <w:rFonts w:hint="eastAsia" w:ascii="Times New Roman" w:hAnsi="Times New Roman"/>
                <w:b/>
                <w:szCs w:val="21"/>
              </w:rPr>
              <w:t>各投标人须重新下载最新的澄清文件，并据此编制投标文件。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2.3.1</w:t>
            </w:r>
          </w:p>
        </w:tc>
        <w:tc>
          <w:tcPr>
            <w:tcW w:w="1785" w:type="dxa"/>
            <w:vAlign w:val="center"/>
          </w:tcPr>
          <w:p>
            <w:pPr>
              <w:ind w:firstLine="0" w:firstLineChars="0"/>
              <w:jc w:val="center"/>
              <w:rPr>
                <w:rFonts w:cs="宋体"/>
                <w:szCs w:val="21"/>
              </w:rPr>
            </w:pPr>
            <w:r>
              <w:rPr>
                <w:rFonts w:hint="eastAsia" w:cs="宋体"/>
                <w:kern w:val="0"/>
                <w:szCs w:val="21"/>
              </w:rPr>
              <w:t>招标文件修改发出的形式</w:t>
            </w:r>
          </w:p>
        </w:tc>
        <w:tc>
          <w:tcPr>
            <w:tcW w:w="7233" w:type="dxa"/>
            <w:vAlign w:val="center"/>
          </w:tcPr>
          <w:p>
            <w:pPr>
              <w:ind w:firstLine="0" w:firstLineChars="0"/>
              <w:jc w:val="both"/>
              <w:rPr>
                <w:rFonts w:cs="宋体"/>
                <w:szCs w:val="21"/>
              </w:rPr>
            </w:pPr>
            <w:r>
              <w:rPr>
                <w:rFonts w:hint="eastAsia" w:cs="宋体"/>
                <w:szCs w:val="21"/>
              </w:rPr>
              <w:t>在《河南省公共资源交易中心》电子交易平台发布，投标人在《河南省公共资源交易中心》电子交易平台自行下载查看。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restart"/>
            <w:vAlign w:val="center"/>
          </w:tcPr>
          <w:p>
            <w:pPr>
              <w:ind w:firstLine="0" w:firstLineChars="0"/>
              <w:jc w:val="center"/>
              <w:rPr>
                <w:rFonts w:cs="宋体"/>
                <w:szCs w:val="21"/>
              </w:rPr>
            </w:pPr>
            <w:r>
              <w:rPr>
                <w:rFonts w:hint="eastAsia" w:cs="宋体"/>
                <w:kern w:val="0"/>
                <w:szCs w:val="21"/>
              </w:rPr>
              <w:t>2.3.2</w:t>
            </w:r>
          </w:p>
        </w:tc>
        <w:tc>
          <w:tcPr>
            <w:tcW w:w="1785" w:type="dxa"/>
            <w:vMerge w:val="restart"/>
            <w:vAlign w:val="center"/>
          </w:tcPr>
          <w:p>
            <w:pPr>
              <w:ind w:firstLine="0" w:firstLineChars="0"/>
              <w:jc w:val="center"/>
              <w:rPr>
                <w:rFonts w:cs="宋体"/>
                <w:szCs w:val="21"/>
              </w:rPr>
            </w:pPr>
            <w:r>
              <w:rPr>
                <w:rFonts w:hint="eastAsia" w:cs="宋体"/>
                <w:kern w:val="0"/>
                <w:szCs w:val="21"/>
              </w:rPr>
              <w:t>投标人确认收到招标文件修改</w:t>
            </w:r>
          </w:p>
        </w:tc>
        <w:tc>
          <w:tcPr>
            <w:tcW w:w="7233" w:type="dxa"/>
            <w:tcBorders>
              <w:bottom w:val="single" w:color="000000" w:sz="4" w:space="0"/>
            </w:tcBorders>
            <w:vAlign w:val="center"/>
          </w:tcPr>
          <w:p>
            <w:pPr>
              <w:ind w:firstLine="0" w:firstLineChars="0"/>
              <w:jc w:val="both"/>
              <w:rPr>
                <w:rFonts w:cs="宋体"/>
                <w:kern w:val="0"/>
                <w:szCs w:val="21"/>
              </w:rPr>
            </w:pPr>
            <w:r>
              <w:rPr>
                <w:rFonts w:hint="eastAsia" w:cs="宋体"/>
                <w:kern w:val="0"/>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Merge w:val="continue"/>
            <w:vAlign w:val="center"/>
          </w:tcPr>
          <w:p>
            <w:pPr>
              <w:ind w:firstLine="0" w:firstLineChars="0"/>
              <w:jc w:val="center"/>
              <w:rPr>
                <w:rFonts w:cs="宋体"/>
                <w:kern w:val="0"/>
                <w:szCs w:val="21"/>
              </w:rPr>
            </w:pPr>
          </w:p>
        </w:tc>
        <w:tc>
          <w:tcPr>
            <w:tcW w:w="1785" w:type="dxa"/>
            <w:vMerge w:val="continue"/>
            <w:vAlign w:val="center"/>
          </w:tcPr>
          <w:p>
            <w:pPr>
              <w:ind w:firstLine="0" w:firstLineChars="0"/>
              <w:jc w:val="center"/>
              <w:rPr>
                <w:rFonts w:cs="宋体"/>
                <w:kern w:val="0"/>
                <w:szCs w:val="21"/>
              </w:rPr>
            </w:pPr>
          </w:p>
        </w:tc>
        <w:tc>
          <w:tcPr>
            <w:tcW w:w="7233" w:type="dxa"/>
            <w:tcBorders>
              <w:top w:val="single" w:color="000000" w:sz="4" w:space="0"/>
            </w:tcBorders>
            <w:vAlign w:val="center"/>
          </w:tcPr>
          <w:p>
            <w:pPr>
              <w:ind w:firstLine="0" w:firstLineChars="0"/>
              <w:jc w:val="both"/>
              <w:rPr>
                <w:rFonts w:cs="宋体"/>
                <w:szCs w:val="21"/>
              </w:rPr>
            </w:pPr>
            <w:r>
              <w:rPr>
                <w:rFonts w:hint="eastAsia" w:cs="宋体"/>
                <w:szCs w:val="21"/>
              </w:rPr>
              <w:t>形式：</w:t>
            </w:r>
            <w:r>
              <w:rPr>
                <w:rFonts w:hint="eastAsia" w:ascii="Times New Roman" w:hAnsi="Times New Roman"/>
                <w:szCs w:val="21"/>
              </w:rPr>
              <w:t>修改内容一经在《河南省公共资源交易中心》电子交易平台发布，视作已送达所有投标人，并对投标人具有约束力。投标人在投标截止时间前须自行查看、下载招标文件的修改，因投标人未及时查看和下载而造成的后果自负。</w:t>
            </w:r>
            <w:r>
              <w:rPr>
                <w:rFonts w:hint="eastAsia" w:ascii="Times New Roman" w:hAnsi="Times New Roman"/>
                <w:b/>
                <w:szCs w:val="21"/>
              </w:rPr>
              <w:t>各投标人须重新下载最新的修改文件，并据此编制投标文件。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3.1.1</w:t>
            </w:r>
          </w:p>
        </w:tc>
        <w:tc>
          <w:tcPr>
            <w:tcW w:w="1785" w:type="dxa"/>
            <w:vAlign w:val="center"/>
          </w:tcPr>
          <w:p>
            <w:pPr>
              <w:ind w:firstLine="0" w:firstLineChars="0"/>
              <w:jc w:val="center"/>
              <w:rPr>
                <w:rFonts w:cs="宋体"/>
                <w:szCs w:val="21"/>
              </w:rPr>
            </w:pPr>
            <w:r>
              <w:rPr>
                <w:rFonts w:hint="eastAsia" w:cs="宋体"/>
                <w:kern w:val="0"/>
                <w:szCs w:val="21"/>
              </w:rPr>
              <w:t>构成投标文件的其他资料</w:t>
            </w:r>
          </w:p>
        </w:tc>
        <w:tc>
          <w:tcPr>
            <w:tcW w:w="7233" w:type="dxa"/>
            <w:vAlign w:val="center"/>
          </w:tcPr>
          <w:p>
            <w:pPr>
              <w:ind w:firstLine="0" w:firstLineChars="0"/>
              <w:jc w:val="both"/>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3.2.1</w:t>
            </w:r>
          </w:p>
        </w:tc>
        <w:tc>
          <w:tcPr>
            <w:tcW w:w="1785" w:type="dxa"/>
            <w:vAlign w:val="center"/>
          </w:tcPr>
          <w:p>
            <w:pPr>
              <w:ind w:firstLine="0" w:firstLineChars="0"/>
              <w:jc w:val="center"/>
              <w:rPr>
                <w:rFonts w:cs="宋体"/>
                <w:szCs w:val="21"/>
              </w:rPr>
            </w:pPr>
            <w:r>
              <w:rPr>
                <w:rFonts w:hint="eastAsia" w:cs="宋体"/>
                <w:kern w:val="0"/>
                <w:szCs w:val="21"/>
              </w:rPr>
              <w:t>增值税税金的计算方法</w:t>
            </w:r>
          </w:p>
        </w:tc>
        <w:tc>
          <w:tcPr>
            <w:tcW w:w="7233" w:type="dxa"/>
            <w:vAlign w:val="center"/>
          </w:tcPr>
          <w:p>
            <w:pPr>
              <w:ind w:firstLine="0" w:firstLineChars="0"/>
              <w:jc w:val="both"/>
              <w:rPr>
                <w:rFonts w:cs="宋体"/>
                <w:szCs w:val="21"/>
              </w:rPr>
            </w:pPr>
            <w:r>
              <w:rPr>
                <w:rFonts w:hint="eastAsia"/>
                <w:bCs/>
                <w:szCs w:val="21"/>
              </w:rPr>
              <w:t>按国家税务部门相关规定计取增值税税金。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3.2.3</w:t>
            </w:r>
          </w:p>
        </w:tc>
        <w:tc>
          <w:tcPr>
            <w:tcW w:w="1785" w:type="dxa"/>
            <w:vAlign w:val="center"/>
          </w:tcPr>
          <w:p>
            <w:pPr>
              <w:ind w:firstLine="0" w:firstLineChars="0"/>
              <w:jc w:val="center"/>
              <w:rPr>
                <w:rFonts w:cs="宋体"/>
                <w:szCs w:val="21"/>
              </w:rPr>
            </w:pPr>
            <w:r>
              <w:rPr>
                <w:rFonts w:hint="eastAsia" w:cs="宋体"/>
                <w:kern w:val="0"/>
                <w:szCs w:val="21"/>
              </w:rPr>
              <w:t>报价方式</w:t>
            </w:r>
          </w:p>
        </w:tc>
        <w:tc>
          <w:tcPr>
            <w:tcW w:w="7233" w:type="dxa"/>
            <w:vAlign w:val="center"/>
          </w:tcPr>
          <w:p>
            <w:pPr>
              <w:ind w:firstLine="0" w:firstLineChars="0"/>
              <w:jc w:val="both"/>
              <w:rPr>
                <w:rFonts w:cs="宋体"/>
                <w:szCs w:val="21"/>
              </w:rPr>
            </w:pPr>
            <w:r>
              <w:rPr>
                <w:rFonts w:hint="eastAsia" w:cs="宋体"/>
                <w:szCs w:val="21"/>
              </w:rPr>
              <w:t>投标人应一次报出包含所有费用的监理费投标报价。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b/>
                <w:bCs/>
                <w:szCs w:val="21"/>
              </w:rPr>
            </w:pPr>
            <w:r>
              <w:rPr>
                <w:rFonts w:hint="eastAsia" w:cs="宋体"/>
                <w:b/>
                <w:bCs/>
                <w:kern w:val="0"/>
                <w:szCs w:val="21"/>
              </w:rPr>
              <w:t>3.2.4</w:t>
            </w:r>
          </w:p>
        </w:tc>
        <w:tc>
          <w:tcPr>
            <w:tcW w:w="1785" w:type="dxa"/>
            <w:vAlign w:val="center"/>
          </w:tcPr>
          <w:p>
            <w:pPr>
              <w:ind w:firstLine="0" w:firstLineChars="0"/>
              <w:jc w:val="center"/>
              <w:rPr>
                <w:rFonts w:cs="宋体"/>
                <w:b/>
                <w:bCs/>
                <w:szCs w:val="21"/>
              </w:rPr>
            </w:pPr>
            <w:r>
              <w:rPr>
                <w:rFonts w:hint="eastAsia" w:cs="宋体"/>
                <w:b/>
                <w:bCs/>
                <w:kern w:val="0"/>
                <w:szCs w:val="21"/>
              </w:rPr>
              <w:t>最高投标限价</w:t>
            </w:r>
          </w:p>
        </w:tc>
        <w:tc>
          <w:tcPr>
            <w:tcW w:w="7233" w:type="dxa"/>
            <w:vAlign w:val="center"/>
          </w:tcPr>
          <w:p>
            <w:pPr>
              <w:ind w:firstLine="0" w:firstLineChars="0"/>
              <w:jc w:val="both"/>
              <w:rPr>
                <w:rFonts w:cs="宋体"/>
                <w:b/>
                <w:bCs/>
                <w:szCs w:val="21"/>
              </w:rPr>
            </w:pPr>
            <w:r>
              <w:rPr>
                <w:rFonts w:hint="eastAsia" w:cs="宋体"/>
                <w:b/>
                <w:bCs/>
                <w:szCs w:val="21"/>
              </w:rPr>
              <w:t>最高投标限价：本项目概算建筑安装工程费的</w:t>
            </w:r>
            <w:r>
              <w:rPr>
                <w:rFonts w:hint="eastAsia" w:cs="宋体"/>
                <w:b/>
                <w:bCs/>
                <w:szCs w:val="21"/>
                <w:u w:val="single"/>
              </w:rPr>
              <w:t>1.20%</w:t>
            </w:r>
            <w:r>
              <w:rPr>
                <w:rFonts w:hint="eastAsia" w:cs="宋体"/>
                <w:b/>
                <w:bCs/>
                <w:szCs w:val="21"/>
              </w:rPr>
              <w:t>，投标人报价不得超出最高限价，否则按无效标处理。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3.2.5</w:t>
            </w:r>
          </w:p>
        </w:tc>
        <w:tc>
          <w:tcPr>
            <w:tcW w:w="1785" w:type="dxa"/>
            <w:vAlign w:val="center"/>
          </w:tcPr>
          <w:p>
            <w:pPr>
              <w:ind w:firstLine="0" w:firstLineChars="0"/>
              <w:jc w:val="center"/>
              <w:rPr>
                <w:rFonts w:cs="宋体"/>
                <w:szCs w:val="21"/>
              </w:rPr>
            </w:pPr>
            <w:r>
              <w:rPr>
                <w:rFonts w:hint="eastAsia" w:cs="宋体"/>
                <w:kern w:val="0"/>
                <w:szCs w:val="21"/>
              </w:rPr>
              <w:t>投标报价的其他要求</w:t>
            </w:r>
          </w:p>
        </w:tc>
        <w:tc>
          <w:tcPr>
            <w:tcW w:w="7233" w:type="dxa"/>
            <w:vAlign w:val="center"/>
          </w:tcPr>
          <w:p>
            <w:pPr>
              <w:ind w:firstLine="0" w:firstLineChars="0"/>
              <w:jc w:val="both"/>
              <w:rPr>
                <w:rFonts w:cs="宋体"/>
                <w:szCs w:val="21"/>
              </w:rPr>
            </w:pPr>
            <w:r>
              <w:rPr>
                <w:rFonts w:hint="eastAsia" w:cs="宋体"/>
                <w:szCs w:val="21"/>
              </w:rPr>
              <w:t>（1）本项目报价以及本项目招标范围、工期监控目标、质量监控标准与安全监控目标、监理服务期限为依据，计算其监理服务投标报价，投标价格为含税价格。</w:t>
            </w:r>
          </w:p>
          <w:p>
            <w:pPr>
              <w:ind w:firstLine="0" w:firstLineChars="0"/>
              <w:jc w:val="both"/>
              <w:rPr>
                <w:rFonts w:cs="宋体"/>
                <w:szCs w:val="21"/>
              </w:rPr>
            </w:pPr>
            <w:r>
              <w:rPr>
                <w:rFonts w:hint="eastAsia" w:cs="宋体"/>
                <w:szCs w:val="21"/>
              </w:rPr>
              <w:t>（2）投标人的投标报价，为监理服务期内所提供的全部服务所需要的费用，包括但不局限于实施完成本项目全部监理工作所需的现场办公、生活设施、饮食居住等基本生活费、劳务费、技术服务费、监测、测量、抽检、交通、通讯、保险、管理费、税费和利润以及为完成本工程所提供的专用仪器、设备和设施等与监理业务有关的一切费用，除合同另行约定外，签约价格不再调整。签约酬金中未发生的费用按照合同扣除。</w:t>
            </w:r>
          </w:p>
          <w:p>
            <w:pPr>
              <w:ind w:firstLine="0" w:firstLineChars="0"/>
              <w:jc w:val="both"/>
              <w:rPr>
                <w:rFonts w:cs="宋体"/>
                <w:szCs w:val="21"/>
              </w:rPr>
            </w:pPr>
            <w:r>
              <w:rPr>
                <w:rFonts w:hint="eastAsia" w:cs="宋体"/>
                <w:szCs w:val="21"/>
              </w:rPr>
              <w:t>（3）在委托的监理服务范围和监理服务期内全面履行监理职责。投标人在计算报价时应考虑监理服务期限内的物价上涨、工程费用的变动、工期延误等风险因素。</w:t>
            </w:r>
          </w:p>
          <w:p>
            <w:pPr>
              <w:ind w:firstLine="0" w:firstLineChars="0"/>
              <w:jc w:val="both"/>
              <w:rPr>
                <w:rFonts w:cs="宋体"/>
                <w:szCs w:val="21"/>
              </w:rPr>
            </w:pPr>
            <w:r>
              <w:rPr>
                <w:rFonts w:hint="eastAsia" w:cs="宋体"/>
                <w:szCs w:val="21"/>
              </w:rPr>
              <w:t>（4）投标报价包括监理额外和附加工作报酬，且因工程环境等因素造成监理期限顺延，招标人不另行增加监理费。</w:t>
            </w:r>
          </w:p>
          <w:p>
            <w:pPr>
              <w:ind w:firstLine="0" w:firstLineChars="0"/>
              <w:jc w:val="both"/>
            </w:pPr>
            <w:r>
              <w:rPr>
                <w:rFonts w:hint="eastAsia" w:cs="宋体"/>
                <w:szCs w:val="21"/>
              </w:rPr>
              <w:t>（5）投标人只能提出一个不变的投标报价，招标人不接受任何选择报价。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62" w:type="dxa"/>
            <w:vAlign w:val="center"/>
          </w:tcPr>
          <w:p>
            <w:pPr>
              <w:ind w:firstLine="0" w:firstLineChars="0"/>
              <w:jc w:val="center"/>
              <w:rPr>
                <w:rFonts w:cs="宋体"/>
                <w:szCs w:val="21"/>
              </w:rPr>
            </w:pPr>
            <w:r>
              <w:rPr>
                <w:rFonts w:hint="eastAsia" w:cs="宋体"/>
                <w:kern w:val="0"/>
                <w:szCs w:val="21"/>
              </w:rPr>
              <w:t>3.3.1</w:t>
            </w:r>
          </w:p>
        </w:tc>
        <w:tc>
          <w:tcPr>
            <w:tcW w:w="1785" w:type="dxa"/>
            <w:vAlign w:val="center"/>
          </w:tcPr>
          <w:p>
            <w:pPr>
              <w:ind w:firstLine="0" w:firstLineChars="0"/>
              <w:jc w:val="center"/>
              <w:rPr>
                <w:rFonts w:cs="宋体"/>
                <w:szCs w:val="21"/>
              </w:rPr>
            </w:pPr>
            <w:r>
              <w:rPr>
                <w:rFonts w:hint="eastAsia" w:cs="宋体"/>
                <w:kern w:val="0"/>
                <w:szCs w:val="21"/>
              </w:rPr>
              <w:t>投标有效期</w:t>
            </w:r>
          </w:p>
        </w:tc>
        <w:tc>
          <w:tcPr>
            <w:tcW w:w="7233" w:type="dxa"/>
            <w:vAlign w:val="center"/>
          </w:tcPr>
          <w:p>
            <w:pPr>
              <w:ind w:firstLine="0" w:firstLineChars="0"/>
              <w:jc w:val="both"/>
              <w:rPr>
                <w:rFonts w:cs="宋体"/>
                <w:szCs w:val="21"/>
              </w:rPr>
            </w:pPr>
            <w:r>
              <w:rPr>
                <w:rFonts w:hint="eastAsia" w:cs="宋体"/>
                <w:szCs w:val="21"/>
              </w:rPr>
              <w:t>自提交投标文件截止之日起</w:t>
            </w:r>
            <w:r>
              <w:rPr>
                <w:rFonts w:hint="eastAsia" w:cs="宋体"/>
                <w:szCs w:val="21"/>
                <w:u w:val="single"/>
              </w:rPr>
              <w:t xml:space="preserve"> 90 </w:t>
            </w:r>
            <w:r>
              <w:rPr>
                <w:rFonts w:hint="eastAsia" w:cs="宋体"/>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3.4.1</w:t>
            </w:r>
          </w:p>
        </w:tc>
        <w:tc>
          <w:tcPr>
            <w:tcW w:w="1785" w:type="dxa"/>
            <w:vAlign w:val="center"/>
          </w:tcPr>
          <w:p>
            <w:pPr>
              <w:ind w:firstLine="0" w:firstLineChars="0"/>
              <w:jc w:val="center"/>
              <w:rPr>
                <w:rFonts w:cs="宋体"/>
                <w:szCs w:val="21"/>
              </w:rPr>
            </w:pPr>
            <w:r>
              <w:rPr>
                <w:rFonts w:hint="eastAsia" w:cs="宋体"/>
                <w:kern w:val="0"/>
                <w:szCs w:val="21"/>
              </w:rPr>
              <w:t>投标保证金</w:t>
            </w:r>
          </w:p>
        </w:tc>
        <w:tc>
          <w:tcPr>
            <w:tcW w:w="7233" w:type="dxa"/>
            <w:vAlign w:val="center"/>
          </w:tcPr>
          <w:p>
            <w:pPr>
              <w:pStyle w:val="8"/>
              <w:tabs>
                <w:tab w:val="left" w:pos="2812"/>
                <w:tab w:val="left" w:pos="3986"/>
              </w:tabs>
              <w:autoSpaceDE/>
              <w:autoSpaceDN/>
              <w:adjustRightInd/>
              <w:spacing w:after="0" w:line="480" w:lineRule="exact"/>
              <w:ind w:left="0" w:leftChars="0" w:right="0" w:rightChars="0" w:firstLine="0" w:firstLineChars="0"/>
              <w:jc w:val="both"/>
              <w:textAlignment w:val="auto"/>
              <w:rPr>
                <w:rFonts w:cs="宋体"/>
                <w:sz w:val="21"/>
                <w:szCs w:val="21"/>
              </w:rPr>
            </w:pPr>
            <w:r>
              <w:rPr>
                <w:rFonts w:hint="eastAsia" w:cs="宋体"/>
                <w:sz w:val="21"/>
                <w:szCs w:val="21"/>
              </w:rPr>
              <w:t>是否要求投标人递交投标保证金：</w:t>
            </w:r>
          </w:p>
          <w:p>
            <w:pPr>
              <w:pStyle w:val="8"/>
              <w:tabs>
                <w:tab w:val="left" w:pos="2812"/>
                <w:tab w:val="left" w:pos="3986"/>
              </w:tabs>
              <w:autoSpaceDE/>
              <w:autoSpaceDN/>
              <w:adjustRightInd/>
              <w:spacing w:after="0" w:line="480" w:lineRule="exact"/>
              <w:ind w:left="0" w:leftChars="0" w:right="0" w:rightChars="0" w:firstLine="0" w:firstLineChars="0"/>
              <w:jc w:val="both"/>
              <w:textAlignment w:val="auto"/>
              <w:rPr>
                <w:rFonts w:cs="宋体"/>
                <w:sz w:val="21"/>
                <w:szCs w:val="21"/>
              </w:rPr>
            </w:pPr>
            <w:r>
              <w:rPr>
                <w:rFonts w:hint="eastAsia" w:cs="宋体"/>
                <w:sz w:val="21"/>
                <w:szCs w:val="21"/>
              </w:rPr>
              <w:fldChar w:fldCharType="begin"/>
            </w:r>
            <w:r>
              <w:rPr>
                <w:rFonts w:hint="eastAsia" w:cs="宋体"/>
                <w:sz w:val="21"/>
                <w:szCs w:val="21"/>
              </w:rPr>
              <w:instrText xml:space="preserve"> eq \o\ac(□)</w:instrText>
            </w:r>
            <w:r>
              <w:rPr>
                <w:rFonts w:hint="eastAsia" w:cs="宋体"/>
                <w:sz w:val="21"/>
                <w:szCs w:val="21"/>
              </w:rPr>
              <w:fldChar w:fldCharType="end"/>
            </w:r>
            <w:r>
              <w:rPr>
                <w:rFonts w:hint="eastAsia" w:cs="宋体"/>
                <w:sz w:val="21"/>
                <w:szCs w:val="21"/>
              </w:rPr>
              <w:t>要求，投标保证金的金额：</w:t>
            </w:r>
          </w:p>
          <w:p>
            <w:pPr>
              <w:pStyle w:val="8"/>
              <w:tabs>
                <w:tab w:val="left" w:pos="2812"/>
                <w:tab w:val="left" w:pos="3986"/>
              </w:tabs>
              <w:autoSpaceDE/>
              <w:autoSpaceDN/>
              <w:adjustRightInd/>
              <w:spacing w:after="0" w:line="480" w:lineRule="exact"/>
              <w:ind w:left="0" w:leftChars="0" w:right="0" w:rightChars="0" w:firstLine="0" w:firstLineChars="0"/>
              <w:jc w:val="both"/>
              <w:textAlignment w:val="auto"/>
              <w:rPr>
                <w:rFonts w:cs="宋体"/>
                <w:sz w:val="21"/>
                <w:szCs w:val="21"/>
              </w:rPr>
            </w:pPr>
            <w:r>
              <w:rPr>
                <w:rFonts w:hint="eastAsia" w:cs="宋体"/>
                <w:sz w:val="21"/>
                <w:szCs w:val="21"/>
              </w:rPr>
              <w:t>投标人自行选择电子投标保函或转账的方式提交投标保证金。</w:t>
            </w:r>
          </w:p>
          <w:p>
            <w:pPr>
              <w:pStyle w:val="8"/>
              <w:tabs>
                <w:tab w:val="left" w:pos="2812"/>
                <w:tab w:val="left" w:pos="3986"/>
              </w:tabs>
              <w:autoSpaceDE/>
              <w:autoSpaceDN/>
              <w:adjustRightInd/>
              <w:spacing w:after="0" w:line="480" w:lineRule="exact"/>
              <w:ind w:left="0" w:leftChars="0" w:right="0" w:rightChars="0" w:firstLine="0" w:firstLineChars="0"/>
              <w:jc w:val="both"/>
              <w:textAlignment w:val="auto"/>
              <w:rPr>
                <w:rFonts w:cs="宋体"/>
                <w:sz w:val="21"/>
                <w:szCs w:val="21"/>
              </w:rPr>
            </w:pPr>
            <w:r>
              <w:rPr>
                <w:rFonts w:hint="eastAsia" w:cs="宋体"/>
                <w:sz w:val="21"/>
                <w:szCs w:val="21"/>
              </w:rPr>
              <w:t>1.电子投标保函递交方法。投标人直接在使用的电子招投标系统上点击开具保函项，按要求操作，在线确认企业信息并选择银行/担保机构，由银行/担保机构为投标人在线开具电子投标保函。在投标截止时间前开具成功的电子投标保函系统自动确认生效,并通过电子交易系统在线递交。</w:t>
            </w:r>
          </w:p>
          <w:p>
            <w:pPr>
              <w:pStyle w:val="8"/>
              <w:tabs>
                <w:tab w:val="left" w:pos="2812"/>
                <w:tab w:val="left" w:pos="3986"/>
              </w:tabs>
              <w:autoSpaceDE/>
              <w:autoSpaceDN/>
              <w:adjustRightInd/>
              <w:spacing w:after="0" w:line="480" w:lineRule="exact"/>
              <w:ind w:left="0" w:leftChars="0" w:right="0" w:rightChars="0" w:firstLine="0" w:firstLineChars="0"/>
              <w:jc w:val="both"/>
              <w:textAlignment w:val="auto"/>
              <w:rPr>
                <w:rFonts w:cs="宋体"/>
                <w:sz w:val="21"/>
                <w:szCs w:val="21"/>
              </w:rPr>
            </w:pPr>
            <w:r>
              <w:rPr>
                <w:rFonts w:hint="eastAsia" w:cs="宋体"/>
                <w:sz w:val="21"/>
                <w:szCs w:val="21"/>
              </w:rPr>
              <w:t>2.银行转账递交方法。投标人在投标截止时间前，将投标保证金从公司基本账户一次性汇入指定账户。（以到账时间为准，请提前安排转账）</w:t>
            </w:r>
          </w:p>
          <w:p>
            <w:pPr>
              <w:pStyle w:val="8"/>
              <w:tabs>
                <w:tab w:val="left" w:pos="2812"/>
                <w:tab w:val="left" w:pos="3986"/>
              </w:tabs>
              <w:autoSpaceDE/>
              <w:autoSpaceDN/>
              <w:adjustRightInd/>
              <w:spacing w:after="0" w:line="480" w:lineRule="exact"/>
              <w:ind w:left="0" w:leftChars="0" w:right="0" w:rightChars="0" w:firstLine="0" w:firstLineChars="0"/>
              <w:jc w:val="both"/>
              <w:textAlignment w:val="auto"/>
              <w:rPr>
                <w:rFonts w:cs="宋体"/>
                <w:sz w:val="21"/>
                <w:szCs w:val="21"/>
              </w:rPr>
            </w:pPr>
            <w:r>
              <w:rPr>
                <w:rFonts w:hint="eastAsia" w:cs="宋体"/>
                <w:sz w:val="21"/>
                <w:szCs w:val="21"/>
              </w:rPr>
              <w:t>户名：</w:t>
            </w:r>
          </w:p>
          <w:p>
            <w:pPr>
              <w:pStyle w:val="8"/>
              <w:tabs>
                <w:tab w:val="left" w:pos="2812"/>
                <w:tab w:val="left" w:pos="3986"/>
              </w:tabs>
              <w:autoSpaceDE/>
              <w:autoSpaceDN/>
              <w:adjustRightInd/>
              <w:spacing w:after="0" w:line="480" w:lineRule="exact"/>
              <w:ind w:left="0" w:leftChars="0" w:right="0" w:rightChars="0" w:firstLine="0" w:firstLineChars="0"/>
              <w:jc w:val="both"/>
              <w:textAlignment w:val="auto"/>
              <w:rPr>
                <w:rFonts w:cs="宋体"/>
                <w:sz w:val="21"/>
                <w:szCs w:val="21"/>
              </w:rPr>
            </w:pPr>
            <w:r>
              <w:rPr>
                <w:rFonts w:hint="eastAsia" w:cs="宋体"/>
                <w:sz w:val="21"/>
                <w:szCs w:val="21"/>
              </w:rPr>
              <w:t>开户行：</w:t>
            </w:r>
          </w:p>
          <w:p>
            <w:pPr>
              <w:pStyle w:val="8"/>
              <w:tabs>
                <w:tab w:val="left" w:pos="2812"/>
                <w:tab w:val="left" w:pos="3986"/>
              </w:tabs>
              <w:autoSpaceDE/>
              <w:autoSpaceDN/>
              <w:adjustRightInd/>
              <w:spacing w:after="0" w:line="480" w:lineRule="exact"/>
              <w:ind w:left="0" w:leftChars="0" w:right="0" w:rightChars="0" w:firstLine="0" w:firstLineChars="0"/>
              <w:jc w:val="both"/>
              <w:textAlignment w:val="auto"/>
              <w:rPr>
                <w:rFonts w:cs="宋体"/>
                <w:sz w:val="21"/>
                <w:szCs w:val="21"/>
              </w:rPr>
            </w:pPr>
            <w:r>
              <w:rPr>
                <w:rFonts w:hint="eastAsia" w:cs="宋体"/>
                <w:sz w:val="21"/>
                <w:szCs w:val="21"/>
              </w:rPr>
              <w:t>账号：</w:t>
            </w:r>
          </w:p>
          <w:p>
            <w:pPr>
              <w:pStyle w:val="8"/>
              <w:tabs>
                <w:tab w:val="left" w:pos="2812"/>
                <w:tab w:val="left" w:pos="3986"/>
              </w:tabs>
              <w:autoSpaceDE/>
              <w:autoSpaceDN/>
              <w:adjustRightInd/>
              <w:spacing w:after="0" w:line="480" w:lineRule="exact"/>
              <w:ind w:left="0" w:leftChars="0" w:right="0" w:rightChars="0" w:firstLine="0" w:firstLineChars="0"/>
              <w:jc w:val="both"/>
              <w:textAlignment w:val="auto"/>
              <w:rPr>
                <w:rFonts w:cs="宋体"/>
                <w:sz w:val="21"/>
                <w:szCs w:val="21"/>
              </w:rPr>
            </w:pPr>
            <w:r>
              <w:rPr>
                <w:rFonts w:hint="eastAsia" w:cs="宋体"/>
                <w:b/>
                <w:bCs/>
                <w:sz w:val="21"/>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3.4.4</w:t>
            </w:r>
          </w:p>
        </w:tc>
        <w:tc>
          <w:tcPr>
            <w:tcW w:w="1785" w:type="dxa"/>
            <w:vAlign w:val="center"/>
          </w:tcPr>
          <w:p>
            <w:pPr>
              <w:ind w:firstLine="0" w:firstLineChars="0"/>
              <w:jc w:val="center"/>
              <w:rPr>
                <w:rFonts w:cs="宋体"/>
                <w:szCs w:val="21"/>
              </w:rPr>
            </w:pPr>
            <w:r>
              <w:rPr>
                <w:rFonts w:hint="eastAsia" w:cs="宋体"/>
                <w:kern w:val="0"/>
                <w:szCs w:val="21"/>
              </w:rPr>
              <w:t>其他可以不予退还投标保证金的情形</w:t>
            </w:r>
          </w:p>
        </w:tc>
        <w:tc>
          <w:tcPr>
            <w:tcW w:w="7233" w:type="dxa"/>
            <w:vAlign w:val="center"/>
          </w:tcPr>
          <w:p>
            <w:pPr>
              <w:ind w:firstLine="0" w:firstLineChars="0"/>
              <w:jc w:val="both"/>
              <w:rPr>
                <w:rFonts w:cs="宋体"/>
                <w:szCs w:val="21"/>
              </w:rPr>
            </w:pPr>
            <w:r>
              <w:rPr>
                <w:rFonts w:hint="eastAsia"/>
                <w:szCs w:val="20"/>
              </w:rPr>
              <w:t>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3.5</w:t>
            </w:r>
          </w:p>
        </w:tc>
        <w:tc>
          <w:tcPr>
            <w:tcW w:w="1785" w:type="dxa"/>
            <w:vAlign w:val="center"/>
          </w:tcPr>
          <w:p>
            <w:pPr>
              <w:ind w:firstLine="0" w:firstLineChars="0"/>
              <w:jc w:val="center"/>
              <w:rPr>
                <w:rFonts w:cs="宋体"/>
                <w:szCs w:val="21"/>
              </w:rPr>
            </w:pPr>
            <w:r>
              <w:rPr>
                <w:rFonts w:hint="eastAsia" w:cs="宋体"/>
                <w:kern w:val="0"/>
                <w:szCs w:val="21"/>
              </w:rPr>
              <w:t>资格审查资料的特殊要求</w:t>
            </w:r>
          </w:p>
        </w:tc>
        <w:tc>
          <w:tcPr>
            <w:tcW w:w="7233" w:type="dxa"/>
            <w:vAlign w:val="center"/>
          </w:tcPr>
          <w:p>
            <w:pPr>
              <w:ind w:firstLine="0" w:firstLineChars="0"/>
              <w:jc w:val="both"/>
              <w:rPr>
                <w:rFonts w:cs="宋体"/>
                <w:szCs w:val="21"/>
              </w:rPr>
            </w:pPr>
            <w:r>
              <w:rPr>
                <w:rFonts w:hint="eastAsia"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kern w:val="0"/>
                <w:szCs w:val="21"/>
              </w:rPr>
            </w:pPr>
            <w:r>
              <w:rPr>
                <w:rFonts w:hint="eastAsia" w:cs="宋体"/>
                <w:bCs/>
                <w:kern w:val="0"/>
                <w:szCs w:val="21"/>
              </w:rPr>
              <w:t>3.5.2</w:t>
            </w:r>
          </w:p>
        </w:tc>
        <w:tc>
          <w:tcPr>
            <w:tcW w:w="1785" w:type="dxa"/>
            <w:vAlign w:val="center"/>
          </w:tcPr>
          <w:p>
            <w:pPr>
              <w:ind w:firstLine="0" w:firstLineChars="0"/>
              <w:jc w:val="center"/>
              <w:rPr>
                <w:rFonts w:cs="宋体"/>
                <w:bCs/>
                <w:kern w:val="0"/>
                <w:szCs w:val="21"/>
              </w:rPr>
            </w:pPr>
            <w:r>
              <w:rPr>
                <w:rFonts w:hint="eastAsia" w:cs="宋体"/>
                <w:bCs/>
                <w:kern w:val="0"/>
                <w:szCs w:val="21"/>
              </w:rPr>
              <w:t>近年财务状</w:t>
            </w:r>
          </w:p>
          <w:p>
            <w:pPr>
              <w:ind w:firstLine="0" w:firstLineChars="0"/>
              <w:jc w:val="center"/>
              <w:rPr>
                <w:rFonts w:cs="宋体"/>
                <w:kern w:val="0"/>
                <w:szCs w:val="21"/>
              </w:rPr>
            </w:pPr>
            <w:r>
              <w:rPr>
                <w:rFonts w:hint="eastAsia" w:cs="宋体"/>
                <w:bCs/>
                <w:kern w:val="0"/>
                <w:szCs w:val="21"/>
              </w:rPr>
              <w:t>况表</w:t>
            </w:r>
          </w:p>
        </w:tc>
        <w:tc>
          <w:tcPr>
            <w:tcW w:w="7233" w:type="dxa"/>
            <w:vAlign w:val="center"/>
          </w:tcPr>
          <w:p>
            <w:pPr>
              <w:ind w:firstLine="0" w:firstLineChars="0"/>
              <w:jc w:val="both"/>
              <w:rPr>
                <w:rFonts w:cs="宋体"/>
                <w:szCs w:val="21"/>
              </w:rPr>
            </w:pPr>
            <w:r>
              <w:rPr>
                <w:rFonts w:hint="eastAsia" w:cs="宋体"/>
                <w:szCs w:val="21"/>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3.5.3</w:t>
            </w:r>
          </w:p>
        </w:tc>
        <w:tc>
          <w:tcPr>
            <w:tcW w:w="1785" w:type="dxa"/>
            <w:vAlign w:val="center"/>
          </w:tcPr>
          <w:p>
            <w:pPr>
              <w:ind w:firstLine="0" w:firstLineChars="0"/>
              <w:jc w:val="center"/>
              <w:rPr>
                <w:rFonts w:cs="宋体"/>
                <w:szCs w:val="21"/>
              </w:rPr>
            </w:pPr>
            <w:r>
              <w:rPr>
                <w:rFonts w:hint="eastAsia" w:cs="宋体"/>
                <w:kern w:val="0"/>
                <w:szCs w:val="21"/>
              </w:rPr>
              <w:t>近年完成的类似项目情况的时间要求</w:t>
            </w:r>
          </w:p>
        </w:tc>
        <w:tc>
          <w:tcPr>
            <w:tcW w:w="7233" w:type="dxa"/>
            <w:vAlign w:val="center"/>
          </w:tcPr>
          <w:p>
            <w:pPr>
              <w:ind w:firstLine="0" w:firstLineChars="0"/>
              <w:jc w:val="both"/>
              <w:rPr>
                <w:rFonts w:cs="宋体"/>
                <w:szCs w:val="21"/>
              </w:rPr>
            </w:pPr>
            <w:r>
              <w:rPr>
                <w:rFonts w:hint="eastAsia" w:cs="宋体"/>
                <w:szCs w:val="21"/>
              </w:rPr>
              <w:t>2020年1月1日以来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3.5.5</w:t>
            </w:r>
          </w:p>
        </w:tc>
        <w:tc>
          <w:tcPr>
            <w:tcW w:w="1785" w:type="dxa"/>
            <w:vAlign w:val="center"/>
          </w:tcPr>
          <w:p>
            <w:pPr>
              <w:ind w:firstLine="0" w:firstLineChars="0"/>
              <w:jc w:val="center"/>
              <w:rPr>
                <w:rFonts w:cs="宋体"/>
                <w:szCs w:val="21"/>
              </w:rPr>
            </w:pPr>
            <w:r>
              <w:rPr>
                <w:rFonts w:hint="eastAsia" w:cs="宋体"/>
                <w:kern w:val="0"/>
                <w:szCs w:val="21"/>
              </w:rPr>
              <w:t>近年发生的诉讼及仲裁情况的时间要求</w:t>
            </w:r>
          </w:p>
        </w:tc>
        <w:tc>
          <w:tcPr>
            <w:tcW w:w="7233" w:type="dxa"/>
            <w:vAlign w:val="center"/>
          </w:tcPr>
          <w:p>
            <w:pPr>
              <w:ind w:firstLine="0" w:firstLineChars="0"/>
              <w:jc w:val="both"/>
              <w:rPr>
                <w:rFonts w:cs="宋体"/>
                <w:szCs w:val="21"/>
              </w:rPr>
            </w:pPr>
            <w:r>
              <w:rPr>
                <w:rFonts w:hint="eastAsia" w:cs="宋体"/>
                <w:szCs w:val="21"/>
              </w:rPr>
              <w:t>2020年1月1日以来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3.6.1</w:t>
            </w:r>
          </w:p>
        </w:tc>
        <w:tc>
          <w:tcPr>
            <w:tcW w:w="1785" w:type="dxa"/>
            <w:vAlign w:val="center"/>
          </w:tcPr>
          <w:p>
            <w:pPr>
              <w:ind w:firstLine="0" w:firstLineChars="0"/>
              <w:jc w:val="center"/>
              <w:rPr>
                <w:rFonts w:cs="宋体"/>
                <w:szCs w:val="21"/>
              </w:rPr>
            </w:pPr>
            <w:r>
              <w:rPr>
                <w:rFonts w:hint="eastAsia" w:cs="宋体"/>
                <w:kern w:val="0"/>
                <w:szCs w:val="21"/>
              </w:rPr>
              <w:t>是否允许递交备选投标方案</w:t>
            </w:r>
          </w:p>
        </w:tc>
        <w:tc>
          <w:tcPr>
            <w:tcW w:w="7233" w:type="dxa"/>
            <w:vAlign w:val="center"/>
          </w:tcPr>
          <w:p>
            <w:pPr>
              <w:ind w:firstLine="0" w:firstLineChars="0"/>
              <w:jc w:val="both"/>
              <w:rPr>
                <w:rFonts w:cs="宋体"/>
                <w:szCs w:val="21"/>
              </w:rPr>
            </w:pPr>
            <w:r>
              <w:rPr>
                <w:rFonts w:hint="eastAsia"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3.7.3</w:t>
            </w:r>
          </w:p>
        </w:tc>
        <w:tc>
          <w:tcPr>
            <w:tcW w:w="1785" w:type="dxa"/>
            <w:vAlign w:val="center"/>
          </w:tcPr>
          <w:p>
            <w:pPr>
              <w:ind w:firstLine="0" w:firstLineChars="0"/>
              <w:jc w:val="center"/>
              <w:rPr>
                <w:rFonts w:cs="宋体"/>
                <w:szCs w:val="21"/>
              </w:rPr>
            </w:pPr>
            <w:r>
              <w:rPr>
                <w:rFonts w:hint="eastAsia" w:cs="宋体"/>
                <w:szCs w:val="21"/>
              </w:rPr>
              <w:t>投标文件所附证书证件要求</w:t>
            </w:r>
          </w:p>
        </w:tc>
        <w:tc>
          <w:tcPr>
            <w:tcW w:w="7233" w:type="dxa"/>
            <w:vAlign w:val="center"/>
          </w:tcPr>
          <w:p>
            <w:pPr>
              <w:ind w:firstLine="0" w:firstLineChars="0"/>
              <w:jc w:val="both"/>
              <w:rPr>
                <w:rFonts w:cs="宋体"/>
                <w:b/>
                <w:bCs/>
                <w:szCs w:val="21"/>
              </w:rPr>
            </w:pPr>
            <w:r>
              <w:rPr>
                <w:rFonts w:hint="eastAsia" w:cs="宋体"/>
                <w:b/>
                <w:bCs/>
                <w:szCs w:val="21"/>
              </w:rPr>
              <w:t>全部采用原件扫描件，投标人编制投标文件时，必须在河南省公共资源交易中心市场主体信息库（以下简称“主体库”）中上传项目相关人员、业绩、企业证件等信息，评标时评标委员会须以主体库中抓取的信息为准，未按要求将不予认可。</w:t>
            </w:r>
          </w:p>
          <w:p>
            <w:pPr>
              <w:ind w:firstLine="0" w:firstLineChars="0"/>
              <w:jc w:val="both"/>
              <w:rPr>
                <w:rFonts w:cs="宋体"/>
                <w:szCs w:val="21"/>
              </w:rPr>
            </w:pPr>
            <w:r>
              <w:rPr>
                <w:rFonts w:hint="eastAsia" w:cs="宋体"/>
                <w:b/>
                <w:bCs/>
                <w:szCs w:val="21"/>
              </w:rPr>
              <w:t>备注：投标人须保证主体库中企业信息准确，并及时更新。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3.7.3</w:t>
            </w:r>
          </w:p>
        </w:tc>
        <w:tc>
          <w:tcPr>
            <w:tcW w:w="1785" w:type="dxa"/>
            <w:vAlign w:val="center"/>
          </w:tcPr>
          <w:p>
            <w:pPr>
              <w:ind w:firstLine="0" w:firstLineChars="0"/>
              <w:jc w:val="center"/>
              <w:rPr>
                <w:rFonts w:cs="宋体"/>
                <w:szCs w:val="21"/>
              </w:rPr>
            </w:pPr>
            <w:r>
              <w:rPr>
                <w:rFonts w:hint="eastAsia" w:cs="宋体"/>
                <w:szCs w:val="21"/>
              </w:rPr>
              <w:t>投标文件签字或盖章要求</w:t>
            </w:r>
          </w:p>
        </w:tc>
        <w:tc>
          <w:tcPr>
            <w:tcW w:w="7233" w:type="dxa"/>
            <w:vAlign w:val="center"/>
          </w:tcPr>
          <w:p>
            <w:pPr>
              <w:pStyle w:val="31"/>
              <w:autoSpaceDE/>
              <w:autoSpaceDN/>
              <w:spacing w:line="480" w:lineRule="exact"/>
              <w:ind w:firstLine="0" w:firstLineChars="0"/>
              <w:jc w:val="both"/>
              <w:rPr>
                <w:rFonts w:cs="宋体"/>
                <w:szCs w:val="21"/>
              </w:rPr>
            </w:pPr>
            <w:r>
              <w:rPr>
                <w:rFonts w:hint="eastAsia" w:cs="宋体"/>
                <w:szCs w:val="21"/>
              </w:rPr>
              <w:t>（1）所有要求投标人加盖公章的地方均用投标人的CA锁进行电子签章。</w:t>
            </w:r>
          </w:p>
          <w:p>
            <w:pPr>
              <w:pStyle w:val="31"/>
              <w:autoSpaceDE/>
              <w:autoSpaceDN/>
              <w:spacing w:line="480" w:lineRule="exact"/>
              <w:ind w:firstLine="0" w:firstLineChars="0"/>
              <w:jc w:val="both"/>
              <w:rPr>
                <w:rFonts w:cs="宋体"/>
                <w:szCs w:val="21"/>
              </w:rPr>
            </w:pPr>
            <w:r>
              <w:rPr>
                <w:rFonts w:hint="eastAsia" w:cs="宋体"/>
                <w:szCs w:val="21"/>
              </w:rPr>
              <w:t>（2）所有要求法定代表人签字或盖章的地方均用法定代表人的CA锁进行电子签章。若由委托代理人签字或盖章，且委托代理人没有CA锁的，则投标文件需上传有委托代理人手写签名的扫描件。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4.1.1</w:t>
            </w:r>
          </w:p>
        </w:tc>
        <w:tc>
          <w:tcPr>
            <w:tcW w:w="1785" w:type="dxa"/>
            <w:vAlign w:val="center"/>
          </w:tcPr>
          <w:p>
            <w:pPr>
              <w:ind w:firstLine="0" w:firstLineChars="0"/>
              <w:jc w:val="center"/>
              <w:rPr>
                <w:rFonts w:cs="宋体"/>
                <w:szCs w:val="21"/>
              </w:rPr>
            </w:pPr>
            <w:r>
              <w:rPr>
                <w:rFonts w:hint="eastAsia" w:cs="宋体"/>
                <w:szCs w:val="21"/>
              </w:rPr>
              <w:t>投标文件加密要求</w:t>
            </w:r>
          </w:p>
        </w:tc>
        <w:tc>
          <w:tcPr>
            <w:tcW w:w="7233" w:type="dxa"/>
            <w:vAlign w:val="center"/>
          </w:tcPr>
          <w:p>
            <w:pPr>
              <w:ind w:firstLine="0" w:firstLineChars="0"/>
              <w:jc w:val="both"/>
              <w:rPr>
                <w:rFonts w:cs="宋体"/>
                <w:szCs w:val="21"/>
              </w:rPr>
            </w:pPr>
            <w:r>
              <w:rPr>
                <w:rFonts w:hint="eastAsia" w:cs="宋体"/>
                <w:szCs w:val="21"/>
              </w:rPr>
              <w:t>投标人应当按照《河南省公共资源交易中心》电子交易平台规定的加密方式加密投标文件，格式为*.hntf格式。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4.2.1</w:t>
            </w:r>
          </w:p>
        </w:tc>
        <w:tc>
          <w:tcPr>
            <w:tcW w:w="1785" w:type="dxa"/>
            <w:vAlign w:val="center"/>
          </w:tcPr>
          <w:p>
            <w:pPr>
              <w:ind w:firstLine="0" w:firstLineChars="0"/>
              <w:jc w:val="center"/>
              <w:rPr>
                <w:rFonts w:cs="宋体"/>
                <w:szCs w:val="21"/>
              </w:rPr>
            </w:pPr>
            <w:r>
              <w:rPr>
                <w:rFonts w:hint="eastAsia" w:cs="宋体"/>
                <w:kern w:val="0"/>
                <w:szCs w:val="21"/>
              </w:rPr>
              <w:t>投标截止时间</w:t>
            </w:r>
          </w:p>
        </w:tc>
        <w:tc>
          <w:tcPr>
            <w:tcW w:w="7233" w:type="dxa"/>
            <w:vAlign w:val="center"/>
          </w:tcPr>
          <w:p>
            <w:pPr>
              <w:ind w:firstLine="0" w:firstLineChars="0"/>
              <w:rPr>
                <w:rFonts w:cs="宋体"/>
                <w:szCs w:val="21"/>
              </w:rPr>
            </w:pPr>
            <w:r>
              <w:rPr>
                <w:rFonts w:hint="eastAsia"/>
                <w:highlight w:val="none"/>
              </w:rPr>
              <w:t>202</w:t>
            </w:r>
            <w:r>
              <w:rPr>
                <w:rFonts w:hint="eastAsia"/>
                <w:highlight w:val="none"/>
                <w:lang w:val="en-US" w:eastAsia="zh-CN"/>
              </w:rPr>
              <w:t>4</w:t>
            </w:r>
            <w:r>
              <w:rPr>
                <w:rFonts w:hint="eastAsia"/>
                <w:highlight w:val="none"/>
              </w:rPr>
              <w:t>年</w:t>
            </w:r>
            <w:r>
              <w:rPr>
                <w:rFonts w:hint="eastAsia"/>
                <w:highlight w:val="none"/>
                <w:lang w:val="en-US" w:eastAsia="zh-CN"/>
              </w:rPr>
              <w:t>01</w:t>
            </w:r>
            <w:r>
              <w:rPr>
                <w:rFonts w:hint="eastAsia"/>
                <w:highlight w:val="none"/>
              </w:rPr>
              <w:t>月</w:t>
            </w:r>
            <w:r>
              <w:rPr>
                <w:rFonts w:hint="eastAsia"/>
                <w:highlight w:val="none"/>
                <w:lang w:val="en-US" w:eastAsia="zh-CN"/>
              </w:rPr>
              <w:t>09</w:t>
            </w:r>
            <w:r>
              <w:rPr>
                <w:rFonts w:hint="eastAsia"/>
                <w:highlight w:val="none"/>
              </w:rPr>
              <w:t>日09时00分</w:t>
            </w:r>
            <w:r>
              <w:rPr>
                <w:rFonts w:hint="eastAsia"/>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4.2.2</w:t>
            </w:r>
          </w:p>
        </w:tc>
        <w:tc>
          <w:tcPr>
            <w:tcW w:w="1785" w:type="dxa"/>
            <w:vAlign w:val="center"/>
          </w:tcPr>
          <w:p>
            <w:pPr>
              <w:ind w:firstLine="0" w:firstLineChars="0"/>
              <w:jc w:val="center"/>
              <w:rPr>
                <w:rFonts w:cs="宋体"/>
                <w:szCs w:val="21"/>
              </w:rPr>
            </w:pPr>
            <w:r>
              <w:rPr>
                <w:rFonts w:hint="eastAsia" w:cs="宋体"/>
                <w:kern w:val="0"/>
                <w:szCs w:val="21"/>
              </w:rPr>
              <w:t>递交投标文件地点</w:t>
            </w:r>
          </w:p>
        </w:tc>
        <w:tc>
          <w:tcPr>
            <w:tcW w:w="7233" w:type="dxa"/>
            <w:vAlign w:val="center"/>
          </w:tcPr>
          <w:p>
            <w:pPr>
              <w:pStyle w:val="31"/>
              <w:autoSpaceDE/>
              <w:autoSpaceDN/>
              <w:spacing w:line="480" w:lineRule="exact"/>
              <w:ind w:firstLine="0" w:firstLineChars="0"/>
              <w:jc w:val="both"/>
              <w:rPr>
                <w:rFonts w:cs="宋体"/>
                <w:szCs w:val="21"/>
              </w:rPr>
            </w:pPr>
            <w:r>
              <w:rPr>
                <w:rFonts w:hint="eastAsia" w:cs="宋体"/>
                <w:szCs w:val="21"/>
              </w:rPr>
              <w:t>在《河南省公共资源交易中心》电子交易平台递交电子投标文件。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4.2.3</w:t>
            </w:r>
          </w:p>
        </w:tc>
        <w:tc>
          <w:tcPr>
            <w:tcW w:w="1785" w:type="dxa"/>
            <w:vAlign w:val="center"/>
          </w:tcPr>
          <w:p>
            <w:pPr>
              <w:ind w:firstLine="0" w:firstLineChars="0"/>
              <w:jc w:val="center"/>
              <w:rPr>
                <w:rFonts w:cs="宋体"/>
                <w:szCs w:val="21"/>
              </w:rPr>
            </w:pPr>
            <w:r>
              <w:rPr>
                <w:rFonts w:hint="eastAsia" w:cs="宋体"/>
                <w:kern w:val="0"/>
                <w:szCs w:val="21"/>
              </w:rPr>
              <w:t>投标文件是否退还</w:t>
            </w:r>
          </w:p>
        </w:tc>
        <w:tc>
          <w:tcPr>
            <w:tcW w:w="7233" w:type="dxa"/>
            <w:vAlign w:val="center"/>
          </w:tcPr>
          <w:p>
            <w:pPr>
              <w:pStyle w:val="31"/>
              <w:autoSpaceDE/>
              <w:autoSpaceDN/>
              <w:spacing w:line="480" w:lineRule="exact"/>
              <w:ind w:firstLine="0" w:firstLineChars="0"/>
              <w:jc w:val="both"/>
              <w:rPr>
                <w:rFonts w:cs="宋体"/>
                <w:szCs w:val="21"/>
              </w:rPr>
            </w:pPr>
            <w:r>
              <w:rPr>
                <w:rFonts w:hint="eastAsia"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5.1</w:t>
            </w:r>
          </w:p>
        </w:tc>
        <w:tc>
          <w:tcPr>
            <w:tcW w:w="1785" w:type="dxa"/>
            <w:vAlign w:val="center"/>
          </w:tcPr>
          <w:p>
            <w:pPr>
              <w:ind w:firstLine="0" w:firstLineChars="0"/>
              <w:jc w:val="center"/>
              <w:rPr>
                <w:rFonts w:cs="宋体"/>
                <w:szCs w:val="21"/>
              </w:rPr>
            </w:pPr>
            <w:r>
              <w:rPr>
                <w:rFonts w:hint="eastAsia" w:cs="宋体"/>
                <w:szCs w:val="21"/>
              </w:rPr>
              <w:t>开标时间和地点</w:t>
            </w:r>
          </w:p>
        </w:tc>
        <w:tc>
          <w:tcPr>
            <w:tcW w:w="7233" w:type="dxa"/>
            <w:vAlign w:val="center"/>
          </w:tcPr>
          <w:p>
            <w:pPr>
              <w:wordWrap w:val="0"/>
              <w:autoSpaceDE/>
              <w:autoSpaceDN/>
              <w:ind w:firstLine="0" w:firstLineChars="0"/>
              <w:jc w:val="both"/>
              <w:rPr>
                <w:rFonts w:cs="宋体"/>
                <w:szCs w:val="21"/>
              </w:rPr>
            </w:pPr>
            <w:r>
              <w:rPr>
                <w:rFonts w:hint="eastAsia" w:cs="宋体"/>
                <w:szCs w:val="21"/>
              </w:rPr>
              <w:t>开标时间：同投标截止时间</w:t>
            </w:r>
          </w:p>
          <w:p>
            <w:pPr>
              <w:wordWrap w:val="0"/>
              <w:autoSpaceDE/>
              <w:autoSpaceDN/>
              <w:ind w:firstLine="0" w:firstLineChars="0"/>
              <w:jc w:val="both"/>
              <w:rPr>
                <w:rFonts w:cs="宋体"/>
                <w:szCs w:val="21"/>
              </w:rPr>
            </w:pPr>
            <w:r>
              <w:rPr>
                <w:rFonts w:hint="eastAsia" w:cs="宋体"/>
                <w:szCs w:val="21"/>
              </w:rPr>
              <w:t>电子投标文件解密时间：在开始解密本单位电子投标文件后的30分钟内完成远程解密。</w:t>
            </w:r>
          </w:p>
          <w:p>
            <w:pPr>
              <w:wordWrap w:val="0"/>
              <w:autoSpaceDE/>
              <w:autoSpaceDN/>
              <w:ind w:firstLine="0" w:firstLineChars="0"/>
              <w:jc w:val="both"/>
              <w:rPr>
                <w:rFonts w:cs="宋体"/>
                <w:szCs w:val="21"/>
              </w:rPr>
            </w:pPr>
            <w:r>
              <w:rPr>
                <w:rFonts w:hint="eastAsia" w:cs="宋体"/>
                <w:szCs w:val="21"/>
              </w:rPr>
              <w:t>远程开标地点：河南省公共资源交易中心</w:t>
            </w:r>
            <w:r>
              <w:rPr>
                <w:rFonts w:hint="eastAsia" w:cs="宋体"/>
                <w:szCs w:val="21"/>
                <w:highlight w:val="none"/>
              </w:rPr>
              <w:t>远程开标室（三）-2</w:t>
            </w:r>
          </w:p>
          <w:p>
            <w:pPr>
              <w:wordWrap w:val="0"/>
              <w:autoSpaceDE/>
              <w:autoSpaceDN/>
              <w:ind w:firstLine="0" w:firstLineChars="0"/>
              <w:jc w:val="both"/>
              <w:rPr>
                <w:rFonts w:cs="宋体"/>
                <w:szCs w:val="21"/>
              </w:rPr>
            </w:pPr>
            <w:r>
              <w:rPr>
                <w:rFonts w:hint="eastAsia" w:cs="宋体"/>
                <w:szCs w:val="21"/>
              </w:rPr>
              <w:t>地址：郑州市经二路12号（经二路与纬四路向南50米路西）</w:t>
            </w:r>
          </w:p>
          <w:p>
            <w:pPr>
              <w:wordWrap w:val="0"/>
              <w:autoSpaceDE/>
              <w:autoSpaceDN/>
              <w:ind w:firstLine="0" w:firstLineChars="0"/>
              <w:jc w:val="both"/>
              <w:rPr>
                <w:rFonts w:cs="宋体"/>
                <w:szCs w:val="21"/>
              </w:rPr>
            </w:pPr>
            <w:r>
              <w:rPr>
                <w:rFonts w:hint="eastAsia" w:cs="宋体"/>
                <w:szCs w:val="21"/>
              </w:rPr>
              <w:t>不见面开标网址：登录河南省公共资源交易中心网站首页“不见面开标大厅登录”。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5.2</w:t>
            </w:r>
          </w:p>
        </w:tc>
        <w:tc>
          <w:tcPr>
            <w:tcW w:w="1785" w:type="dxa"/>
            <w:vAlign w:val="center"/>
          </w:tcPr>
          <w:p>
            <w:pPr>
              <w:ind w:firstLine="0" w:firstLineChars="0"/>
              <w:jc w:val="center"/>
              <w:rPr>
                <w:rFonts w:cs="宋体"/>
                <w:szCs w:val="21"/>
              </w:rPr>
            </w:pPr>
            <w:r>
              <w:rPr>
                <w:rFonts w:hint="eastAsia" w:cs="宋体"/>
                <w:szCs w:val="21"/>
              </w:rPr>
              <w:t>开标程序</w:t>
            </w:r>
          </w:p>
        </w:tc>
        <w:tc>
          <w:tcPr>
            <w:tcW w:w="7233" w:type="dxa"/>
            <w:vAlign w:val="center"/>
          </w:tcPr>
          <w:p>
            <w:pPr>
              <w:ind w:firstLine="0" w:firstLineChars="0"/>
              <w:jc w:val="both"/>
              <w:rPr>
                <w:rFonts w:cs="宋体"/>
                <w:szCs w:val="21"/>
              </w:rPr>
            </w:pPr>
            <w:r>
              <w:rPr>
                <w:rFonts w:hint="eastAsia" w:cs="宋体"/>
                <w:szCs w:val="21"/>
              </w:rPr>
              <w:t>按河南省公共资源-远程不见面开标程序执行，开标程序详见河南省公共资源交易中心网站“公共服务”“办事指南”专区的“新交易平台使用手册（培训资料）”。</w:t>
            </w:r>
          </w:p>
          <w:p>
            <w:pPr>
              <w:ind w:firstLine="0" w:firstLineChars="0"/>
              <w:jc w:val="both"/>
              <w:rPr>
                <w:rFonts w:cs="宋体"/>
                <w:szCs w:val="21"/>
              </w:rPr>
            </w:pPr>
            <w:r>
              <w:rPr>
                <w:rFonts w:hint="eastAsia" w:cs="宋体"/>
                <w:b/>
                <w:bCs/>
                <w:szCs w:val="21"/>
              </w:rPr>
              <w:t>备注：投标人无需到电子招标投标交易平台现场参加开标会议，开标会议采用“远程不见面”方式。所有投标人均应当在招标文件规定的投标截止时间前,登录远程开标大厅,在线准时参加开标活动，并在规定的时间对投标文件进行解密、答疑澄清（如需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6.1.1</w:t>
            </w:r>
          </w:p>
        </w:tc>
        <w:tc>
          <w:tcPr>
            <w:tcW w:w="1785" w:type="dxa"/>
            <w:vAlign w:val="center"/>
          </w:tcPr>
          <w:p>
            <w:pPr>
              <w:ind w:firstLine="0" w:firstLineChars="0"/>
              <w:jc w:val="center"/>
              <w:rPr>
                <w:rFonts w:cs="宋体"/>
                <w:szCs w:val="21"/>
              </w:rPr>
            </w:pPr>
            <w:r>
              <w:rPr>
                <w:rFonts w:hint="eastAsia" w:cs="宋体"/>
                <w:kern w:val="0"/>
                <w:szCs w:val="21"/>
              </w:rPr>
              <w:t>评标委员会的组建</w:t>
            </w:r>
          </w:p>
        </w:tc>
        <w:tc>
          <w:tcPr>
            <w:tcW w:w="7233" w:type="dxa"/>
            <w:vAlign w:val="center"/>
          </w:tcPr>
          <w:p>
            <w:pPr>
              <w:ind w:firstLine="0" w:firstLineChars="0"/>
              <w:jc w:val="both"/>
              <w:rPr>
                <w:rFonts w:cs="宋体"/>
                <w:szCs w:val="21"/>
              </w:rPr>
            </w:pPr>
            <w:r>
              <w:rPr>
                <w:rFonts w:hint="eastAsia" w:cs="宋体"/>
                <w:szCs w:val="21"/>
              </w:rPr>
              <w:t>评标委员会构成：共5人组成，其中招标人代表1人，有关技术、经济等方面的专家4人。</w:t>
            </w:r>
          </w:p>
          <w:p>
            <w:pPr>
              <w:ind w:firstLine="0" w:firstLineChars="0"/>
              <w:jc w:val="both"/>
              <w:rPr>
                <w:rFonts w:cs="宋体"/>
                <w:szCs w:val="21"/>
              </w:rPr>
            </w:pPr>
            <w:r>
              <w:rPr>
                <w:rFonts w:hint="eastAsia" w:cs="宋体"/>
                <w:szCs w:val="21"/>
              </w:rPr>
              <w:t>评标专家确定方式：在开标前依法从河南省财政厅政府采购专家库中随机抽取。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6.3.2</w:t>
            </w:r>
          </w:p>
        </w:tc>
        <w:tc>
          <w:tcPr>
            <w:tcW w:w="1785" w:type="dxa"/>
            <w:vAlign w:val="center"/>
          </w:tcPr>
          <w:p>
            <w:pPr>
              <w:ind w:firstLine="0" w:firstLineChars="0"/>
              <w:jc w:val="center"/>
              <w:rPr>
                <w:rFonts w:cs="宋体"/>
                <w:szCs w:val="21"/>
              </w:rPr>
            </w:pPr>
            <w:r>
              <w:rPr>
                <w:rFonts w:hint="eastAsia" w:cs="宋体"/>
                <w:kern w:val="0"/>
                <w:szCs w:val="21"/>
              </w:rPr>
              <w:t>评标委员会推荐中标候选人的人数</w:t>
            </w:r>
          </w:p>
        </w:tc>
        <w:tc>
          <w:tcPr>
            <w:tcW w:w="7233" w:type="dxa"/>
            <w:vAlign w:val="center"/>
          </w:tcPr>
          <w:p>
            <w:pPr>
              <w:ind w:firstLine="0" w:firstLineChars="0"/>
              <w:jc w:val="both"/>
              <w:rPr>
                <w:rFonts w:cs="宋体"/>
                <w:szCs w:val="21"/>
              </w:rPr>
            </w:pPr>
            <w:r>
              <w:rPr>
                <w:rFonts w:hint="eastAsia" w:cs="宋体"/>
                <w:szCs w:val="21"/>
              </w:rPr>
              <w:t>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7.1</w:t>
            </w:r>
          </w:p>
        </w:tc>
        <w:tc>
          <w:tcPr>
            <w:tcW w:w="1785" w:type="dxa"/>
            <w:vAlign w:val="center"/>
          </w:tcPr>
          <w:p>
            <w:pPr>
              <w:ind w:firstLine="0" w:firstLineChars="0"/>
              <w:jc w:val="center"/>
              <w:rPr>
                <w:rFonts w:cs="宋体"/>
                <w:szCs w:val="21"/>
              </w:rPr>
            </w:pPr>
            <w:r>
              <w:rPr>
                <w:rFonts w:hint="eastAsia" w:cs="宋体"/>
                <w:kern w:val="0"/>
                <w:szCs w:val="21"/>
              </w:rPr>
              <w:t>中标候选人公示媒介及期限</w:t>
            </w:r>
          </w:p>
        </w:tc>
        <w:tc>
          <w:tcPr>
            <w:tcW w:w="7233" w:type="dxa"/>
            <w:vAlign w:val="center"/>
          </w:tcPr>
          <w:p>
            <w:pPr>
              <w:ind w:firstLine="0" w:firstLineChars="0"/>
              <w:jc w:val="both"/>
              <w:rPr>
                <w:rFonts w:cs="宋体"/>
                <w:szCs w:val="21"/>
              </w:rPr>
            </w:pPr>
            <w:r>
              <w:rPr>
                <w:rFonts w:hint="eastAsia" w:cs="宋体"/>
                <w:szCs w:val="21"/>
              </w:rPr>
              <w:t>公示媒介：同本招标项目发布招标公告的同一媒介</w:t>
            </w:r>
          </w:p>
          <w:p>
            <w:pPr>
              <w:ind w:firstLine="0" w:firstLineChars="0"/>
              <w:jc w:val="both"/>
              <w:rPr>
                <w:rFonts w:cs="宋体"/>
                <w:szCs w:val="21"/>
              </w:rPr>
            </w:pPr>
            <w:r>
              <w:rPr>
                <w:rFonts w:hint="eastAsia" w:cs="宋体"/>
                <w:szCs w:val="21"/>
              </w:rPr>
              <w:t>公示期限：</w:t>
            </w:r>
            <w:r>
              <w:rPr>
                <w:rFonts w:hint="eastAsia" w:cs="宋体"/>
                <w:szCs w:val="21"/>
                <w:u w:val="single"/>
              </w:rPr>
              <w:t xml:space="preserve"> 3 </w:t>
            </w:r>
            <w:r>
              <w:rPr>
                <w:rFonts w:hint="eastAsia" w:cs="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7.4</w:t>
            </w:r>
          </w:p>
        </w:tc>
        <w:tc>
          <w:tcPr>
            <w:tcW w:w="1785" w:type="dxa"/>
            <w:vAlign w:val="center"/>
          </w:tcPr>
          <w:p>
            <w:pPr>
              <w:ind w:firstLine="0" w:firstLineChars="0"/>
              <w:jc w:val="center"/>
              <w:rPr>
                <w:rFonts w:cs="宋体"/>
                <w:szCs w:val="21"/>
              </w:rPr>
            </w:pPr>
            <w:r>
              <w:rPr>
                <w:rFonts w:hint="eastAsia" w:cs="宋体"/>
                <w:kern w:val="0"/>
                <w:szCs w:val="21"/>
              </w:rPr>
              <w:t>是否授权评标委员会确定中标人</w:t>
            </w:r>
          </w:p>
        </w:tc>
        <w:tc>
          <w:tcPr>
            <w:tcW w:w="7233" w:type="dxa"/>
            <w:vAlign w:val="center"/>
          </w:tcPr>
          <w:p>
            <w:pPr>
              <w:ind w:firstLine="0" w:firstLineChars="0"/>
              <w:jc w:val="both"/>
              <w:rPr>
                <w:rFonts w:cs="宋体"/>
                <w:szCs w:val="21"/>
              </w:rPr>
            </w:pPr>
            <w:r>
              <w:rPr>
                <w:rFonts w:hint="eastAsia"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7.6.1</w:t>
            </w:r>
          </w:p>
        </w:tc>
        <w:tc>
          <w:tcPr>
            <w:tcW w:w="1785" w:type="dxa"/>
            <w:vAlign w:val="center"/>
          </w:tcPr>
          <w:p>
            <w:pPr>
              <w:ind w:firstLine="0" w:firstLineChars="0"/>
              <w:jc w:val="center"/>
              <w:rPr>
                <w:rFonts w:cs="宋体"/>
                <w:szCs w:val="21"/>
              </w:rPr>
            </w:pPr>
            <w:r>
              <w:rPr>
                <w:rFonts w:hint="eastAsia" w:cs="宋体"/>
                <w:kern w:val="0"/>
                <w:szCs w:val="21"/>
              </w:rPr>
              <w:t>履约保证金</w:t>
            </w:r>
          </w:p>
        </w:tc>
        <w:tc>
          <w:tcPr>
            <w:tcW w:w="7233" w:type="dxa"/>
            <w:vAlign w:val="center"/>
          </w:tcPr>
          <w:p>
            <w:pPr>
              <w:ind w:firstLine="0" w:firstLineChars="0"/>
              <w:jc w:val="both"/>
              <w:rPr>
                <w:rFonts w:cs="宋体"/>
                <w:szCs w:val="21"/>
              </w:rPr>
            </w:pPr>
            <w:r>
              <w:rPr>
                <w:rFonts w:hint="eastAsia" w:cs="宋体"/>
                <w:szCs w:val="21"/>
              </w:rPr>
              <w:t>要求，履约保证金的形式：</w:t>
            </w:r>
            <w:r>
              <w:rPr>
                <w:rFonts w:hint="eastAsia" w:cs="宋体"/>
                <w:color w:val="000000"/>
                <w:szCs w:val="21"/>
              </w:rPr>
              <w:t>采用转账或银行保函</w:t>
            </w:r>
          </w:p>
          <w:p>
            <w:pPr>
              <w:ind w:firstLine="0" w:firstLineChars="0"/>
              <w:jc w:val="both"/>
              <w:rPr>
                <w:rFonts w:cs="宋体"/>
                <w:szCs w:val="21"/>
              </w:rPr>
            </w:pPr>
            <w:r>
              <w:rPr>
                <w:rFonts w:hint="eastAsia" w:cs="宋体"/>
                <w:szCs w:val="21"/>
              </w:rPr>
              <w:t>履约保证金的金额：合同价款的10%，中标通知书领取后7个工作日内缴纳。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9</w:t>
            </w:r>
          </w:p>
        </w:tc>
        <w:tc>
          <w:tcPr>
            <w:tcW w:w="1785" w:type="dxa"/>
            <w:vAlign w:val="center"/>
          </w:tcPr>
          <w:p>
            <w:pPr>
              <w:ind w:firstLine="0" w:firstLineChars="0"/>
              <w:jc w:val="center"/>
              <w:rPr>
                <w:rFonts w:cs="宋体"/>
                <w:szCs w:val="21"/>
              </w:rPr>
            </w:pPr>
            <w:r>
              <w:rPr>
                <w:rFonts w:hint="eastAsia" w:cs="宋体"/>
                <w:kern w:val="0"/>
                <w:szCs w:val="21"/>
              </w:rPr>
              <w:t>是否采用电子招标投标</w:t>
            </w:r>
          </w:p>
        </w:tc>
        <w:tc>
          <w:tcPr>
            <w:tcW w:w="7233" w:type="dxa"/>
            <w:vAlign w:val="center"/>
          </w:tcPr>
          <w:p>
            <w:pPr>
              <w:adjustRightInd w:val="0"/>
              <w:ind w:firstLine="0" w:firstLineChars="0"/>
              <w:jc w:val="both"/>
              <w:rPr>
                <w:kern w:val="0"/>
                <w:szCs w:val="21"/>
              </w:rPr>
            </w:pPr>
            <w:r>
              <w:rPr>
                <w:rFonts w:hint="eastAsia"/>
                <w:kern w:val="0"/>
                <w:szCs w:val="21"/>
              </w:rPr>
              <w:t>□</w:t>
            </w:r>
            <w:r>
              <w:rPr>
                <w:kern w:val="0"/>
                <w:szCs w:val="21"/>
              </w:rPr>
              <w:t>否</w:t>
            </w:r>
          </w:p>
          <w:p>
            <w:pPr>
              <w:adjustRightInd w:val="0"/>
              <w:ind w:firstLine="0" w:firstLineChars="0"/>
              <w:jc w:val="both"/>
              <w:rPr>
                <w:rFonts w:cs="宋体"/>
                <w:b/>
                <w:bCs/>
                <w:kern w:val="0"/>
                <w:szCs w:val="21"/>
              </w:rPr>
            </w:pPr>
            <w:r>
              <w:rPr>
                <w:rFonts w:hint="eastAsia"/>
                <w:b/>
                <w:bCs/>
                <w:kern w:val="0"/>
                <w:szCs w:val="21"/>
              </w:rPr>
              <w:t>☑</w:t>
            </w:r>
            <w:r>
              <w:rPr>
                <w:b/>
                <w:bCs/>
                <w:kern w:val="0"/>
                <w:szCs w:val="21"/>
              </w:rPr>
              <w:t>是，具体要求：</w:t>
            </w:r>
          </w:p>
          <w:p>
            <w:pPr>
              <w:ind w:firstLine="0" w:firstLineChars="0"/>
              <w:jc w:val="both"/>
              <w:rPr>
                <w:rFonts w:cs="宋体"/>
                <w:szCs w:val="21"/>
              </w:rPr>
            </w:pPr>
            <w:r>
              <w:rPr>
                <w:rFonts w:hint="eastAsia" w:cs="宋体"/>
                <w:szCs w:val="21"/>
              </w:rPr>
              <w:t>1.投标文件制作</w:t>
            </w:r>
          </w:p>
          <w:p>
            <w:pPr>
              <w:wordWrap w:val="0"/>
              <w:autoSpaceDE/>
              <w:autoSpaceDN/>
              <w:ind w:firstLine="0" w:firstLineChars="0"/>
              <w:jc w:val="both"/>
              <w:rPr>
                <w:rFonts w:cs="宋体"/>
                <w:szCs w:val="21"/>
              </w:rPr>
            </w:pPr>
            <w:r>
              <w:rPr>
                <w:rFonts w:hint="eastAsia" w:cs="宋体"/>
                <w:szCs w:val="21"/>
              </w:rPr>
              <w:t>1.1获取招标文件后，投标人请到河南省公共资源交易中心网站（http://www.hnggzy.net/）“下载专区”下载最新版本的“投标文件制作工具安装包文件下载”，并使用安装后的最新版本投标文件制作工具制作电子投标文件。</w:t>
            </w:r>
          </w:p>
          <w:p>
            <w:pPr>
              <w:ind w:firstLine="0" w:firstLineChars="0"/>
              <w:jc w:val="both"/>
              <w:rPr>
                <w:rFonts w:cs="宋体"/>
                <w:szCs w:val="21"/>
              </w:rPr>
            </w:pPr>
            <w:r>
              <w:rPr>
                <w:rFonts w:hint="eastAsia" w:cs="宋体"/>
                <w:szCs w:val="21"/>
              </w:rPr>
              <w:t>1.2投标人在制作电子投标文件时，须按格式内容要求进行电子签章。</w:t>
            </w:r>
          </w:p>
          <w:p>
            <w:pPr>
              <w:ind w:firstLine="0" w:firstLineChars="0"/>
              <w:jc w:val="both"/>
              <w:rPr>
                <w:rFonts w:cs="宋体"/>
                <w:szCs w:val="21"/>
              </w:rPr>
            </w:pPr>
            <w:r>
              <w:rPr>
                <w:rFonts w:hint="eastAsia" w:cs="宋体"/>
                <w:szCs w:val="21"/>
              </w:rPr>
              <w:t>1.3投标人编制投标文件时，涉及营业执照、资质、业绩、获奖、人员、财务、社保、纳税、各类证书等内容，必须在市场主体信息库中已登记的信息中选取。未在市场主体信息库中登记的上述内容，不作为评审依据。投标人应及时对市场主体信息库的相关内容进行补充、更新。</w:t>
            </w:r>
          </w:p>
          <w:p>
            <w:pPr>
              <w:ind w:firstLine="0" w:firstLineChars="0"/>
              <w:jc w:val="both"/>
              <w:rPr>
                <w:rFonts w:cs="宋体"/>
                <w:szCs w:val="21"/>
              </w:rPr>
            </w:pPr>
            <w:r>
              <w:rPr>
                <w:rFonts w:hint="eastAsia" w:cs="宋体"/>
                <w:szCs w:val="21"/>
              </w:rPr>
              <w:t>1.4投标人应在主体信息库录入信息（需审核通过）和扫描件，制作投标文件时从信息库获取资料。营业执照、开户许可证等基本信息扫描件，为审核通过状态才可以在投标人（供应商）基本信息节点进行挑选。如果不是审核通过，请联系受理处进行审核，之后重新同步获取。</w:t>
            </w:r>
          </w:p>
          <w:p>
            <w:pPr>
              <w:ind w:firstLine="0" w:firstLineChars="0"/>
              <w:jc w:val="both"/>
              <w:rPr>
                <w:rFonts w:cs="宋体"/>
                <w:szCs w:val="21"/>
              </w:rPr>
            </w:pPr>
            <w:r>
              <w:rPr>
                <w:rFonts w:hint="eastAsia" w:cs="宋体"/>
                <w:szCs w:val="21"/>
              </w:rPr>
              <w:t>1.5评审资料的全部信息挑选补充完毕后，请认真核对并确认，若有遗漏或异常的信息，需修改主体信息库信息后再次同步挑选。</w:t>
            </w:r>
          </w:p>
          <w:p>
            <w:pPr>
              <w:ind w:firstLine="0" w:firstLineChars="0"/>
              <w:jc w:val="both"/>
              <w:rPr>
                <w:rFonts w:cs="宋体"/>
                <w:szCs w:val="21"/>
              </w:rPr>
            </w:pPr>
            <w:r>
              <w:rPr>
                <w:rFonts w:hint="eastAsia" w:cs="宋体"/>
                <w:szCs w:val="21"/>
              </w:rPr>
              <w:t>2.投标文件的递交</w:t>
            </w:r>
          </w:p>
          <w:p>
            <w:pPr>
              <w:wordWrap w:val="0"/>
              <w:autoSpaceDE/>
              <w:autoSpaceDN/>
              <w:ind w:firstLine="0" w:firstLineChars="0"/>
              <w:jc w:val="both"/>
              <w:rPr>
                <w:rFonts w:cs="宋体"/>
                <w:szCs w:val="21"/>
              </w:rPr>
            </w:pPr>
            <w:r>
              <w:rPr>
                <w:rFonts w:hint="eastAsia" w:cs="宋体"/>
                <w:szCs w:val="21"/>
              </w:rPr>
              <w:t>2.1投标文件的上传：加密电子投标文件（.hntf 格式）须在投标文件递交截止时间前通过“河南省公共资源交易中心（http://www.hnggzy.net/）”电子交易平台指定位置完成加密上传。上传时必须得到系统“上传成功”的确认回复。请投标人在上传时认真检查上传投标文件是否完整、正确。</w:t>
            </w:r>
          </w:p>
          <w:p>
            <w:pPr>
              <w:wordWrap w:val="0"/>
              <w:autoSpaceDE/>
              <w:autoSpaceDN/>
              <w:ind w:firstLine="0" w:firstLineChars="0"/>
              <w:jc w:val="both"/>
              <w:rPr>
                <w:rFonts w:cs="宋体"/>
                <w:szCs w:val="21"/>
              </w:rPr>
            </w:pPr>
            <w:r>
              <w:rPr>
                <w:rFonts w:hint="eastAsia" w:cs="宋体"/>
                <w:szCs w:val="21"/>
              </w:rPr>
              <w:t>2.2加密的电子投标文件为“河南省公共资源交易中心（http://www.hnggzy.net/）” 网站提供的“投标文件制作工具”软件制作生成的加密版投标文件。</w:t>
            </w:r>
          </w:p>
          <w:p>
            <w:pPr>
              <w:ind w:firstLine="0" w:firstLineChars="0"/>
              <w:jc w:val="both"/>
              <w:rPr>
                <w:rFonts w:cs="宋体"/>
                <w:szCs w:val="21"/>
              </w:rPr>
            </w:pPr>
            <w:r>
              <w:rPr>
                <w:rFonts w:hint="eastAsia" w:cs="宋体"/>
                <w:szCs w:val="21"/>
              </w:rPr>
              <w:t>2.3投标人因交易中心投标系统问题无法上传电子投标文件时，请在工作时间与河南省公共资源交易中心联系，联系电话：0371-61335566。</w:t>
            </w:r>
          </w:p>
          <w:p>
            <w:pPr>
              <w:ind w:firstLine="0" w:firstLineChars="0"/>
              <w:jc w:val="both"/>
              <w:rPr>
                <w:rFonts w:cs="宋体"/>
                <w:szCs w:val="21"/>
              </w:rPr>
            </w:pPr>
            <w:r>
              <w:rPr>
                <w:rFonts w:hint="eastAsia" w:cs="宋体"/>
                <w:szCs w:val="21"/>
              </w:rPr>
              <w:t>3.开标方式</w:t>
            </w:r>
          </w:p>
          <w:p>
            <w:pPr>
              <w:ind w:firstLine="0" w:firstLineChars="0"/>
              <w:jc w:val="both"/>
              <w:rPr>
                <w:rFonts w:cs="宋体"/>
                <w:szCs w:val="21"/>
              </w:rPr>
            </w:pPr>
            <w:r>
              <w:rPr>
                <w:rFonts w:hint="eastAsia" w:cs="宋体"/>
                <w:szCs w:val="21"/>
              </w:rPr>
              <w:t>3.1本项目采用“远程不见面”开标方式,投标人无需到省交易中心现场参加开标会议。投标人应当在招标文件确定的投标文件递交截止时间前,登录远程开标大厅,在线准时参加开标活动并进行文件解密、答疑澄清等。远程开标大厅的网址（http://www.hnggzy.net/）。</w:t>
            </w:r>
          </w:p>
          <w:p>
            <w:pPr>
              <w:ind w:firstLine="0" w:firstLineChars="0"/>
              <w:jc w:val="both"/>
              <w:rPr>
                <w:rFonts w:cs="宋体"/>
                <w:szCs w:val="21"/>
              </w:rPr>
            </w:pPr>
            <w:r>
              <w:rPr>
                <w:rFonts w:hint="eastAsia" w:cs="宋体"/>
                <w:szCs w:val="21"/>
              </w:rPr>
              <w:t>3.2不见面服务的具体操作流程登陆河南省公共资源交易中心网站（http://www.hnggzy.net/）“办事指南”专区的“新交易平台使用手册（培训资料）”中“</w:t>
            </w:r>
            <w:r>
              <w:fldChar w:fldCharType="begin"/>
            </w:r>
            <w:r>
              <w:instrText xml:space="preserve">HYPERLINK "http://www.hnggzy.net/EpointWebBuilder/epointtemp/editor/uploadfile/20210910145716532.doc" \t "http://www.hnggzy.net/ggfw/004003/20210909/_blank"</w:instrText>
            </w:r>
            <w:r>
              <w:fldChar w:fldCharType="separate"/>
            </w:r>
            <w:r>
              <w:rPr>
                <w:rFonts w:hint="eastAsia" w:cs="宋体"/>
                <w:szCs w:val="21"/>
              </w:rPr>
              <w:t>河南省公共资源“智慧交易”平台-不见面开标大厅投标人操作手册V1.0.doc</w:t>
            </w:r>
            <w:r>
              <w:rPr>
                <w:rFonts w:cs="宋体"/>
                <w:szCs w:val="21"/>
              </w:rPr>
              <w:fldChar w:fldCharType="end"/>
            </w:r>
            <w:r>
              <w:rPr>
                <w:rFonts w:hint="eastAsia" w:cs="宋体"/>
                <w:szCs w:val="21"/>
              </w:rPr>
              <w:t>”查看。</w:t>
            </w:r>
          </w:p>
          <w:p>
            <w:pPr>
              <w:ind w:firstLine="0" w:firstLineChars="0"/>
              <w:jc w:val="both"/>
              <w:rPr>
                <w:rFonts w:cs="宋体"/>
                <w:szCs w:val="21"/>
              </w:rPr>
            </w:pPr>
            <w:r>
              <w:rPr>
                <w:rFonts w:hint="eastAsia" w:cs="宋体"/>
                <w:szCs w:val="21"/>
              </w:rPr>
              <w:t>4.特别说明：</w:t>
            </w:r>
          </w:p>
          <w:p>
            <w:pPr>
              <w:ind w:firstLine="0" w:firstLineChars="0"/>
              <w:jc w:val="both"/>
              <w:rPr>
                <w:rFonts w:cs="宋体"/>
                <w:szCs w:val="21"/>
              </w:rPr>
            </w:pPr>
            <w:r>
              <w:rPr>
                <w:rFonts w:hint="eastAsia" w:cs="宋体"/>
                <w:szCs w:val="21"/>
              </w:rPr>
              <w:t>4.1因河南省公共资源交易平台在投标文件递交截止时间前具有保密性，投标人在投标文件递交截止时间前须自行登录查看项目进展、变更通知、澄清及回复，因投标人未及时查看而造成的后果自负。</w:t>
            </w:r>
          </w:p>
          <w:p>
            <w:pPr>
              <w:ind w:firstLine="0" w:firstLineChars="0"/>
              <w:jc w:val="both"/>
              <w:rPr>
                <w:rFonts w:cs="宋体"/>
                <w:szCs w:val="21"/>
              </w:rPr>
            </w:pPr>
            <w:r>
              <w:rPr>
                <w:rFonts w:hint="eastAsia" w:cs="宋体"/>
                <w:szCs w:val="21"/>
              </w:rPr>
              <w:t>4.2如果采购人对已发出的招标文件进行澄清或修改，采购代理机构将通过政府采购网、河南省公共资源交易平台上传澄清或修改，投标人自行下载查看。并以最新的澄清或修改文件编制投标文件。</w:t>
            </w:r>
          </w:p>
          <w:p>
            <w:pPr>
              <w:ind w:firstLine="0" w:firstLineChars="0"/>
              <w:jc w:val="both"/>
              <w:rPr>
                <w:rFonts w:cs="宋体"/>
                <w:szCs w:val="21"/>
              </w:rPr>
            </w:pPr>
            <w:r>
              <w:rPr>
                <w:rFonts w:hint="eastAsia" w:cs="宋体"/>
                <w:szCs w:val="21"/>
              </w:rPr>
              <w:t>5.因交易中心系统不断更新，投标人应适时登录系统查看，以交易中心最新版的系统要求为准进行操作，否则由此造成损失后果自负。</w:t>
            </w:r>
          </w:p>
          <w:p>
            <w:pPr>
              <w:ind w:firstLine="0" w:firstLineChars="0"/>
              <w:jc w:val="both"/>
              <w:rPr>
                <w:rFonts w:cs="宋体"/>
                <w:szCs w:val="21"/>
              </w:rPr>
            </w:pPr>
            <w:r>
              <w:rPr>
                <w:rFonts w:hint="eastAsia" w:cs="宋体"/>
                <w:szCs w:val="21"/>
              </w:rPr>
              <w:t>6.投标人在制作电子投标文件时，“投标文件制作工具”左侧栏目中“投标函”为河南省公共资源交易平台系统默认设置，该“投标函”需填写相关内容并电子签章，投标人只需填写与本项目相关的信息即可，具体以投标文件中的“投标函及开标一览表”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kern w:val="0"/>
                <w:szCs w:val="21"/>
              </w:rPr>
            </w:pPr>
            <w:r>
              <w:rPr>
                <w:rFonts w:hint="eastAsia" w:cs="宋体"/>
                <w:kern w:val="0"/>
                <w:szCs w:val="21"/>
              </w:rPr>
              <w:t>10</w:t>
            </w:r>
          </w:p>
        </w:tc>
        <w:tc>
          <w:tcPr>
            <w:tcW w:w="9018" w:type="dxa"/>
            <w:gridSpan w:val="2"/>
            <w:vAlign w:val="center"/>
          </w:tcPr>
          <w:p>
            <w:pPr>
              <w:adjustRightInd w:val="0"/>
              <w:ind w:firstLine="0" w:firstLineChars="0"/>
              <w:jc w:val="center"/>
              <w:rPr>
                <w:rFonts w:cs="宋体"/>
                <w:bCs/>
                <w:szCs w:val="21"/>
              </w:rPr>
            </w:pPr>
            <w:r>
              <w:rPr>
                <w:rFonts w:hint="eastAsia" w:cs="宋体"/>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kern w:val="0"/>
                <w:szCs w:val="21"/>
              </w:rPr>
            </w:pPr>
            <w:r>
              <w:rPr>
                <w:rFonts w:hint="eastAsia" w:cs="宋体"/>
                <w:kern w:val="0"/>
                <w:szCs w:val="21"/>
              </w:rPr>
              <w:t>10.1</w:t>
            </w:r>
          </w:p>
        </w:tc>
        <w:tc>
          <w:tcPr>
            <w:tcW w:w="1785" w:type="dxa"/>
            <w:vAlign w:val="center"/>
          </w:tcPr>
          <w:p>
            <w:pPr>
              <w:ind w:firstLine="0" w:firstLineChars="0"/>
              <w:jc w:val="center"/>
              <w:rPr>
                <w:rFonts w:cs="宋体"/>
                <w:kern w:val="0"/>
                <w:szCs w:val="21"/>
              </w:rPr>
            </w:pPr>
            <w:r>
              <w:rPr>
                <w:rFonts w:hint="eastAsia" w:cs="宋体"/>
                <w:szCs w:val="21"/>
              </w:rPr>
              <w:t>代理服务费收取方式及标准</w:t>
            </w:r>
          </w:p>
        </w:tc>
        <w:tc>
          <w:tcPr>
            <w:tcW w:w="7233" w:type="dxa"/>
            <w:vAlign w:val="center"/>
          </w:tcPr>
          <w:p>
            <w:pPr>
              <w:ind w:firstLine="0" w:firstLineChars="0"/>
              <w:jc w:val="both"/>
              <w:rPr>
                <w:rFonts w:cs="宋体"/>
                <w:kern w:val="0"/>
                <w:szCs w:val="21"/>
              </w:rPr>
            </w:pPr>
            <w:r>
              <w:rPr>
                <w:rFonts w:hint="eastAsia" w:cs="宋体"/>
                <w:kern w:val="0"/>
                <w:szCs w:val="21"/>
              </w:rPr>
              <w:t>（1）本项目招标代理服务费由中标人缴纳，缴纳标准按照《河南省招标代理服务收费指导意见》（豫招协【2023】002号）中文件规定标准收费；</w:t>
            </w:r>
          </w:p>
          <w:p>
            <w:pPr>
              <w:ind w:firstLine="0" w:firstLineChars="0"/>
              <w:jc w:val="both"/>
              <w:rPr>
                <w:rFonts w:cs="宋体"/>
                <w:bCs/>
                <w:szCs w:val="21"/>
              </w:rPr>
            </w:pPr>
            <w:r>
              <w:rPr>
                <w:rFonts w:hint="eastAsia" w:cs="宋体"/>
                <w:kern w:val="0"/>
                <w:szCs w:val="21"/>
              </w:rPr>
              <w:t>（2）交纳时间：领取《中标通知书》时交纳。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kern w:val="0"/>
                <w:szCs w:val="21"/>
              </w:rPr>
            </w:pPr>
            <w:r>
              <w:rPr>
                <w:rFonts w:hint="eastAsia" w:cs="宋体"/>
                <w:kern w:val="0"/>
                <w:szCs w:val="21"/>
              </w:rPr>
              <w:t>10.2</w:t>
            </w:r>
          </w:p>
        </w:tc>
        <w:tc>
          <w:tcPr>
            <w:tcW w:w="1785" w:type="dxa"/>
            <w:vAlign w:val="center"/>
          </w:tcPr>
          <w:p>
            <w:pPr>
              <w:ind w:firstLine="0" w:firstLineChars="0"/>
              <w:jc w:val="center"/>
              <w:rPr>
                <w:rFonts w:cs="宋体"/>
                <w:kern w:val="0"/>
                <w:szCs w:val="21"/>
              </w:rPr>
            </w:pPr>
            <w:r>
              <w:rPr>
                <w:rFonts w:hint="eastAsia" w:cs="宋体"/>
                <w:szCs w:val="21"/>
              </w:rPr>
              <w:t>类似项目</w:t>
            </w:r>
          </w:p>
        </w:tc>
        <w:tc>
          <w:tcPr>
            <w:tcW w:w="7233" w:type="dxa"/>
            <w:vAlign w:val="center"/>
          </w:tcPr>
          <w:p>
            <w:pPr>
              <w:ind w:firstLine="0" w:firstLineChars="0"/>
              <w:jc w:val="both"/>
              <w:rPr>
                <w:rFonts w:cs="宋体"/>
                <w:bCs/>
                <w:szCs w:val="21"/>
              </w:rPr>
            </w:pPr>
            <w:r>
              <w:rPr>
                <w:rFonts w:hint="eastAsia" w:cs="宋体"/>
                <w:kern w:val="0"/>
                <w:szCs w:val="21"/>
              </w:rPr>
              <w:t>类似项目是指：20000平方米以上（含）公共建筑类建筑工程监理项目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10.3</w:t>
            </w:r>
          </w:p>
        </w:tc>
        <w:tc>
          <w:tcPr>
            <w:tcW w:w="1785" w:type="dxa"/>
            <w:vAlign w:val="center"/>
          </w:tcPr>
          <w:p>
            <w:pPr>
              <w:ind w:firstLine="0" w:firstLineChars="0"/>
              <w:jc w:val="center"/>
              <w:rPr>
                <w:rFonts w:cs="宋体"/>
                <w:kern w:val="0"/>
                <w:szCs w:val="21"/>
              </w:rPr>
            </w:pPr>
            <w:r>
              <w:rPr>
                <w:rFonts w:hint="eastAsia" w:cs="宋体"/>
                <w:szCs w:val="21"/>
              </w:rPr>
              <w:t>监理大纲是否采用“暗标”评审方式</w:t>
            </w:r>
          </w:p>
        </w:tc>
        <w:tc>
          <w:tcPr>
            <w:tcW w:w="7233" w:type="dxa"/>
            <w:vAlign w:val="center"/>
          </w:tcPr>
          <w:p>
            <w:pPr>
              <w:autoSpaceDE/>
              <w:autoSpaceDN/>
              <w:ind w:firstLine="0" w:firstLineChars="0"/>
              <w:jc w:val="both"/>
              <w:rPr>
                <w:rFonts w:cs="宋体"/>
                <w:bCs/>
                <w:szCs w:val="21"/>
              </w:rPr>
            </w:pPr>
            <w:r>
              <w:rPr>
                <w:rFonts w:hint="eastAsia" w:cs="宋体"/>
                <w:szCs w:val="21"/>
              </w:rPr>
              <w:t>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b/>
                <w:bCs/>
                <w:kern w:val="0"/>
                <w:szCs w:val="21"/>
              </w:rPr>
            </w:pPr>
            <w:r>
              <w:rPr>
                <w:rFonts w:hint="eastAsia" w:cs="宋体"/>
                <w:b/>
                <w:bCs/>
                <w:kern w:val="0"/>
                <w:szCs w:val="21"/>
              </w:rPr>
              <w:t>10.4</w:t>
            </w:r>
          </w:p>
        </w:tc>
        <w:tc>
          <w:tcPr>
            <w:tcW w:w="1785" w:type="dxa"/>
            <w:vAlign w:val="center"/>
          </w:tcPr>
          <w:p>
            <w:pPr>
              <w:ind w:firstLine="0" w:firstLineChars="0"/>
              <w:jc w:val="center"/>
              <w:rPr>
                <w:rFonts w:cs="宋体"/>
                <w:b/>
                <w:bCs/>
                <w:szCs w:val="21"/>
              </w:rPr>
            </w:pPr>
            <w:r>
              <w:rPr>
                <w:rFonts w:hint="eastAsia"/>
                <w:b/>
                <w:bCs/>
              </w:rPr>
              <w:t>监理服务质量考核金</w:t>
            </w:r>
          </w:p>
        </w:tc>
        <w:tc>
          <w:tcPr>
            <w:tcW w:w="7233" w:type="dxa"/>
            <w:vAlign w:val="center"/>
          </w:tcPr>
          <w:p>
            <w:pPr>
              <w:autoSpaceDE/>
              <w:autoSpaceDN/>
              <w:ind w:firstLine="0" w:firstLineChars="0"/>
              <w:jc w:val="both"/>
              <w:rPr>
                <w:rFonts w:cs="宋体"/>
                <w:b/>
                <w:bCs/>
                <w:szCs w:val="21"/>
              </w:rPr>
            </w:pPr>
            <w:r>
              <w:rPr>
                <w:rFonts w:hint="eastAsia"/>
                <w:b/>
                <w:bCs/>
              </w:rPr>
              <w:t>本项目合同总额=概算建安费*中标费率。从本项目合同总额中拿出10%作为监理服务质量考核金，本考核金在最后一次支付时计算。考核分基本合格、合格、良好、优秀4个档次。考核金分别发放</w:t>
            </w:r>
            <w:r>
              <w:rPr>
                <w:b/>
                <w:bCs/>
              </w:rPr>
              <w:t>20%-40%</w:t>
            </w:r>
            <w:r>
              <w:rPr>
                <w:rFonts w:hint="eastAsia"/>
                <w:b/>
                <w:bCs/>
              </w:rPr>
              <w:t>、4</w:t>
            </w:r>
            <w:r>
              <w:rPr>
                <w:b/>
                <w:bCs/>
              </w:rPr>
              <w:t>1</w:t>
            </w:r>
            <w:r>
              <w:rPr>
                <w:rFonts w:hint="eastAsia"/>
                <w:b/>
                <w:bCs/>
              </w:rPr>
              <w:t>%</w:t>
            </w:r>
            <w:r>
              <w:rPr>
                <w:b/>
                <w:bCs/>
              </w:rPr>
              <w:t>-60%</w:t>
            </w:r>
            <w:r>
              <w:rPr>
                <w:rFonts w:hint="eastAsia"/>
                <w:b/>
                <w:bCs/>
              </w:rPr>
              <w:t>、6</w:t>
            </w:r>
            <w:r>
              <w:rPr>
                <w:b/>
                <w:bCs/>
              </w:rPr>
              <w:t>1%-</w:t>
            </w:r>
            <w:r>
              <w:rPr>
                <w:rFonts w:hint="eastAsia"/>
                <w:b/>
                <w:bCs/>
              </w:rPr>
              <w:t>80%、8</w:t>
            </w:r>
            <w:r>
              <w:rPr>
                <w:b/>
                <w:bCs/>
              </w:rPr>
              <w:t>1%-</w:t>
            </w:r>
            <w:r>
              <w:rPr>
                <w:rFonts w:hint="eastAsia"/>
                <w:b/>
                <w:bCs/>
              </w:rPr>
              <w:t>100%。考核标准由招标人制定，投标人须无条件服从。（投标人需对本条款内容做实质性响应）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10.5</w:t>
            </w:r>
          </w:p>
        </w:tc>
        <w:tc>
          <w:tcPr>
            <w:tcW w:w="1785" w:type="dxa"/>
            <w:vAlign w:val="center"/>
          </w:tcPr>
          <w:p>
            <w:pPr>
              <w:ind w:firstLine="0" w:firstLineChars="0"/>
              <w:jc w:val="center"/>
              <w:rPr>
                <w:rFonts w:cs="宋体"/>
                <w:szCs w:val="21"/>
              </w:rPr>
            </w:pPr>
            <w:r>
              <w:rPr>
                <w:rFonts w:hint="eastAsia" w:cs="宋体"/>
                <w:szCs w:val="21"/>
              </w:rPr>
              <w:t>投标人代表出席开标会</w:t>
            </w:r>
          </w:p>
        </w:tc>
        <w:tc>
          <w:tcPr>
            <w:tcW w:w="7233" w:type="dxa"/>
            <w:vAlign w:val="center"/>
          </w:tcPr>
          <w:p>
            <w:pPr>
              <w:wordWrap w:val="0"/>
              <w:autoSpaceDE/>
              <w:autoSpaceDN/>
              <w:ind w:firstLine="0" w:firstLineChars="0"/>
              <w:jc w:val="both"/>
              <w:rPr>
                <w:rFonts w:cs="宋体"/>
                <w:szCs w:val="21"/>
              </w:rPr>
            </w:pPr>
            <w:r>
              <w:rPr>
                <w:rFonts w:hint="eastAsia" w:cs="宋体"/>
                <w:szCs w:val="21"/>
              </w:rPr>
              <w:t>本项目采用远程开标，远程开标大厅的网址（http://hnsggzyjy.henan.gov.cn/BidOpening/bidopeninghallaction/hall/login）。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10.6</w:t>
            </w:r>
          </w:p>
        </w:tc>
        <w:tc>
          <w:tcPr>
            <w:tcW w:w="1785" w:type="dxa"/>
            <w:vAlign w:val="center"/>
          </w:tcPr>
          <w:p>
            <w:pPr>
              <w:ind w:firstLine="0" w:firstLineChars="0"/>
              <w:jc w:val="center"/>
              <w:rPr>
                <w:rFonts w:cs="宋体"/>
                <w:szCs w:val="21"/>
              </w:rPr>
            </w:pPr>
            <w:r>
              <w:rPr>
                <w:rFonts w:hint="eastAsia" w:cs="宋体"/>
                <w:szCs w:val="21"/>
              </w:rPr>
              <w:t>知识产权</w:t>
            </w:r>
          </w:p>
        </w:tc>
        <w:tc>
          <w:tcPr>
            <w:tcW w:w="7233" w:type="dxa"/>
            <w:vAlign w:val="center"/>
          </w:tcPr>
          <w:p>
            <w:pPr>
              <w:autoSpaceDE/>
              <w:autoSpaceDN/>
              <w:ind w:firstLine="0" w:firstLineChars="0"/>
              <w:jc w:val="both"/>
              <w:rPr>
                <w:rFonts w:cs="宋体"/>
                <w:szCs w:val="21"/>
              </w:rPr>
            </w:pPr>
            <w:r>
              <w:rPr>
                <w:rFonts w:hint="eastAsia" w:cs="宋体"/>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10.7</w:t>
            </w:r>
          </w:p>
        </w:tc>
        <w:tc>
          <w:tcPr>
            <w:tcW w:w="1785" w:type="dxa"/>
            <w:vAlign w:val="center"/>
          </w:tcPr>
          <w:p>
            <w:pPr>
              <w:ind w:firstLine="0" w:firstLineChars="0"/>
              <w:jc w:val="center"/>
              <w:rPr>
                <w:rFonts w:cs="宋体"/>
                <w:szCs w:val="21"/>
              </w:rPr>
            </w:pPr>
            <w:r>
              <w:rPr>
                <w:rFonts w:hint="eastAsia" w:cs="宋体"/>
                <w:szCs w:val="21"/>
              </w:rPr>
              <w:t>解释权</w:t>
            </w:r>
          </w:p>
        </w:tc>
        <w:tc>
          <w:tcPr>
            <w:tcW w:w="7233" w:type="dxa"/>
            <w:vAlign w:val="center"/>
          </w:tcPr>
          <w:p>
            <w:pPr>
              <w:autoSpaceDE/>
              <w:autoSpaceDN/>
              <w:ind w:firstLine="0" w:firstLineChars="0"/>
              <w:jc w:val="both"/>
              <w:rPr>
                <w:rFonts w:cs="宋体"/>
                <w:szCs w:val="21"/>
              </w:rPr>
            </w:pPr>
            <w:r>
              <w:rPr>
                <w:rFonts w:hint="eastAsia" w:cs="宋体"/>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szCs w:val="21"/>
              </w:rPr>
            </w:pPr>
            <w:r>
              <w:rPr>
                <w:rFonts w:hint="eastAsia" w:cs="宋体"/>
                <w:kern w:val="0"/>
                <w:szCs w:val="21"/>
              </w:rPr>
              <w:t>10.8</w:t>
            </w:r>
          </w:p>
        </w:tc>
        <w:tc>
          <w:tcPr>
            <w:tcW w:w="1785" w:type="dxa"/>
            <w:vAlign w:val="center"/>
          </w:tcPr>
          <w:p>
            <w:pPr>
              <w:ind w:firstLine="0" w:firstLineChars="0"/>
              <w:jc w:val="center"/>
              <w:rPr>
                <w:rFonts w:cs="宋体"/>
                <w:szCs w:val="21"/>
              </w:rPr>
            </w:pPr>
            <w:r>
              <w:rPr>
                <w:rFonts w:hint="eastAsia" w:cs="宋体"/>
                <w:szCs w:val="21"/>
              </w:rPr>
              <w:t>定标方式</w:t>
            </w:r>
          </w:p>
        </w:tc>
        <w:tc>
          <w:tcPr>
            <w:tcW w:w="7233" w:type="dxa"/>
            <w:vAlign w:val="center"/>
          </w:tcPr>
          <w:p>
            <w:pPr>
              <w:autoSpaceDE/>
              <w:autoSpaceDN/>
              <w:ind w:firstLine="0" w:firstLineChars="0"/>
              <w:jc w:val="both"/>
              <w:rPr>
                <w:rFonts w:cs="宋体"/>
                <w:szCs w:val="21"/>
              </w:rPr>
            </w:pPr>
            <w:r>
              <w:rPr>
                <w:rFonts w:hint="eastAsia" w:cs="宋体"/>
                <w:szCs w:val="21"/>
              </w:rPr>
              <w:t>招标人将根据评标委员会提出的评标报告，确定排名第一的中标候选人为中标人。当确定中标的中标候选人放弃中标或不按规定向招标人交纳履约保证金因或不可抗力提出不能履行合同的，招标人可以按序确定排名第二的中标候选人为中标人，依此类推，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ind w:firstLine="0" w:firstLineChars="0"/>
              <w:jc w:val="center"/>
              <w:rPr>
                <w:rFonts w:cs="宋体"/>
                <w:b/>
                <w:bCs/>
                <w:kern w:val="0"/>
                <w:szCs w:val="21"/>
              </w:rPr>
            </w:pPr>
            <w:r>
              <w:rPr>
                <w:rFonts w:hint="eastAsia" w:cs="宋体"/>
                <w:b/>
                <w:bCs/>
                <w:kern w:val="0"/>
                <w:szCs w:val="21"/>
              </w:rPr>
              <w:t>10.9</w:t>
            </w:r>
          </w:p>
        </w:tc>
        <w:tc>
          <w:tcPr>
            <w:tcW w:w="1785" w:type="dxa"/>
            <w:vAlign w:val="center"/>
          </w:tcPr>
          <w:p>
            <w:pPr>
              <w:ind w:firstLine="0" w:firstLineChars="0"/>
              <w:jc w:val="center"/>
              <w:rPr>
                <w:rFonts w:cs="宋体"/>
                <w:b/>
                <w:bCs/>
                <w:szCs w:val="21"/>
              </w:rPr>
            </w:pPr>
            <w:r>
              <w:rPr>
                <w:rFonts w:hint="eastAsia" w:cs="宋体"/>
                <w:b/>
                <w:bCs/>
                <w:szCs w:val="21"/>
              </w:rPr>
              <w:t>信用要求</w:t>
            </w:r>
          </w:p>
        </w:tc>
        <w:tc>
          <w:tcPr>
            <w:tcW w:w="7233" w:type="dxa"/>
            <w:vAlign w:val="center"/>
          </w:tcPr>
          <w:p>
            <w:pPr>
              <w:autoSpaceDE/>
              <w:autoSpaceDN/>
              <w:ind w:firstLine="0" w:firstLineChars="0"/>
              <w:jc w:val="both"/>
              <w:rPr>
                <w:rFonts w:cs="宋体"/>
                <w:b/>
                <w:bCs/>
                <w:szCs w:val="21"/>
              </w:rPr>
            </w:pPr>
            <w:r>
              <w:rPr>
                <w:rFonts w:hint="eastAsia" w:cs="宋体"/>
                <w:b/>
                <w:bCs/>
                <w:szCs w:val="21"/>
              </w:rPr>
              <w:t>投标人应保证在本次投标过程中提供的所有材料真实有效，一经发现有造假行为，将取消其投标资格，并保留追究其相关责任的权利。</w:t>
            </w:r>
          </w:p>
        </w:tc>
      </w:tr>
    </w:tbl>
    <w:p>
      <w:pPr>
        <w:ind w:firstLine="420"/>
        <w:rPr>
          <w:rFonts w:cs="宋体"/>
          <w:bCs/>
        </w:rPr>
      </w:pPr>
      <w:bookmarkStart w:id="27" w:name="_Toc9196"/>
      <w:bookmarkStart w:id="28" w:name="_Toc12465"/>
      <w:bookmarkStart w:id="29" w:name="_Toc9503"/>
      <w:r>
        <w:rPr>
          <w:rFonts w:hint="eastAsia" w:cs="宋体"/>
          <w:bCs/>
        </w:rPr>
        <w:br w:type="page"/>
      </w:r>
    </w:p>
    <w:p>
      <w:pPr>
        <w:pStyle w:val="3"/>
      </w:pPr>
      <w:bookmarkStart w:id="30" w:name="_Toc152663895"/>
      <w:r>
        <w:rPr>
          <w:rFonts w:hint="eastAsia"/>
        </w:rPr>
        <w:t>1. 总则</w:t>
      </w:r>
      <w:bookmarkEnd w:id="27"/>
      <w:bookmarkEnd w:id="28"/>
      <w:bookmarkEnd w:id="29"/>
      <w:bookmarkEnd w:id="30"/>
    </w:p>
    <w:p>
      <w:pPr>
        <w:pStyle w:val="4"/>
      </w:pPr>
      <w:bookmarkStart w:id="31" w:name="_Toc29062"/>
      <w:bookmarkStart w:id="32" w:name="_Toc152663896"/>
      <w:bookmarkStart w:id="33" w:name="_Toc24970"/>
      <w:bookmarkStart w:id="34" w:name="_Toc23050"/>
      <w:bookmarkStart w:id="35" w:name="_Toc23263"/>
      <w:bookmarkStart w:id="36" w:name="_Toc27225"/>
      <w:r>
        <w:rPr>
          <w:rFonts w:hint="eastAsia"/>
        </w:rPr>
        <w:t>1.1 招标项目概况</w:t>
      </w:r>
      <w:bookmarkEnd w:id="31"/>
      <w:bookmarkEnd w:id="32"/>
      <w:bookmarkEnd w:id="33"/>
      <w:bookmarkEnd w:id="34"/>
      <w:bookmarkEnd w:id="35"/>
      <w:bookmarkEnd w:id="36"/>
    </w:p>
    <w:p>
      <w:pPr>
        <w:adjustRightInd w:val="0"/>
        <w:ind w:firstLine="420"/>
        <w:jc w:val="both"/>
        <w:rPr>
          <w:rFonts w:cs="宋体"/>
          <w:kern w:val="0"/>
          <w:szCs w:val="21"/>
        </w:rPr>
      </w:pPr>
      <w:r>
        <w:rPr>
          <w:rFonts w:hint="eastAsia" w:cs="宋体"/>
          <w:kern w:val="0"/>
          <w:szCs w:val="21"/>
        </w:rPr>
        <w:t>1.1.1 根据《中华人民共和国招标投标法》、《中华人民共和国招标投标法实施条例》等有关法律、法规和规章的规定，本招标项目已具备招标条件，现对监理进行招标。</w:t>
      </w:r>
    </w:p>
    <w:p>
      <w:pPr>
        <w:adjustRightInd w:val="0"/>
        <w:ind w:firstLine="420"/>
        <w:rPr>
          <w:rFonts w:cs="宋体"/>
          <w:kern w:val="0"/>
          <w:szCs w:val="21"/>
        </w:rPr>
      </w:pPr>
      <w:r>
        <w:rPr>
          <w:rFonts w:hint="eastAsia" w:cs="宋体"/>
          <w:kern w:val="0"/>
          <w:szCs w:val="21"/>
        </w:rPr>
        <w:t>1.1.2 招标人：见投标人须知前附表。</w:t>
      </w:r>
    </w:p>
    <w:p>
      <w:pPr>
        <w:adjustRightInd w:val="0"/>
        <w:ind w:firstLine="420"/>
        <w:rPr>
          <w:rFonts w:cs="宋体"/>
          <w:kern w:val="0"/>
          <w:szCs w:val="21"/>
        </w:rPr>
      </w:pPr>
      <w:r>
        <w:rPr>
          <w:rFonts w:hint="eastAsia" w:cs="宋体"/>
          <w:kern w:val="0"/>
          <w:szCs w:val="21"/>
        </w:rPr>
        <w:t>1.1.3 招标代理机构：见投标人须知前附表。</w:t>
      </w:r>
    </w:p>
    <w:p>
      <w:pPr>
        <w:adjustRightInd w:val="0"/>
        <w:ind w:firstLine="420"/>
        <w:rPr>
          <w:rFonts w:cs="宋体"/>
          <w:kern w:val="0"/>
          <w:szCs w:val="21"/>
        </w:rPr>
      </w:pPr>
      <w:r>
        <w:rPr>
          <w:rFonts w:hint="eastAsia" w:cs="宋体"/>
          <w:kern w:val="0"/>
          <w:szCs w:val="21"/>
        </w:rPr>
        <w:t>1.1.4 招标项目名称：见投标人须知前附表。</w:t>
      </w:r>
    </w:p>
    <w:p>
      <w:pPr>
        <w:adjustRightInd w:val="0"/>
        <w:ind w:firstLine="420"/>
        <w:rPr>
          <w:rFonts w:cs="宋体"/>
          <w:kern w:val="0"/>
          <w:szCs w:val="21"/>
        </w:rPr>
      </w:pPr>
      <w:r>
        <w:rPr>
          <w:rFonts w:hint="eastAsia" w:cs="宋体"/>
          <w:kern w:val="0"/>
          <w:szCs w:val="21"/>
        </w:rPr>
        <w:t>1.1.5 项目建设地点：见投标人须知前附表。</w:t>
      </w:r>
    </w:p>
    <w:p>
      <w:pPr>
        <w:adjustRightInd w:val="0"/>
        <w:ind w:firstLine="420"/>
        <w:rPr>
          <w:rFonts w:cs="宋体"/>
          <w:kern w:val="0"/>
          <w:szCs w:val="21"/>
        </w:rPr>
      </w:pPr>
      <w:r>
        <w:rPr>
          <w:rFonts w:hint="eastAsia" w:cs="宋体"/>
          <w:kern w:val="0"/>
          <w:szCs w:val="21"/>
        </w:rPr>
        <w:t>1.1.6 项目建设规模：见投标人须知前附表。</w:t>
      </w:r>
    </w:p>
    <w:p>
      <w:pPr>
        <w:pStyle w:val="4"/>
        <w:rPr>
          <w:rFonts w:cs="宋体"/>
        </w:rPr>
      </w:pPr>
      <w:bookmarkStart w:id="37" w:name="_Toc3334"/>
      <w:bookmarkStart w:id="38" w:name="_Toc152663897"/>
      <w:bookmarkStart w:id="39" w:name="_Toc7726"/>
      <w:bookmarkStart w:id="40" w:name="_Toc20468"/>
      <w:bookmarkStart w:id="41" w:name="_Toc12595"/>
      <w:bookmarkStart w:id="42" w:name="_Toc22048"/>
      <w:r>
        <w:rPr>
          <w:rFonts w:hint="eastAsia" w:cs="宋体"/>
        </w:rPr>
        <w:t>1.2 招标项目的资金来源及落实情况</w:t>
      </w:r>
      <w:bookmarkEnd w:id="37"/>
      <w:bookmarkEnd w:id="38"/>
      <w:bookmarkEnd w:id="39"/>
      <w:bookmarkEnd w:id="40"/>
      <w:bookmarkEnd w:id="41"/>
      <w:bookmarkEnd w:id="42"/>
    </w:p>
    <w:p>
      <w:pPr>
        <w:ind w:firstLine="420"/>
      </w:pPr>
      <w:r>
        <w:rPr>
          <w:rFonts w:hint="eastAsia"/>
        </w:rPr>
        <w:t>1.2.1 资金来源：见投标人须知前附表。</w:t>
      </w:r>
    </w:p>
    <w:p>
      <w:pPr>
        <w:ind w:firstLine="420"/>
      </w:pPr>
      <w:r>
        <w:rPr>
          <w:rFonts w:hint="eastAsia"/>
        </w:rPr>
        <w:t>1.2.2 资金落实情况：见投标人须知前附表。</w:t>
      </w:r>
    </w:p>
    <w:p>
      <w:pPr>
        <w:pStyle w:val="4"/>
        <w:rPr>
          <w:rFonts w:cs="宋体"/>
        </w:rPr>
      </w:pPr>
      <w:bookmarkStart w:id="43" w:name="_Toc12615"/>
      <w:bookmarkStart w:id="44" w:name="_Toc884"/>
      <w:bookmarkStart w:id="45" w:name="_Toc21865"/>
      <w:bookmarkStart w:id="46" w:name="_Toc24877"/>
      <w:bookmarkStart w:id="47" w:name="_Toc7737"/>
      <w:bookmarkStart w:id="48" w:name="_Toc152663898"/>
      <w:r>
        <w:rPr>
          <w:rFonts w:hint="eastAsia" w:cs="宋体"/>
        </w:rPr>
        <w:t>1.3 招标范围、监理服务期限、</w:t>
      </w:r>
      <w:bookmarkEnd w:id="43"/>
      <w:bookmarkEnd w:id="44"/>
      <w:bookmarkEnd w:id="45"/>
      <w:bookmarkEnd w:id="46"/>
      <w:r>
        <w:rPr>
          <w:rFonts w:hint="eastAsia" w:cs="宋体"/>
        </w:rPr>
        <w:t>质量控制目标和</w:t>
      </w:r>
      <w:bookmarkEnd w:id="47"/>
      <w:r>
        <w:rPr>
          <w:rFonts w:hint="eastAsia" w:cs="宋体"/>
        </w:rPr>
        <w:t>安全控制目标</w:t>
      </w:r>
      <w:bookmarkEnd w:id="48"/>
    </w:p>
    <w:p>
      <w:pPr>
        <w:ind w:firstLine="420"/>
      </w:pPr>
      <w:r>
        <w:rPr>
          <w:rFonts w:hint="eastAsia"/>
        </w:rPr>
        <w:t>1.3.1 招标范围：见投标人须知前附表。</w:t>
      </w:r>
    </w:p>
    <w:p>
      <w:pPr>
        <w:ind w:firstLine="420"/>
      </w:pPr>
      <w:r>
        <w:rPr>
          <w:rFonts w:hint="eastAsia"/>
        </w:rPr>
        <w:t>1.3.2 监理服务期限：见投标人须知前附表。</w:t>
      </w:r>
    </w:p>
    <w:p>
      <w:pPr>
        <w:ind w:firstLine="420"/>
      </w:pPr>
      <w:r>
        <w:rPr>
          <w:rFonts w:hint="eastAsia"/>
        </w:rPr>
        <w:t>1.3.3 质量控制目标：见投标人须知前附表。</w:t>
      </w:r>
    </w:p>
    <w:p>
      <w:pPr>
        <w:ind w:firstLine="420"/>
      </w:pPr>
      <w:r>
        <w:rPr>
          <w:rFonts w:hint="eastAsia"/>
        </w:rPr>
        <w:t>1.3.4 安全控制目标：见投标人须知前附表。</w:t>
      </w:r>
    </w:p>
    <w:p>
      <w:pPr>
        <w:pStyle w:val="4"/>
        <w:rPr>
          <w:rFonts w:cs="宋体"/>
        </w:rPr>
      </w:pPr>
      <w:bookmarkStart w:id="49" w:name="_Toc16847"/>
      <w:bookmarkStart w:id="50" w:name="_Toc10337"/>
      <w:bookmarkStart w:id="51" w:name="_Toc152663899"/>
      <w:bookmarkStart w:id="52" w:name="_Toc14525"/>
      <w:bookmarkStart w:id="53" w:name="_Toc16234"/>
      <w:bookmarkStart w:id="54" w:name="_Toc13713"/>
      <w:r>
        <w:rPr>
          <w:rFonts w:hint="eastAsia" w:cs="宋体"/>
        </w:rPr>
        <w:t>1.4 投标人资格要求</w:t>
      </w:r>
      <w:bookmarkEnd w:id="49"/>
      <w:bookmarkEnd w:id="50"/>
      <w:bookmarkEnd w:id="51"/>
      <w:bookmarkEnd w:id="52"/>
      <w:bookmarkEnd w:id="53"/>
      <w:bookmarkEnd w:id="54"/>
    </w:p>
    <w:p>
      <w:pPr>
        <w:adjustRightInd w:val="0"/>
        <w:ind w:firstLine="420"/>
        <w:jc w:val="both"/>
        <w:rPr>
          <w:rFonts w:cs="宋体"/>
          <w:kern w:val="0"/>
          <w:szCs w:val="21"/>
        </w:rPr>
      </w:pPr>
      <w:r>
        <w:rPr>
          <w:rFonts w:hint="eastAsia" w:cs="宋体"/>
          <w:kern w:val="0"/>
          <w:szCs w:val="21"/>
        </w:rPr>
        <w:t>1.4.1 投标人应具备承担本招标项目资质条件、能力和信誉：</w:t>
      </w:r>
    </w:p>
    <w:p>
      <w:pPr>
        <w:adjustRightInd w:val="0"/>
        <w:ind w:firstLine="630" w:firstLineChars="300"/>
        <w:rPr>
          <w:rFonts w:cs="宋体"/>
          <w:kern w:val="0"/>
          <w:szCs w:val="21"/>
        </w:rPr>
      </w:pPr>
      <w:r>
        <w:rPr>
          <w:rFonts w:hint="eastAsia" w:cs="宋体"/>
          <w:kern w:val="0"/>
          <w:szCs w:val="21"/>
        </w:rPr>
        <w:t>（1）资质要求：见投标人须知前附表；</w:t>
      </w:r>
    </w:p>
    <w:p>
      <w:pPr>
        <w:adjustRightInd w:val="0"/>
        <w:ind w:firstLine="630" w:firstLineChars="300"/>
        <w:rPr>
          <w:rFonts w:cs="宋体"/>
          <w:kern w:val="0"/>
          <w:szCs w:val="21"/>
        </w:rPr>
      </w:pPr>
      <w:r>
        <w:rPr>
          <w:rFonts w:hint="eastAsia" w:cs="宋体"/>
          <w:kern w:val="0"/>
          <w:szCs w:val="21"/>
        </w:rPr>
        <w:t>（2）财务要求：见投标人须知前附表；</w:t>
      </w:r>
    </w:p>
    <w:p>
      <w:pPr>
        <w:adjustRightInd w:val="0"/>
        <w:ind w:firstLine="630" w:firstLineChars="300"/>
        <w:rPr>
          <w:rFonts w:cs="宋体"/>
          <w:kern w:val="0"/>
          <w:szCs w:val="21"/>
        </w:rPr>
      </w:pPr>
      <w:r>
        <w:rPr>
          <w:rFonts w:hint="eastAsia" w:cs="宋体"/>
          <w:kern w:val="0"/>
          <w:szCs w:val="21"/>
        </w:rPr>
        <w:t>（3）业绩要求：见投标人须知前附表；</w:t>
      </w:r>
    </w:p>
    <w:p>
      <w:pPr>
        <w:adjustRightInd w:val="0"/>
        <w:ind w:firstLine="630" w:firstLineChars="300"/>
        <w:rPr>
          <w:rFonts w:cs="宋体"/>
          <w:kern w:val="0"/>
          <w:szCs w:val="21"/>
        </w:rPr>
      </w:pPr>
      <w:r>
        <w:rPr>
          <w:rFonts w:hint="eastAsia" w:cs="宋体"/>
          <w:kern w:val="0"/>
          <w:szCs w:val="21"/>
        </w:rPr>
        <w:t>（4）总监理工程师要求：见投标人须知前附表；</w:t>
      </w:r>
    </w:p>
    <w:p>
      <w:pPr>
        <w:adjustRightInd w:val="0"/>
        <w:ind w:firstLine="630" w:firstLineChars="300"/>
        <w:rPr>
          <w:rFonts w:cs="宋体"/>
          <w:kern w:val="0"/>
          <w:szCs w:val="21"/>
        </w:rPr>
      </w:pPr>
      <w:r>
        <w:rPr>
          <w:rFonts w:hint="eastAsia" w:cs="宋体"/>
          <w:kern w:val="0"/>
          <w:szCs w:val="21"/>
        </w:rPr>
        <w:t>（5）信誉要求：见投标人须知前附表；</w:t>
      </w:r>
    </w:p>
    <w:p>
      <w:pPr>
        <w:adjustRightInd w:val="0"/>
        <w:ind w:firstLine="630" w:firstLineChars="300"/>
        <w:rPr>
          <w:rFonts w:cs="宋体"/>
          <w:kern w:val="0"/>
          <w:szCs w:val="21"/>
        </w:rPr>
      </w:pPr>
      <w:r>
        <w:rPr>
          <w:rFonts w:hint="eastAsia" w:cs="宋体"/>
          <w:kern w:val="0"/>
          <w:szCs w:val="21"/>
        </w:rPr>
        <w:t>（6）其他要求：见投标人须知前附表。</w:t>
      </w:r>
    </w:p>
    <w:p>
      <w:pPr>
        <w:ind w:firstLine="420"/>
      </w:pPr>
      <w:r>
        <w:rPr>
          <w:rFonts w:hint="eastAsia"/>
        </w:rPr>
        <w:t>1.4.2 投标人须知前附表规定接受联合体投标的，联合体除应符合本章第</w:t>
      </w:r>
      <w:r>
        <w:t xml:space="preserve"> 1.4.1 </w:t>
      </w:r>
      <w:r>
        <w:rPr>
          <w:rFonts w:hint="eastAsia"/>
        </w:rPr>
        <w:t>项和投标人须知前附表的要求外，还应遵守以下规定：</w:t>
      </w:r>
    </w:p>
    <w:p>
      <w:pPr>
        <w:ind w:firstLine="630" w:firstLineChars="300"/>
      </w:pPr>
      <w:r>
        <w:rPr>
          <w:rFonts w:hint="eastAsia"/>
        </w:rPr>
        <w:t>（</w:t>
      </w:r>
      <w:r>
        <w:t>1</w:t>
      </w:r>
      <w:r>
        <w:rPr>
          <w:rFonts w:hint="eastAsia"/>
        </w:rPr>
        <w:t>）联合体各方应按招标文件提供的格式签订联合体协议书，明确联合体牵头人和各方权利义务，并承诺就中标项目向招标人承担连带责任；</w:t>
      </w:r>
    </w:p>
    <w:p>
      <w:pPr>
        <w:ind w:firstLine="630" w:firstLineChars="300"/>
      </w:pPr>
      <w:r>
        <w:rPr>
          <w:rFonts w:hint="eastAsia"/>
        </w:rPr>
        <w:t>（</w:t>
      </w:r>
      <w:r>
        <w:t>2</w:t>
      </w:r>
      <w:r>
        <w:rPr>
          <w:rFonts w:hint="eastAsia"/>
        </w:rPr>
        <w:t>）由同一专业的单位组成的联合体，按照资质等级较低的单位确定资质等级；</w:t>
      </w:r>
    </w:p>
    <w:p>
      <w:pPr>
        <w:ind w:firstLine="630" w:firstLineChars="300"/>
      </w:pPr>
      <w:r>
        <w:rPr>
          <w:rFonts w:hint="eastAsia"/>
        </w:rPr>
        <w:t>（</w:t>
      </w:r>
      <w:r>
        <w:t>3</w:t>
      </w:r>
      <w:r>
        <w:rPr>
          <w:rFonts w:hint="eastAsia"/>
        </w:rPr>
        <w:t>）联合体各方不得再以自己名义单独或参加其他联合体在本招标项目中投标，否则各相关投标均无效。</w:t>
      </w:r>
    </w:p>
    <w:p>
      <w:pPr>
        <w:adjustRightInd w:val="0"/>
        <w:ind w:firstLine="420"/>
        <w:jc w:val="both"/>
        <w:rPr>
          <w:rFonts w:cs="宋体"/>
          <w:kern w:val="0"/>
          <w:szCs w:val="21"/>
        </w:rPr>
      </w:pPr>
      <w:r>
        <w:rPr>
          <w:rFonts w:hint="eastAsia" w:cs="宋体"/>
          <w:kern w:val="0"/>
          <w:szCs w:val="21"/>
        </w:rPr>
        <w:t>1.4.3 投标人不得存在下列情形之一：</w:t>
      </w:r>
    </w:p>
    <w:p>
      <w:pPr>
        <w:adjustRightInd w:val="0"/>
        <w:ind w:firstLine="630" w:firstLineChars="300"/>
        <w:rPr>
          <w:rFonts w:cs="宋体"/>
          <w:kern w:val="0"/>
          <w:szCs w:val="21"/>
        </w:rPr>
      </w:pPr>
      <w:r>
        <w:rPr>
          <w:rFonts w:hint="eastAsia" w:cs="宋体"/>
          <w:kern w:val="0"/>
          <w:szCs w:val="21"/>
        </w:rPr>
        <w:t>（1）为招标人不具有独立法人资格的附属机构（单位）；</w:t>
      </w:r>
    </w:p>
    <w:p>
      <w:pPr>
        <w:adjustRightInd w:val="0"/>
        <w:ind w:firstLine="630" w:firstLineChars="300"/>
        <w:rPr>
          <w:rFonts w:cs="宋体"/>
          <w:kern w:val="0"/>
          <w:szCs w:val="21"/>
        </w:rPr>
      </w:pPr>
      <w:r>
        <w:rPr>
          <w:rFonts w:hint="eastAsia" w:cs="宋体"/>
          <w:kern w:val="0"/>
          <w:szCs w:val="21"/>
        </w:rPr>
        <w:t>（2）与招标人存在利害关系且可能影响招标公正性；</w:t>
      </w:r>
    </w:p>
    <w:p>
      <w:pPr>
        <w:adjustRightInd w:val="0"/>
        <w:ind w:firstLine="630" w:firstLineChars="300"/>
        <w:rPr>
          <w:rFonts w:cs="宋体"/>
          <w:kern w:val="0"/>
          <w:szCs w:val="21"/>
        </w:rPr>
      </w:pPr>
      <w:r>
        <w:rPr>
          <w:rFonts w:hint="eastAsia" w:cs="宋体"/>
          <w:kern w:val="0"/>
          <w:szCs w:val="21"/>
        </w:rPr>
        <w:t>（3）与本招标项目的其他投标人为同一个单位负责人；</w:t>
      </w:r>
    </w:p>
    <w:p>
      <w:pPr>
        <w:adjustRightInd w:val="0"/>
        <w:ind w:firstLine="630" w:firstLineChars="300"/>
        <w:rPr>
          <w:rFonts w:cs="宋体"/>
          <w:kern w:val="0"/>
          <w:szCs w:val="21"/>
        </w:rPr>
      </w:pPr>
      <w:r>
        <w:rPr>
          <w:rFonts w:hint="eastAsia" w:cs="宋体"/>
          <w:kern w:val="0"/>
          <w:szCs w:val="21"/>
        </w:rPr>
        <w:t>（4）与本招标项目的其他投标人存在控股、管理关系；</w:t>
      </w:r>
    </w:p>
    <w:p>
      <w:pPr>
        <w:adjustRightInd w:val="0"/>
        <w:ind w:firstLine="630" w:firstLineChars="300"/>
        <w:rPr>
          <w:rFonts w:cs="宋体"/>
          <w:kern w:val="0"/>
          <w:szCs w:val="21"/>
        </w:rPr>
      </w:pPr>
      <w:r>
        <w:rPr>
          <w:rFonts w:hint="eastAsia" w:cs="宋体"/>
          <w:kern w:val="0"/>
          <w:szCs w:val="21"/>
        </w:rPr>
        <w:t>（5）为本招标项目的代建人；</w:t>
      </w:r>
    </w:p>
    <w:p>
      <w:pPr>
        <w:adjustRightInd w:val="0"/>
        <w:ind w:firstLine="630" w:firstLineChars="300"/>
        <w:rPr>
          <w:rFonts w:cs="宋体"/>
          <w:kern w:val="0"/>
          <w:szCs w:val="21"/>
        </w:rPr>
      </w:pPr>
      <w:r>
        <w:rPr>
          <w:rFonts w:hint="eastAsia" w:cs="宋体"/>
          <w:kern w:val="0"/>
          <w:szCs w:val="21"/>
        </w:rPr>
        <w:t>（6）为本招标项目的招标代理机构；</w:t>
      </w:r>
    </w:p>
    <w:p>
      <w:pPr>
        <w:adjustRightInd w:val="0"/>
        <w:ind w:firstLine="630" w:firstLineChars="300"/>
        <w:rPr>
          <w:rFonts w:cs="宋体"/>
          <w:kern w:val="0"/>
          <w:szCs w:val="21"/>
        </w:rPr>
      </w:pPr>
      <w:r>
        <w:rPr>
          <w:rFonts w:hint="eastAsia" w:cs="宋体"/>
          <w:kern w:val="0"/>
          <w:szCs w:val="21"/>
        </w:rPr>
        <w:t>（7）与本招标项目的代建人或招标代理机构同为一个法定代表人；</w:t>
      </w:r>
    </w:p>
    <w:p>
      <w:pPr>
        <w:adjustRightInd w:val="0"/>
        <w:ind w:firstLine="630" w:firstLineChars="300"/>
        <w:rPr>
          <w:rFonts w:cs="宋体"/>
          <w:kern w:val="0"/>
          <w:szCs w:val="21"/>
        </w:rPr>
      </w:pPr>
      <w:r>
        <w:rPr>
          <w:rFonts w:hint="eastAsia" w:cs="宋体"/>
          <w:kern w:val="0"/>
          <w:szCs w:val="21"/>
        </w:rPr>
        <w:t>（8）与本招标项目的代建人或招标代理机构存在控股或参股关系；</w:t>
      </w:r>
    </w:p>
    <w:p>
      <w:pPr>
        <w:adjustRightInd w:val="0"/>
        <w:ind w:firstLine="630" w:firstLineChars="300"/>
        <w:rPr>
          <w:rFonts w:cs="宋体"/>
          <w:kern w:val="0"/>
          <w:szCs w:val="21"/>
        </w:rPr>
      </w:pPr>
      <w:r>
        <w:rPr>
          <w:rFonts w:hint="eastAsia" w:cs="宋体"/>
          <w:kern w:val="0"/>
          <w:szCs w:val="21"/>
        </w:rPr>
        <w:t>（9）与本招标项目的施工承包人以及建筑材料、建筑构配件和设备供应商有隶属关系或者其他利害关系；</w:t>
      </w:r>
    </w:p>
    <w:p>
      <w:pPr>
        <w:adjustRightInd w:val="0"/>
        <w:ind w:firstLine="630" w:firstLineChars="300"/>
        <w:rPr>
          <w:rFonts w:cs="宋体"/>
          <w:kern w:val="0"/>
          <w:szCs w:val="21"/>
        </w:rPr>
      </w:pPr>
      <w:r>
        <w:rPr>
          <w:rFonts w:hint="eastAsia" w:cs="宋体"/>
          <w:kern w:val="0"/>
          <w:szCs w:val="21"/>
        </w:rPr>
        <w:t>（10）被依法暂停或者取消投标资格；</w:t>
      </w:r>
    </w:p>
    <w:p>
      <w:pPr>
        <w:adjustRightInd w:val="0"/>
        <w:ind w:firstLine="630" w:firstLineChars="300"/>
        <w:rPr>
          <w:rFonts w:cs="宋体"/>
          <w:kern w:val="0"/>
          <w:szCs w:val="21"/>
        </w:rPr>
      </w:pPr>
      <w:r>
        <w:rPr>
          <w:rFonts w:hint="eastAsia" w:cs="宋体"/>
          <w:kern w:val="0"/>
          <w:szCs w:val="21"/>
        </w:rPr>
        <w:t>（11）被责令停产停业、暂扣或者吊销许可证、暂扣或者吊销执照；</w:t>
      </w:r>
    </w:p>
    <w:p>
      <w:pPr>
        <w:adjustRightInd w:val="0"/>
        <w:ind w:firstLine="630" w:firstLineChars="300"/>
        <w:rPr>
          <w:rFonts w:cs="宋体"/>
          <w:kern w:val="0"/>
          <w:szCs w:val="21"/>
        </w:rPr>
      </w:pPr>
      <w:r>
        <w:rPr>
          <w:rFonts w:hint="eastAsia" w:cs="宋体"/>
          <w:kern w:val="0"/>
          <w:szCs w:val="21"/>
        </w:rPr>
        <w:t>（12）进入清算程序，或被宣告破产，或其他丧失履约能力的情形；</w:t>
      </w:r>
    </w:p>
    <w:p>
      <w:pPr>
        <w:adjustRightInd w:val="0"/>
        <w:ind w:firstLine="630" w:firstLineChars="300"/>
        <w:rPr>
          <w:rFonts w:cs="宋体"/>
          <w:kern w:val="0"/>
          <w:szCs w:val="21"/>
        </w:rPr>
      </w:pPr>
      <w:r>
        <w:rPr>
          <w:rFonts w:hint="eastAsia" w:cs="宋体"/>
          <w:kern w:val="0"/>
          <w:szCs w:val="21"/>
        </w:rPr>
        <w:t>（13）在最近三年内发生重大监理质量问题（以相关行业主管部门的行政处罚决定或司法机关出具的有关法律文书为准）；</w:t>
      </w:r>
    </w:p>
    <w:p>
      <w:pPr>
        <w:adjustRightInd w:val="0"/>
        <w:ind w:firstLine="630" w:firstLineChars="300"/>
        <w:rPr>
          <w:rFonts w:cs="宋体"/>
          <w:kern w:val="0"/>
          <w:szCs w:val="21"/>
        </w:rPr>
      </w:pPr>
      <w:r>
        <w:rPr>
          <w:rFonts w:hint="eastAsia" w:cs="宋体"/>
          <w:kern w:val="0"/>
          <w:szCs w:val="21"/>
        </w:rPr>
        <w:t>（14）在国家企业信用信息公示系统中列入严重违法失信企业名单；</w:t>
      </w:r>
    </w:p>
    <w:p>
      <w:pPr>
        <w:adjustRightInd w:val="0"/>
        <w:ind w:firstLine="630" w:firstLineChars="300"/>
        <w:rPr>
          <w:rFonts w:cs="宋体"/>
          <w:kern w:val="0"/>
          <w:szCs w:val="21"/>
        </w:rPr>
      </w:pPr>
      <w:r>
        <w:rPr>
          <w:rFonts w:hint="eastAsia" w:cs="宋体"/>
          <w:kern w:val="0"/>
          <w:szCs w:val="21"/>
        </w:rPr>
        <w:t>（15）被最高人民法院在“信用中国”网站（</w:t>
      </w:r>
      <w:r>
        <w:fldChar w:fldCharType="begin"/>
      </w:r>
      <w:r>
        <w:instrText xml:space="preserve"> HYPERLINK "http://www.creditchina.gov.cn/" </w:instrText>
      </w:r>
      <w:r>
        <w:fldChar w:fldCharType="separate"/>
      </w:r>
      <w:r>
        <w:rPr>
          <w:rFonts w:hint="eastAsia" w:cs="宋体"/>
          <w:kern w:val="0"/>
          <w:szCs w:val="21"/>
        </w:rPr>
        <w:t>www.creditchina.gov.cn</w:t>
      </w:r>
      <w:r>
        <w:rPr>
          <w:rFonts w:hint="eastAsia" w:cs="宋体"/>
          <w:kern w:val="0"/>
          <w:szCs w:val="21"/>
        </w:rPr>
        <w:fldChar w:fldCharType="end"/>
      </w:r>
      <w:r>
        <w:rPr>
          <w:rFonts w:hint="eastAsia" w:cs="宋体"/>
          <w:kern w:val="0"/>
          <w:szCs w:val="21"/>
        </w:rPr>
        <w:t>）或各级信用信息共享平台中列入失信被执行人名单；</w:t>
      </w:r>
    </w:p>
    <w:p>
      <w:pPr>
        <w:adjustRightInd w:val="0"/>
        <w:ind w:firstLine="630" w:firstLineChars="300"/>
        <w:rPr>
          <w:rFonts w:cs="宋体"/>
          <w:kern w:val="0"/>
          <w:szCs w:val="21"/>
        </w:rPr>
      </w:pPr>
      <w:r>
        <w:rPr>
          <w:rFonts w:hint="eastAsia" w:cs="宋体"/>
          <w:kern w:val="0"/>
          <w:szCs w:val="21"/>
        </w:rPr>
        <w:t>（16）在近三年内投标人或其法定代表人、拟委任的总监理工程师有行贿犯罪行为的；</w:t>
      </w:r>
    </w:p>
    <w:p>
      <w:pPr>
        <w:adjustRightInd w:val="0"/>
        <w:ind w:firstLine="630" w:firstLineChars="300"/>
        <w:rPr>
          <w:rFonts w:cs="宋体"/>
          <w:kern w:val="0"/>
          <w:szCs w:val="21"/>
        </w:rPr>
      </w:pPr>
      <w:r>
        <w:rPr>
          <w:rFonts w:hint="eastAsia" w:cs="宋体"/>
          <w:kern w:val="0"/>
          <w:szCs w:val="21"/>
        </w:rPr>
        <w:t>（17）法律法规或投标人须知前附表规定的其他情形。</w:t>
      </w:r>
    </w:p>
    <w:p>
      <w:pPr>
        <w:pStyle w:val="4"/>
        <w:rPr>
          <w:rFonts w:cs="宋体"/>
        </w:rPr>
      </w:pPr>
      <w:bookmarkStart w:id="55" w:name="_Toc23555"/>
      <w:bookmarkStart w:id="56" w:name="_Toc152663900"/>
      <w:bookmarkStart w:id="57" w:name="_Toc31418"/>
      <w:bookmarkStart w:id="58" w:name="_Toc12798"/>
      <w:bookmarkStart w:id="59" w:name="_Toc9699"/>
      <w:bookmarkStart w:id="60" w:name="_Toc13573"/>
      <w:r>
        <w:rPr>
          <w:rFonts w:hint="eastAsia" w:cs="宋体"/>
        </w:rPr>
        <w:t>1.5 费用承担</w:t>
      </w:r>
      <w:bookmarkEnd w:id="55"/>
      <w:bookmarkEnd w:id="56"/>
      <w:bookmarkEnd w:id="57"/>
      <w:bookmarkEnd w:id="58"/>
      <w:bookmarkEnd w:id="59"/>
      <w:bookmarkEnd w:id="60"/>
    </w:p>
    <w:p>
      <w:pPr>
        <w:ind w:firstLine="420"/>
      </w:pPr>
      <w:r>
        <w:rPr>
          <w:rFonts w:hint="eastAsia"/>
        </w:rPr>
        <w:t>投标人准备和参加投标活动发生的费用自理。</w:t>
      </w:r>
    </w:p>
    <w:p>
      <w:pPr>
        <w:pStyle w:val="4"/>
        <w:rPr>
          <w:rFonts w:cs="宋体"/>
        </w:rPr>
      </w:pPr>
      <w:bookmarkStart w:id="61" w:name="_Toc25475"/>
      <w:bookmarkStart w:id="62" w:name="_Toc14335"/>
      <w:bookmarkStart w:id="63" w:name="_Toc152663901"/>
      <w:bookmarkStart w:id="64" w:name="_Toc19335"/>
      <w:bookmarkStart w:id="65" w:name="_Toc12276"/>
      <w:bookmarkStart w:id="66" w:name="_Toc8363"/>
      <w:r>
        <w:rPr>
          <w:rFonts w:hint="eastAsia" w:cs="宋体"/>
        </w:rPr>
        <w:t>1.6 保密</w:t>
      </w:r>
      <w:bookmarkEnd w:id="61"/>
      <w:bookmarkEnd w:id="62"/>
      <w:bookmarkEnd w:id="63"/>
      <w:bookmarkEnd w:id="64"/>
      <w:bookmarkEnd w:id="65"/>
      <w:bookmarkEnd w:id="66"/>
    </w:p>
    <w:p>
      <w:pPr>
        <w:adjustRightInd w:val="0"/>
        <w:ind w:left="102" w:right="45" w:firstLine="420"/>
        <w:jc w:val="both"/>
        <w:rPr>
          <w:rFonts w:cs="宋体"/>
          <w:kern w:val="0"/>
          <w:szCs w:val="21"/>
        </w:rPr>
      </w:pPr>
      <w:r>
        <w:rPr>
          <w:rFonts w:hint="eastAsia" w:cs="宋体"/>
          <w:kern w:val="0"/>
          <w:szCs w:val="21"/>
        </w:rPr>
        <w:t>参与招标投标活动的各方应对招标文件和投标文件中的商业和技术等秘密保密，否则应承担相应的法律责任。</w:t>
      </w:r>
    </w:p>
    <w:p>
      <w:pPr>
        <w:pStyle w:val="4"/>
        <w:rPr>
          <w:rFonts w:cs="宋体"/>
        </w:rPr>
      </w:pPr>
      <w:bookmarkStart w:id="67" w:name="_Toc25412"/>
      <w:bookmarkStart w:id="68" w:name="_Toc14288"/>
      <w:bookmarkStart w:id="69" w:name="_Toc152663902"/>
      <w:bookmarkStart w:id="70" w:name="_Toc4717"/>
      <w:bookmarkStart w:id="71" w:name="_Toc20601"/>
      <w:bookmarkStart w:id="72" w:name="_Toc1258"/>
      <w:r>
        <w:rPr>
          <w:rFonts w:hint="eastAsia" w:cs="宋体"/>
        </w:rPr>
        <w:t>1.7 语言文字</w:t>
      </w:r>
      <w:bookmarkEnd w:id="67"/>
      <w:bookmarkEnd w:id="68"/>
      <w:bookmarkEnd w:id="69"/>
      <w:bookmarkEnd w:id="70"/>
      <w:bookmarkEnd w:id="71"/>
      <w:bookmarkEnd w:id="72"/>
    </w:p>
    <w:p>
      <w:pPr>
        <w:adjustRightInd w:val="0"/>
        <w:ind w:left="102" w:right="45" w:firstLine="420"/>
        <w:jc w:val="both"/>
        <w:rPr>
          <w:rFonts w:cs="宋体"/>
          <w:kern w:val="0"/>
          <w:szCs w:val="21"/>
        </w:rPr>
      </w:pPr>
      <w:r>
        <w:rPr>
          <w:rFonts w:hint="eastAsia" w:cs="宋体"/>
          <w:kern w:val="0"/>
          <w:szCs w:val="21"/>
        </w:rPr>
        <w:t>招标投标文件使用的语言文字为中文。专用术语使用外文的，应附有中文注释。</w:t>
      </w:r>
    </w:p>
    <w:p>
      <w:pPr>
        <w:pStyle w:val="4"/>
        <w:rPr>
          <w:rFonts w:cs="宋体"/>
        </w:rPr>
      </w:pPr>
      <w:bookmarkStart w:id="73" w:name="_Toc24846"/>
      <w:bookmarkStart w:id="74" w:name="_Toc152663903"/>
      <w:bookmarkStart w:id="75" w:name="_Toc18847"/>
      <w:bookmarkStart w:id="76" w:name="_Toc17067"/>
      <w:bookmarkStart w:id="77" w:name="_Toc869"/>
      <w:bookmarkStart w:id="78" w:name="_Toc21437"/>
      <w:r>
        <w:rPr>
          <w:rFonts w:hint="eastAsia" w:cs="宋体"/>
        </w:rPr>
        <w:t>1.8 计量单位</w:t>
      </w:r>
      <w:bookmarkEnd w:id="73"/>
      <w:bookmarkEnd w:id="74"/>
      <w:bookmarkEnd w:id="75"/>
      <w:bookmarkEnd w:id="76"/>
      <w:bookmarkEnd w:id="77"/>
      <w:bookmarkEnd w:id="78"/>
    </w:p>
    <w:p>
      <w:pPr>
        <w:adjustRightInd w:val="0"/>
        <w:ind w:left="102" w:right="45" w:firstLine="420"/>
        <w:jc w:val="both"/>
        <w:rPr>
          <w:rFonts w:cs="宋体"/>
          <w:kern w:val="0"/>
          <w:szCs w:val="21"/>
        </w:rPr>
      </w:pPr>
      <w:r>
        <w:rPr>
          <w:rFonts w:hint="eastAsia" w:cs="宋体"/>
          <w:kern w:val="0"/>
          <w:szCs w:val="21"/>
        </w:rPr>
        <w:t>所有计量均采用中华人民共和国法定计量单位。</w:t>
      </w:r>
    </w:p>
    <w:p>
      <w:pPr>
        <w:pStyle w:val="4"/>
        <w:rPr>
          <w:rFonts w:cs="宋体"/>
        </w:rPr>
      </w:pPr>
      <w:bookmarkStart w:id="79" w:name="_Toc3583"/>
      <w:bookmarkStart w:id="80" w:name="_Toc7922"/>
      <w:bookmarkStart w:id="81" w:name="_Toc152663904"/>
      <w:bookmarkStart w:id="82" w:name="_Toc3116"/>
      <w:bookmarkStart w:id="83" w:name="_Toc18274"/>
      <w:bookmarkStart w:id="84" w:name="_Toc27083"/>
      <w:r>
        <w:rPr>
          <w:rFonts w:hint="eastAsia" w:cs="宋体"/>
        </w:rPr>
        <w:t>1.9 踏勘现场</w:t>
      </w:r>
      <w:bookmarkEnd w:id="79"/>
      <w:bookmarkEnd w:id="80"/>
      <w:bookmarkEnd w:id="81"/>
      <w:bookmarkEnd w:id="82"/>
      <w:bookmarkEnd w:id="83"/>
      <w:bookmarkEnd w:id="84"/>
    </w:p>
    <w:p>
      <w:pPr>
        <w:ind w:firstLine="420"/>
      </w:pPr>
      <w:r>
        <w:rPr>
          <w:rFonts w:hint="eastAsia"/>
        </w:rPr>
        <w:t>1.9.1 投标人须知前附表规定组织踏勘现场的，招标人按投标人须知前附表规定的时间、地点组织投标人踏勘项目现场。部分投标人未按时参加踏勘现场的，不影响踏勘现场的正常进行。</w:t>
      </w:r>
    </w:p>
    <w:p>
      <w:pPr>
        <w:ind w:firstLine="420"/>
      </w:pPr>
      <w:r>
        <w:rPr>
          <w:rFonts w:hint="eastAsia"/>
        </w:rPr>
        <w:t>1.9.2 投标人踏勘现场发生的费用自理。</w:t>
      </w:r>
    </w:p>
    <w:p>
      <w:pPr>
        <w:ind w:firstLine="420"/>
      </w:pPr>
      <w:r>
        <w:rPr>
          <w:rFonts w:hint="eastAsia"/>
        </w:rPr>
        <w:t>1.9.3 除招标人的原因外，投标人自行负责在踏勘现场中所发生的人员伤亡和财产损失。</w:t>
      </w:r>
    </w:p>
    <w:p>
      <w:pPr>
        <w:ind w:firstLine="420"/>
      </w:pPr>
      <w:r>
        <w:rPr>
          <w:rFonts w:hint="eastAsia"/>
        </w:rPr>
        <w:t>1.9.4 招标人在踏勘现场中介绍的工程场地和相关的周边环境情况，供投标人在编制投标文件时参考，招标人不对投标人据此作出的判断和决策负责。</w:t>
      </w:r>
    </w:p>
    <w:p>
      <w:pPr>
        <w:pStyle w:val="4"/>
        <w:rPr>
          <w:rFonts w:cs="宋体"/>
        </w:rPr>
      </w:pPr>
      <w:bookmarkStart w:id="85" w:name="_Toc28428"/>
      <w:bookmarkStart w:id="86" w:name="_Toc12339"/>
      <w:bookmarkStart w:id="87" w:name="_Toc152663905"/>
      <w:bookmarkStart w:id="88" w:name="_Toc669"/>
      <w:bookmarkStart w:id="89" w:name="_Toc30288"/>
      <w:bookmarkStart w:id="90" w:name="_Toc25516"/>
      <w:r>
        <w:rPr>
          <w:rFonts w:hint="eastAsia" w:cs="宋体"/>
        </w:rPr>
        <w:t>1.10 投标预备会</w:t>
      </w:r>
      <w:bookmarkEnd w:id="85"/>
      <w:bookmarkEnd w:id="86"/>
      <w:bookmarkEnd w:id="87"/>
      <w:bookmarkEnd w:id="88"/>
      <w:bookmarkEnd w:id="89"/>
      <w:bookmarkEnd w:id="90"/>
    </w:p>
    <w:p>
      <w:pPr>
        <w:ind w:firstLine="420"/>
      </w:pPr>
      <w:r>
        <w:rPr>
          <w:rFonts w:hint="eastAsia"/>
        </w:rPr>
        <w:t>1.10.1 投标人须知前附表规定召开投标预备会的，招标人按投标人须知前附表规定的时间和地点召开投标预备会，澄清投标人提出的问题。</w:t>
      </w:r>
    </w:p>
    <w:p>
      <w:pPr>
        <w:ind w:firstLine="420"/>
      </w:pPr>
      <w:r>
        <w:rPr>
          <w:rFonts w:hint="eastAsia"/>
        </w:rPr>
        <w:t>1.10.2 投标人应按投标人须知前附表规定的时间和形式将提出的问题送达招标人，以便招标人在会议期间澄清。</w:t>
      </w:r>
    </w:p>
    <w:p>
      <w:pPr>
        <w:ind w:firstLine="420"/>
      </w:pPr>
      <w:r>
        <w:rPr>
          <w:rFonts w:hint="eastAsia"/>
        </w:rPr>
        <w:t>1.10.3 投标预备会后，招标人将对投标人所提问题的澄清，以投标人须知前附表规定的形式通知所有获取的投标人。该澄清内容为招标文件的组成部分。</w:t>
      </w:r>
    </w:p>
    <w:p>
      <w:pPr>
        <w:pStyle w:val="4"/>
        <w:rPr>
          <w:rFonts w:cs="宋体"/>
        </w:rPr>
      </w:pPr>
      <w:bookmarkStart w:id="91" w:name="_Toc152663906"/>
      <w:bookmarkStart w:id="92" w:name="_Toc18553"/>
      <w:bookmarkStart w:id="93" w:name="_Toc28567"/>
      <w:bookmarkStart w:id="94" w:name="_Toc5616"/>
      <w:bookmarkStart w:id="95" w:name="_Toc33"/>
      <w:bookmarkStart w:id="96" w:name="_Toc26631"/>
      <w:r>
        <w:rPr>
          <w:rFonts w:hint="eastAsia" w:cs="宋体"/>
        </w:rPr>
        <w:t>1.11 分包</w:t>
      </w:r>
      <w:bookmarkEnd w:id="91"/>
      <w:bookmarkEnd w:id="92"/>
      <w:bookmarkEnd w:id="93"/>
      <w:bookmarkEnd w:id="94"/>
      <w:bookmarkEnd w:id="95"/>
      <w:bookmarkEnd w:id="96"/>
    </w:p>
    <w:p>
      <w:pPr>
        <w:ind w:firstLine="420"/>
      </w:pPr>
      <w:r>
        <w:rPr>
          <w:rFonts w:hint="eastAsia"/>
        </w:rPr>
        <w:t>本项目严禁分包。</w:t>
      </w:r>
    </w:p>
    <w:p>
      <w:pPr>
        <w:pStyle w:val="4"/>
        <w:rPr>
          <w:rFonts w:cs="宋体"/>
        </w:rPr>
      </w:pPr>
      <w:bookmarkStart w:id="97" w:name="_Toc27115"/>
      <w:bookmarkStart w:id="98" w:name="_Toc16961"/>
      <w:bookmarkStart w:id="99" w:name="_Toc28651"/>
      <w:bookmarkStart w:id="100" w:name="_Toc152663907"/>
      <w:bookmarkStart w:id="101" w:name="_Toc24575"/>
      <w:bookmarkStart w:id="102" w:name="_Toc5740"/>
      <w:r>
        <w:rPr>
          <w:rFonts w:hint="eastAsia" w:cs="宋体"/>
        </w:rPr>
        <w:t>1.12 响应和偏差</w:t>
      </w:r>
      <w:bookmarkEnd w:id="97"/>
      <w:bookmarkEnd w:id="98"/>
      <w:bookmarkEnd w:id="99"/>
      <w:bookmarkEnd w:id="100"/>
      <w:bookmarkEnd w:id="101"/>
      <w:bookmarkEnd w:id="102"/>
    </w:p>
    <w:p>
      <w:pPr>
        <w:ind w:firstLine="420"/>
      </w:pPr>
      <w:r>
        <w:rPr>
          <w:rFonts w:hint="eastAsia"/>
        </w:rPr>
        <w:t>1.12.1 投标文件应当对招标文件的实质性要求和条件作出满足性或更有利于招标人的响应，否则，投标人的投标将被否决。实质性要求和条件见投标人须知前附表。</w:t>
      </w:r>
    </w:p>
    <w:p>
      <w:pPr>
        <w:ind w:firstLine="420"/>
      </w:pPr>
      <w:r>
        <w:rPr>
          <w:rFonts w:hint="eastAsia"/>
        </w:rPr>
        <w:t xml:space="preserve">1.12.2 </w:t>
      </w:r>
      <w:r>
        <w:rPr>
          <w:rFonts w:hint="eastAsia"/>
          <w:szCs w:val="21"/>
        </w:rPr>
        <w:t>投标人应根据招标文件的要求提供的内容以对招标文件作出响应。</w:t>
      </w:r>
    </w:p>
    <w:p>
      <w:pPr>
        <w:ind w:firstLine="420"/>
      </w:pPr>
      <w:r>
        <w:rPr>
          <w:rFonts w:hint="eastAsia"/>
        </w:rPr>
        <w:t>1.12.3 投标人须知前附表允许投标文件偏离招标文件某些要求的，偏差应当符合招标文件规定的偏差范围和幅度。</w:t>
      </w:r>
    </w:p>
    <w:p>
      <w:pPr>
        <w:pStyle w:val="3"/>
        <w:rPr>
          <w:rFonts w:cs="宋体"/>
        </w:rPr>
      </w:pPr>
      <w:bookmarkStart w:id="103" w:name="_Toc2326"/>
      <w:bookmarkStart w:id="104" w:name="_Toc11160"/>
      <w:bookmarkStart w:id="105" w:name="_Toc152663908"/>
      <w:bookmarkStart w:id="106" w:name="_Toc14377"/>
      <w:r>
        <w:rPr>
          <w:rFonts w:hint="eastAsia" w:cs="宋体"/>
        </w:rPr>
        <w:t>2. 招标文件</w:t>
      </w:r>
      <w:bookmarkEnd w:id="103"/>
      <w:bookmarkEnd w:id="104"/>
      <w:bookmarkEnd w:id="105"/>
      <w:bookmarkEnd w:id="106"/>
    </w:p>
    <w:p>
      <w:pPr>
        <w:pStyle w:val="4"/>
      </w:pPr>
      <w:bookmarkStart w:id="107" w:name="_Toc19266"/>
      <w:bookmarkStart w:id="108" w:name="_Toc26346"/>
      <w:bookmarkStart w:id="109" w:name="_Toc152663909"/>
      <w:bookmarkStart w:id="110" w:name="_Toc28927"/>
      <w:bookmarkStart w:id="111" w:name="_Toc29438"/>
      <w:bookmarkStart w:id="112" w:name="_Toc21545"/>
      <w:r>
        <w:rPr>
          <w:rFonts w:hint="eastAsia"/>
        </w:rPr>
        <w:t>2.1 招标文件的组成</w:t>
      </w:r>
      <w:bookmarkEnd w:id="107"/>
      <w:bookmarkEnd w:id="108"/>
      <w:bookmarkEnd w:id="109"/>
      <w:bookmarkEnd w:id="110"/>
      <w:bookmarkEnd w:id="111"/>
      <w:bookmarkEnd w:id="112"/>
    </w:p>
    <w:p>
      <w:pPr>
        <w:ind w:firstLine="420"/>
      </w:pPr>
      <w:r>
        <w:rPr>
          <w:rFonts w:hint="eastAsia"/>
        </w:rPr>
        <w:t>本招标文件包括：</w:t>
      </w:r>
    </w:p>
    <w:p>
      <w:pPr>
        <w:ind w:firstLine="630" w:firstLineChars="300"/>
      </w:pPr>
      <w:r>
        <w:rPr>
          <w:rFonts w:hint="eastAsia"/>
        </w:rPr>
        <w:t>（1）招标公告；</w:t>
      </w:r>
    </w:p>
    <w:p>
      <w:pPr>
        <w:ind w:firstLine="630" w:firstLineChars="300"/>
      </w:pPr>
      <w:r>
        <w:rPr>
          <w:rFonts w:hint="eastAsia"/>
        </w:rPr>
        <w:t>（2）投标人须知；</w:t>
      </w:r>
    </w:p>
    <w:p>
      <w:pPr>
        <w:ind w:firstLine="630" w:firstLineChars="300"/>
      </w:pPr>
      <w:r>
        <w:rPr>
          <w:rFonts w:hint="eastAsia"/>
        </w:rPr>
        <w:t>（3）评标办法；</w:t>
      </w:r>
    </w:p>
    <w:p>
      <w:pPr>
        <w:ind w:firstLine="630" w:firstLineChars="300"/>
      </w:pPr>
      <w:r>
        <w:rPr>
          <w:rFonts w:hint="eastAsia"/>
        </w:rPr>
        <w:t>（4）合同条款及格式；</w:t>
      </w:r>
    </w:p>
    <w:p>
      <w:pPr>
        <w:ind w:firstLine="630" w:firstLineChars="300"/>
      </w:pPr>
      <w:r>
        <w:rPr>
          <w:rFonts w:hint="eastAsia"/>
        </w:rPr>
        <w:t>（5）委托人要求；</w:t>
      </w:r>
    </w:p>
    <w:p>
      <w:pPr>
        <w:ind w:firstLine="630" w:firstLineChars="300"/>
      </w:pPr>
      <w:r>
        <w:rPr>
          <w:rFonts w:hint="eastAsia"/>
        </w:rPr>
        <w:t>（6）投标文件格式；</w:t>
      </w:r>
    </w:p>
    <w:p>
      <w:pPr>
        <w:ind w:firstLine="630" w:firstLineChars="300"/>
      </w:pPr>
      <w:r>
        <w:rPr>
          <w:rFonts w:hint="eastAsia"/>
        </w:rPr>
        <w:t>（7）投标人须知前附表规定的其他资料。</w:t>
      </w:r>
    </w:p>
    <w:p>
      <w:pPr>
        <w:ind w:firstLine="420"/>
      </w:pPr>
      <w:r>
        <w:rPr>
          <w:rFonts w:hint="eastAsia"/>
        </w:rPr>
        <w:t>根据本章第 1.10 款、第 2.2 款和第 2.3 款对招标文件所作的澄清、修改，构成招标文件的组成部分。</w:t>
      </w:r>
    </w:p>
    <w:p>
      <w:pPr>
        <w:pStyle w:val="4"/>
      </w:pPr>
      <w:bookmarkStart w:id="113" w:name="_Toc152663910"/>
      <w:bookmarkStart w:id="114" w:name="_Toc1856"/>
      <w:bookmarkStart w:id="115" w:name="_Toc13669"/>
      <w:bookmarkStart w:id="116" w:name="_Toc9380"/>
      <w:bookmarkStart w:id="117" w:name="_Toc20833"/>
      <w:bookmarkStart w:id="118" w:name="_Toc6691"/>
      <w:r>
        <w:rPr>
          <w:rFonts w:hint="eastAsia"/>
        </w:rPr>
        <w:t>2.2 招标文件的澄清</w:t>
      </w:r>
      <w:bookmarkEnd w:id="113"/>
      <w:bookmarkEnd w:id="114"/>
      <w:bookmarkEnd w:id="115"/>
      <w:bookmarkEnd w:id="116"/>
      <w:bookmarkEnd w:id="117"/>
      <w:bookmarkEnd w:id="118"/>
    </w:p>
    <w:p>
      <w:pPr>
        <w:ind w:firstLine="420"/>
      </w:pPr>
      <w:r>
        <w:rPr>
          <w:rFonts w:hint="eastAsia"/>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ind w:firstLine="420"/>
      </w:pPr>
      <w:r>
        <w:rPr>
          <w:rFonts w:hint="eastAsia"/>
        </w:rPr>
        <w:t>2.2.2 招标文件的澄清以投标人须知前附表规定的形式发给所有获取的投标人，但不指明澄清问题的来源。澄清发出的时间距本章第 4.2.1 项规定的投标截止时间不足 15 日的，并且澄清内容可能影响投标文件编制的，将相应延长投标截止时间。</w:t>
      </w:r>
    </w:p>
    <w:p>
      <w:pPr>
        <w:ind w:firstLine="420"/>
      </w:pPr>
      <w:r>
        <w:rPr>
          <w:rFonts w:hint="eastAsia"/>
        </w:rPr>
        <w:t>2.2.3 投标人在收到澄清后，应按投标人须知前附表规定的时间和形式通知招标人，确认已收到该澄清。</w:t>
      </w:r>
    </w:p>
    <w:p>
      <w:pPr>
        <w:ind w:firstLine="420"/>
      </w:pPr>
      <w:r>
        <w:rPr>
          <w:rFonts w:hint="eastAsia"/>
        </w:rPr>
        <w:t>2.2.4 除非招标人认为确有必要答复，否则，招标人有权拒绝回复投标人在本章第 2.2.1 项规定的时间后的任何澄清要求。</w:t>
      </w:r>
    </w:p>
    <w:p>
      <w:pPr>
        <w:pStyle w:val="4"/>
      </w:pPr>
      <w:bookmarkStart w:id="119" w:name="_Toc13763"/>
      <w:bookmarkStart w:id="120" w:name="_Toc152663911"/>
      <w:bookmarkStart w:id="121" w:name="_Toc20460"/>
      <w:bookmarkStart w:id="122" w:name="_Toc29205"/>
      <w:bookmarkStart w:id="123" w:name="_Toc7162"/>
      <w:bookmarkStart w:id="124" w:name="_Toc16348"/>
      <w:r>
        <w:rPr>
          <w:rFonts w:hint="eastAsia"/>
        </w:rPr>
        <w:t>2.3 招标文件的修改</w:t>
      </w:r>
      <w:bookmarkEnd w:id="119"/>
      <w:bookmarkEnd w:id="120"/>
      <w:bookmarkEnd w:id="121"/>
      <w:bookmarkEnd w:id="122"/>
      <w:bookmarkEnd w:id="123"/>
      <w:bookmarkEnd w:id="124"/>
    </w:p>
    <w:p>
      <w:pPr>
        <w:ind w:firstLine="420"/>
      </w:pPr>
      <w:r>
        <w:rPr>
          <w:rFonts w:hint="eastAsia"/>
        </w:rPr>
        <w:t>2.3.1 招标人以投标人须知前附表规定的形式修改招标文件，并通知所有已获取的投标人。</w:t>
      </w:r>
      <w:r>
        <w:rPr>
          <w:rFonts w:hint="eastAsia"/>
          <w:szCs w:val="21"/>
        </w:rPr>
        <w:t>修改招标文件的时间距本章第</w:t>
      </w:r>
      <w:r>
        <w:rPr>
          <w:szCs w:val="21"/>
        </w:rPr>
        <w:t xml:space="preserve"> 4.2.1 </w:t>
      </w:r>
      <w:r>
        <w:rPr>
          <w:rFonts w:hint="eastAsia"/>
          <w:szCs w:val="21"/>
        </w:rPr>
        <w:t>项规定的投标截止时间不足</w:t>
      </w:r>
      <w:r>
        <w:rPr>
          <w:szCs w:val="21"/>
        </w:rPr>
        <w:t xml:space="preserve"> 15 </w:t>
      </w:r>
      <w:r>
        <w:rPr>
          <w:rFonts w:hint="eastAsia"/>
          <w:szCs w:val="21"/>
        </w:rPr>
        <w:t>日的</w:t>
      </w:r>
      <w:r>
        <w:rPr>
          <w:rFonts w:hint="eastAsia"/>
        </w:rPr>
        <w:t>，并且修改内容可能影响投标文件编制的，将相应延长投标截止时间。</w:t>
      </w:r>
    </w:p>
    <w:p>
      <w:pPr>
        <w:ind w:firstLine="420"/>
      </w:pPr>
      <w:r>
        <w:rPr>
          <w:rFonts w:hint="eastAsia"/>
        </w:rPr>
        <w:t>2.3.2 投标人收到修改内容后，应按投标人须知前附表规定的时间和形式通知招标人，确认已收到该修改。</w:t>
      </w:r>
    </w:p>
    <w:p>
      <w:pPr>
        <w:pStyle w:val="4"/>
      </w:pPr>
      <w:bookmarkStart w:id="125" w:name="_Toc26491"/>
      <w:bookmarkStart w:id="126" w:name="_Toc29164"/>
      <w:bookmarkStart w:id="127" w:name="_Toc17959"/>
      <w:bookmarkStart w:id="128" w:name="_Toc1532"/>
      <w:bookmarkStart w:id="129" w:name="_Toc152663912"/>
      <w:bookmarkStart w:id="130" w:name="_Toc6488"/>
      <w:r>
        <w:rPr>
          <w:rFonts w:hint="eastAsia"/>
        </w:rPr>
        <w:t>2.4 招标文件的异议</w:t>
      </w:r>
      <w:bookmarkEnd w:id="125"/>
      <w:bookmarkEnd w:id="126"/>
      <w:bookmarkEnd w:id="127"/>
      <w:bookmarkEnd w:id="128"/>
      <w:bookmarkEnd w:id="129"/>
      <w:bookmarkEnd w:id="130"/>
    </w:p>
    <w:p>
      <w:pPr>
        <w:ind w:firstLine="420"/>
      </w:pPr>
      <w:r>
        <w:rPr>
          <w:rFonts w:hint="eastAsia"/>
        </w:rPr>
        <w:t>投标人或者其他利害关系人对招标文件有异议的，应当在投标截止时间 10 日前以书面形式提出。招标人将在收到异议之日起 3 日内作出答复；作出答复前，将暂停招标投标活动。</w:t>
      </w:r>
      <w:bookmarkStart w:id="131" w:name="_Toc6931"/>
    </w:p>
    <w:p>
      <w:pPr>
        <w:pStyle w:val="3"/>
      </w:pPr>
      <w:bookmarkStart w:id="132" w:name="_Toc14075"/>
      <w:bookmarkStart w:id="133" w:name="_Toc8625"/>
      <w:bookmarkStart w:id="134" w:name="_Toc152663913"/>
      <w:r>
        <w:rPr>
          <w:rFonts w:hint="eastAsia"/>
        </w:rPr>
        <w:t>3. 投标文件</w:t>
      </w:r>
      <w:bookmarkEnd w:id="132"/>
      <w:bookmarkEnd w:id="133"/>
      <w:bookmarkEnd w:id="134"/>
    </w:p>
    <w:bookmarkEnd w:id="131"/>
    <w:p>
      <w:pPr>
        <w:pStyle w:val="4"/>
      </w:pPr>
      <w:bookmarkStart w:id="135" w:name="_Toc152663914"/>
      <w:bookmarkStart w:id="136" w:name="_Toc19827"/>
      <w:bookmarkStart w:id="137" w:name="_Toc7503"/>
      <w:bookmarkStart w:id="138" w:name="_Toc9868"/>
      <w:bookmarkStart w:id="139" w:name="_Toc25958"/>
      <w:bookmarkStart w:id="140" w:name="_Toc436"/>
      <w:r>
        <w:rPr>
          <w:rFonts w:hint="eastAsia"/>
        </w:rPr>
        <w:t>3.1 投标文件的组成</w:t>
      </w:r>
      <w:bookmarkEnd w:id="135"/>
      <w:bookmarkEnd w:id="136"/>
      <w:bookmarkEnd w:id="137"/>
      <w:bookmarkEnd w:id="138"/>
      <w:bookmarkEnd w:id="139"/>
      <w:bookmarkEnd w:id="140"/>
    </w:p>
    <w:p>
      <w:pPr>
        <w:ind w:firstLine="420"/>
      </w:pPr>
      <w:r>
        <w:rPr>
          <w:rFonts w:hint="eastAsia"/>
        </w:rPr>
        <w:t>3.1.1 投标文件应包括下列内容：</w:t>
      </w:r>
    </w:p>
    <w:p>
      <w:pPr>
        <w:ind w:firstLine="630" w:firstLineChars="300"/>
      </w:pPr>
      <w:r>
        <w:rPr>
          <w:rFonts w:hint="eastAsia"/>
        </w:rPr>
        <w:t>（1）投标函及投标函附录；</w:t>
      </w:r>
    </w:p>
    <w:p>
      <w:pPr>
        <w:ind w:firstLine="630" w:firstLineChars="300"/>
      </w:pPr>
      <w:r>
        <w:rPr>
          <w:rFonts w:hint="eastAsia"/>
        </w:rPr>
        <w:t>（2）法定代表人身份证明；</w:t>
      </w:r>
    </w:p>
    <w:p>
      <w:pPr>
        <w:ind w:firstLine="630" w:firstLineChars="300"/>
      </w:pPr>
      <w:r>
        <w:rPr>
          <w:rFonts w:hint="eastAsia"/>
        </w:rPr>
        <w:t>（3）授权委托书；</w:t>
      </w:r>
    </w:p>
    <w:p>
      <w:pPr>
        <w:ind w:firstLine="630" w:firstLineChars="300"/>
      </w:pPr>
      <w:r>
        <w:rPr>
          <w:rFonts w:hint="eastAsia"/>
        </w:rPr>
        <w:t>（4）资格审查资料；</w:t>
      </w:r>
    </w:p>
    <w:p>
      <w:pPr>
        <w:ind w:firstLine="630" w:firstLineChars="300"/>
      </w:pPr>
      <w:r>
        <w:rPr>
          <w:rFonts w:hint="eastAsia"/>
        </w:rPr>
        <w:t>（5）监理大纲；</w:t>
      </w:r>
    </w:p>
    <w:p>
      <w:pPr>
        <w:ind w:firstLine="630" w:firstLineChars="300"/>
      </w:pPr>
      <w:r>
        <w:rPr>
          <w:rFonts w:hint="eastAsia"/>
        </w:rPr>
        <w:t>（6）拟投入现场监理人员配置；</w:t>
      </w:r>
    </w:p>
    <w:p>
      <w:pPr>
        <w:ind w:firstLine="630" w:firstLineChars="300"/>
      </w:pPr>
      <w:r>
        <w:rPr>
          <w:rFonts w:hint="eastAsia"/>
        </w:rPr>
        <w:t>（7）其他资料。</w:t>
      </w:r>
    </w:p>
    <w:p>
      <w:pPr>
        <w:ind w:firstLine="420"/>
      </w:pPr>
      <w:r>
        <w:rPr>
          <w:rFonts w:hint="eastAsia"/>
        </w:rPr>
        <w:t>投标人在评标过程中作出的符合法律法规和招标文件规定的澄清确认，构成投标文件的组成部分。</w:t>
      </w:r>
    </w:p>
    <w:p>
      <w:pPr>
        <w:pStyle w:val="4"/>
      </w:pPr>
      <w:bookmarkStart w:id="141" w:name="_Toc11400"/>
      <w:bookmarkStart w:id="142" w:name="_Toc152663915"/>
      <w:bookmarkStart w:id="143" w:name="_Toc25084"/>
      <w:bookmarkStart w:id="144" w:name="_Toc26060"/>
      <w:bookmarkStart w:id="145" w:name="_Toc16413"/>
      <w:bookmarkStart w:id="146" w:name="_Toc29104"/>
      <w:r>
        <w:rPr>
          <w:rFonts w:hint="eastAsia"/>
        </w:rPr>
        <w:t>3.2 投标报价</w:t>
      </w:r>
      <w:bookmarkEnd w:id="141"/>
      <w:bookmarkEnd w:id="142"/>
      <w:bookmarkEnd w:id="143"/>
      <w:bookmarkEnd w:id="144"/>
      <w:bookmarkEnd w:id="145"/>
      <w:bookmarkEnd w:id="146"/>
    </w:p>
    <w:p>
      <w:pPr>
        <w:adjustRightInd w:val="0"/>
        <w:ind w:firstLine="420"/>
        <w:jc w:val="both"/>
        <w:rPr>
          <w:rFonts w:cs="宋体"/>
          <w:kern w:val="0"/>
          <w:szCs w:val="21"/>
        </w:rPr>
      </w:pPr>
      <w:r>
        <w:rPr>
          <w:rFonts w:hint="eastAsia" w:cs="宋体"/>
          <w:kern w:val="0"/>
          <w:szCs w:val="21"/>
        </w:rPr>
        <w:t>3.2.1 投标报价应包括国家规定的增值税税金，除投标人须知前附表另有规定外，增值税税金按一般计税方法计算。</w:t>
      </w:r>
    </w:p>
    <w:p>
      <w:pPr>
        <w:adjustRightInd w:val="0"/>
        <w:ind w:firstLine="420"/>
        <w:jc w:val="both"/>
        <w:rPr>
          <w:rFonts w:cs="宋体"/>
          <w:kern w:val="0"/>
          <w:szCs w:val="21"/>
        </w:rPr>
      </w:pPr>
      <w:r>
        <w:rPr>
          <w:rFonts w:hint="eastAsia" w:cs="宋体"/>
          <w:kern w:val="0"/>
          <w:szCs w:val="21"/>
        </w:rPr>
        <w:t>3.2.2 投标人应充分了解该项目的总体情况以及影响投标报价的其他要素。</w:t>
      </w:r>
    </w:p>
    <w:p>
      <w:pPr>
        <w:adjustRightInd w:val="0"/>
        <w:ind w:firstLine="420"/>
        <w:jc w:val="both"/>
        <w:rPr>
          <w:rFonts w:cs="宋体"/>
          <w:kern w:val="0"/>
          <w:szCs w:val="21"/>
        </w:rPr>
      </w:pPr>
      <w:r>
        <w:rPr>
          <w:rFonts w:hint="eastAsia" w:cs="宋体"/>
          <w:kern w:val="0"/>
          <w:szCs w:val="21"/>
        </w:rPr>
        <w:t>3.2.3 本项目的报价方式见投标人须知前附表。投标人在投标截止时间前修改投标函中的投标报价总额。此修改须符合本章第 4.3 款的有关要求。</w:t>
      </w:r>
    </w:p>
    <w:p>
      <w:pPr>
        <w:adjustRightInd w:val="0"/>
        <w:ind w:firstLine="420"/>
        <w:jc w:val="both"/>
        <w:rPr>
          <w:rFonts w:cs="宋体"/>
          <w:kern w:val="0"/>
          <w:szCs w:val="21"/>
        </w:rPr>
      </w:pPr>
      <w:r>
        <w:rPr>
          <w:rFonts w:hint="eastAsia" w:cs="宋体"/>
          <w:kern w:val="0"/>
          <w:szCs w:val="21"/>
        </w:rPr>
        <w:t>3.2.4 招标人设有最高投标限价的，投标人的投标报价不得超过最高投标限价，最高投标限价在投标人须知前附表中载明。</w:t>
      </w:r>
    </w:p>
    <w:p>
      <w:pPr>
        <w:adjustRightInd w:val="0"/>
        <w:ind w:firstLine="420"/>
        <w:jc w:val="both"/>
        <w:rPr>
          <w:rFonts w:cs="宋体"/>
          <w:kern w:val="0"/>
          <w:szCs w:val="21"/>
        </w:rPr>
      </w:pPr>
      <w:r>
        <w:rPr>
          <w:rFonts w:hint="eastAsia" w:cs="宋体"/>
          <w:kern w:val="0"/>
          <w:szCs w:val="21"/>
        </w:rPr>
        <w:t>3.2.5 投标报价的其他要求见投标人须知前附表。</w:t>
      </w:r>
    </w:p>
    <w:p>
      <w:pPr>
        <w:pStyle w:val="4"/>
      </w:pPr>
      <w:bookmarkStart w:id="147" w:name="_Toc11862"/>
      <w:bookmarkStart w:id="148" w:name="_Toc28315"/>
      <w:bookmarkStart w:id="149" w:name="_Toc32205"/>
      <w:bookmarkStart w:id="150" w:name="_Toc10700"/>
      <w:bookmarkStart w:id="151" w:name="_Toc29956"/>
      <w:bookmarkStart w:id="152" w:name="_Toc152663916"/>
      <w:r>
        <w:rPr>
          <w:rFonts w:hint="eastAsia"/>
        </w:rPr>
        <w:t>3.3 投标有效期</w:t>
      </w:r>
      <w:bookmarkEnd w:id="147"/>
      <w:bookmarkEnd w:id="148"/>
      <w:bookmarkEnd w:id="149"/>
      <w:bookmarkEnd w:id="150"/>
      <w:bookmarkEnd w:id="151"/>
      <w:bookmarkEnd w:id="152"/>
    </w:p>
    <w:p>
      <w:pPr>
        <w:ind w:firstLine="420"/>
      </w:pPr>
      <w:r>
        <w:rPr>
          <w:rFonts w:hint="eastAsia"/>
        </w:rPr>
        <w:t>3.3.1 除投标人须知前附表另有规定外，投标有效期为 90 天。</w:t>
      </w:r>
    </w:p>
    <w:p>
      <w:pPr>
        <w:ind w:firstLine="420"/>
      </w:pPr>
      <w:r>
        <w:rPr>
          <w:rFonts w:hint="eastAsia"/>
        </w:rPr>
        <w:t>3.3.2 在投标有效期内，投标人撤销投标文件的，应承担招标文件和法律规定的责任。</w:t>
      </w:r>
    </w:p>
    <w:p>
      <w:pPr>
        <w:ind w:firstLine="420"/>
      </w:pPr>
      <w:r>
        <w:rPr>
          <w:rFonts w:hint="eastAsia"/>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pStyle w:val="4"/>
      </w:pPr>
      <w:bookmarkStart w:id="153" w:name="_Toc16830"/>
      <w:bookmarkStart w:id="154" w:name="_Toc11012"/>
      <w:bookmarkStart w:id="155" w:name="_Toc21660"/>
      <w:bookmarkStart w:id="156" w:name="_Toc152663917"/>
      <w:bookmarkStart w:id="157" w:name="_Toc20084"/>
      <w:bookmarkStart w:id="158" w:name="_Toc29028"/>
      <w:r>
        <w:rPr>
          <w:rFonts w:hint="eastAsia"/>
        </w:rPr>
        <w:t>3.4 投标保证金</w:t>
      </w:r>
      <w:bookmarkEnd w:id="153"/>
      <w:bookmarkEnd w:id="154"/>
      <w:bookmarkEnd w:id="155"/>
      <w:bookmarkEnd w:id="156"/>
      <w:bookmarkEnd w:id="157"/>
      <w:bookmarkEnd w:id="158"/>
    </w:p>
    <w:p>
      <w:pPr>
        <w:ind w:firstLine="420"/>
      </w:pPr>
      <w:r>
        <w:rPr>
          <w:rFonts w:hint="eastAsia"/>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r>
        <w:rPr>
          <w:rFonts w:hint="eastAsia"/>
          <w:szCs w:val="21"/>
        </w:rPr>
        <w:t>联合体投标的，其投标保证金可以由牵头人递交，并应符合投标人须知前附表的规定。</w:t>
      </w:r>
    </w:p>
    <w:p>
      <w:pPr>
        <w:ind w:firstLine="420"/>
      </w:pPr>
      <w:r>
        <w:rPr>
          <w:rFonts w:hint="eastAsia"/>
        </w:rPr>
        <w:t>3.4.2 投标人不按本章第 3.4.1 项要求提交投标保证金的，评标委员会将否决其投标。</w:t>
      </w:r>
    </w:p>
    <w:p>
      <w:pPr>
        <w:ind w:firstLine="420"/>
      </w:pPr>
      <w:r>
        <w:rPr>
          <w:rFonts w:hint="eastAsia"/>
        </w:rPr>
        <w:t>3.4.3 招标人最迟将在与中标人签订合同后 5 日内，向未中标的投标人和中标人退还投标保证金。</w:t>
      </w:r>
    </w:p>
    <w:p>
      <w:pPr>
        <w:ind w:firstLine="420"/>
      </w:pPr>
      <w:r>
        <w:rPr>
          <w:rFonts w:hint="eastAsia"/>
        </w:rPr>
        <w:t>3.4.4 有下列情形之一的，投标保证金将不予退还：</w:t>
      </w:r>
    </w:p>
    <w:p>
      <w:pPr>
        <w:ind w:firstLine="420"/>
      </w:pPr>
      <w:r>
        <w:rPr>
          <w:rFonts w:hint="eastAsia"/>
        </w:rPr>
        <w:t>（1）投标人在投标有效期内撤销投标文件；</w:t>
      </w:r>
    </w:p>
    <w:p>
      <w:pPr>
        <w:ind w:firstLine="420"/>
      </w:pPr>
      <w:r>
        <w:rPr>
          <w:rFonts w:hint="eastAsia"/>
        </w:rPr>
        <w:t>（2）中标人在收到中标通知书后，无正当理由不与招标人订立合同，在签订合同时向招标人提出附加条件，或者不按照招标文件要求提交履约保证金；</w:t>
      </w:r>
    </w:p>
    <w:p>
      <w:pPr>
        <w:ind w:firstLine="420"/>
      </w:pPr>
      <w:r>
        <w:rPr>
          <w:rFonts w:hint="eastAsia"/>
        </w:rPr>
        <w:t>（3）发生投标人须知前附表规定的其他可以不予退还投标保证金的情形。</w:t>
      </w:r>
    </w:p>
    <w:p>
      <w:pPr>
        <w:pStyle w:val="4"/>
      </w:pPr>
      <w:bookmarkStart w:id="159" w:name="_Toc12894"/>
      <w:bookmarkStart w:id="160" w:name="_Toc10739"/>
      <w:bookmarkStart w:id="161" w:name="_Toc32604"/>
      <w:bookmarkStart w:id="162" w:name="_Toc8692"/>
      <w:bookmarkStart w:id="163" w:name="_Toc10637"/>
      <w:bookmarkStart w:id="164" w:name="_Toc152663918"/>
      <w:r>
        <w:rPr>
          <w:rFonts w:hint="eastAsia"/>
        </w:rPr>
        <w:t>3.5 资格审查资料</w:t>
      </w:r>
      <w:bookmarkEnd w:id="159"/>
      <w:bookmarkEnd w:id="160"/>
      <w:bookmarkEnd w:id="161"/>
      <w:bookmarkEnd w:id="162"/>
      <w:bookmarkEnd w:id="163"/>
      <w:bookmarkEnd w:id="164"/>
    </w:p>
    <w:p>
      <w:pPr>
        <w:ind w:firstLine="420"/>
      </w:pPr>
      <w:r>
        <w:rPr>
          <w:rFonts w:hint="eastAsia"/>
        </w:rPr>
        <w:t>除投标人须知前附表另有规定外，投标人应按下列规定提供资格审查资料，以证明其满足本章第 1.4 款规定的资质、财务、业绩、信誉等要求。</w:t>
      </w:r>
    </w:p>
    <w:p>
      <w:pPr>
        <w:ind w:firstLine="420"/>
      </w:pPr>
      <w:r>
        <w:rPr>
          <w:rFonts w:hint="eastAsia"/>
        </w:rPr>
        <w:t>3.5.1 “投标人基本情况表”应附投标人营业执照、投标人资质证书等材料。</w:t>
      </w:r>
    </w:p>
    <w:p>
      <w:pPr>
        <w:ind w:firstLine="420"/>
      </w:pPr>
      <w:r>
        <w:rPr>
          <w:rFonts w:hint="eastAsia"/>
        </w:rPr>
        <w:t>3.5.2 “近年财务状况表”应附经会计师事务所或审计机构审计的财务会计报表，包括资产负债表、现金流量表、利润表和财务情况说明书或附注，具体年份要求见投标人须知前附表。投标人的成立时间少于投标人须知前附表规定年份的，应提供成立以来的财务状况表。</w:t>
      </w:r>
    </w:p>
    <w:p>
      <w:pPr>
        <w:ind w:firstLine="420"/>
      </w:pPr>
      <w:r>
        <w:rPr>
          <w:rFonts w:hint="eastAsia"/>
        </w:rPr>
        <w:t>3.5.3 “近年完成的类似项目情况表”应附中标通知书、合同协议书；具体时间要求见投标人须知前附表，每张表格只填写一个项目，并标明序号。</w:t>
      </w:r>
    </w:p>
    <w:p>
      <w:pPr>
        <w:ind w:firstLine="420"/>
      </w:pPr>
      <w:r>
        <w:rPr>
          <w:rFonts w:hint="eastAsia"/>
        </w:rPr>
        <w:t>3.5.4 “总监理工程师简历表”应填报满足本章第 1.4.1 项规定的总监理工程师的相关信息。应附身份证、学历证、职称证、注册监理工程师执业证书和社保缴费证明，管理过的项目业绩须附中标通知书、合同协议书。</w:t>
      </w:r>
    </w:p>
    <w:p>
      <w:pPr>
        <w:ind w:firstLine="420"/>
      </w:pPr>
      <w:r>
        <w:rPr>
          <w:rFonts w:hint="eastAsia"/>
        </w:rPr>
        <w:t>3.5.5 “信誉要求”应附</w:t>
      </w:r>
      <w:r>
        <w:t>投标人及其</w:t>
      </w:r>
      <w:r>
        <w:rPr>
          <w:rFonts w:hint="eastAsia"/>
        </w:rPr>
        <w:t>法定代表人、</w:t>
      </w:r>
      <w:r>
        <w:t>拟派</w:t>
      </w:r>
      <w:r>
        <w:rPr>
          <w:rFonts w:hint="eastAsia"/>
        </w:rPr>
        <w:t>总监理工程师</w:t>
      </w:r>
      <w:r>
        <w:t>未被</w:t>
      </w:r>
      <w:r>
        <w:rPr>
          <w:rFonts w:hint="eastAsia"/>
        </w:rPr>
        <w:t>“中国执行信息公开网”（</w:t>
      </w:r>
      <w:r>
        <w:t>http://zxgk.court.gov.cn/shixin/）列入</w:t>
      </w:r>
      <w:r>
        <w:rPr>
          <w:rFonts w:hint="eastAsia"/>
        </w:rPr>
        <w:t>“失信被执行人”相关查询结果（投标人须提供网站查询结果截图，需包括查询日期，查询日期为公告发布之日之后。）。</w:t>
      </w:r>
    </w:p>
    <w:p>
      <w:pPr>
        <w:ind w:firstLine="420"/>
      </w:pPr>
      <w:r>
        <w:rPr>
          <w:rFonts w:hint="eastAsia"/>
        </w:rPr>
        <w:t>3.5.6 “其他要求”应附在“全国企业信用信息公示系统”中查询打印的相关证明材料（需包含公司基本信息、股东信息及股权变更信息）</w:t>
      </w:r>
    </w:p>
    <w:p>
      <w:pPr>
        <w:ind w:firstLine="420"/>
      </w:pPr>
      <w:r>
        <w:t>3.5.</w:t>
      </w:r>
      <w:r>
        <w:rPr>
          <w:rFonts w:hint="eastAsia"/>
        </w:rPr>
        <w:t>7</w:t>
      </w:r>
      <w:r>
        <w:t xml:space="preserve"> 投标人须知前附表规定接受联合体投标的，本章规定的表格和资料应包括联合体各方相关情况。</w:t>
      </w:r>
    </w:p>
    <w:p>
      <w:pPr>
        <w:pStyle w:val="4"/>
      </w:pPr>
      <w:bookmarkStart w:id="165" w:name="_Toc10695"/>
      <w:bookmarkStart w:id="166" w:name="_Toc152663919"/>
      <w:bookmarkStart w:id="167" w:name="_Toc10716"/>
      <w:bookmarkStart w:id="168" w:name="_Toc22967"/>
      <w:bookmarkStart w:id="169" w:name="_Toc17407"/>
      <w:bookmarkStart w:id="170" w:name="_Toc5450"/>
      <w:r>
        <w:rPr>
          <w:rFonts w:hint="eastAsia"/>
        </w:rPr>
        <w:t>3.6 备选投标方案</w:t>
      </w:r>
      <w:bookmarkEnd w:id="165"/>
      <w:bookmarkEnd w:id="166"/>
      <w:bookmarkEnd w:id="167"/>
      <w:bookmarkEnd w:id="168"/>
      <w:bookmarkEnd w:id="169"/>
      <w:bookmarkEnd w:id="170"/>
    </w:p>
    <w:p>
      <w:pPr>
        <w:ind w:firstLine="420"/>
      </w:pPr>
      <w:r>
        <w:rPr>
          <w:rFonts w:hint="eastAsia"/>
        </w:rPr>
        <w:t>3.6.1 除投标人须知前附表规定允许外，投标人不得递交备选投标方案，否则其投标将被否决。</w:t>
      </w:r>
    </w:p>
    <w:p>
      <w:pPr>
        <w:ind w:firstLine="420"/>
      </w:pPr>
      <w:r>
        <w:rPr>
          <w:rFonts w:hint="eastAsia"/>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ind w:firstLine="420"/>
      </w:pPr>
      <w:r>
        <w:rPr>
          <w:rFonts w:hint="eastAsia"/>
        </w:rPr>
        <w:t>3.6.3 投标人提供两个或两个以上投标报价，或者在投标文件中提供一个报价，但同时提供两个或两个以上监理方案的，视为提供备选方案。</w:t>
      </w:r>
    </w:p>
    <w:p>
      <w:pPr>
        <w:pStyle w:val="4"/>
      </w:pPr>
      <w:bookmarkStart w:id="171" w:name="_Toc21323"/>
      <w:bookmarkStart w:id="172" w:name="_Toc23728"/>
      <w:bookmarkStart w:id="173" w:name="_Toc13906"/>
      <w:bookmarkStart w:id="174" w:name="_Toc23869"/>
      <w:bookmarkStart w:id="175" w:name="_Toc20515"/>
      <w:bookmarkStart w:id="176" w:name="_Toc152663920"/>
      <w:r>
        <w:rPr>
          <w:rFonts w:hint="eastAsia"/>
        </w:rPr>
        <w:t>3.7 投标文件的编制</w:t>
      </w:r>
      <w:bookmarkEnd w:id="171"/>
      <w:bookmarkEnd w:id="172"/>
      <w:bookmarkEnd w:id="173"/>
      <w:bookmarkEnd w:id="174"/>
      <w:bookmarkEnd w:id="175"/>
      <w:bookmarkEnd w:id="176"/>
    </w:p>
    <w:p>
      <w:pPr>
        <w:ind w:firstLine="420"/>
      </w:pPr>
      <w:r>
        <w:rPr>
          <w:rFonts w:hint="eastAsia"/>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ind w:firstLine="420"/>
      </w:pPr>
      <w:r>
        <w:rPr>
          <w:rFonts w:hint="eastAsia"/>
        </w:rPr>
        <w:t>3.7.2 投标文件应当对招标文件有关监理服务期限、投标有效期、委托人要求、招标范围等实质性内容作出响应。</w:t>
      </w:r>
    </w:p>
    <w:p>
      <w:pPr>
        <w:ind w:firstLine="420"/>
      </w:pPr>
      <w:r>
        <w:rPr>
          <w:rFonts w:hint="eastAsia"/>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3"/>
      </w:pPr>
      <w:bookmarkStart w:id="177" w:name="_Toc6380"/>
      <w:bookmarkStart w:id="178" w:name="_Toc152663921"/>
      <w:bookmarkStart w:id="179" w:name="_Toc9449"/>
      <w:bookmarkStart w:id="180" w:name="_Toc22556"/>
      <w:r>
        <w:rPr>
          <w:rFonts w:hint="eastAsia"/>
        </w:rPr>
        <w:t>4. 投标</w:t>
      </w:r>
      <w:bookmarkEnd w:id="177"/>
      <w:bookmarkEnd w:id="178"/>
      <w:bookmarkEnd w:id="179"/>
      <w:bookmarkEnd w:id="180"/>
    </w:p>
    <w:p>
      <w:pPr>
        <w:pStyle w:val="4"/>
      </w:pPr>
      <w:bookmarkStart w:id="181" w:name="_Toc13216"/>
      <w:bookmarkStart w:id="182" w:name="_Toc31375"/>
      <w:bookmarkStart w:id="183" w:name="_Toc23692"/>
      <w:bookmarkStart w:id="184" w:name="_Toc6574"/>
      <w:bookmarkStart w:id="185" w:name="_Toc152663922"/>
      <w:bookmarkStart w:id="186" w:name="_Toc14926"/>
      <w:r>
        <w:rPr>
          <w:rFonts w:hint="eastAsia"/>
        </w:rPr>
        <w:t>4.1 投标文件的密封和标记</w:t>
      </w:r>
      <w:bookmarkEnd w:id="181"/>
      <w:bookmarkEnd w:id="182"/>
      <w:bookmarkEnd w:id="183"/>
      <w:bookmarkEnd w:id="184"/>
      <w:bookmarkEnd w:id="185"/>
      <w:bookmarkEnd w:id="186"/>
    </w:p>
    <w:p>
      <w:pPr>
        <w:ind w:firstLine="420"/>
      </w:pPr>
      <w:bookmarkStart w:id="187" w:name="_Toc9032"/>
      <w:bookmarkStart w:id="188" w:name="_Toc13941"/>
      <w:r>
        <w:rPr>
          <w:rFonts w:hint="eastAsia"/>
        </w:rPr>
        <w:t>4.1.1投标人应当按照招标文件和电子招标投标交易平台的要求加密投标文件，具体要求见投标人须知前附表。</w:t>
      </w:r>
    </w:p>
    <w:p>
      <w:pPr>
        <w:ind w:firstLine="420"/>
      </w:pPr>
      <w:r>
        <w:rPr>
          <w:rFonts w:hint="eastAsia"/>
        </w:rPr>
        <w:t>4.1.2 未按本章第4.1.1项要求密封的投标文件，招标人将予以拒收。</w:t>
      </w:r>
    </w:p>
    <w:p>
      <w:pPr>
        <w:pStyle w:val="4"/>
      </w:pPr>
      <w:bookmarkStart w:id="189" w:name="_Toc8961"/>
      <w:bookmarkStart w:id="190" w:name="_Toc5076"/>
      <w:bookmarkStart w:id="191" w:name="_Toc26998"/>
      <w:bookmarkStart w:id="192" w:name="_Toc152663923"/>
      <w:r>
        <w:rPr>
          <w:rFonts w:hint="eastAsia"/>
        </w:rPr>
        <w:t>4.2 投标文件的递交</w:t>
      </w:r>
      <w:bookmarkEnd w:id="187"/>
      <w:bookmarkEnd w:id="188"/>
      <w:bookmarkEnd w:id="189"/>
      <w:bookmarkEnd w:id="190"/>
      <w:bookmarkEnd w:id="191"/>
      <w:bookmarkEnd w:id="192"/>
    </w:p>
    <w:p>
      <w:pPr>
        <w:ind w:firstLine="420"/>
      </w:pPr>
      <w:bookmarkStart w:id="193" w:name="_Toc25000"/>
      <w:bookmarkStart w:id="194" w:name="_Toc9657"/>
      <w:r>
        <w:rPr>
          <w:rFonts w:hint="eastAsia"/>
        </w:rPr>
        <w:t>4.2.1 投标人应在投标人须知前附表规定的投标截止时间前递交投标文件。</w:t>
      </w:r>
    </w:p>
    <w:p>
      <w:pPr>
        <w:ind w:firstLine="420"/>
      </w:pPr>
      <w:r>
        <w:rPr>
          <w:rFonts w:hint="eastAsia"/>
        </w:rPr>
        <w:t>4.2.2 投标人通过下载招标文件的电子招标投标交易平台递交电子投标文件，具体要求见投标人须知前附表。</w:t>
      </w:r>
    </w:p>
    <w:p>
      <w:pPr>
        <w:ind w:firstLine="420"/>
      </w:pPr>
      <w:r>
        <w:rPr>
          <w:rFonts w:hint="eastAsia"/>
        </w:rPr>
        <w:t>4.2.3 除投标人须知前附表另有规定外，投标人所递交的投标文件不予退还。</w:t>
      </w:r>
    </w:p>
    <w:p>
      <w:pPr>
        <w:ind w:firstLine="420"/>
      </w:pPr>
      <w:r>
        <w:rPr>
          <w:rFonts w:hint="eastAsia"/>
        </w:rPr>
        <w:t>4.2.4 投标人完成电子投标文件上传后，电子招标投标交易平台即时向投标人发出递交回执通知。递交时间以递交回执通知载明的传输完成时间为准。</w:t>
      </w:r>
    </w:p>
    <w:p>
      <w:pPr>
        <w:ind w:firstLine="420"/>
      </w:pPr>
      <w:r>
        <w:rPr>
          <w:rFonts w:hint="eastAsia"/>
        </w:rPr>
        <w:t>4.2.5 逾期送达的投标文件，电子招标投标交易平台将予以拒收。</w:t>
      </w:r>
    </w:p>
    <w:p>
      <w:pPr>
        <w:pStyle w:val="4"/>
      </w:pPr>
      <w:bookmarkStart w:id="195" w:name="_Toc152663924"/>
      <w:bookmarkStart w:id="196" w:name="_Toc18942"/>
      <w:bookmarkStart w:id="197" w:name="_Toc26147"/>
      <w:bookmarkStart w:id="198" w:name="_Toc8861"/>
      <w:r>
        <w:rPr>
          <w:rFonts w:hint="eastAsia"/>
        </w:rPr>
        <w:t>4.3 投标文件的修改与撤回</w:t>
      </w:r>
      <w:bookmarkEnd w:id="193"/>
      <w:bookmarkEnd w:id="194"/>
      <w:bookmarkEnd w:id="195"/>
      <w:bookmarkEnd w:id="196"/>
      <w:bookmarkEnd w:id="197"/>
      <w:bookmarkEnd w:id="198"/>
    </w:p>
    <w:p>
      <w:pPr>
        <w:ind w:firstLine="420"/>
      </w:pPr>
      <w:r>
        <w:rPr>
          <w:rFonts w:hint="eastAsia"/>
        </w:rPr>
        <w:t>4.3.1 在本章第 4.2.1 项规定的投标截止时间前，投标人可以修改或撤回已递交的投标文件，但应以书面形式通知招标人。</w:t>
      </w:r>
    </w:p>
    <w:p>
      <w:pPr>
        <w:ind w:firstLine="420"/>
      </w:pPr>
      <w:r>
        <w:rPr>
          <w:rFonts w:hint="eastAsia"/>
        </w:rPr>
        <w:t>4.3.2 投标人修改或撤回已递交投标文件的通知，应按照本章第 3.7.3项的要求加盖电子印章。电子招标投标交易平台收到通知后，即时向投标人发出确认回执通知。</w:t>
      </w:r>
    </w:p>
    <w:p>
      <w:pPr>
        <w:ind w:firstLine="420"/>
      </w:pPr>
      <w:r>
        <w:rPr>
          <w:rFonts w:hint="eastAsia"/>
        </w:rPr>
        <w:t>4.3.3 投标人撤回投标文件的，招标人自收到投标人书面撤回通知之日起 5 日内退还已收取的投标保证金。</w:t>
      </w:r>
    </w:p>
    <w:p>
      <w:pPr>
        <w:ind w:firstLine="420"/>
      </w:pPr>
      <w:r>
        <w:rPr>
          <w:rFonts w:hint="eastAsia"/>
        </w:rPr>
        <w:t>4.3.4 修改的内容为投标文件的组成部分。修改的投标文件应按照本章第 3 条、第 4 条的规定进行编制、密封、标记和递交，并标明“修改”字样。</w:t>
      </w:r>
    </w:p>
    <w:p>
      <w:pPr>
        <w:pStyle w:val="3"/>
      </w:pPr>
      <w:bookmarkStart w:id="199" w:name="_Toc8850"/>
      <w:bookmarkStart w:id="200" w:name="_Toc29939"/>
      <w:bookmarkStart w:id="201" w:name="_Toc152663925"/>
      <w:bookmarkStart w:id="202" w:name="_Toc22668"/>
      <w:r>
        <w:rPr>
          <w:rFonts w:hint="eastAsia"/>
        </w:rPr>
        <w:t>5. 开标</w:t>
      </w:r>
      <w:bookmarkEnd w:id="199"/>
      <w:bookmarkEnd w:id="200"/>
      <w:bookmarkEnd w:id="201"/>
      <w:bookmarkEnd w:id="202"/>
    </w:p>
    <w:p>
      <w:pPr>
        <w:pStyle w:val="4"/>
      </w:pPr>
      <w:bookmarkStart w:id="203" w:name="_Toc11449"/>
      <w:bookmarkStart w:id="204" w:name="_Toc152663926"/>
      <w:bookmarkStart w:id="205" w:name="_Toc31315"/>
      <w:bookmarkStart w:id="206" w:name="_Toc17415"/>
      <w:bookmarkStart w:id="207" w:name="_Toc17518"/>
      <w:bookmarkStart w:id="208" w:name="_Toc30281"/>
      <w:r>
        <w:rPr>
          <w:rFonts w:hint="eastAsia"/>
        </w:rPr>
        <w:t>5.1 开标时间和地点</w:t>
      </w:r>
      <w:bookmarkEnd w:id="203"/>
      <w:bookmarkEnd w:id="204"/>
      <w:bookmarkEnd w:id="205"/>
      <w:bookmarkEnd w:id="206"/>
      <w:bookmarkEnd w:id="207"/>
      <w:bookmarkEnd w:id="208"/>
    </w:p>
    <w:p>
      <w:pPr>
        <w:ind w:firstLine="420"/>
      </w:pPr>
      <w:r>
        <w:rPr>
          <w:rFonts w:hint="eastAsia"/>
        </w:rPr>
        <w:t>招标人在本章第 4.2.1 项规定的投标截止时间（开标时间）和投标人须知前附表规定的地点公开开标，并邀请所有投标人的法定代表人或其委托代理人准时参加。</w:t>
      </w:r>
    </w:p>
    <w:p>
      <w:pPr>
        <w:pStyle w:val="4"/>
      </w:pPr>
      <w:bookmarkStart w:id="209" w:name="_Toc31464"/>
      <w:bookmarkStart w:id="210" w:name="_Toc152663927"/>
      <w:bookmarkStart w:id="211" w:name="_Toc3953"/>
      <w:bookmarkStart w:id="212" w:name="_Toc14673"/>
      <w:bookmarkStart w:id="213" w:name="_Toc20367"/>
      <w:bookmarkStart w:id="214" w:name="_Toc14457"/>
      <w:r>
        <w:rPr>
          <w:rFonts w:hint="eastAsia"/>
        </w:rPr>
        <w:t>5.2 开标程序</w:t>
      </w:r>
      <w:bookmarkEnd w:id="209"/>
      <w:bookmarkEnd w:id="210"/>
      <w:bookmarkEnd w:id="211"/>
      <w:bookmarkEnd w:id="212"/>
      <w:bookmarkEnd w:id="213"/>
      <w:bookmarkEnd w:id="214"/>
    </w:p>
    <w:p>
      <w:pPr>
        <w:ind w:firstLine="420"/>
      </w:pPr>
      <w:bookmarkStart w:id="215" w:name="_Toc14280"/>
      <w:bookmarkStart w:id="216" w:name="_Toc30086"/>
      <w:r>
        <w:rPr>
          <w:rFonts w:hint="eastAsia"/>
        </w:rPr>
        <w:t>详见投标人须知前附表。</w:t>
      </w:r>
    </w:p>
    <w:p>
      <w:pPr>
        <w:pStyle w:val="4"/>
      </w:pPr>
      <w:bookmarkStart w:id="217" w:name="_Toc30840"/>
      <w:bookmarkStart w:id="218" w:name="_Toc7406"/>
      <w:bookmarkStart w:id="219" w:name="_Toc19520"/>
      <w:bookmarkStart w:id="220" w:name="_Toc152663928"/>
      <w:r>
        <w:rPr>
          <w:rFonts w:hint="eastAsia"/>
        </w:rPr>
        <w:t>5.3 开标异议</w:t>
      </w:r>
      <w:bookmarkEnd w:id="215"/>
      <w:bookmarkEnd w:id="216"/>
      <w:bookmarkEnd w:id="217"/>
      <w:bookmarkEnd w:id="218"/>
      <w:bookmarkEnd w:id="219"/>
      <w:bookmarkEnd w:id="220"/>
    </w:p>
    <w:p>
      <w:pPr>
        <w:ind w:firstLine="420"/>
      </w:pPr>
      <w:r>
        <w:rPr>
          <w:rFonts w:hint="eastAsia"/>
        </w:rPr>
        <w:t>投标人对开标有异议的，应当在开标现场提出，招标人当场作出答复，并制作记录。</w:t>
      </w:r>
    </w:p>
    <w:p>
      <w:pPr>
        <w:pStyle w:val="3"/>
      </w:pPr>
      <w:bookmarkStart w:id="221" w:name="_Toc152663929"/>
      <w:bookmarkStart w:id="222" w:name="_Toc26924"/>
      <w:bookmarkStart w:id="223" w:name="_Toc13729"/>
      <w:bookmarkStart w:id="224" w:name="_Toc6838"/>
      <w:r>
        <w:rPr>
          <w:rFonts w:hint="eastAsia"/>
        </w:rPr>
        <w:t>6. 评标</w:t>
      </w:r>
      <w:bookmarkEnd w:id="221"/>
      <w:bookmarkEnd w:id="222"/>
      <w:bookmarkEnd w:id="223"/>
      <w:bookmarkEnd w:id="224"/>
    </w:p>
    <w:p>
      <w:pPr>
        <w:pStyle w:val="4"/>
      </w:pPr>
      <w:bookmarkStart w:id="225" w:name="_Toc29757"/>
      <w:bookmarkStart w:id="226" w:name="_Toc6878"/>
      <w:bookmarkStart w:id="227" w:name="_Toc16842"/>
      <w:bookmarkStart w:id="228" w:name="_Toc25165"/>
      <w:bookmarkStart w:id="229" w:name="_Toc6180"/>
      <w:bookmarkStart w:id="230" w:name="_Toc152663930"/>
      <w:r>
        <w:rPr>
          <w:rFonts w:hint="eastAsia"/>
        </w:rPr>
        <w:t>6.1 评标委员会</w:t>
      </w:r>
      <w:bookmarkEnd w:id="225"/>
      <w:bookmarkEnd w:id="226"/>
      <w:bookmarkEnd w:id="227"/>
      <w:bookmarkEnd w:id="228"/>
      <w:bookmarkEnd w:id="229"/>
      <w:bookmarkEnd w:id="230"/>
    </w:p>
    <w:p>
      <w:pPr>
        <w:ind w:firstLine="420"/>
      </w:pPr>
      <w:r>
        <w:rPr>
          <w:rFonts w:hint="eastAsi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ind w:firstLine="420"/>
      </w:pPr>
      <w:r>
        <w:rPr>
          <w:rFonts w:hint="eastAsia"/>
        </w:rPr>
        <w:t>6.1.2 评标委员会成员有下列情形之一的，应当回避：</w:t>
      </w:r>
    </w:p>
    <w:p>
      <w:pPr>
        <w:ind w:firstLine="630" w:firstLineChars="300"/>
      </w:pPr>
      <w:r>
        <w:rPr>
          <w:rFonts w:hint="eastAsia"/>
        </w:rPr>
        <w:t>（1）投标人或投标人主要负责人的近亲属；</w:t>
      </w:r>
    </w:p>
    <w:p>
      <w:pPr>
        <w:ind w:firstLine="630" w:firstLineChars="300"/>
      </w:pPr>
      <w:r>
        <w:rPr>
          <w:rFonts w:hint="eastAsia"/>
        </w:rPr>
        <w:t>（2）项目主管部门或者行政监督部门的人员；</w:t>
      </w:r>
    </w:p>
    <w:p>
      <w:pPr>
        <w:ind w:firstLine="630" w:firstLineChars="300"/>
      </w:pPr>
      <w:r>
        <w:rPr>
          <w:rFonts w:hint="eastAsia"/>
        </w:rPr>
        <w:t>（3）与投标人有经济利益关系，可能影响对投标公正评审的；</w:t>
      </w:r>
    </w:p>
    <w:p>
      <w:pPr>
        <w:ind w:firstLine="630" w:firstLineChars="300"/>
      </w:pPr>
      <w:r>
        <w:rPr>
          <w:rFonts w:hint="eastAsia"/>
        </w:rPr>
        <w:t>（4）曾因在招标、评标以及其他与招标投标有关活动中从事违法行为而受过行政处罚或刑事处罚的；</w:t>
      </w:r>
    </w:p>
    <w:p>
      <w:pPr>
        <w:ind w:firstLine="630" w:firstLineChars="300"/>
      </w:pPr>
      <w:r>
        <w:rPr>
          <w:rFonts w:hint="eastAsia"/>
        </w:rPr>
        <w:t>（5）与投标人有其他利害关系。</w:t>
      </w:r>
    </w:p>
    <w:p>
      <w:pPr>
        <w:ind w:firstLine="420"/>
      </w:pPr>
      <w:r>
        <w:rPr>
          <w:rFonts w:hint="eastAsia"/>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4"/>
      </w:pPr>
      <w:bookmarkStart w:id="231" w:name="_Toc24889"/>
      <w:bookmarkStart w:id="232" w:name="_Toc29225"/>
      <w:bookmarkStart w:id="233" w:name="_Toc32343"/>
      <w:bookmarkStart w:id="234" w:name="_Toc152663931"/>
      <w:bookmarkStart w:id="235" w:name="_Toc7755"/>
      <w:bookmarkStart w:id="236" w:name="_Toc4146"/>
      <w:r>
        <w:rPr>
          <w:rFonts w:hint="eastAsia"/>
        </w:rPr>
        <w:t>6.2 评标原则</w:t>
      </w:r>
      <w:bookmarkEnd w:id="231"/>
      <w:bookmarkEnd w:id="232"/>
      <w:bookmarkEnd w:id="233"/>
      <w:bookmarkEnd w:id="234"/>
      <w:bookmarkEnd w:id="235"/>
      <w:bookmarkEnd w:id="236"/>
    </w:p>
    <w:p>
      <w:pPr>
        <w:ind w:firstLine="420"/>
      </w:pPr>
      <w:r>
        <w:rPr>
          <w:rFonts w:hint="eastAsia"/>
        </w:rPr>
        <w:t>评标活动遵循公平、公正、科学和择优的原则。</w:t>
      </w:r>
    </w:p>
    <w:p>
      <w:pPr>
        <w:pStyle w:val="4"/>
      </w:pPr>
      <w:bookmarkStart w:id="237" w:name="_Toc152663932"/>
      <w:bookmarkStart w:id="238" w:name="_Toc7862"/>
      <w:bookmarkStart w:id="239" w:name="_Toc3371"/>
      <w:bookmarkStart w:id="240" w:name="_Toc8989"/>
      <w:bookmarkStart w:id="241" w:name="_Toc28953"/>
      <w:bookmarkStart w:id="242" w:name="_Toc17914"/>
      <w:r>
        <w:rPr>
          <w:rFonts w:hint="eastAsia"/>
        </w:rPr>
        <w:t>6.3 评标</w:t>
      </w:r>
      <w:bookmarkEnd w:id="237"/>
      <w:bookmarkEnd w:id="238"/>
      <w:bookmarkEnd w:id="239"/>
      <w:bookmarkEnd w:id="240"/>
      <w:bookmarkEnd w:id="241"/>
      <w:bookmarkEnd w:id="242"/>
    </w:p>
    <w:p>
      <w:pPr>
        <w:ind w:firstLine="420"/>
      </w:pPr>
      <w:r>
        <w:rPr>
          <w:rFonts w:hint="eastAsia"/>
        </w:rPr>
        <w:t>6.3.1 评标委员会按照第三章“评标办法”规定的方法、评审因素、标准和程序对投标文件进行评审。第三章“评标办法”没有规定的方法、评审因素和标准，不作为评标依据。</w:t>
      </w:r>
    </w:p>
    <w:p>
      <w:pPr>
        <w:ind w:firstLine="420"/>
      </w:pPr>
      <w:r>
        <w:rPr>
          <w:rFonts w:hint="eastAsia"/>
        </w:rPr>
        <w:t>6.3.2 评标完成后，评标委员会应当向招标人提交书面评标报告和中标候选人名单。评标委员会推荐中标候选人的人数见投标人须知前附表。</w:t>
      </w:r>
    </w:p>
    <w:p>
      <w:pPr>
        <w:pStyle w:val="3"/>
      </w:pPr>
      <w:bookmarkStart w:id="243" w:name="_Toc32571"/>
      <w:bookmarkStart w:id="244" w:name="_Toc11105"/>
      <w:bookmarkStart w:id="245" w:name="_Toc30987"/>
      <w:bookmarkStart w:id="246" w:name="_Toc152663933"/>
      <w:r>
        <w:rPr>
          <w:rFonts w:hint="eastAsia"/>
        </w:rPr>
        <w:t>7. 合同授予</w:t>
      </w:r>
      <w:bookmarkEnd w:id="243"/>
      <w:bookmarkEnd w:id="244"/>
      <w:bookmarkEnd w:id="245"/>
      <w:bookmarkEnd w:id="246"/>
    </w:p>
    <w:p>
      <w:pPr>
        <w:pStyle w:val="4"/>
      </w:pPr>
      <w:bookmarkStart w:id="247" w:name="_Toc152663934"/>
      <w:bookmarkStart w:id="248" w:name="_Toc32103"/>
      <w:bookmarkStart w:id="249" w:name="_Toc14506"/>
      <w:bookmarkStart w:id="250" w:name="_Toc6172"/>
      <w:bookmarkStart w:id="251" w:name="_Toc31995"/>
      <w:bookmarkStart w:id="252" w:name="_Toc28636"/>
      <w:r>
        <w:rPr>
          <w:rFonts w:hint="eastAsia"/>
        </w:rPr>
        <w:t>7.1 中标候选人公示</w:t>
      </w:r>
      <w:bookmarkEnd w:id="247"/>
      <w:bookmarkEnd w:id="248"/>
      <w:bookmarkEnd w:id="249"/>
      <w:bookmarkEnd w:id="250"/>
      <w:bookmarkEnd w:id="251"/>
      <w:bookmarkEnd w:id="252"/>
    </w:p>
    <w:p>
      <w:pPr>
        <w:ind w:firstLine="420"/>
      </w:pPr>
      <w:r>
        <w:rPr>
          <w:rFonts w:hint="eastAsia"/>
        </w:rPr>
        <w:t>7.1.1 招标人在收到评标报告之日起 3 日内，按照投标人须知前附表规定的公示媒介和期限公示中标候选人，公示期不得少于 3 天。</w:t>
      </w:r>
      <w:bookmarkStart w:id="253" w:name="_Toc134"/>
    </w:p>
    <w:p>
      <w:pPr>
        <w:pStyle w:val="4"/>
      </w:pPr>
      <w:bookmarkStart w:id="254" w:name="_Toc26931"/>
      <w:bookmarkStart w:id="255" w:name="_Toc32582"/>
      <w:bookmarkStart w:id="256" w:name="_Toc152663935"/>
      <w:bookmarkStart w:id="257" w:name="_Toc29396"/>
      <w:bookmarkStart w:id="258" w:name="_Toc23476"/>
      <w:r>
        <w:rPr>
          <w:rFonts w:hint="eastAsia"/>
        </w:rPr>
        <w:t>7.2 评标结果异议</w:t>
      </w:r>
      <w:bookmarkEnd w:id="253"/>
      <w:bookmarkEnd w:id="254"/>
      <w:bookmarkEnd w:id="255"/>
      <w:bookmarkEnd w:id="256"/>
      <w:bookmarkEnd w:id="257"/>
      <w:bookmarkEnd w:id="258"/>
    </w:p>
    <w:p>
      <w:pPr>
        <w:ind w:firstLine="420"/>
      </w:pPr>
      <w:r>
        <w:rPr>
          <w:rFonts w:hint="eastAsia"/>
        </w:rPr>
        <w:t>投标人或者其他利害关系人对评标结果有异议的，应当在中标候选人公示期间提出。招标人将在收到异议之日起 3 日内作出答复；作出答复前，将暂停招标投标活动。</w:t>
      </w:r>
    </w:p>
    <w:p>
      <w:pPr>
        <w:pStyle w:val="4"/>
      </w:pPr>
      <w:bookmarkStart w:id="259" w:name="_Toc152663936"/>
      <w:bookmarkStart w:id="260" w:name="_Toc18369"/>
      <w:bookmarkStart w:id="261" w:name="_Toc2227"/>
      <w:bookmarkStart w:id="262" w:name="_Toc24527"/>
      <w:bookmarkStart w:id="263" w:name="_Toc13465"/>
      <w:bookmarkStart w:id="264" w:name="_Toc7265"/>
      <w:r>
        <w:rPr>
          <w:rFonts w:hint="eastAsia"/>
        </w:rPr>
        <w:t>7.3 中标候选人履约能力审查</w:t>
      </w:r>
      <w:bookmarkEnd w:id="259"/>
      <w:bookmarkEnd w:id="260"/>
      <w:bookmarkEnd w:id="261"/>
      <w:bookmarkEnd w:id="262"/>
      <w:bookmarkEnd w:id="263"/>
      <w:bookmarkEnd w:id="264"/>
    </w:p>
    <w:p>
      <w:pPr>
        <w:ind w:firstLine="420"/>
      </w:pPr>
      <w:r>
        <w:rPr>
          <w:rFonts w:hint="eastAsia"/>
        </w:rPr>
        <w:t>中标候选人的经营、财务状况发生较大变化或存在违法行为，招标人认为可能影响其履约能力的，将在发出中标通知书前提请原评标委员会按照招标文件规定的标准和方法进行审查确认。</w:t>
      </w:r>
    </w:p>
    <w:p>
      <w:pPr>
        <w:pStyle w:val="4"/>
      </w:pPr>
      <w:bookmarkStart w:id="265" w:name="_Toc31371"/>
      <w:bookmarkStart w:id="266" w:name="_Toc152663937"/>
      <w:bookmarkStart w:id="267" w:name="_Toc17850"/>
      <w:bookmarkStart w:id="268" w:name="_Toc26034"/>
      <w:bookmarkStart w:id="269" w:name="_Toc19308"/>
      <w:bookmarkStart w:id="270" w:name="_Toc11829"/>
      <w:r>
        <w:rPr>
          <w:rFonts w:hint="eastAsia"/>
        </w:rPr>
        <w:t>7.4 定标</w:t>
      </w:r>
      <w:bookmarkEnd w:id="265"/>
      <w:bookmarkEnd w:id="266"/>
      <w:bookmarkEnd w:id="267"/>
      <w:bookmarkEnd w:id="268"/>
      <w:bookmarkEnd w:id="269"/>
      <w:bookmarkEnd w:id="270"/>
    </w:p>
    <w:p>
      <w:pPr>
        <w:ind w:firstLine="420"/>
      </w:pPr>
      <w:r>
        <w:rPr>
          <w:rFonts w:hint="eastAsia"/>
        </w:rPr>
        <w:t>按照投标人须知前附表的规定，招标人或招标人授权的评标委员会依法确定中标人。</w:t>
      </w:r>
    </w:p>
    <w:p>
      <w:pPr>
        <w:pStyle w:val="4"/>
      </w:pPr>
      <w:bookmarkStart w:id="271" w:name="_Toc23053"/>
      <w:bookmarkStart w:id="272" w:name="_Toc22173"/>
      <w:bookmarkStart w:id="273" w:name="_Toc27293"/>
      <w:bookmarkStart w:id="274" w:name="_Toc12162"/>
      <w:bookmarkStart w:id="275" w:name="_Toc7099"/>
      <w:bookmarkStart w:id="276" w:name="_Toc152663938"/>
      <w:r>
        <w:rPr>
          <w:rFonts w:hint="eastAsia"/>
        </w:rPr>
        <w:t>7.5 中标通知</w:t>
      </w:r>
      <w:bookmarkEnd w:id="271"/>
      <w:bookmarkEnd w:id="272"/>
      <w:bookmarkEnd w:id="273"/>
      <w:bookmarkEnd w:id="274"/>
      <w:bookmarkEnd w:id="275"/>
      <w:bookmarkEnd w:id="276"/>
    </w:p>
    <w:p>
      <w:pPr>
        <w:ind w:firstLine="420"/>
      </w:pPr>
      <w:r>
        <w:rPr>
          <w:rFonts w:hint="eastAsia"/>
        </w:rPr>
        <w:t>在本章第 3.3 款规定的投标有效期内，招标人以书面形式向中标人发出中标通知书，同时将中标结果通知未中标的投标人。</w:t>
      </w:r>
    </w:p>
    <w:p>
      <w:pPr>
        <w:pStyle w:val="4"/>
      </w:pPr>
      <w:bookmarkStart w:id="277" w:name="_Toc3799"/>
      <w:bookmarkStart w:id="278" w:name="_Toc24804"/>
      <w:bookmarkStart w:id="279" w:name="_Toc30018"/>
      <w:bookmarkStart w:id="280" w:name="_Toc32211"/>
      <w:bookmarkStart w:id="281" w:name="_Toc152663939"/>
      <w:bookmarkStart w:id="282" w:name="_Toc19361"/>
      <w:r>
        <w:rPr>
          <w:rFonts w:hint="eastAsia"/>
        </w:rPr>
        <w:t>7.6 履约保证金</w:t>
      </w:r>
      <w:bookmarkEnd w:id="277"/>
      <w:bookmarkEnd w:id="278"/>
      <w:bookmarkEnd w:id="279"/>
      <w:bookmarkEnd w:id="280"/>
      <w:bookmarkEnd w:id="281"/>
      <w:bookmarkEnd w:id="282"/>
    </w:p>
    <w:p>
      <w:pPr>
        <w:ind w:firstLine="420"/>
      </w:pPr>
      <w:bookmarkStart w:id="283" w:name="_Toc3537"/>
      <w:bookmarkStart w:id="284" w:name="_Toc26304"/>
      <w:bookmarkStart w:id="285" w:name="_Toc21615"/>
      <w:r>
        <w:rPr>
          <w:rFonts w:hint="eastAsia"/>
        </w:rPr>
        <w:t>7.6.1 在签订合同前，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ind w:firstLine="420"/>
      </w:pPr>
      <w:r>
        <w:rPr>
          <w:rFonts w:hint="eastAsia"/>
        </w:rPr>
        <w:t>7.6.2 中标人不能按本章第 7.6.1 项要求提交履约保证金的，视为放弃中标，其投标保证金不予退还，给招标人造成的损失超过投标保证金数额的，中标人还应当对超过部分予以赔偿。</w:t>
      </w:r>
    </w:p>
    <w:p>
      <w:pPr>
        <w:pStyle w:val="4"/>
      </w:pPr>
      <w:bookmarkStart w:id="286" w:name="_Toc17892"/>
      <w:bookmarkStart w:id="287" w:name="_Toc152663940"/>
      <w:bookmarkStart w:id="288" w:name="_Toc10668"/>
      <w:r>
        <w:rPr>
          <w:rFonts w:hint="eastAsia"/>
        </w:rPr>
        <w:t>7.7 签订合同</w:t>
      </w:r>
      <w:bookmarkEnd w:id="283"/>
      <w:bookmarkEnd w:id="284"/>
      <w:bookmarkEnd w:id="285"/>
      <w:bookmarkEnd w:id="286"/>
      <w:bookmarkEnd w:id="287"/>
      <w:bookmarkEnd w:id="288"/>
    </w:p>
    <w:p>
      <w:pPr>
        <w:ind w:firstLine="420"/>
      </w:pPr>
      <w:r>
        <w:rPr>
          <w:rFonts w:hint="eastAsia"/>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ind w:firstLine="420"/>
      </w:pPr>
      <w:r>
        <w:rPr>
          <w:rFonts w:hint="eastAsia"/>
        </w:rPr>
        <w:t>7.7.2 发出中标通知书后，招标人无正当理由拒签合同，或者在签订合同时向中标人提出附加条件的，招标人向中标人退还投标保证金；给中标人造成损失的，还应当赔偿损失。</w:t>
      </w:r>
    </w:p>
    <w:p>
      <w:pPr>
        <w:pStyle w:val="3"/>
      </w:pPr>
      <w:bookmarkStart w:id="289" w:name="_Toc28945"/>
      <w:bookmarkStart w:id="290" w:name="_Toc25945"/>
      <w:bookmarkStart w:id="291" w:name="_Toc152663941"/>
      <w:bookmarkStart w:id="292" w:name="_Toc11535"/>
      <w:r>
        <w:rPr>
          <w:rFonts w:hint="eastAsia"/>
        </w:rPr>
        <w:t>8. 纪律和监督</w:t>
      </w:r>
      <w:bookmarkEnd w:id="289"/>
      <w:bookmarkEnd w:id="290"/>
      <w:bookmarkEnd w:id="291"/>
      <w:bookmarkEnd w:id="292"/>
    </w:p>
    <w:p>
      <w:pPr>
        <w:pStyle w:val="4"/>
      </w:pPr>
      <w:bookmarkStart w:id="293" w:name="_Toc16353"/>
      <w:bookmarkStart w:id="294" w:name="_Toc13405"/>
      <w:bookmarkStart w:id="295" w:name="_Toc24491"/>
      <w:bookmarkStart w:id="296" w:name="_Toc152663942"/>
      <w:bookmarkStart w:id="297" w:name="_Toc7149"/>
      <w:bookmarkStart w:id="298" w:name="_Toc16526"/>
      <w:r>
        <w:rPr>
          <w:rFonts w:hint="eastAsia"/>
        </w:rPr>
        <w:t>8.1 对招标人的纪律要求</w:t>
      </w:r>
      <w:bookmarkEnd w:id="293"/>
      <w:bookmarkEnd w:id="294"/>
      <w:bookmarkEnd w:id="295"/>
      <w:bookmarkEnd w:id="296"/>
      <w:bookmarkEnd w:id="297"/>
      <w:bookmarkEnd w:id="298"/>
    </w:p>
    <w:p>
      <w:pPr>
        <w:ind w:firstLine="420"/>
      </w:pPr>
      <w:r>
        <w:rPr>
          <w:rFonts w:hint="eastAsia"/>
        </w:rPr>
        <w:t>招标人不得泄露招标投标活动中应当保密的情况和资料，不得与投标人串通损害国家利益、社会公共利益或者他人合法权益。</w:t>
      </w:r>
    </w:p>
    <w:p>
      <w:pPr>
        <w:pStyle w:val="4"/>
      </w:pPr>
      <w:bookmarkStart w:id="299" w:name="_Toc2690"/>
      <w:bookmarkStart w:id="300" w:name="_Toc6536"/>
      <w:bookmarkStart w:id="301" w:name="_Toc152663943"/>
      <w:bookmarkStart w:id="302" w:name="_Toc23189"/>
      <w:bookmarkStart w:id="303" w:name="_Toc14992"/>
      <w:bookmarkStart w:id="304" w:name="_Toc1434"/>
      <w:r>
        <w:rPr>
          <w:rFonts w:hint="eastAsia"/>
        </w:rPr>
        <w:t>8.2 对投标人的纪律要求</w:t>
      </w:r>
      <w:bookmarkEnd w:id="299"/>
      <w:bookmarkEnd w:id="300"/>
      <w:bookmarkEnd w:id="301"/>
      <w:bookmarkEnd w:id="302"/>
      <w:bookmarkEnd w:id="303"/>
      <w:bookmarkEnd w:id="304"/>
    </w:p>
    <w:p>
      <w:pPr>
        <w:ind w:firstLine="42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pPr>
      <w:bookmarkStart w:id="305" w:name="_Toc19618"/>
      <w:bookmarkStart w:id="306" w:name="_Toc7889"/>
      <w:bookmarkStart w:id="307" w:name="_Toc4483"/>
      <w:bookmarkStart w:id="308" w:name="_Toc152663944"/>
      <w:bookmarkStart w:id="309" w:name="_Toc9379"/>
      <w:bookmarkStart w:id="310" w:name="_Toc14401"/>
      <w:r>
        <w:rPr>
          <w:rFonts w:hint="eastAsia"/>
        </w:rPr>
        <w:t>8.3 对评标委员会成员的纪律要求</w:t>
      </w:r>
      <w:bookmarkEnd w:id="305"/>
      <w:bookmarkEnd w:id="306"/>
      <w:bookmarkEnd w:id="307"/>
      <w:bookmarkEnd w:id="308"/>
      <w:bookmarkEnd w:id="309"/>
      <w:bookmarkEnd w:id="310"/>
    </w:p>
    <w:p>
      <w:pPr>
        <w:ind w:firstLine="420"/>
      </w:pPr>
      <w:r>
        <w:rPr>
          <w:rFonts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pPr>
      <w:bookmarkStart w:id="311" w:name="_Toc27185"/>
      <w:bookmarkStart w:id="312" w:name="_Toc152663945"/>
      <w:bookmarkStart w:id="313" w:name="_Toc27029"/>
      <w:bookmarkStart w:id="314" w:name="_Toc354"/>
      <w:bookmarkStart w:id="315" w:name="_Toc32617"/>
      <w:bookmarkStart w:id="316" w:name="_Toc2186"/>
      <w:r>
        <w:rPr>
          <w:rFonts w:hint="eastAsia"/>
        </w:rPr>
        <w:t>8.4 对与评标活动有关的工作人员的纪律要求</w:t>
      </w:r>
      <w:bookmarkEnd w:id="311"/>
      <w:bookmarkEnd w:id="312"/>
      <w:bookmarkEnd w:id="313"/>
      <w:bookmarkEnd w:id="314"/>
      <w:bookmarkEnd w:id="315"/>
      <w:bookmarkEnd w:id="316"/>
    </w:p>
    <w:p>
      <w:pPr>
        <w:ind w:firstLine="420"/>
      </w:pPr>
      <w:r>
        <w:rPr>
          <w:rFonts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4"/>
      </w:pPr>
      <w:bookmarkStart w:id="317" w:name="_Toc31625"/>
      <w:bookmarkStart w:id="318" w:name="_Toc152663946"/>
      <w:bookmarkStart w:id="319" w:name="_Toc26643"/>
      <w:bookmarkStart w:id="320" w:name="_Toc18387"/>
      <w:bookmarkStart w:id="321" w:name="_Toc26031"/>
      <w:bookmarkStart w:id="322" w:name="_Toc3927"/>
      <w:r>
        <w:rPr>
          <w:rFonts w:hint="eastAsia"/>
        </w:rPr>
        <w:t>8.5 投诉</w:t>
      </w:r>
      <w:bookmarkEnd w:id="317"/>
      <w:bookmarkEnd w:id="318"/>
      <w:bookmarkEnd w:id="319"/>
      <w:bookmarkEnd w:id="320"/>
      <w:bookmarkEnd w:id="321"/>
      <w:bookmarkEnd w:id="322"/>
    </w:p>
    <w:p>
      <w:pPr>
        <w:ind w:firstLine="420"/>
      </w:pPr>
      <w:r>
        <w:rPr>
          <w:rFonts w:hint="eastAsia"/>
        </w:rPr>
        <w:t>8.5.1 投标人或者其他利害关系人认为招标投标活动不符合法律、行政法规规定的，可以自知道或者应当知道之日起 10 日内向有关行政监督部门投诉。投诉应当有明确的请求和必要的证明材料。</w:t>
      </w:r>
    </w:p>
    <w:p>
      <w:pPr>
        <w:ind w:firstLine="420"/>
      </w:pPr>
      <w:r>
        <w:rPr>
          <w:rFonts w:hint="eastAsia"/>
        </w:rPr>
        <w:t>8.5.2 投标人或者其他利害关系人对招标文件、开标和评标结果提出投诉的，应当按照投标人须知第 2.4 款、第 5.3 款和第 7.2 款的规定先向招标人提出异议。异议答复期间不计算在第 8.5.1 项规定的期限内。</w:t>
      </w:r>
    </w:p>
    <w:p>
      <w:pPr>
        <w:pStyle w:val="3"/>
      </w:pPr>
      <w:bookmarkStart w:id="323" w:name="_Toc21310"/>
      <w:bookmarkStart w:id="324" w:name="_Toc18462"/>
      <w:bookmarkStart w:id="325" w:name="_Toc1440"/>
      <w:bookmarkStart w:id="326" w:name="_Toc152663947"/>
      <w:r>
        <w:rPr>
          <w:rFonts w:hint="eastAsia"/>
        </w:rPr>
        <w:t>9. 是否采用电子招标投标</w:t>
      </w:r>
      <w:bookmarkEnd w:id="323"/>
      <w:bookmarkEnd w:id="324"/>
      <w:bookmarkEnd w:id="325"/>
      <w:bookmarkEnd w:id="326"/>
    </w:p>
    <w:p>
      <w:pPr>
        <w:ind w:firstLine="420"/>
      </w:pPr>
      <w:r>
        <w:rPr>
          <w:rFonts w:hint="eastAsia"/>
        </w:rPr>
        <w:t>见投标人须知前附表。</w:t>
      </w:r>
    </w:p>
    <w:p>
      <w:pPr>
        <w:pStyle w:val="3"/>
      </w:pPr>
      <w:bookmarkStart w:id="327" w:name="_Toc23785"/>
      <w:bookmarkStart w:id="328" w:name="_Toc22976"/>
      <w:bookmarkStart w:id="329" w:name="_Toc15399"/>
      <w:bookmarkStart w:id="330" w:name="_Toc152663948"/>
      <w:r>
        <w:rPr>
          <w:rFonts w:hint="eastAsia"/>
        </w:rPr>
        <w:t>10. 需要补充的其他内容</w:t>
      </w:r>
      <w:bookmarkEnd w:id="327"/>
      <w:bookmarkEnd w:id="328"/>
      <w:bookmarkEnd w:id="329"/>
      <w:bookmarkEnd w:id="330"/>
    </w:p>
    <w:p>
      <w:pPr>
        <w:ind w:firstLine="420"/>
        <w:rPr>
          <w:rFonts w:cs="宋体"/>
          <w:kern w:val="0"/>
          <w:szCs w:val="21"/>
        </w:rPr>
      </w:pPr>
      <w:r>
        <w:rPr>
          <w:rFonts w:hint="eastAsia"/>
        </w:rPr>
        <w:t>需要补充的其他内容：见投标人须知前附表。</w:t>
      </w:r>
    </w:p>
    <w:p>
      <w:pPr>
        <w:ind w:firstLine="480"/>
        <w:rPr>
          <w:rFonts w:cs="宋体"/>
          <w:sz w:val="24"/>
          <w:szCs w:val="24"/>
        </w:rPr>
      </w:pPr>
      <w:bookmarkStart w:id="331" w:name="_Toc27034"/>
      <w:bookmarkStart w:id="332" w:name="_Toc1317"/>
      <w:bookmarkStart w:id="333" w:name="_Toc8464"/>
      <w:bookmarkStart w:id="334" w:name="_Toc29376"/>
      <w:bookmarkStart w:id="335" w:name="_Toc21700"/>
      <w:r>
        <w:rPr>
          <w:rFonts w:hint="eastAsia" w:cs="宋体"/>
          <w:sz w:val="24"/>
          <w:szCs w:val="24"/>
        </w:rPr>
        <w:br w:type="page"/>
      </w:r>
    </w:p>
    <w:p>
      <w:pPr>
        <w:pStyle w:val="4"/>
      </w:pPr>
      <w:bookmarkStart w:id="336" w:name="_Toc152663949"/>
      <w:r>
        <w:rPr>
          <w:rFonts w:hint="eastAsia"/>
        </w:rPr>
        <w:t>附件一：</w:t>
      </w:r>
      <w:bookmarkEnd w:id="331"/>
      <w:bookmarkEnd w:id="332"/>
      <w:bookmarkStart w:id="337" w:name="_Toc16345"/>
      <w:bookmarkStart w:id="338" w:name="_Toc21078"/>
      <w:r>
        <w:rPr>
          <w:rFonts w:hint="eastAsia"/>
        </w:rPr>
        <w:t>问题澄清通知</w:t>
      </w:r>
      <w:bookmarkEnd w:id="333"/>
      <w:bookmarkEnd w:id="334"/>
      <w:bookmarkEnd w:id="335"/>
      <w:bookmarkEnd w:id="336"/>
      <w:bookmarkEnd w:id="337"/>
      <w:bookmarkEnd w:id="338"/>
    </w:p>
    <w:p>
      <w:pPr>
        <w:adjustRightInd w:val="0"/>
        <w:spacing w:line="200" w:lineRule="exact"/>
        <w:ind w:firstLine="480"/>
        <w:rPr>
          <w:rFonts w:cs="宋体"/>
          <w:kern w:val="0"/>
          <w:sz w:val="24"/>
          <w:szCs w:val="24"/>
        </w:rPr>
      </w:pPr>
    </w:p>
    <w:p>
      <w:pPr>
        <w:adjustRightInd w:val="0"/>
        <w:spacing w:before="11" w:line="240" w:lineRule="exact"/>
        <w:ind w:firstLine="480"/>
        <w:rPr>
          <w:rFonts w:cs="宋体"/>
          <w:kern w:val="0"/>
          <w:sz w:val="24"/>
          <w:szCs w:val="24"/>
        </w:rPr>
      </w:pPr>
    </w:p>
    <w:p>
      <w:pPr>
        <w:adjustRightInd w:val="0"/>
        <w:ind w:firstLine="480"/>
        <w:jc w:val="center"/>
        <w:rPr>
          <w:rFonts w:cs="宋体"/>
          <w:kern w:val="0"/>
          <w:sz w:val="24"/>
          <w:szCs w:val="24"/>
        </w:rPr>
      </w:pPr>
      <w:bookmarkStart w:id="339" w:name="_Toc240"/>
      <w:r>
        <w:rPr>
          <w:rFonts w:hint="eastAsia" w:cs="宋体"/>
          <w:kern w:val="0"/>
          <w:sz w:val="24"/>
          <w:szCs w:val="24"/>
        </w:rPr>
        <w:t>问题澄清通知</w:t>
      </w:r>
      <w:bookmarkEnd w:id="339"/>
    </w:p>
    <w:p>
      <w:pPr>
        <w:tabs>
          <w:tab w:val="left" w:pos="5740"/>
        </w:tabs>
        <w:adjustRightInd w:val="0"/>
        <w:ind w:firstLine="420"/>
        <w:jc w:val="center"/>
        <w:rPr>
          <w:rFonts w:cs="宋体"/>
          <w:kern w:val="0"/>
          <w:szCs w:val="21"/>
        </w:rPr>
      </w:pPr>
      <w:bookmarkStart w:id="340" w:name="_Toc31060"/>
      <w:r>
        <w:rPr>
          <w:rFonts w:hint="eastAsia" w:cs="宋体"/>
          <w:kern w:val="0"/>
          <w:szCs w:val="21"/>
        </w:rPr>
        <w:t>（编号：</w:t>
      </w:r>
      <w:r>
        <w:rPr>
          <w:rFonts w:hint="eastAsia" w:cs="宋体"/>
          <w:kern w:val="0"/>
          <w:szCs w:val="21"/>
          <w:u w:val="single"/>
        </w:rPr>
        <w:t xml:space="preserve">         </w:t>
      </w:r>
      <w:r>
        <w:rPr>
          <w:rFonts w:hint="eastAsia" w:cs="宋体"/>
          <w:kern w:val="0"/>
          <w:szCs w:val="21"/>
        </w:rPr>
        <w:t>）</w:t>
      </w:r>
      <w:bookmarkEnd w:id="340"/>
    </w:p>
    <w:p>
      <w:pPr>
        <w:tabs>
          <w:tab w:val="left" w:pos="2300"/>
        </w:tabs>
        <w:adjustRightInd w:val="0"/>
        <w:ind w:firstLine="0" w:firstLineChars="0"/>
        <w:rPr>
          <w:rFonts w:cs="宋体"/>
          <w:kern w:val="0"/>
          <w:szCs w:val="21"/>
        </w:rPr>
      </w:pPr>
      <w:r>
        <w:rPr>
          <w:rFonts w:hint="eastAsia" w:cs="宋体"/>
          <w:w w:val="169"/>
          <w:kern w:val="0"/>
          <w:szCs w:val="21"/>
          <w:u w:val="single"/>
        </w:rPr>
        <w:t xml:space="preserve">   </w:t>
      </w:r>
      <w:r>
        <w:rPr>
          <w:rFonts w:hint="eastAsia" w:cs="宋体"/>
          <w:kern w:val="0"/>
          <w:szCs w:val="21"/>
          <w:u w:val="single"/>
        </w:rPr>
        <w:t xml:space="preserve">      </w:t>
      </w:r>
      <w:r>
        <w:rPr>
          <w:rFonts w:hint="eastAsia" w:cs="宋体"/>
          <w:kern w:val="0"/>
          <w:szCs w:val="21"/>
        </w:rPr>
        <w:t>（投标人名称）：</w:t>
      </w:r>
    </w:p>
    <w:p>
      <w:pPr>
        <w:tabs>
          <w:tab w:val="left" w:pos="2300"/>
        </w:tabs>
        <w:adjustRightInd w:val="0"/>
        <w:ind w:firstLine="420"/>
        <w:rPr>
          <w:rFonts w:cs="宋体"/>
          <w:kern w:val="0"/>
          <w:szCs w:val="21"/>
        </w:rPr>
      </w:pPr>
    </w:p>
    <w:p>
      <w:pPr>
        <w:adjustRightInd w:val="0"/>
        <w:ind w:firstLine="420"/>
        <w:jc w:val="both"/>
        <w:rPr>
          <w:rFonts w:cs="宋体"/>
          <w:kern w:val="0"/>
          <w:szCs w:val="21"/>
        </w:rPr>
      </w:pPr>
      <w:r>
        <w:rPr>
          <w:rFonts w:hint="eastAsia" w:cs="宋体"/>
          <w:kern w:val="0"/>
          <w:szCs w:val="21"/>
        </w:rPr>
        <w:t>评标委员会对你方的投标文件进行了仔细的审查，现需你方对下列问题以书面形式予以澄清、说明或补正：</w:t>
      </w:r>
    </w:p>
    <w:p>
      <w:pPr>
        <w:adjustRightInd w:val="0"/>
        <w:ind w:firstLine="420"/>
        <w:jc w:val="both"/>
        <w:rPr>
          <w:rFonts w:cs="宋体"/>
          <w:kern w:val="0"/>
          <w:szCs w:val="21"/>
        </w:rPr>
      </w:pPr>
      <w:bookmarkStart w:id="341" w:name="_Toc6656"/>
      <w:r>
        <w:rPr>
          <w:rFonts w:hint="eastAsia" w:cs="宋体"/>
          <w:kern w:val="0"/>
          <w:szCs w:val="21"/>
        </w:rPr>
        <w:t>1.</w:t>
      </w:r>
      <w:bookmarkEnd w:id="341"/>
    </w:p>
    <w:p>
      <w:pPr>
        <w:adjustRightInd w:val="0"/>
        <w:ind w:firstLine="420"/>
        <w:jc w:val="both"/>
        <w:rPr>
          <w:rFonts w:cs="宋体"/>
          <w:kern w:val="0"/>
          <w:szCs w:val="21"/>
        </w:rPr>
      </w:pPr>
      <w:bookmarkStart w:id="342" w:name="_Toc5926"/>
      <w:r>
        <w:rPr>
          <w:rFonts w:hint="eastAsia" w:cs="宋体"/>
          <w:kern w:val="0"/>
          <w:szCs w:val="21"/>
        </w:rPr>
        <w:t>2.</w:t>
      </w:r>
      <w:bookmarkEnd w:id="342"/>
    </w:p>
    <w:p>
      <w:pPr>
        <w:adjustRightInd w:val="0"/>
        <w:ind w:firstLine="420"/>
        <w:jc w:val="both"/>
        <w:rPr>
          <w:rFonts w:cs="宋体"/>
          <w:kern w:val="0"/>
          <w:szCs w:val="21"/>
        </w:rPr>
      </w:pPr>
      <w:r>
        <w:rPr>
          <w:rFonts w:hint="eastAsia" w:cs="宋体"/>
          <w:kern w:val="0"/>
          <w:szCs w:val="21"/>
        </w:rPr>
        <w:t>......</w:t>
      </w:r>
    </w:p>
    <w:p>
      <w:pPr>
        <w:tabs>
          <w:tab w:val="left" w:pos="0"/>
          <w:tab w:val="left" w:pos="4600"/>
          <w:tab w:val="left" w:pos="5540"/>
          <w:tab w:val="left" w:pos="6480"/>
          <w:tab w:val="left" w:pos="7420"/>
        </w:tabs>
        <w:adjustRightInd w:val="0"/>
        <w:ind w:firstLine="420"/>
        <w:jc w:val="both"/>
        <w:rPr>
          <w:rFonts w:cs="宋体"/>
          <w:kern w:val="0"/>
          <w:szCs w:val="21"/>
        </w:rPr>
      </w:pPr>
      <w:r>
        <w:rPr>
          <w:rFonts w:hint="eastAsia" w:cs="宋体"/>
          <w:kern w:val="0"/>
          <w:szCs w:val="21"/>
        </w:rPr>
        <w:t>请将上述问题的澄清、说明或补正于</w:t>
      </w:r>
      <w:r>
        <w:rPr>
          <w:rFonts w:hint="eastAsia" w:cs="宋体"/>
          <w:kern w:val="0"/>
          <w:szCs w:val="21"/>
          <w:u w:val="single"/>
        </w:rPr>
        <w:t xml:space="preserve">      </w:t>
      </w:r>
      <w:r>
        <w:rPr>
          <w:rFonts w:hint="eastAsia" w:cs="宋体"/>
          <w:kern w:val="0"/>
          <w:szCs w:val="21"/>
        </w:rPr>
        <w:t>年</w:t>
      </w:r>
      <w:r>
        <w:rPr>
          <w:rFonts w:hint="eastAsia" w:cs="宋体"/>
          <w:kern w:val="0"/>
          <w:szCs w:val="21"/>
          <w:u w:val="single"/>
        </w:rPr>
        <w:t xml:space="preserve">     </w:t>
      </w:r>
      <w:r>
        <w:rPr>
          <w:rFonts w:hint="eastAsia" w:cs="宋体"/>
          <w:kern w:val="0"/>
          <w:szCs w:val="21"/>
        </w:rPr>
        <w:t>月</w:t>
      </w:r>
      <w:r>
        <w:rPr>
          <w:rFonts w:hint="eastAsia" w:cs="宋体"/>
          <w:kern w:val="0"/>
          <w:szCs w:val="21"/>
          <w:u w:val="single"/>
        </w:rPr>
        <w:t xml:space="preserve">    </w:t>
      </w:r>
      <w:r>
        <w:rPr>
          <w:rFonts w:hint="eastAsia" w:cs="宋体"/>
          <w:kern w:val="0"/>
          <w:szCs w:val="21"/>
        </w:rPr>
        <w:t>日</w:t>
      </w:r>
      <w:r>
        <w:rPr>
          <w:rFonts w:hint="eastAsia" w:cs="宋体"/>
          <w:kern w:val="0"/>
          <w:szCs w:val="21"/>
          <w:u w:val="single"/>
        </w:rPr>
        <w:t xml:space="preserve">    </w:t>
      </w:r>
      <w:r>
        <w:rPr>
          <w:rFonts w:hint="eastAsia" w:cs="宋体"/>
          <w:kern w:val="0"/>
          <w:szCs w:val="21"/>
        </w:rPr>
        <w:t>时前通过下载招标文件的电子招标交易平台上传。</w:t>
      </w:r>
    </w:p>
    <w:p>
      <w:pPr>
        <w:adjustRightInd w:val="0"/>
        <w:ind w:firstLine="420"/>
        <w:jc w:val="both"/>
        <w:rPr>
          <w:rFonts w:cs="宋体"/>
          <w:kern w:val="0"/>
          <w:szCs w:val="21"/>
        </w:rPr>
      </w:pPr>
    </w:p>
    <w:p>
      <w:pPr>
        <w:adjustRightInd w:val="0"/>
        <w:ind w:firstLine="420"/>
        <w:jc w:val="both"/>
        <w:rPr>
          <w:rFonts w:cs="宋体"/>
          <w:kern w:val="0"/>
          <w:szCs w:val="21"/>
        </w:rPr>
      </w:pPr>
    </w:p>
    <w:p>
      <w:pPr>
        <w:tabs>
          <w:tab w:val="left" w:pos="7020"/>
        </w:tabs>
        <w:adjustRightInd w:val="0"/>
        <w:ind w:firstLine="0" w:firstLineChars="0"/>
        <w:jc w:val="right"/>
        <w:rPr>
          <w:rFonts w:cs="宋体"/>
          <w:kern w:val="0"/>
          <w:szCs w:val="21"/>
        </w:rPr>
      </w:pPr>
      <w:r>
        <w:rPr>
          <w:rFonts w:hint="eastAsia" w:cs="宋体"/>
          <w:kern w:val="0"/>
          <w:szCs w:val="21"/>
        </w:rPr>
        <w:t>评标委员会授权的招标人或招标代理机构：</w:t>
      </w:r>
      <w:r>
        <w:rPr>
          <w:rFonts w:hint="eastAsia" w:cs="宋体"/>
          <w:kern w:val="0"/>
          <w:szCs w:val="21"/>
          <w:u w:val="single"/>
        </w:rPr>
        <w:t xml:space="preserve">        </w:t>
      </w:r>
      <w:r>
        <w:rPr>
          <w:rFonts w:hint="eastAsia" w:cs="宋体"/>
          <w:kern w:val="0"/>
          <w:szCs w:val="21"/>
        </w:rPr>
        <w:t>（签字或盖章）</w:t>
      </w:r>
    </w:p>
    <w:p>
      <w:pPr>
        <w:tabs>
          <w:tab w:val="left" w:pos="5800"/>
          <w:tab w:val="left" w:pos="6740"/>
          <w:tab w:val="left" w:pos="7680"/>
        </w:tabs>
        <w:adjustRightInd w:val="0"/>
        <w:ind w:firstLine="0" w:firstLineChars="0"/>
        <w:jc w:val="right"/>
        <w:rPr>
          <w:rFonts w:cs="宋体"/>
          <w:kern w:val="0"/>
          <w:szCs w:val="21"/>
        </w:rPr>
      </w:pPr>
      <w:r>
        <w:rPr>
          <w:rFonts w:hint="eastAsia" w:cs="宋体"/>
          <w:kern w:val="0"/>
          <w:szCs w:val="21"/>
        </w:rPr>
        <w:t>日期：</w:t>
      </w:r>
      <w:r>
        <w:rPr>
          <w:rFonts w:hint="eastAsia" w:cs="宋体"/>
          <w:kern w:val="0"/>
          <w:szCs w:val="21"/>
          <w:u w:val="single"/>
        </w:rPr>
        <w:t xml:space="preserve">      </w:t>
      </w:r>
      <w:r>
        <w:rPr>
          <w:rFonts w:hint="eastAsia" w:cs="宋体"/>
          <w:kern w:val="0"/>
          <w:szCs w:val="21"/>
        </w:rPr>
        <w:t>年</w:t>
      </w:r>
      <w:r>
        <w:rPr>
          <w:rFonts w:hint="eastAsia" w:cs="宋体"/>
          <w:kern w:val="0"/>
          <w:szCs w:val="21"/>
          <w:u w:val="single"/>
        </w:rPr>
        <w:t xml:space="preserve">     </w:t>
      </w:r>
      <w:r>
        <w:rPr>
          <w:rFonts w:hint="eastAsia" w:cs="宋体"/>
          <w:kern w:val="0"/>
          <w:szCs w:val="21"/>
        </w:rPr>
        <w:t>月</w:t>
      </w:r>
      <w:r>
        <w:rPr>
          <w:rFonts w:hint="eastAsia" w:cs="宋体"/>
          <w:kern w:val="0"/>
          <w:szCs w:val="21"/>
          <w:u w:val="single"/>
        </w:rPr>
        <w:t xml:space="preserve">    </w:t>
      </w:r>
      <w:r>
        <w:rPr>
          <w:rFonts w:hint="eastAsia" w:cs="宋体"/>
          <w:kern w:val="0"/>
          <w:szCs w:val="21"/>
        </w:rPr>
        <w:t>日</w:t>
      </w:r>
      <w:bookmarkStart w:id="343" w:name="_Toc19495"/>
      <w:bookmarkStart w:id="344" w:name="_Toc26773"/>
      <w:bookmarkStart w:id="345" w:name="_Toc27722"/>
      <w:bookmarkStart w:id="346" w:name="_Toc16571"/>
      <w:bookmarkStart w:id="347" w:name="_Toc31635"/>
    </w:p>
    <w:p>
      <w:pPr>
        <w:ind w:firstLine="420"/>
        <w:rPr>
          <w:rFonts w:cs="宋体"/>
          <w:kern w:val="0"/>
          <w:szCs w:val="21"/>
        </w:rPr>
      </w:pPr>
      <w:r>
        <w:rPr>
          <w:rFonts w:hint="eastAsia" w:cs="宋体"/>
          <w:kern w:val="0"/>
          <w:szCs w:val="21"/>
        </w:rPr>
        <w:br w:type="page"/>
      </w:r>
    </w:p>
    <w:p>
      <w:pPr>
        <w:pStyle w:val="4"/>
        <w:rPr>
          <w:rFonts w:cs="宋体"/>
          <w:szCs w:val="24"/>
        </w:rPr>
      </w:pPr>
      <w:bookmarkStart w:id="348" w:name="_Toc152663950"/>
      <w:r>
        <w:rPr>
          <w:rFonts w:hint="eastAsia" w:cs="宋体"/>
          <w:szCs w:val="24"/>
        </w:rPr>
        <w:t>附件二：问题的澄清</w:t>
      </w:r>
      <w:bookmarkEnd w:id="343"/>
      <w:bookmarkEnd w:id="344"/>
      <w:bookmarkEnd w:id="345"/>
      <w:bookmarkEnd w:id="346"/>
      <w:bookmarkEnd w:id="347"/>
      <w:bookmarkEnd w:id="348"/>
    </w:p>
    <w:p>
      <w:pPr>
        <w:adjustRightInd w:val="0"/>
        <w:spacing w:before="9" w:line="170" w:lineRule="exact"/>
        <w:ind w:firstLine="480"/>
        <w:rPr>
          <w:rFonts w:cs="宋体"/>
          <w:kern w:val="0"/>
          <w:sz w:val="24"/>
          <w:szCs w:val="24"/>
        </w:rPr>
      </w:pPr>
    </w:p>
    <w:p>
      <w:pPr>
        <w:adjustRightInd w:val="0"/>
        <w:spacing w:line="200" w:lineRule="exact"/>
        <w:ind w:firstLine="480"/>
        <w:rPr>
          <w:rFonts w:cs="宋体"/>
          <w:kern w:val="0"/>
          <w:sz w:val="24"/>
          <w:szCs w:val="24"/>
        </w:rPr>
      </w:pPr>
    </w:p>
    <w:p>
      <w:pPr>
        <w:adjustRightInd w:val="0"/>
        <w:spacing w:line="200" w:lineRule="exact"/>
        <w:ind w:firstLine="480"/>
        <w:rPr>
          <w:rFonts w:cs="宋体"/>
          <w:kern w:val="0"/>
          <w:sz w:val="24"/>
          <w:szCs w:val="24"/>
        </w:rPr>
      </w:pPr>
    </w:p>
    <w:p>
      <w:pPr>
        <w:adjustRightInd w:val="0"/>
        <w:ind w:firstLine="0" w:firstLineChars="0"/>
        <w:jc w:val="center"/>
        <w:rPr>
          <w:rFonts w:cs="宋体"/>
          <w:kern w:val="0"/>
          <w:sz w:val="24"/>
          <w:szCs w:val="24"/>
        </w:rPr>
      </w:pPr>
      <w:bookmarkStart w:id="349" w:name="_Toc2556"/>
      <w:r>
        <w:rPr>
          <w:rFonts w:hint="eastAsia" w:cs="宋体"/>
          <w:kern w:val="0"/>
          <w:sz w:val="24"/>
          <w:szCs w:val="24"/>
        </w:rPr>
        <w:t>问题的澄清</w:t>
      </w:r>
      <w:bookmarkEnd w:id="349"/>
    </w:p>
    <w:p>
      <w:pPr>
        <w:tabs>
          <w:tab w:val="left" w:pos="5940"/>
        </w:tabs>
        <w:adjustRightInd w:val="0"/>
        <w:ind w:firstLine="0" w:firstLineChars="0"/>
        <w:jc w:val="center"/>
        <w:rPr>
          <w:rFonts w:cs="宋体"/>
          <w:kern w:val="0"/>
          <w:szCs w:val="21"/>
        </w:rPr>
      </w:pPr>
      <w:r>
        <w:rPr>
          <w:rFonts w:hint="eastAsia" w:cs="宋体"/>
          <w:kern w:val="0"/>
          <w:szCs w:val="21"/>
        </w:rPr>
        <w:t>（编号：</w:t>
      </w:r>
      <w:r>
        <w:rPr>
          <w:rFonts w:hint="eastAsia" w:cs="宋体"/>
          <w:kern w:val="0"/>
          <w:szCs w:val="21"/>
          <w:u w:val="single"/>
        </w:rPr>
        <w:t xml:space="preserve">         </w:t>
      </w:r>
      <w:r>
        <w:rPr>
          <w:rFonts w:hint="eastAsia" w:cs="宋体"/>
          <w:kern w:val="0"/>
          <w:szCs w:val="21"/>
        </w:rPr>
        <w:t>）</w:t>
      </w:r>
    </w:p>
    <w:p>
      <w:pPr>
        <w:adjustRightInd w:val="0"/>
        <w:ind w:firstLine="0" w:firstLineChars="0"/>
        <w:rPr>
          <w:rFonts w:cs="宋体"/>
          <w:kern w:val="0"/>
          <w:szCs w:val="21"/>
        </w:rPr>
      </w:pPr>
      <w:r>
        <w:rPr>
          <w:rFonts w:hint="eastAsia" w:cs="宋体"/>
          <w:kern w:val="0"/>
          <w:szCs w:val="21"/>
        </w:rPr>
        <w:t>评标委员会：</w:t>
      </w:r>
    </w:p>
    <w:p>
      <w:pPr>
        <w:adjustRightInd w:val="0"/>
        <w:ind w:firstLine="420"/>
        <w:rPr>
          <w:rFonts w:cs="宋体"/>
          <w:kern w:val="0"/>
          <w:szCs w:val="21"/>
        </w:rPr>
      </w:pPr>
    </w:p>
    <w:p>
      <w:pPr>
        <w:tabs>
          <w:tab w:val="left" w:pos="3460"/>
        </w:tabs>
        <w:adjustRightInd w:val="0"/>
        <w:ind w:firstLine="420"/>
        <w:rPr>
          <w:rFonts w:cs="宋体"/>
          <w:kern w:val="0"/>
          <w:szCs w:val="21"/>
        </w:rPr>
      </w:pPr>
      <w:r>
        <w:rPr>
          <w:rFonts w:hint="eastAsia" w:cs="宋体"/>
          <w:kern w:val="0"/>
          <w:szCs w:val="21"/>
        </w:rPr>
        <w:t>问题澄清通知（编号：</w:t>
      </w:r>
      <w:r>
        <w:rPr>
          <w:rFonts w:hint="eastAsia" w:cs="宋体"/>
          <w:kern w:val="0"/>
          <w:szCs w:val="21"/>
          <w:u w:val="single"/>
        </w:rPr>
        <w:t xml:space="preserve">          </w:t>
      </w:r>
      <w:r>
        <w:rPr>
          <w:rFonts w:hint="eastAsia" w:cs="宋体"/>
          <w:kern w:val="0"/>
          <w:szCs w:val="21"/>
        </w:rPr>
        <w:t>）已收悉，现澄清、说明或补正如下：</w:t>
      </w:r>
    </w:p>
    <w:p>
      <w:pPr>
        <w:adjustRightInd w:val="0"/>
        <w:ind w:firstLine="840" w:firstLineChars="400"/>
        <w:rPr>
          <w:rFonts w:cs="宋体"/>
          <w:kern w:val="0"/>
          <w:szCs w:val="21"/>
        </w:rPr>
      </w:pPr>
      <w:bookmarkStart w:id="350" w:name="_Toc21349"/>
      <w:r>
        <w:rPr>
          <w:rFonts w:hint="eastAsia" w:cs="宋体"/>
          <w:kern w:val="0"/>
          <w:szCs w:val="21"/>
        </w:rPr>
        <w:t>1.</w:t>
      </w:r>
      <w:bookmarkEnd w:id="350"/>
    </w:p>
    <w:p>
      <w:pPr>
        <w:adjustRightInd w:val="0"/>
        <w:ind w:firstLine="840" w:firstLineChars="400"/>
        <w:rPr>
          <w:rFonts w:cs="宋体"/>
          <w:kern w:val="0"/>
          <w:szCs w:val="21"/>
        </w:rPr>
      </w:pPr>
      <w:bookmarkStart w:id="351" w:name="_Toc25119"/>
      <w:r>
        <w:rPr>
          <w:rFonts w:hint="eastAsia" w:cs="宋体"/>
          <w:kern w:val="0"/>
          <w:szCs w:val="21"/>
        </w:rPr>
        <w:t>2.</w:t>
      </w:r>
      <w:bookmarkEnd w:id="351"/>
    </w:p>
    <w:p>
      <w:pPr>
        <w:adjustRightInd w:val="0"/>
        <w:ind w:firstLine="840" w:firstLineChars="400"/>
        <w:rPr>
          <w:rFonts w:cs="宋体"/>
          <w:kern w:val="0"/>
          <w:szCs w:val="21"/>
        </w:rPr>
      </w:pPr>
      <w:bookmarkStart w:id="352" w:name="_Toc23044"/>
      <w:r>
        <w:rPr>
          <w:rFonts w:hint="eastAsia" w:cs="宋体"/>
          <w:kern w:val="0"/>
          <w:szCs w:val="21"/>
        </w:rPr>
        <w:t>.....</w:t>
      </w:r>
      <w:bookmarkEnd w:id="352"/>
    </w:p>
    <w:p>
      <w:pPr>
        <w:adjustRightInd w:val="0"/>
        <w:ind w:firstLine="420"/>
        <w:rPr>
          <w:rFonts w:cs="宋体"/>
          <w:kern w:val="0"/>
          <w:szCs w:val="21"/>
        </w:rPr>
      </w:pPr>
      <w:r>
        <w:rPr>
          <w:rFonts w:hint="eastAsia" w:cs="宋体"/>
          <w:kern w:val="0"/>
          <w:szCs w:val="21"/>
        </w:rPr>
        <w:t>上述问题澄清、说明或补正，不改变我方投标文件的实质性内容，构成我方投标文件的组成部分。</w:t>
      </w:r>
    </w:p>
    <w:p>
      <w:pPr>
        <w:adjustRightInd w:val="0"/>
        <w:ind w:firstLine="420"/>
        <w:rPr>
          <w:rFonts w:cs="宋体"/>
          <w:kern w:val="0"/>
          <w:szCs w:val="21"/>
        </w:rPr>
      </w:pPr>
    </w:p>
    <w:p>
      <w:pPr>
        <w:pStyle w:val="26"/>
        <w:rPr>
          <w:rFonts w:ascii="宋体" w:hAnsi="宋体" w:cs="宋体"/>
          <w:kern w:val="0"/>
          <w:szCs w:val="21"/>
        </w:rPr>
      </w:pPr>
    </w:p>
    <w:p>
      <w:pPr>
        <w:pStyle w:val="26"/>
        <w:rPr>
          <w:rFonts w:ascii="宋体" w:hAnsi="宋体" w:cs="宋体"/>
          <w:kern w:val="0"/>
          <w:szCs w:val="21"/>
        </w:rPr>
      </w:pPr>
    </w:p>
    <w:p>
      <w:pPr>
        <w:adjustRightInd w:val="0"/>
        <w:ind w:firstLine="0" w:firstLineChars="0"/>
        <w:rPr>
          <w:rFonts w:cs="宋体"/>
          <w:kern w:val="0"/>
          <w:szCs w:val="21"/>
        </w:rPr>
      </w:pPr>
    </w:p>
    <w:p>
      <w:pPr>
        <w:tabs>
          <w:tab w:val="left" w:pos="7380"/>
        </w:tabs>
        <w:adjustRightInd w:val="0"/>
        <w:ind w:firstLine="4418" w:firstLineChars="2104"/>
        <w:jc w:val="both"/>
        <w:rPr>
          <w:rFonts w:cs="宋体"/>
          <w:kern w:val="0"/>
          <w:szCs w:val="21"/>
        </w:rPr>
      </w:pPr>
      <w:r>
        <w:rPr>
          <w:rFonts w:hint="eastAsia" w:cs="宋体"/>
          <w:kern w:val="0"/>
          <w:szCs w:val="21"/>
        </w:rPr>
        <w:t>投标人：</w:t>
      </w:r>
      <w:r>
        <w:rPr>
          <w:rFonts w:hint="eastAsia" w:cs="宋体"/>
          <w:kern w:val="0"/>
          <w:szCs w:val="21"/>
          <w:u w:val="single"/>
        </w:rPr>
        <w:t xml:space="preserve">                    </w:t>
      </w:r>
      <w:r>
        <w:rPr>
          <w:rFonts w:hint="eastAsia" w:cs="宋体"/>
          <w:kern w:val="0"/>
          <w:szCs w:val="21"/>
        </w:rPr>
        <w:t>（盖单位章）</w:t>
      </w:r>
    </w:p>
    <w:p>
      <w:pPr>
        <w:tabs>
          <w:tab w:val="left" w:pos="6600"/>
        </w:tabs>
        <w:adjustRightInd w:val="0"/>
        <w:ind w:firstLine="4418" w:firstLineChars="2104"/>
        <w:jc w:val="both"/>
        <w:rPr>
          <w:rFonts w:cs="宋体"/>
          <w:kern w:val="0"/>
          <w:szCs w:val="21"/>
        </w:rPr>
      </w:pPr>
      <w:r>
        <w:rPr>
          <w:rFonts w:hint="eastAsia" w:cs="宋体"/>
          <w:kern w:val="0"/>
          <w:szCs w:val="21"/>
        </w:rPr>
        <w:t>法定代表人或其委托代理人：</w:t>
      </w:r>
      <w:r>
        <w:rPr>
          <w:rFonts w:hint="eastAsia" w:cs="宋体"/>
          <w:kern w:val="0"/>
          <w:szCs w:val="21"/>
          <w:u w:val="single"/>
        </w:rPr>
        <w:t xml:space="preserve">          </w:t>
      </w:r>
      <w:r>
        <w:rPr>
          <w:rFonts w:hint="eastAsia" w:cs="宋体"/>
          <w:kern w:val="0"/>
          <w:szCs w:val="21"/>
        </w:rPr>
        <w:t>（签字）</w:t>
      </w:r>
    </w:p>
    <w:p>
      <w:pPr>
        <w:tabs>
          <w:tab w:val="left" w:pos="6420"/>
          <w:tab w:val="left" w:pos="7480"/>
          <w:tab w:val="left" w:pos="8520"/>
        </w:tabs>
        <w:adjustRightInd w:val="0"/>
        <w:ind w:firstLine="4418" w:firstLineChars="2104"/>
        <w:jc w:val="both"/>
        <w:rPr>
          <w:rFonts w:cs="宋体"/>
          <w:kern w:val="0"/>
          <w:szCs w:val="21"/>
        </w:rPr>
      </w:pPr>
      <w:r>
        <w:rPr>
          <w:rFonts w:hint="eastAsia" w:cs="宋体"/>
          <w:kern w:val="0"/>
          <w:szCs w:val="21"/>
        </w:rPr>
        <w:t>日期：</w:t>
      </w:r>
      <w:r>
        <w:rPr>
          <w:rFonts w:hint="eastAsia" w:cs="宋体"/>
          <w:kern w:val="0"/>
          <w:szCs w:val="21"/>
          <w:u w:val="single"/>
        </w:rPr>
        <w:t xml:space="preserve">      </w:t>
      </w:r>
      <w:r>
        <w:rPr>
          <w:rFonts w:hint="eastAsia" w:cs="宋体"/>
          <w:kern w:val="0"/>
          <w:szCs w:val="21"/>
        </w:rPr>
        <w:t>年</w:t>
      </w:r>
      <w:r>
        <w:rPr>
          <w:rFonts w:hint="eastAsia" w:cs="宋体"/>
          <w:kern w:val="0"/>
          <w:szCs w:val="21"/>
          <w:u w:val="single"/>
        </w:rPr>
        <w:t xml:space="preserve">     </w:t>
      </w:r>
      <w:r>
        <w:rPr>
          <w:rFonts w:hint="eastAsia" w:cs="宋体"/>
          <w:kern w:val="0"/>
          <w:szCs w:val="21"/>
        </w:rPr>
        <w:t>月</w:t>
      </w:r>
      <w:r>
        <w:rPr>
          <w:rFonts w:hint="eastAsia" w:cs="宋体"/>
          <w:kern w:val="0"/>
          <w:szCs w:val="21"/>
          <w:u w:val="single"/>
        </w:rPr>
        <w:t xml:space="preserve">    </w:t>
      </w:r>
      <w:r>
        <w:rPr>
          <w:rFonts w:hint="eastAsia" w:cs="宋体"/>
          <w:kern w:val="0"/>
          <w:szCs w:val="21"/>
        </w:rPr>
        <w:t>日</w:t>
      </w:r>
    </w:p>
    <w:p>
      <w:pPr>
        <w:ind w:firstLine="480"/>
        <w:rPr>
          <w:rFonts w:cs="宋体"/>
          <w:sz w:val="24"/>
          <w:szCs w:val="24"/>
        </w:rPr>
      </w:pPr>
      <w:bookmarkStart w:id="353" w:name="_Toc30660"/>
      <w:bookmarkStart w:id="354" w:name="_Toc5361"/>
      <w:bookmarkStart w:id="355" w:name="_Toc26902"/>
      <w:bookmarkStart w:id="356" w:name="_Toc15945"/>
      <w:bookmarkStart w:id="357" w:name="_Toc5163"/>
      <w:r>
        <w:rPr>
          <w:rFonts w:hint="eastAsia" w:cs="宋体"/>
          <w:sz w:val="24"/>
          <w:szCs w:val="24"/>
        </w:rPr>
        <w:br w:type="page"/>
      </w:r>
    </w:p>
    <w:p>
      <w:pPr>
        <w:pStyle w:val="4"/>
        <w:rPr>
          <w:rFonts w:cs="宋体"/>
          <w:szCs w:val="24"/>
        </w:rPr>
      </w:pPr>
      <w:bookmarkStart w:id="358" w:name="_Toc152663951"/>
      <w:r>
        <w:rPr>
          <w:rFonts w:hint="eastAsia" w:cs="宋体"/>
          <w:szCs w:val="24"/>
        </w:rPr>
        <w:t>附件三：确认通知</w:t>
      </w:r>
      <w:bookmarkEnd w:id="353"/>
      <w:bookmarkEnd w:id="354"/>
      <w:bookmarkEnd w:id="355"/>
      <w:bookmarkEnd w:id="356"/>
      <w:bookmarkEnd w:id="357"/>
      <w:bookmarkEnd w:id="358"/>
    </w:p>
    <w:p>
      <w:pPr>
        <w:adjustRightInd w:val="0"/>
        <w:spacing w:before="9" w:line="170" w:lineRule="exact"/>
        <w:ind w:firstLine="480"/>
        <w:rPr>
          <w:rFonts w:cs="宋体"/>
          <w:kern w:val="0"/>
          <w:sz w:val="24"/>
          <w:szCs w:val="24"/>
        </w:rPr>
      </w:pPr>
    </w:p>
    <w:p>
      <w:pPr>
        <w:adjustRightInd w:val="0"/>
        <w:spacing w:line="200" w:lineRule="exact"/>
        <w:ind w:firstLine="480"/>
        <w:rPr>
          <w:rFonts w:cs="宋体"/>
          <w:kern w:val="0"/>
          <w:sz w:val="24"/>
          <w:szCs w:val="24"/>
        </w:rPr>
      </w:pPr>
    </w:p>
    <w:p>
      <w:pPr>
        <w:adjustRightInd w:val="0"/>
        <w:ind w:firstLine="0" w:firstLineChars="0"/>
        <w:jc w:val="center"/>
        <w:rPr>
          <w:rFonts w:cs="宋体"/>
          <w:kern w:val="0"/>
          <w:sz w:val="24"/>
          <w:szCs w:val="24"/>
        </w:rPr>
      </w:pPr>
      <w:bookmarkStart w:id="359" w:name="_Toc30858"/>
      <w:r>
        <w:rPr>
          <w:rFonts w:hint="eastAsia" w:cs="宋体"/>
          <w:kern w:val="0"/>
          <w:sz w:val="24"/>
          <w:szCs w:val="24"/>
        </w:rPr>
        <w:t>确认通知</w:t>
      </w:r>
      <w:bookmarkEnd w:id="359"/>
    </w:p>
    <w:p>
      <w:pPr>
        <w:adjustRightInd w:val="0"/>
        <w:ind w:firstLine="0" w:firstLineChars="0"/>
        <w:rPr>
          <w:rFonts w:cs="宋体"/>
          <w:kern w:val="0"/>
          <w:szCs w:val="21"/>
        </w:rPr>
      </w:pPr>
    </w:p>
    <w:p>
      <w:pPr>
        <w:tabs>
          <w:tab w:val="left" w:pos="2300"/>
        </w:tabs>
        <w:adjustRightInd w:val="0"/>
        <w:ind w:firstLine="0" w:firstLineChars="0"/>
        <w:rPr>
          <w:rFonts w:cs="宋体"/>
          <w:kern w:val="0"/>
          <w:szCs w:val="21"/>
        </w:rPr>
      </w:pPr>
      <w:r>
        <w:rPr>
          <w:rFonts w:hint="eastAsia" w:cs="宋体"/>
          <w:w w:val="169"/>
          <w:kern w:val="0"/>
          <w:szCs w:val="21"/>
          <w:u w:val="single"/>
        </w:rPr>
        <w:t xml:space="preserve">            </w:t>
      </w:r>
      <w:r>
        <w:rPr>
          <w:rFonts w:hint="eastAsia" w:cs="宋体"/>
          <w:kern w:val="0"/>
          <w:szCs w:val="21"/>
        </w:rPr>
        <w:t>（招标人名称）：</w:t>
      </w:r>
    </w:p>
    <w:p>
      <w:pPr>
        <w:adjustRightInd w:val="0"/>
        <w:ind w:firstLine="420"/>
        <w:rPr>
          <w:rFonts w:cs="宋体"/>
          <w:kern w:val="0"/>
          <w:szCs w:val="21"/>
        </w:rPr>
      </w:pPr>
    </w:p>
    <w:p>
      <w:pPr>
        <w:tabs>
          <w:tab w:val="left" w:pos="5660"/>
          <w:tab w:val="left" w:pos="6600"/>
          <w:tab w:val="left" w:pos="7560"/>
        </w:tabs>
        <w:adjustRightInd w:val="0"/>
        <w:ind w:firstLine="420"/>
        <w:rPr>
          <w:rFonts w:cs="宋体"/>
          <w:kern w:val="0"/>
          <w:szCs w:val="21"/>
        </w:rPr>
      </w:pPr>
      <w:r>
        <w:rPr>
          <w:rFonts w:hint="eastAsia" w:cs="宋体"/>
          <w:kern w:val="0"/>
          <w:szCs w:val="21"/>
        </w:rPr>
        <w:t>你方于</w:t>
      </w:r>
      <w:r>
        <w:rPr>
          <w:rFonts w:hint="eastAsia" w:cs="宋体"/>
          <w:kern w:val="0"/>
          <w:szCs w:val="21"/>
          <w:u w:val="single"/>
        </w:rPr>
        <w:t xml:space="preserve">      </w:t>
      </w:r>
      <w:r>
        <w:rPr>
          <w:rFonts w:hint="eastAsia" w:cs="宋体"/>
          <w:kern w:val="0"/>
          <w:szCs w:val="21"/>
        </w:rPr>
        <w:t>年</w:t>
      </w:r>
      <w:r>
        <w:rPr>
          <w:rFonts w:hint="eastAsia" w:cs="宋体"/>
          <w:kern w:val="0"/>
          <w:szCs w:val="21"/>
          <w:u w:val="single"/>
        </w:rPr>
        <w:t xml:space="preserve">     </w:t>
      </w:r>
      <w:r>
        <w:rPr>
          <w:rFonts w:hint="eastAsia" w:cs="宋体"/>
          <w:kern w:val="0"/>
          <w:szCs w:val="21"/>
        </w:rPr>
        <w:t>月</w:t>
      </w:r>
      <w:r>
        <w:rPr>
          <w:rFonts w:hint="eastAsia" w:cs="宋体"/>
          <w:kern w:val="0"/>
          <w:szCs w:val="21"/>
          <w:u w:val="single"/>
        </w:rPr>
        <w:t xml:space="preserve">    </w:t>
      </w:r>
      <w:r>
        <w:rPr>
          <w:rFonts w:hint="eastAsia" w:cs="宋体"/>
          <w:kern w:val="0"/>
          <w:szCs w:val="21"/>
        </w:rPr>
        <w:t>日发出的</w:t>
      </w:r>
      <w:r>
        <w:rPr>
          <w:rFonts w:hint="eastAsia" w:cs="宋体"/>
          <w:kern w:val="0"/>
          <w:szCs w:val="21"/>
          <w:u w:val="single"/>
        </w:rPr>
        <w:t xml:space="preserve">           </w:t>
      </w:r>
      <w:r>
        <w:rPr>
          <w:rFonts w:hint="eastAsia" w:cs="宋体"/>
          <w:kern w:val="0"/>
          <w:szCs w:val="21"/>
        </w:rPr>
        <w:t>（项目名称）监理招标关于</w:t>
      </w:r>
      <w:r>
        <w:rPr>
          <w:rFonts w:hint="eastAsia" w:cs="宋体"/>
          <w:kern w:val="0"/>
          <w:szCs w:val="21"/>
          <w:u w:val="single"/>
        </w:rPr>
        <w:t>招标文件的澄清/修改</w:t>
      </w:r>
      <w:r>
        <w:rPr>
          <w:rFonts w:hint="eastAsia" w:cs="宋体"/>
          <w:kern w:val="0"/>
          <w:szCs w:val="21"/>
        </w:rPr>
        <w:t>的通知，我方已于</w:t>
      </w:r>
      <w:r>
        <w:rPr>
          <w:rFonts w:hint="eastAsia" w:cs="宋体"/>
          <w:kern w:val="0"/>
          <w:szCs w:val="21"/>
          <w:u w:val="single"/>
        </w:rPr>
        <w:t xml:space="preserve">      </w:t>
      </w:r>
      <w:r>
        <w:rPr>
          <w:rFonts w:hint="eastAsia" w:cs="宋体"/>
          <w:kern w:val="0"/>
          <w:szCs w:val="21"/>
        </w:rPr>
        <w:t>年</w:t>
      </w:r>
      <w:r>
        <w:rPr>
          <w:rFonts w:hint="eastAsia" w:cs="宋体"/>
          <w:kern w:val="0"/>
          <w:szCs w:val="21"/>
          <w:u w:val="single"/>
        </w:rPr>
        <w:t xml:space="preserve">     </w:t>
      </w:r>
      <w:r>
        <w:rPr>
          <w:rFonts w:hint="eastAsia" w:cs="宋体"/>
          <w:kern w:val="0"/>
          <w:szCs w:val="21"/>
        </w:rPr>
        <w:t>月</w:t>
      </w:r>
      <w:r>
        <w:rPr>
          <w:rFonts w:hint="eastAsia" w:cs="宋体"/>
          <w:kern w:val="0"/>
          <w:szCs w:val="21"/>
          <w:u w:val="single"/>
        </w:rPr>
        <w:t xml:space="preserve">    </w:t>
      </w:r>
      <w:r>
        <w:rPr>
          <w:rFonts w:hint="eastAsia" w:cs="宋体"/>
          <w:kern w:val="0"/>
          <w:szCs w:val="21"/>
        </w:rPr>
        <w:t>日收到。</w:t>
      </w:r>
    </w:p>
    <w:p>
      <w:pPr>
        <w:adjustRightInd w:val="0"/>
        <w:ind w:firstLine="420"/>
        <w:rPr>
          <w:rFonts w:cs="宋体"/>
          <w:kern w:val="0"/>
          <w:szCs w:val="21"/>
        </w:rPr>
      </w:pPr>
      <w:r>
        <w:rPr>
          <w:rFonts w:hint="eastAsia" w:cs="宋体"/>
          <w:kern w:val="0"/>
          <w:szCs w:val="21"/>
        </w:rPr>
        <w:t>特此确认。</w:t>
      </w:r>
    </w:p>
    <w:p>
      <w:pPr>
        <w:adjustRightInd w:val="0"/>
        <w:ind w:firstLine="420"/>
        <w:rPr>
          <w:rFonts w:cs="宋体"/>
          <w:kern w:val="0"/>
          <w:szCs w:val="21"/>
        </w:rPr>
      </w:pPr>
    </w:p>
    <w:p>
      <w:pPr>
        <w:adjustRightInd w:val="0"/>
        <w:ind w:firstLine="420"/>
        <w:rPr>
          <w:rFonts w:cs="宋体"/>
          <w:kern w:val="0"/>
          <w:szCs w:val="21"/>
        </w:rPr>
      </w:pPr>
    </w:p>
    <w:p>
      <w:pPr>
        <w:adjustRightInd w:val="0"/>
        <w:ind w:firstLine="420"/>
        <w:rPr>
          <w:rFonts w:cs="宋体"/>
          <w:kern w:val="0"/>
          <w:szCs w:val="21"/>
        </w:rPr>
      </w:pPr>
    </w:p>
    <w:p>
      <w:pPr>
        <w:tabs>
          <w:tab w:val="left" w:pos="7120"/>
        </w:tabs>
        <w:adjustRightInd w:val="0"/>
        <w:ind w:firstLine="3998" w:firstLineChars="1904"/>
        <w:rPr>
          <w:rFonts w:cs="宋体"/>
          <w:kern w:val="0"/>
          <w:szCs w:val="21"/>
        </w:rPr>
      </w:pPr>
      <w:r>
        <w:rPr>
          <w:rFonts w:hint="eastAsia" w:cs="宋体"/>
          <w:kern w:val="0"/>
          <w:szCs w:val="21"/>
        </w:rPr>
        <w:t>投标人：</w:t>
      </w:r>
      <w:r>
        <w:rPr>
          <w:rFonts w:hint="eastAsia" w:cs="宋体"/>
          <w:kern w:val="0"/>
          <w:szCs w:val="21"/>
          <w:u w:val="single"/>
        </w:rPr>
        <w:t xml:space="preserve">                    </w:t>
      </w:r>
      <w:r>
        <w:rPr>
          <w:rFonts w:hint="eastAsia" w:cs="宋体"/>
          <w:kern w:val="0"/>
          <w:szCs w:val="21"/>
        </w:rPr>
        <w:t>（盖单位章）</w:t>
      </w:r>
    </w:p>
    <w:p>
      <w:pPr>
        <w:tabs>
          <w:tab w:val="left" w:pos="5860"/>
        </w:tabs>
        <w:adjustRightInd w:val="0"/>
        <w:ind w:firstLine="3998" w:firstLineChars="1904"/>
        <w:rPr>
          <w:rFonts w:cs="宋体"/>
          <w:kern w:val="0"/>
          <w:szCs w:val="21"/>
        </w:rPr>
      </w:pPr>
      <w:r>
        <w:rPr>
          <w:rFonts w:hint="eastAsia" w:cs="宋体"/>
          <w:kern w:val="0"/>
          <w:szCs w:val="21"/>
        </w:rPr>
        <w:t>法定代表人或委托代理人：</w:t>
      </w:r>
      <w:r>
        <w:rPr>
          <w:rFonts w:hint="eastAsia" w:cs="宋体"/>
          <w:kern w:val="0"/>
          <w:szCs w:val="21"/>
          <w:u w:val="single"/>
        </w:rPr>
        <w:t xml:space="preserve">           </w:t>
      </w:r>
      <w:r>
        <w:rPr>
          <w:rFonts w:hint="eastAsia" w:cs="宋体"/>
          <w:kern w:val="0"/>
          <w:szCs w:val="21"/>
        </w:rPr>
        <w:t>（签字）</w:t>
      </w:r>
    </w:p>
    <w:p>
      <w:pPr>
        <w:tabs>
          <w:tab w:val="left" w:pos="5660"/>
          <w:tab w:val="left" w:pos="6600"/>
          <w:tab w:val="left" w:pos="7560"/>
        </w:tabs>
        <w:adjustRightInd w:val="0"/>
        <w:ind w:firstLine="3998" w:firstLineChars="1904"/>
        <w:rPr>
          <w:rFonts w:cs="宋体"/>
          <w:kern w:val="0"/>
          <w:szCs w:val="21"/>
        </w:rPr>
      </w:pPr>
      <w:r>
        <w:rPr>
          <w:rFonts w:hint="eastAsia" w:cs="宋体"/>
          <w:kern w:val="0"/>
          <w:szCs w:val="21"/>
        </w:rPr>
        <w:t>日期：</w:t>
      </w:r>
      <w:r>
        <w:rPr>
          <w:rFonts w:hint="eastAsia" w:cs="宋体"/>
          <w:kern w:val="0"/>
          <w:szCs w:val="21"/>
          <w:u w:val="single"/>
        </w:rPr>
        <w:t xml:space="preserve">      </w:t>
      </w:r>
      <w:r>
        <w:rPr>
          <w:rFonts w:hint="eastAsia" w:cs="宋体"/>
          <w:kern w:val="0"/>
          <w:szCs w:val="21"/>
        </w:rPr>
        <w:t>年</w:t>
      </w:r>
      <w:r>
        <w:rPr>
          <w:rFonts w:hint="eastAsia" w:cs="宋体"/>
          <w:kern w:val="0"/>
          <w:szCs w:val="21"/>
          <w:u w:val="single"/>
        </w:rPr>
        <w:t xml:space="preserve">     </w:t>
      </w:r>
      <w:r>
        <w:rPr>
          <w:rFonts w:hint="eastAsia" w:cs="宋体"/>
          <w:kern w:val="0"/>
          <w:szCs w:val="21"/>
        </w:rPr>
        <w:t>月</w:t>
      </w:r>
      <w:r>
        <w:rPr>
          <w:rFonts w:hint="eastAsia" w:cs="宋体"/>
          <w:kern w:val="0"/>
          <w:szCs w:val="21"/>
          <w:u w:val="single"/>
        </w:rPr>
        <w:t xml:space="preserve">    </w:t>
      </w:r>
      <w:r>
        <w:rPr>
          <w:rFonts w:hint="eastAsia" w:cs="宋体"/>
          <w:kern w:val="0"/>
          <w:szCs w:val="21"/>
        </w:rPr>
        <w:t>日</w:t>
      </w:r>
    </w:p>
    <w:p>
      <w:pPr>
        <w:ind w:firstLine="420"/>
        <w:rPr>
          <w:rFonts w:cs="宋体"/>
          <w:kern w:val="0"/>
          <w:szCs w:val="21"/>
        </w:rPr>
      </w:pPr>
      <w:r>
        <w:rPr>
          <w:rFonts w:hint="eastAsia" w:cs="宋体"/>
          <w:kern w:val="0"/>
          <w:szCs w:val="21"/>
        </w:rPr>
        <w:br w:type="page"/>
      </w:r>
    </w:p>
    <w:p>
      <w:pPr>
        <w:pStyle w:val="26"/>
      </w:pPr>
    </w:p>
    <w:p>
      <w:pPr>
        <w:pStyle w:val="2"/>
      </w:pPr>
      <w:bookmarkStart w:id="360" w:name="_Toc152663952"/>
      <w:bookmarkStart w:id="361" w:name="_Toc32543"/>
      <w:r>
        <w:rPr>
          <w:rFonts w:hint="eastAsia"/>
        </w:rPr>
        <w:t>第三章 评标办法（综合评估法）</w:t>
      </w:r>
      <w:bookmarkEnd w:id="360"/>
      <w:bookmarkEnd w:id="361"/>
    </w:p>
    <w:p>
      <w:pPr>
        <w:spacing w:line="520" w:lineRule="exact"/>
        <w:ind w:firstLine="0" w:firstLineChars="0"/>
        <w:jc w:val="center"/>
        <w:rPr>
          <w:b/>
          <w:bCs/>
          <w:sz w:val="28"/>
          <w:szCs w:val="32"/>
        </w:rPr>
      </w:pPr>
      <w:r>
        <w:rPr>
          <w:rFonts w:hint="eastAsia"/>
          <w:b/>
          <w:bCs/>
          <w:sz w:val="28"/>
          <w:szCs w:val="32"/>
        </w:rPr>
        <w:t>评标办法前附表</w:t>
      </w:r>
    </w:p>
    <w:tbl>
      <w:tblPr>
        <w:tblStyle w:val="22"/>
        <w:tblW w:w="9297"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57" w:type="dxa"/>
          <w:bottom w:w="0" w:type="dxa"/>
          <w:right w:w="57" w:type="dxa"/>
        </w:tblCellMar>
      </w:tblPr>
      <w:tblGrid>
        <w:gridCol w:w="1060"/>
        <w:gridCol w:w="1107"/>
        <w:gridCol w:w="1502"/>
        <w:gridCol w:w="562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2167" w:type="dxa"/>
            <w:gridSpan w:val="2"/>
            <w:tcBorders>
              <w:bottom w:val="single" w:color="000000" w:sz="4" w:space="0"/>
              <w:right w:val="single" w:color="000000" w:sz="4" w:space="0"/>
            </w:tcBorders>
            <w:vAlign w:val="center"/>
          </w:tcPr>
          <w:p>
            <w:pPr>
              <w:adjustRightInd w:val="0"/>
              <w:ind w:firstLine="0" w:firstLineChars="0"/>
              <w:jc w:val="center"/>
            </w:pPr>
            <w:r>
              <w:rPr>
                <w:rFonts w:hint="eastAsia" w:cs="宋体"/>
                <w:b/>
                <w:bCs/>
                <w:kern w:val="0"/>
                <w:szCs w:val="21"/>
              </w:rPr>
              <w:t>条款号</w:t>
            </w:r>
          </w:p>
        </w:tc>
        <w:tc>
          <w:tcPr>
            <w:tcW w:w="1502" w:type="dxa"/>
            <w:tcBorders>
              <w:left w:val="single" w:color="000000" w:sz="4" w:space="0"/>
              <w:bottom w:val="single" w:color="000000" w:sz="4" w:space="0"/>
              <w:right w:val="single" w:color="000000" w:sz="4" w:space="0"/>
            </w:tcBorders>
            <w:vAlign w:val="center"/>
          </w:tcPr>
          <w:p>
            <w:pPr>
              <w:adjustRightInd w:val="0"/>
              <w:ind w:firstLine="0" w:firstLineChars="0"/>
              <w:jc w:val="center"/>
              <w:rPr>
                <w:rFonts w:cs="宋体"/>
                <w:b/>
                <w:bCs/>
                <w:kern w:val="0"/>
                <w:szCs w:val="21"/>
              </w:rPr>
            </w:pPr>
            <w:r>
              <w:rPr>
                <w:rFonts w:hint="eastAsia" w:cs="宋体"/>
                <w:b/>
                <w:bCs/>
                <w:kern w:val="0"/>
                <w:szCs w:val="21"/>
              </w:rPr>
              <w:t>评审因素</w:t>
            </w:r>
          </w:p>
        </w:tc>
        <w:tc>
          <w:tcPr>
            <w:tcW w:w="5628" w:type="dxa"/>
            <w:tcBorders>
              <w:left w:val="single" w:color="000000" w:sz="4" w:space="0"/>
              <w:bottom w:val="single" w:color="000000" w:sz="4" w:space="0"/>
            </w:tcBorders>
            <w:vAlign w:val="center"/>
          </w:tcPr>
          <w:p>
            <w:pPr>
              <w:adjustRightInd w:val="0"/>
              <w:ind w:firstLine="0" w:firstLineChars="0"/>
              <w:jc w:val="center"/>
              <w:rPr>
                <w:rFonts w:cs="宋体"/>
                <w:b/>
                <w:bCs/>
                <w:kern w:val="0"/>
                <w:szCs w:val="21"/>
              </w:rPr>
            </w:pPr>
            <w:r>
              <w:rPr>
                <w:rFonts w:hint="eastAsia" w:cs="宋体"/>
                <w:b/>
                <w:bCs/>
                <w:kern w:val="0"/>
                <w:szCs w:val="21"/>
              </w:rPr>
              <w:t>评审标准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1060" w:type="dxa"/>
            <w:vMerge w:val="restart"/>
            <w:tcBorders>
              <w:top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2.1.1</w:t>
            </w:r>
          </w:p>
        </w:tc>
        <w:tc>
          <w:tcPr>
            <w:tcW w:w="1107"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形式评审标准</w:t>
            </w:r>
          </w:p>
        </w:tc>
        <w:tc>
          <w:tcPr>
            <w:tcW w:w="1502" w:type="dxa"/>
            <w:tcBorders>
              <w:top w:val="single" w:color="000000" w:sz="4" w:space="0"/>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投标人名称</w:t>
            </w:r>
          </w:p>
        </w:tc>
        <w:tc>
          <w:tcPr>
            <w:tcW w:w="5628" w:type="dxa"/>
            <w:tcBorders>
              <w:top w:val="single" w:color="000000" w:sz="4" w:space="0"/>
              <w:left w:val="single" w:color="000000" w:sz="4" w:space="0"/>
              <w:bottom w:val="single" w:color="000000" w:sz="4" w:space="0"/>
            </w:tcBorders>
            <w:vAlign w:val="center"/>
          </w:tcPr>
          <w:p>
            <w:pPr>
              <w:ind w:firstLine="0" w:firstLineChars="0"/>
              <w:jc w:val="both"/>
              <w:rPr>
                <w:rFonts w:cs="宋体"/>
                <w:szCs w:val="21"/>
              </w:rPr>
            </w:pPr>
            <w:r>
              <w:rPr>
                <w:rFonts w:hint="eastAsia" w:cs="宋体"/>
                <w:szCs w:val="21"/>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1357" w:hRule="atLeast"/>
          <w:jc w:val="center"/>
        </w:trPr>
        <w:tc>
          <w:tcPr>
            <w:tcW w:w="1060" w:type="dxa"/>
            <w:vMerge w:val="continue"/>
            <w:tcBorders>
              <w:top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p>
        </w:tc>
        <w:tc>
          <w:tcPr>
            <w:tcW w:w="1502" w:type="dxa"/>
            <w:tcBorders>
              <w:top w:val="single" w:color="000000" w:sz="4" w:space="0"/>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投标函及投标函附录签字盖章</w:t>
            </w:r>
          </w:p>
        </w:tc>
        <w:tc>
          <w:tcPr>
            <w:tcW w:w="5628" w:type="dxa"/>
            <w:tcBorders>
              <w:top w:val="single" w:color="000000" w:sz="4" w:space="0"/>
              <w:left w:val="single" w:color="000000" w:sz="4" w:space="0"/>
              <w:bottom w:val="single" w:color="000000" w:sz="4" w:space="0"/>
            </w:tcBorders>
            <w:vAlign w:val="center"/>
          </w:tcPr>
          <w:p>
            <w:pPr>
              <w:ind w:firstLine="0" w:firstLineChars="0"/>
              <w:jc w:val="both"/>
              <w:rPr>
                <w:rFonts w:cs="宋体"/>
                <w:szCs w:val="21"/>
              </w:rPr>
            </w:pPr>
            <w:r>
              <w:rPr>
                <w:rFonts w:hint="eastAsia" w:cs="宋体"/>
                <w:szCs w:val="21"/>
              </w:rPr>
              <w:t>由法定代表人或其委托代理人签字或加盖单位章。由法定代表人签字或盖章的，应附法定代表人身份证明，由代理人签字或盖章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1060" w:type="dxa"/>
            <w:vMerge w:val="continue"/>
            <w:tcBorders>
              <w:top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p>
        </w:tc>
        <w:tc>
          <w:tcPr>
            <w:tcW w:w="1502" w:type="dxa"/>
            <w:tcBorders>
              <w:top w:val="single" w:color="000000" w:sz="4" w:space="0"/>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投标文件格式</w:t>
            </w:r>
          </w:p>
        </w:tc>
        <w:tc>
          <w:tcPr>
            <w:tcW w:w="5628" w:type="dxa"/>
            <w:tcBorders>
              <w:top w:val="single" w:color="000000" w:sz="4" w:space="0"/>
              <w:left w:val="single" w:color="000000" w:sz="4" w:space="0"/>
              <w:bottom w:val="single" w:color="000000" w:sz="4" w:space="0"/>
            </w:tcBorders>
            <w:vAlign w:val="center"/>
          </w:tcPr>
          <w:p>
            <w:pPr>
              <w:ind w:firstLine="0" w:firstLineChars="0"/>
              <w:jc w:val="both"/>
              <w:rPr>
                <w:rFonts w:cs="宋体"/>
                <w:szCs w:val="21"/>
              </w:rPr>
            </w:pPr>
            <w:r>
              <w:rPr>
                <w:rFonts w:hint="eastAsia" w:cs="宋体"/>
                <w:szCs w:val="21"/>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654" w:hRule="atLeast"/>
          <w:jc w:val="center"/>
        </w:trPr>
        <w:tc>
          <w:tcPr>
            <w:tcW w:w="1060" w:type="dxa"/>
            <w:vMerge w:val="restart"/>
            <w:tcBorders>
              <w:top w:val="single" w:color="auto"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2.1.2</w:t>
            </w:r>
          </w:p>
        </w:tc>
        <w:tc>
          <w:tcPr>
            <w:tcW w:w="1107" w:type="dxa"/>
            <w:vMerge w:val="restart"/>
            <w:tcBorders>
              <w:top w:val="single" w:color="auto" w:sz="4" w:space="0"/>
              <w:left w:val="single" w:color="000000" w:sz="4" w:space="0"/>
              <w:right w:val="single" w:color="auto" w:sz="4" w:space="0"/>
            </w:tcBorders>
            <w:vAlign w:val="center"/>
          </w:tcPr>
          <w:p>
            <w:pPr>
              <w:adjustRightInd w:val="0"/>
              <w:ind w:firstLine="0" w:firstLineChars="0"/>
              <w:jc w:val="center"/>
              <w:rPr>
                <w:rFonts w:cs="宋体"/>
                <w:kern w:val="0"/>
                <w:szCs w:val="21"/>
              </w:rPr>
            </w:pPr>
            <w:r>
              <w:rPr>
                <w:rFonts w:hint="eastAsia" w:cs="宋体"/>
                <w:kern w:val="0"/>
                <w:szCs w:val="21"/>
              </w:rPr>
              <w:t>资格评审标准</w:t>
            </w:r>
          </w:p>
        </w:tc>
        <w:tc>
          <w:tcPr>
            <w:tcW w:w="1502" w:type="dxa"/>
            <w:tcBorders>
              <w:top w:val="single" w:color="000000" w:sz="4" w:space="0"/>
              <w:left w:val="single" w:color="auto"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cs="宋体"/>
                <w:szCs w:val="21"/>
              </w:rPr>
              <w:t>标书雷同性分析</w:t>
            </w:r>
          </w:p>
        </w:tc>
        <w:tc>
          <w:tcPr>
            <w:tcW w:w="5628" w:type="dxa"/>
            <w:tcBorders>
              <w:top w:val="single" w:color="000000" w:sz="4" w:space="0"/>
              <w:left w:val="single" w:color="000000" w:sz="4" w:space="0"/>
              <w:bottom w:val="single" w:color="000000" w:sz="4" w:space="0"/>
            </w:tcBorders>
            <w:vAlign w:val="center"/>
          </w:tcPr>
          <w:p>
            <w:pPr>
              <w:adjustRightInd w:val="0"/>
              <w:ind w:firstLine="0" w:firstLineChars="0"/>
              <w:jc w:val="both"/>
              <w:rPr>
                <w:rFonts w:cs="宋体"/>
                <w:kern w:val="0"/>
                <w:szCs w:val="21"/>
              </w:rPr>
            </w:pPr>
            <w:r>
              <w:rPr>
                <w:rFonts w:hint="eastAsia" w:cs="宋体"/>
                <w:kern w:val="0"/>
                <w:szCs w:val="21"/>
              </w:rPr>
              <w:t>投标（响应）文件制作机器码不能一致</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683" w:hRule="atLeast"/>
          <w:jc w:val="center"/>
        </w:trPr>
        <w:tc>
          <w:tcPr>
            <w:tcW w:w="1060" w:type="dxa"/>
            <w:vMerge w:val="continue"/>
            <w:tcBorders>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left w:val="single" w:color="000000" w:sz="4" w:space="0"/>
              <w:right w:val="single" w:color="auto" w:sz="4" w:space="0"/>
            </w:tcBorders>
            <w:vAlign w:val="center"/>
          </w:tcPr>
          <w:p>
            <w:pPr>
              <w:adjustRightInd w:val="0"/>
              <w:ind w:firstLine="0" w:firstLineChars="0"/>
              <w:jc w:val="center"/>
              <w:rPr>
                <w:rFonts w:cs="宋体"/>
                <w:kern w:val="0"/>
                <w:szCs w:val="21"/>
              </w:rPr>
            </w:pPr>
          </w:p>
        </w:tc>
        <w:tc>
          <w:tcPr>
            <w:tcW w:w="1502" w:type="dxa"/>
            <w:tcBorders>
              <w:top w:val="single" w:color="000000" w:sz="4" w:space="0"/>
              <w:left w:val="single" w:color="auto"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营业执照</w:t>
            </w:r>
          </w:p>
        </w:tc>
        <w:tc>
          <w:tcPr>
            <w:tcW w:w="5628" w:type="dxa"/>
            <w:tcBorders>
              <w:top w:val="single" w:color="000000" w:sz="4" w:space="0"/>
              <w:left w:val="single" w:color="000000" w:sz="4" w:space="0"/>
              <w:bottom w:val="single" w:color="000000" w:sz="4" w:space="0"/>
            </w:tcBorders>
            <w:vAlign w:val="center"/>
          </w:tcPr>
          <w:p>
            <w:pPr>
              <w:adjustRightInd w:val="0"/>
              <w:ind w:firstLine="0" w:firstLineChars="0"/>
              <w:jc w:val="both"/>
              <w:rPr>
                <w:rFonts w:cs="宋体"/>
                <w:kern w:val="0"/>
                <w:szCs w:val="21"/>
              </w:rPr>
            </w:pPr>
            <w:r>
              <w:rPr>
                <w:rFonts w:hint="eastAsia" w:cs="宋体"/>
                <w:kern w:val="0"/>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1060" w:type="dxa"/>
            <w:vMerge w:val="continue"/>
            <w:tcBorders>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left w:val="single" w:color="000000" w:sz="4" w:space="0"/>
              <w:right w:val="single" w:color="auto" w:sz="4" w:space="0"/>
            </w:tcBorders>
            <w:vAlign w:val="center"/>
          </w:tcPr>
          <w:p>
            <w:pPr>
              <w:adjustRightInd w:val="0"/>
              <w:ind w:firstLine="0" w:firstLineChars="0"/>
              <w:jc w:val="center"/>
              <w:rPr>
                <w:rFonts w:cs="宋体"/>
                <w:kern w:val="0"/>
                <w:szCs w:val="21"/>
              </w:rPr>
            </w:pPr>
          </w:p>
        </w:tc>
        <w:tc>
          <w:tcPr>
            <w:tcW w:w="1502" w:type="dxa"/>
            <w:tcBorders>
              <w:top w:val="single" w:color="000000" w:sz="4" w:space="0"/>
              <w:left w:val="single" w:color="auto"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资质要求</w:t>
            </w:r>
          </w:p>
        </w:tc>
        <w:tc>
          <w:tcPr>
            <w:tcW w:w="5628" w:type="dxa"/>
            <w:tcBorders>
              <w:top w:val="single" w:color="000000" w:sz="4" w:space="0"/>
              <w:left w:val="single" w:color="000000" w:sz="4" w:space="0"/>
              <w:bottom w:val="single" w:color="000000" w:sz="4" w:space="0"/>
            </w:tcBorders>
            <w:vAlign w:val="center"/>
          </w:tcPr>
          <w:p>
            <w:pPr>
              <w:adjustRightInd w:val="0"/>
              <w:ind w:firstLine="0" w:firstLineChars="0"/>
              <w:jc w:val="both"/>
              <w:rPr>
                <w:rFonts w:cs="宋体"/>
                <w:kern w:val="0"/>
                <w:szCs w:val="21"/>
              </w:rPr>
            </w:pPr>
            <w:r>
              <w:rPr>
                <w:rFonts w:hint="eastAsia" w:cs="宋体"/>
                <w:kern w:val="0"/>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1060" w:type="dxa"/>
            <w:vMerge w:val="continue"/>
            <w:tcBorders>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left w:val="single" w:color="000000" w:sz="4" w:space="0"/>
              <w:right w:val="single" w:color="auto" w:sz="4" w:space="0"/>
            </w:tcBorders>
            <w:vAlign w:val="center"/>
          </w:tcPr>
          <w:p>
            <w:pPr>
              <w:adjustRightInd w:val="0"/>
              <w:ind w:firstLine="0" w:firstLineChars="0"/>
              <w:jc w:val="center"/>
              <w:rPr>
                <w:rFonts w:cs="宋体"/>
                <w:kern w:val="0"/>
                <w:szCs w:val="21"/>
              </w:rPr>
            </w:pPr>
          </w:p>
        </w:tc>
        <w:tc>
          <w:tcPr>
            <w:tcW w:w="1502" w:type="dxa"/>
            <w:tcBorders>
              <w:top w:val="single" w:color="000000" w:sz="4" w:space="0"/>
              <w:left w:val="single" w:color="auto"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财务要求</w:t>
            </w:r>
          </w:p>
        </w:tc>
        <w:tc>
          <w:tcPr>
            <w:tcW w:w="5628" w:type="dxa"/>
            <w:tcBorders>
              <w:top w:val="single" w:color="000000" w:sz="4" w:space="0"/>
              <w:left w:val="single" w:color="000000" w:sz="4" w:space="0"/>
              <w:bottom w:val="single" w:color="000000" w:sz="4" w:space="0"/>
            </w:tcBorders>
            <w:vAlign w:val="center"/>
          </w:tcPr>
          <w:p>
            <w:pPr>
              <w:adjustRightInd w:val="0"/>
              <w:ind w:firstLine="0" w:firstLineChars="0"/>
              <w:jc w:val="both"/>
              <w:rPr>
                <w:rFonts w:cs="宋体"/>
                <w:kern w:val="0"/>
                <w:szCs w:val="21"/>
              </w:rPr>
            </w:pPr>
            <w:r>
              <w:rPr>
                <w:rFonts w:hint="eastAsia" w:cs="宋体"/>
                <w:kern w:val="0"/>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1060" w:type="dxa"/>
            <w:vMerge w:val="continue"/>
            <w:tcBorders>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left w:val="single" w:color="000000" w:sz="4" w:space="0"/>
              <w:right w:val="single" w:color="auto" w:sz="4" w:space="0"/>
            </w:tcBorders>
            <w:vAlign w:val="center"/>
          </w:tcPr>
          <w:p>
            <w:pPr>
              <w:adjustRightInd w:val="0"/>
              <w:ind w:firstLine="0" w:firstLineChars="0"/>
              <w:jc w:val="center"/>
              <w:rPr>
                <w:rFonts w:cs="宋体"/>
                <w:kern w:val="0"/>
                <w:szCs w:val="21"/>
              </w:rPr>
            </w:pPr>
          </w:p>
        </w:tc>
        <w:tc>
          <w:tcPr>
            <w:tcW w:w="1502" w:type="dxa"/>
            <w:tcBorders>
              <w:top w:val="single" w:color="000000" w:sz="4" w:space="0"/>
              <w:left w:val="single" w:color="auto"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业绩要求</w:t>
            </w:r>
          </w:p>
        </w:tc>
        <w:tc>
          <w:tcPr>
            <w:tcW w:w="5628" w:type="dxa"/>
            <w:tcBorders>
              <w:top w:val="single" w:color="000000" w:sz="4" w:space="0"/>
              <w:left w:val="single" w:color="000000" w:sz="4" w:space="0"/>
              <w:bottom w:val="single" w:color="000000" w:sz="4" w:space="0"/>
            </w:tcBorders>
            <w:vAlign w:val="center"/>
          </w:tcPr>
          <w:p>
            <w:pPr>
              <w:adjustRightInd w:val="0"/>
              <w:ind w:firstLine="0" w:firstLineChars="0"/>
              <w:jc w:val="both"/>
              <w:rPr>
                <w:rFonts w:cs="宋体"/>
                <w:kern w:val="0"/>
                <w:szCs w:val="21"/>
              </w:rPr>
            </w:pPr>
            <w:r>
              <w:rPr>
                <w:rFonts w:hint="eastAsia" w:cs="宋体"/>
                <w:kern w:val="0"/>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1060" w:type="dxa"/>
            <w:vMerge w:val="continue"/>
            <w:tcBorders>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left w:val="single" w:color="000000" w:sz="4" w:space="0"/>
              <w:right w:val="single" w:color="auto" w:sz="4" w:space="0"/>
            </w:tcBorders>
            <w:vAlign w:val="center"/>
          </w:tcPr>
          <w:p>
            <w:pPr>
              <w:adjustRightInd w:val="0"/>
              <w:ind w:firstLine="0" w:firstLineChars="0"/>
              <w:jc w:val="center"/>
              <w:rPr>
                <w:rFonts w:cs="宋体"/>
                <w:kern w:val="0"/>
                <w:szCs w:val="21"/>
              </w:rPr>
            </w:pPr>
          </w:p>
        </w:tc>
        <w:tc>
          <w:tcPr>
            <w:tcW w:w="1502" w:type="dxa"/>
            <w:tcBorders>
              <w:top w:val="single" w:color="000000" w:sz="4" w:space="0"/>
              <w:left w:val="single" w:color="auto"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信誉要求</w:t>
            </w:r>
          </w:p>
        </w:tc>
        <w:tc>
          <w:tcPr>
            <w:tcW w:w="5628" w:type="dxa"/>
            <w:tcBorders>
              <w:top w:val="single" w:color="000000" w:sz="4" w:space="0"/>
              <w:left w:val="single" w:color="000000" w:sz="4" w:space="0"/>
              <w:bottom w:val="single" w:color="000000" w:sz="4" w:space="0"/>
            </w:tcBorders>
            <w:vAlign w:val="center"/>
          </w:tcPr>
          <w:p>
            <w:pPr>
              <w:adjustRightInd w:val="0"/>
              <w:ind w:firstLine="0" w:firstLineChars="0"/>
              <w:jc w:val="both"/>
              <w:rPr>
                <w:rFonts w:cs="宋体"/>
                <w:kern w:val="0"/>
                <w:szCs w:val="21"/>
              </w:rPr>
            </w:pPr>
            <w:r>
              <w:rPr>
                <w:rFonts w:hint="eastAsia" w:cs="宋体"/>
                <w:kern w:val="0"/>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1060" w:type="dxa"/>
            <w:vMerge w:val="continue"/>
            <w:tcBorders>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left w:val="single" w:color="000000" w:sz="4" w:space="0"/>
              <w:right w:val="single" w:color="auto" w:sz="4" w:space="0"/>
            </w:tcBorders>
            <w:vAlign w:val="center"/>
          </w:tcPr>
          <w:p>
            <w:pPr>
              <w:adjustRightInd w:val="0"/>
              <w:ind w:firstLine="0" w:firstLineChars="0"/>
              <w:jc w:val="center"/>
              <w:rPr>
                <w:rFonts w:cs="宋体"/>
                <w:kern w:val="0"/>
                <w:szCs w:val="21"/>
              </w:rPr>
            </w:pPr>
          </w:p>
        </w:tc>
        <w:tc>
          <w:tcPr>
            <w:tcW w:w="1502" w:type="dxa"/>
            <w:tcBorders>
              <w:top w:val="single" w:color="000000" w:sz="4" w:space="0"/>
              <w:left w:val="single" w:color="auto"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总监理工程师</w:t>
            </w:r>
          </w:p>
        </w:tc>
        <w:tc>
          <w:tcPr>
            <w:tcW w:w="5628" w:type="dxa"/>
            <w:tcBorders>
              <w:top w:val="single" w:color="000000" w:sz="4" w:space="0"/>
              <w:left w:val="single" w:color="000000" w:sz="4" w:space="0"/>
              <w:bottom w:val="single" w:color="000000" w:sz="4" w:space="0"/>
            </w:tcBorders>
            <w:vAlign w:val="center"/>
          </w:tcPr>
          <w:p>
            <w:pPr>
              <w:adjustRightInd w:val="0"/>
              <w:ind w:firstLine="0" w:firstLineChars="0"/>
              <w:jc w:val="both"/>
              <w:rPr>
                <w:rFonts w:cs="宋体"/>
                <w:kern w:val="0"/>
                <w:szCs w:val="21"/>
              </w:rPr>
            </w:pPr>
            <w:r>
              <w:rPr>
                <w:rFonts w:hint="eastAsia" w:cs="宋体"/>
                <w:kern w:val="0"/>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1060" w:type="dxa"/>
            <w:vMerge w:val="continue"/>
            <w:tcBorders>
              <w:bottom w:val="single" w:color="auto" w:sz="4" w:space="0"/>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left w:val="single" w:color="000000" w:sz="4" w:space="0"/>
              <w:bottom w:val="single" w:color="auto" w:sz="4" w:space="0"/>
              <w:right w:val="single" w:color="auto" w:sz="4" w:space="0"/>
            </w:tcBorders>
            <w:vAlign w:val="center"/>
          </w:tcPr>
          <w:p>
            <w:pPr>
              <w:adjustRightInd w:val="0"/>
              <w:ind w:firstLine="0" w:firstLineChars="0"/>
              <w:jc w:val="center"/>
              <w:rPr>
                <w:rFonts w:cs="宋体"/>
                <w:kern w:val="0"/>
                <w:szCs w:val="21"/>
              </w:rPr>
            </w:pPr>
          </w:p>
        </w:tc>
        <w:tc>
          <w:tcPr>
            <w:tcW w:w="1502" w:type="dxa"/>
            <w:tcBorders>
              <w:top w:val="single" w:color="000000" w:sz="4" w:space="0"/>
              <w:left w:val="single" w:color="auto" w:sz="4" w:space="0"/>
              <w:bottom w:val="single" w:color="auto"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其他要求</w:t>
            </w:r>
          </w:p>
        </w:tc>
        <w:tc>
          <w:tcPr>
            <w:tcW w:w="5628" w:type="dxa"/>
            <w:tcBorders>
              <w:top w:val="single" w:color="000000" w:sz="4" w:space="0"/>
              <w:left w:val="single" w:color="000000" w:sz="4" w:space="0"/>
              <w:bottom w:val="single" w:color="auto" w:sz="4" w:space="0"/>
            </w:tcBorders>
            <w:vAlign w:val="center"/>
          </w:tcPr>
          <w:p>
            <w:pPr>
              <w:adjustRightInd w:val="0"/>
              <w:ind w:firstLine="0" w:firstLineChars="0"/>
              <w:jc w:val="both"/>
              <w:rPr>
                <w:rFonts w:cs="宋体"/>
                <w:kern w:val="0"/>
                <w:szCs w:val="21"/>
              </w:rPr>
            </w:pPr>
            <w:r>
              <w:rPr>
                <w:rFonts w:hint="eastAsia" w:cs="宋体"/>
                <w:kern w:val="0"/>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1060" w:type="dxa"/>
            <w:vMerge w:val="restart"/>
            <w:tcBorders>
              <w:top w:val="single" w:color="auto"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2.1.3</w:t>
            </w:r>
          </w:p>
        </w:tc>
        <w:tc>
          <w:tcPr>
            <w:tcW w:w="1107" w:type="dxa"/>
            <w:vMerge w:val="restart"/>
            <w:tcBorders>
              <w:top w:val="single" w:color="auto" w:sz="4" w:space="0"/>
              <w:left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响应性评审标准</w:t>
            </w:r>
          </w:p>
        </w:tc>
        <w:tc>
          <w:tcPr>
            <w:tcW w:w="1502" w:type="dxa"/>
            <w:tcBorders>
              <w:top w:val="single" w:color="auto" w:sz="4" w:space="0"/>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投标报价</w:t>
            </w:r>
          </w:p>
        </w:tc>
        <w:tc>
          <w:tcPr>
            <w:tcW w:w="5628" w:type="dxa"/>
            <w:tcBorders>
              <w:top w:val="single" w:color="auto" w:sz="4" w:space="0"/>
              <w:left w:val="single" w:color="000000" w:sz="4" w:space="0"/>
              <w:bottom w:val="single" w:color="000000" w:sz="4" w:space="0"/>
            </w:tcBorders>
            <w:vAlign w:val="center"/>
          </w:tcPr>
          <w:p>
            <w:pPr>
              <w:adjustRightInd w:val="0"/>
              <w:ind w:firstLine="0" w:firstLineChars="0"/>
              <w:jc w:val="both"/>
              <w:rPr>
                <w:rFonts w:cs="宋体"/>
                <w:kern w:val="0"/>
                <w:szCs w:val="21"/>
              </w:rPr>
            </w:pPr>
            <w:r>
              <w:rPr>
                <w:rFonts w:hint="eastAsia" w:cs="宋体"/>
                <w:kern w:val="0"/>
                <w:szCs w:val="21"/>
              </w:rPr>
              <w:t>符合第二章“投标人须知”第3.2款规定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1060" w:type="dxa"/>
            <w:vMerge w:val="continue"/>
            <w:tcBorders>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left w:val="single" w:color="000000" w:sz="4" w:space="0"/>
              <w:right w:val="single" w:color="000000" w:sz="4" w:space="0"/>
            </w:tcBorders>
            <w:vAlign w:val="center"/>
          </w:tcPr>
          <w:p>
            <w:pPr>
              <w:adjustRightInd w:val="0"/>
              <w:ind w:firstLine="0" w:firstLineChars="0"/>
              <w:jc w:val="center"/>
              <w:rPr>
                <w:rFonts w:cs="宋体"/>
                <w:kern w:val="0"/>
                <w:szCs w:val="21"/>
              </w:rPr>
            </w:pPr>
          </w:p>
        </w:tc>
        <w:tc>
          <w:tcPr>
            <w:tcW w:w="1502" w:type="dxa"/>
            <w:tcBorders>
              <w:top w:val="single" w:color="000000" w:sz="4" w:space="0"/>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投标范围</w:t>
            </w:r>
          </w:p>
        </w:tc>
        <w:tc>
          <w:tcPr>
            <w:tcW w:w="5628" w:type="dxa"/>
            <w:tcBorders>
              <w:top w:val="single" w:color="000000" w:sz="4" w:space="0"/>
              <w:left w:val="single" w:color="000000" w:sz="4" w:space="0"/>
              <w:bottom w:val="single" w:color="000000" w:sz="4" w:space="0"/>
            </w:tcBorders>
            <w:vAlign w:val="center"/>
          </w:tcPr>
          <w:p>
            <w:pPr>
              <w:adjustRightInd w:val="0"/>
              <w:ind w:firstLine="0" w:firstLineChars="0"/>
              <w:jc w:val="both"/>
              <w:rPr>
                <w:rFonts w:cs="宋体"/>
                <w:kern w:val="0"/>
                <w:szCs w:val="21"/>
              </w:rPr>
            </w:pPr>
            <w:r>
              <w:rPr>
                <w:rFonts w:hint="eastAsia" w:cs="宋体"/>
                <w:kern w:val="0"/>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1060" w:type="dxa"/>
            <w:vMerge w:val="continue"/>
            <w:tcBorders>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left w:val="single" w:color="000000" w:sz="4" w:space="0"/>
              <w:right w:val="single" w:color="000000" w:sz="4" w:space="0"/>
            </w:tcBorders>
            <w:vAlign w:val="center"/>
          </w:tcPr>
          <w:p>
            <w:pPr>
              <w:adjustRightInd w:val="0"/>
              <w:ind w:firstLine="0" w:firstLineChars="0"/>
              <w:jc w:val="center"/>
              <w:rPr>
                <w:rFonts w:cs="宋体"/>
                <w:kern w:val="0"/>
                <w:szCs w:val="21"/>
              </w:rPr>
            </w:pPr>
          </w:p>
        </w:tc>
        <w:tc>
          <w:tcPr>
            <w:tcW w:w="1502" w:type="dxa"/>
            <w:tcBorders>
              <w:top w:val="single" w:color="000000" w:sz="4" w:space="0"/>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监理服务期限</w:t>
            </w:r>
          </w:p>
        </w:tc>
        <w:tc>
          <w:tcPr>
            <w:tcW w:w="5628" w:type="dxa"/>
            <w:tcBorders>
              <w:top w:val="single" w:color="000000" w:sz="4" w:space="0"/>
              <w:left w:val="single" w:color="000000" w:sz="4" w:space="0"/>
              <w:bottom w:val="single" w:color="000000" w:sz="4" w:space="0"/>
            </w:tcBorders>
            <w:vAlign w:val="center"/>
          </w:tcPr>
          <w:p>
            <w:pPr>
              <w:adjustRightInd w:val="0"/>
              <w:ind w:firstLine="0" w:firstLineChars="0"/>
              <w:jc w:val="both"/>
              <w:rPr>
                <w:rFonts w:cs="宋体"/>
                <w:kern w:val="0"/>
                <w:szCs w:val="21"/>
              </w:rPr>
            </w:pPr>
            <w:r>
              <w:rPr>
                <w:rFonts w:hint="eastAsia" w:cs="宋体"/>
                <w:kern w:val="0"/>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1060" w:type="dxa"/>
            <w:vMerge w:val="continue"/>
            <w:tcBorders>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left w:val="single" w:color="000000" w:sz="4" w:space="0"/>
              <w:right w:val="single" w:color="000000" w:sz="4" w:space="0"/>
            </w:tcBorders>
            <w:vAlign w:val="center"/>
          </w:tcPr>
          <w:p>
            <w:pPr>
              <w:adjustRightInd w:val="0"/>
              <w:ind w:firstLine="0" w:firstLineChars="0"/>
              <w:jc w:val="center"/>
              <w:rPr>
                <w:rFonts w:cs="宋体"/>
                <w:kern w:val="0"/>
                <w:szCs w:val="21"/>
              </w:rPr>
            </w:pPr>
          </w:p>
        </w:tc>
        <w:tc>
          <w:tcPr>
            <w:tcW w:w="1502" w:type="dxa"/>
            <w:tcBorders>
              <w:top w:val="single" w:color="000000" w:sz="4" w:space="0"/>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质量控制目标</w:t>
            </w:r>
          </w:p>
        </w:tc>
        <w:tc>
          <w:tcPr>
            <w:tcW w:w="5628" w:type="dxa"/>
            <w:tcBorders>
              <w:top w:val="single" w:color="000000" w:sz="4" w:space="0"/>
              <w:left w:val="single" w:color="000000" w:sz="4" w:space="0"/>
              <w:bottom w:val="single" w:color="000000" w:sz="4" w:space="0"/>
            </w:tcBorders>
            <w:vAlign w:val="center"/>
          </w:tcPr>
          <w:p>
            <w:pPr>
              <w:adjustRightInd w:val="0"/>
              <w:ind w:firstLine="0" w:firstLineChars="0"/>
              <w:jc w:val="both"/>
              <w:rPr>
                <w:rFonts w:cs="宋体"/>
                <w:kern w:val="0"/>
                <w:szCs w:val="21"/>
              </w:rPr>
            </w:pPr>
            <w:r>
              <w:rPr>
                <w:rFonts w:hint="eastAsia" w:cs="宋体"/>
                <w:kern w:val="0"/>
                <w:szCs w:val="21"/>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1060" w:type="dxa"/>
            <w:vMerge w:val="continue"/>
            <w:tcBorders>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left w:val="single" w:color="000000" w:sz="4" w:space="0"/>
              <w:right w:val="single" w:color="000000" w:sz="4" w:space="0"/>
            </w:tcBorders>
            <w:vAlign w:val="center"/>
          </w:tcPr>
          <w:p>
            <w:pPr>
              <w:adjustRightInd w:val="0"/>
              <w:ind w:firstLine="0" w:firstLineChars="0"/>
              <w:jc w:val="center"/>
              <w:rPr>
                <w:rFonts w:cs="宋体"/>
                <w:kern w:val="0"/>
                <w:szCs w:val="21"/>
              </w:rPr>
            </w:pPr>
          </w:p>
        </w:tc>
        <w:tc>
          <w:tcPr>
            <w:tcW w:w="1502" w:type="dxa"/>
            <w:tcBorders>
              <w:top w:val="single" w:color="000000" w:sz="4" w:space="0"/>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安全控制目标</w:t>
            </w:r>
          </w:p>
        </w:tc>
        <w:tc>
          <w:tcPr>
            <w:tcW w:w="5628" w:type="dxa"/>
            <w:tcBorders>
              <w:top w:val="single" w:color="000000" w:sz="4" w:space="0"/>
              <w:left w:val="single" w:color="000000" w:sz="4" w:space="0"/>
              <w:bottom w:val="single" w:color="000000" w:sz="4" w:space="0"/>
            </w:tcBorders>
            <w:vAlign w:val="center"/>
          </w:tcPr>
          <w:p>
            <w:pPr>
              <w:adjustRightInd w:val="0"/>
              <w:ind w:firstLine="0" w:firstLineChars="0"/>
              <w:jc w:val="both"/>
              <w:rPr>
                <w:rFonts w:cs="宋体"/>
                <w:kern w:val="0"/>
                <w:szCs w:val="21"/>
              </w:rPr>
            </w:pPr>
            <w:r>
              <w:rPr>
                <w:rFonts w:hint="eastAsia" w:cs="宋体"/>
                <w:kern w:val="0"/>
                <w:szCs w:val="21"/>
              </w:rPr>
              <w:t>符合第二章“投标人须知”第1.3.4项规定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1060" w:type="dxa"/>
            <w:vMerge w:val="continue"/>
            <w:tcBorders>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left w:val="single" w:color="000000" w:sz="4" w:space="0"/>
              <w:right w:val="single" w:color="000000" w:sz="4" w:space="0"/>
            </w:tcBorders>
            <w:vAlign w:val="center"/>
          </w:tcPr>
          <w:p>
            <w:pPr>
              <w:adjustRightInd w:val="0"/>
              <w:ind w:firstLine="0" w:firstLineChars="0"/>
              <w:jc w:val="center"/>
              <w:rPr>
                <w:rFonts w:cs="宋体"/>
                <w:kern w:val="0"/>
                <w:szCs w:val="21"/>
              </w:rPr>
            </w:pPr>
          </w:p>
        </w:tc>
        <w:tc>
          <w:tcPr>
            <w:tcW w:w="1502" w:type="dxa"/>
            <w:tcBorders>
              <w:top w:val="single" w:color="000000" w:sz="4" w:space="0"/>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投标有效期</w:t>
            </w:r>
          </w:p>
        </w:tc>
        <w:tc>
          <w:tcPr>
            <w:tcW w:w="5628" w:type="dxa"/>
            <w:tcBorders>
              <w:top w:val="single" w:color="000000" w:sz="4" w:space="0"/>
              <w:left w:val="single" w:color="000000" w:sz="4" w:space="0"/>
              <w:bottom w:val="single" w:color="000000" w:sz="4" w:space="0"/>
            </w:tcBorders>
            <w:vAlign w:val="center"/>
          </w:tcPr>
          <w:p>
            <w:pPr>
              <w:adjustRightInd w:val="0"/>
              <w:ind w:firstLine="0" w:firstLineChars="0"/>
              <w:jc w:val="both"/>
              <w:rPr>
                <w:rFonts w:cs="宋体"/>
                <w:kern w:val="0"/>
                <w:szCs w:val="21"/>
              </w:rPr>
            </w:pPr>
            <w:r>
              <w:rPr>
                <w:rFonts w:hint="eastAsia" w:cs="宋体"/>
                <w:kern w:val="0"/>
                <w:szCs w:val="21"/>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1060" w:type="dxa"/>
            <w:vMerge w:val="continue"/>
            <w:tcBorders>
              <w:bottom w:val="single" w:color="auto" w:sz="4" w:space="0"/>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left w:val="single" w:color="000000" w:sz="4" w:space="0"/>
              <w:bottom w:val="single" w:color="auto" w:sz="4" w:space="0"/>
              <w:right w:val="single" w:color="000000" w:sz="4" w:space="0"/>
            </w:tcBorders>
            <w:vAlign w:val="center"/>
          </w:tcPr>
          <w:p>
            <w:pPr>
              <w:adjustRightInd w:val="0"/>
              <w:ind w:firstLine="0" w:firstLineChars="0"/>
              <w:jc w:val="center"/>
              <w:rPr>
                <w:rFonts w:cs="宋体"/>
                <w:kern w:val="0"/>
                <w:szCs w:val="21"/>
              </w:rPr>
            </w:pPr>
          </w:p>
        </w:tc>
        <w:tc>
          <w:tcPr>
            <w:tcW w:w="1502" w:type="dxa"/>
            <w:tcBorders>
              <w:top w:val="single" w:color="000000" w:sz="4" w:space="0"/>
              <w:left w:val="single" w:color="000000" w:sz="4" w:space="0"/>
              <w:bottom w:val="single" w:color="auto"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权利义务</w:t>
            </w:r>
          </w:p>
        </w:tc>
        <w:tc>
          <w:tcPr>
            <w:tcW w:w="5628" w:type="dxa"/>
            <w:tcBorders>
              <w:top w:val="single" w:color="000000" w:sz="4" w:space="0"/>
              <w:left w:val="single" w:color="000000" w:sz="4" w:space="0"/>
              <w:bottom w:val="single" w:color="auto" w:sz="4" w:space="0"/>
            </w:tcBorders>
            <w:vAlign w:val="center"/>
          </w:tcPr>
          <w:p>
            <w:pPr>
              <w:adjustRightInd w:val="0"/>
              <w:ind w:firstLine="0" w:firstLineChars="0"/>
              <w:jc w:val="both"/>
              <w:rPr>
                <w:rFonts w:cs="宋体"/>
                <w:kern w:val="0"/>
                <w:szCs w:val="21"/>
              </w:rPr>
            </w:pPr>
            <w:r>
              <w:rPr>
                <w:rFonts w:hint="eastAsia" w:cs="宋体"/>
                <w:kern w:val="0"/>
                <w:szCs w:val="21"/>
              </w:rPr>
              <w:t>符合第二章</w:t>
            </w:r>
            <w:r>
              <w:rPr>
                <w:rFonts w:hint="eastAsia"/>
              </w:rPr>
              <w:t>“投标人须知”第1.12.1项规定和</w:t>
            </w:r>
            <w:r>
              <w:rPr>
                <w:rFonts w:hint="eastAsia" w:cs="宋体"/>
                <w:kern w:val="0"/>
                <w:szCs w:val="21"/>
              </w:rPr>
              <w:t>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683" w:hRule="atLeast"/>
          <w:jc w:val="center"/>
        </w:trPr>
        <w:tc>
          <w:tcPr>
            <w:tcW w:w="1060" w:type="dxa"/>
            <w:vMerge w:val="continue"/>
            <w:tcBorders>
              <w:top w:val="single" w:color="auto" w:sz="4" w:space="0"/>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top w:val="single" w:color="auto" w:sz="4" w:space="0"/>
              <w:left w:val="single" w:color="000000" w:sz="4" w:space="0"/>
              <w:right w:val="single" w:color="000000" w:sz="4" w:space="0"/>
            </w:tcBorders>
            <w:vAlign w:val="center"/>
          </w:tcPr>
          <w:p>
            <w:pPr>
              <w:adjustRightInd w:val="0"/>
              <w:ind w:firstLine="0" w:firstLineChars="0"/>
              <w:jc w:val="center"/>
              <w:rPr>
                <w:rFonts w:cs="宋体"/>
                <w:kern w:val="0"/>
                <w:szCs w:val="21"/>
              </w:rPr>
            </w:pPr>
          </w:p>
        </w:tc>
        <w:tc>
          <w:tcPr>
            <w:tcW w:w="1502" w:type="dxa"/>
            <w:tcBorders>
              <w:top w:val="single" w:color="auto" w:sz="4" w:space="0"/>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b/>
                <w:bCs/>
              </w:rPr>
              <w:t>监理服务质量考核金</w:t>
            </w:r>
          </w:p>
        </w:tc>
        <w:tc>
          <w:tcPr>
            <w:tcW w:w="5628" w:type="dxa"/>
            <w:tcBorders>
              <w:top w:val="single" w:color="auto" w:sz="4" w:space="0"/>
              <w:left w:val="single" w:color="000000" w:sz="4" w:space="0"/>
              <w:bottom w:val="single" w:color="000000" w:sz="4" w:space="0"/>
            </w:tcBorders>
            <w:vAlign w:val="center"/>
          </w:tcPr>
          <w:p>
            <w:pPr>
              <w:adjustRightInd w:val="0"/>
              <w:ind w:firstLine="0" w:firstLineChars="0"/>
              <w:jc w:val="both"/>
              <w:rPr>
                <w:rFonts w:cs="宋体"/>
                <w:kern w:val="0"/>
                <w:szCs w:val="21"/>
              </w:rPr>
            </w:pPr>
            <w:r>
              <w:rPr>
                <w:rFonts w:hint="eastAsia" w:cs="宋体"/>
                <w:kern w:val="0"/>
                <w:szCs w:val="21"/>
              </w:rPr>
              <w:t>符合第二章“投标人须知前附表”第</w:t>
            </w:r>
            <w:r>
              <w:rPr>
                <w:rFonts w:hint="eastAsia" w:cs="宋体"/>
                <w:b/>
                <w:bCs/>
                <w:kern w:val="0"/>
                <w:szCs w:val="21"/>
              </w:rPr>
              <w:t>10.4</w:t>
            </w:r>
            <w:r>
              <w:rPr>
                <w:rFonts w:hint="eastAsia" w:cs="宋体"/>
                <w:kern w:val="0"/>
                <w:szCs w:val="21"/>
              </w:rPr>
              <w:t>项规定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2167" w:type="dxa"/>
            <w:gridSpan w:val="2"/>
            <w:tcBorders>
              <w:top w:val="single" w:color="auto"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条款号</w:t>
            </w:r>
          </w:p>
        </w:tc>
        <w:tc>
          <w:tcPr>
            <w:tcW w:w="1502" w:type="dxa"/>
            <w:tcBorders>
              <w:top w:val="single" w:color="000000" w:sz="4" w:space="0"/>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条款内容</w:t>
            </w:r>
          </w:p>
        </w:tc>
        <w:tc>
          <w:tcPr>
            <w:tcW w:w="5628" w:type="dxa"/>
            <w:tcBorders>
              <w:top w:val="single" w:color="000000" w:sz="4" w:space="0"/>
              <w:left w:val="single" w:color="000000" w:sz="4" w:space="0"/>
              <w:bottom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编列内容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1357" w:hRule="atLeast"/>
          <w:jc w:val="center"/>
        </w:trPr>
        <w:tc>
          <w:tcPr>
            <w:tcW w:w="2167" w:type="dxa"/>
            <w:gridSpan w:val="2"/>
            <w:tcBorders>
              <w:top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2.2.1</w:t>
            </w:r>
          </w:p>
        </w:tc>
        <w:tc>
          <w:tcPr>
            <w:tcW w:w="1502" w:type="dxa"/>
            <w:tcBorders>
              <w:top w:val="single" w:color="000000" w:sz="4" w:space="0"/>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分值构成</w:t>
            </w:r>
          </w:p>
          <w:p>
            <w:pPr>
              <w:adjustRightInd w:val="0"/>
              <w:ind w:firstLine="0" w:firstLineChars="0"/>
              <w:jc w:val="center"/>
              <w:rPr>
                <w:rFonts w:cs="宋体"/>
                <w:kern w:val="0"/>
                <w:szCs w:val="21"/>
              </w:rPr>
            </w:pPr>
            <w:r>
              <w:rPr>
                <w:rFonts w:hint="eastAsia" w:cs="宋体"/>
                <w:kern w:val="0"/>
                <w:szCs w:val="21"/>
              </w:rPr>
              <w:t>(总分100分)</w:t>
            </w:r>
          </w:p>
        </w:tc>
        <w:tc>
          <w:tcPr>
            <w:tcW w:w="5628" w:type="dxa"/>
            <w:tcBorders>
              <w:top w:val="single" w:color="000000" w:sz="4" w:space="0"/>
              <w:left w:val="single" w:color="000000" w:sz="4" w:space="0"/>
              <w:bottom w:val="single" w:color="000000" w:sz="4" w:space="0"/>
            </w:tcBorders>
            <w:vAlign w:val="center"/>
          </w:tcPr>
          <w:p>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1.报价部分：</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分</w:t>
            </w:r>
          </w:p>
          <w:p>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2.监理大纲：50分</w:t>
            </w:r>
          </w:p>
          <w:p>
            <w:pPr>
              <w:ind w:firstLine="0" w:firstLineChars="0"/>
              <w:rPr>
                <w:rFonts w:cs="宋体"/>
                <w:kern w:val="0"/>
                <w:szCs w:val="21"/>
              </w:rPr>
            </w:pPr>
            <w:r>
              <w:rPr>
                <w:rFonts w:hint="eastAsia"/>
                <w:color w:val="000000" w:themeColor="text1"/>
                <w14:textFill>
                  <w14:solidFill>
                    <w14:schemeClr w14:val="tx1"/>
                  </w14:solidFill>
                </w14:textFill>
              </w:rPr>
              <w:t>3.商务部分：</w:t>
            </w:r>
            <w:r>
              <w:rPr>
                <w:color w:val="000000" w:themeColor="text1"/>
                <w14:textFill>
                  <w14:solidFill>
                    <w14:schemeClr w14:val="tx1"/>
                  </w14:solidFill>
                </w14:textFill>
              </w:rPr>
              <w:t>30</w:t>
            </w:r>
            <w:r>
              <w:rPr>
                <w:rFonts w:hint="eastAsia"/>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1693" w:hRule="atLeast"/>
          <w:jc w:val="center"/>
        </w:trPr>
        <w:tc>
          <w:tcPr>
            <w:tcW w:w="2167" w:type="dxa"/>
            <w:gridSpan w:val="2"/>
            <w:tcBorders>
              <w:top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2.2.2</w:t>
            </w:r>
          </w:p>
        </w:tc>
        <w:tc>
          <w:tcPr>
            <w:tcW w:w="1502" w:type="dxa"/>
            <w:tcBorders>
              <w:top w:val="single" w:color="000000" w:sz="4" w:space="0"/>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评标基准价计算方法</w:t>
            </w:r>
          </w:p>
        </w:tc>
        <w:tc>
          <w:tcPr>
            <w:tcW w:w="5628" w:type="dxa"/>
            <w:tcBorders>
              <w:top w:val="single" w:color="000000" w:sz="4" w:space="0"/>
              <w:left w:val="single" w:color="000000" w:sz="4" w:space="0"/>
              <w:bottom w:val="single" w:color="000000" w:sz="4" w:space="0"/>
            </w:tcBorders>
            <w:vAlign w:val="center"/>
          </w:tcPr>
          <w:p>
            <w:pPr>
              <w:widowControl/>
              <w:ind w:firstLine="0" w:firstLineChars="0"/>
              <w:jc w:val="both"/>
              <w:rPr>
                <w:rFonts w:cs="宋体"/>
                <w:kern w:val="0"/>
                <w:szCs w:val="21"/>
                <w:lang w:bidi="ar"/>
              </w:rPr>
            </w:pPr>
            <w:r>
              <w:rPr>
                <w:rFonts w:hint="eastAsia" w:cs="宋体"/>
                <w:kern w:val="0"/>
                <w:szCs w:val="21"/>
                <w:lang w:bidi="ar"/>
              </w:rPr>
              <w:t>1、有效投标人为通过初步评审且投标报价不超过招标控制价的投标人。</w:t>
            </w:r>
          </w:p>
          <w:p>
            <w:pPr>
              <w:widowControl/>
              <w:ind w:firstLine="0" w:firstLineChars="0"/>
              <w:jc w:val="both"/>
              <w:rPr>
                <w:rFonts w:cs="宋体"/>
              </w:rPr>
            </w:pPr>
            <w:r>
              <w:rPr>
                <w:rFonts w:hint="eastAsia" w:cs="宋体"/>
                <w:kern w:val="0"/>
                <w:szCs w:val="21"/>
                <w:lang w:bidi="ar"/>
              </w:rPr>
              <w:t>2、在招标控制价的95%-100%的有效投标人的投标报价参与评标基准价的计算；不在招标控制价的95%-100%的有效投标人的投标报价不参与评标基准价的计算，但仍参与报价得分计算</w:t>
            </w:r>
          </w:p>
          <w:p>
            <w:pPr>
              <w:widowControl/>
              <w:ind w:firstLine="0" w:firstLineChars="0"/>
              <w:jc w:val="both"/>
              <w:rPr>
                <w:rFonts w:cs="宋体"/>
                <w:kern w:val="0"/>
                <w:szCs w:val="21"/>
                <w:lang w:bidi="ar"/>
              </w:rPr>
            </w:pPr>
            <w:r>
              <w:rPr>
                <w:rFonts w:hint="eastAsia" w:cs="宋体"/>
                <w:kern w:val="0"/>
                <w:szCs w:val="21"/>
                <w:lang w:bidi="ar"/>
              </w:rPr>
              <w:t>3、评标基准价=招标控制价×50%+有效投标报价算术平均值×50%。</w:t>
            </w:r>
            <w:r>
              <w:rPr>
                <w:rFonts w:hint="eastAsia" w:cs="宋体"/>
              </w:rPr>
              <w:t>（保留小数点后两位）</w:t>
            </w:r>
          </w:p>
          <w:p>
            <w:pPr>
              <w:widowControl/>
              <w:ind w:firstLine="0" w:firstLineChars="0"/>
              <w:jc w:val="both"/>
              <w:rPr>
                <w:rFonts w:cs="宋体"/>
              </w:rPr>
            </w:pPr>
            <w:r>
              <w:rPr>
                <w:rFonts w:hint="eastAsia" w:cs="宋体"/>
                <w:kern w:val="0"/>
                <w:szCs w:val="21"/>
                <w:lang w:bidi="ar"/>
              </w:rPr>
              <w:t>4、有效投标报价算术平均值的确定：当有效投标报价多于5 家时，为各有效报价去除一个最高价和一个最低价的算术平均值；当有效投标报价少于等于 5 家时，则为所有有效报价的算术平均值。</w:t>
            </w:r>
          </w:p>
          <w:p>
            <w:pPr>
              <w:widowControl/>
              <w:ind w:firstLine="0" w:firstLineChars="0"/>
              <w:jc w:val="both"/>
              <w:rPr>
                <w:rFonts w:cs="宋体"/>
              </w:rPr>
            </w:pPr>
            <w:r>
              <w:rPr>
                <w:rFonts w:hint="eastAsia" w:cs="宋体"/>
              </w:rPr>
              <w:t>5、</w:t>
            </w:r>
            <w:r>
              <w:rPr>
                <w:rFonts w:hint="eastAsia" w:cs="宋体"/>
                <w:kern w:val="0"/>
                <w:szCs w:val="21"/>
                <w:lang w:bidi="ar"/>
              </w:rPr>
              <w:t>若投标人报价均不在招标控制价的95%-100%的范围内，评标基准价=招标控制价×0.95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2167" w:type="dxa"/>
            <w:gridSpan w:val="2"/>
            <w:tcBorders>
              <w:top w:val="single" w:color="000000" w:sz="4" w:space="0"/>
              <w:bottom w:val="single" w:color="auto"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2.2.3</w:t>
            </w:r>
          </w:p>
        </w:tc>
        <w:tc>
          <w:tcPr>
            <w:tcW w:w="1502" w:type="dxa"/>
            <w:tcBorders>
              <w:top w:val="single" w:color="000000" w:sz="4" w:space="0"/>
              <w:left w:val="single" w:color="000000" w:sz="4" w:space="0"/>
              <w:bottom w:val="single" w:color="auto"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投标报价的偏差率计算公式</w:t>
            </w:r>
          </w:p>
        </w:tc>
        <w:tc>
          <w:tcPr>
            <w:tcW w:w="5628" w:type="dxa"/>
            <w:tcBorders>
              <w:top w:val="single" w:color="000000" w:sz="4" w:space="0"/>
              <w:left w:val="single" w:color="000000" w:sz="4" w:space="0"/>
              <w:bottom w:val="single" w:color="000000" w:sz="4" w:space="0"/>
            </w:tcBorders>
            <w:vAlign w:val="center"/>
          </w:tcPr>
          <w:p>
            <w:pPr>
              <w:ind w:firstLine="0" w:firstLineChars="0"/>
              <w:jc w:val="both"/>
              <w:rPr>
                <w:rFonts w:cs="宋体"/>
                <w:szCs w:val="21"/>
              </w:rPr>
            </w:pPr>
            <w:r>
              <w:rPr>
                <w:rFonts w:hint="eastAsia" w:cs="宋体"/>
                <w:szCs w:val="21"/>
              </w:rPr>
              <w:t>偏差率=100%×（投标报价-评标基准价）/评标基准价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1122" w:hRule="atLeast"/>
          <w:jc w:val="center"/>
        </w:trPr>
        <w:tc>
          <w:tcPr>
            <w:tcW w:w="1060" w:type="dxa"/>
            <w:tcBorders>
              <w:top w:val="single" w:color="auto" w:sz="4" w:space="0"/>
              <w:bottom w:val="single" w:color="auto"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2.2.4（1）</w:t>
            </w:r>
          </w:p>
        </w:tc>
        <w:tc>
          <w:tcPr>
            <w:tcW w:w="1107" w:type="dxa"/>
            <w:tcBorders>
              <w:top w:val="single" w:color="auto" w:sz="4" w:space="0"/>
              <w:left w:val="single" w:color="000000" w:sz="4" w:space="0"/>
              <w:bottom w:val="single" w:color="auto" w:sz="4" w:space="0"/>
              <w:right w:val="single" w:color="000000" w:sz="4" w:space="0"/>
            </w:tcBorders>
            <w:vAlign w:val="center"/>
          </w:tcPr>
          <w:p>
            <w:pPr>
              <w:widowControl/>
              <w:ind w:firstLine="0" w:firstLineChars="0"/>
              <w:jc w:val="center"/>
              <w:rPr>
                <w:rFonts w:cs="宋体"/>
                <w:kern w:val="0"/>
                <w:szCs w:val="21"/>
              </w:rPr>
            </w:pPr>
            <w:r>
              <w:rPr>
                <w:rFonts w:hint="eastAsia" w:cs="宋体"/>
                <w:kern w:val="0"/>
                <w:szCs w:val="21"/>
              </w:rPr>
              <w:t>报价部分评审标准</w:t>
            </w:r>
          </w:p>
          <w:p>
            <w:pPr>
              <w:pStyle w:val="20"/>
              <w:spacing w:after="0"/>
              <w:ind w:left="0" w:leftChars="0" w:right="0" w:rightChars="0" w:firstLine="0" w:firstLineChars="0"/>
              <w:rPr>
                <w:rFonts w:eastAsia="宋体" w:cs="宋体"/>
                <w:sz w:val="21"/>
                <w:szCs w:val="21"/>
              </w:rPr>
            </w:pPr>
            <w:r>
              <w:rPr>
                <w:rFonts w:hint="eastAsia" w:eastAsia="宋体" w:cs="宋体"/>
                <w:sz w:val="21"/>
                <w:szCs w:val="21"/>
              </w:rPr>
              <w:t>（20分）</w:t>
            </w:r>
          </w:p>
        </w:tc>
        <w:tc>
          <w:tcPr>
            <w:tcW w:w="1502" w:type="dxa"/>
            <w:tcBorders>
              <w:top w:val="single" w:color="auto" w:sz="4" w:space="0"/>
              <w:left w:val="single" w:color="000000" w:sz="4" w:space="0"/>
              <w:bottom w:val="single" w:color="auto" w:sz="4" w:space="0"/>
              <w:right w:val="single" w:color="auto" w:sz="4" w:space="0"/>
            </w:tcBorders>
            <w:vAlign w:val="center"/>
          </w:tcPr>
          <w:p>
            <w:pPr>
              <w:adjustRightInd w:val="0"/>
              <w:ind w:firstLine="0" w:firstLineChars="0"/>
              <w:jc w:val="center"/>
              <w:rPr>
                <w:rFonts w:cs="宋体"/>
                <w:kern w:val="0"/>
                <w:szCs w:val="21"/>
              </w:rPr>
            </w:pPr>
            <w:r>
              <w:rPr>
                <w:rFonts w:hint="eastAsia" w:cs="宋体"/>
                <w:kern w:val="0"/>
                <w:szCs w:val="21"/>
              </w:rPr>
              <w:t>投标报价</w:t>
            </w:r>
          </w:p>
          <w:p>
            <w:pPr>
              <w:adjustRightInd w:val="0"/>
              <w:ind w:firstLine="0" w:firstLineChars="0"/>
              <w:jc w:val="center"/>
              <w:rPr>
                <w:rFonts w:cs="宋体"/>
                <w:kern w:val="0"/>
                <w:szCs w:val="21"/>
              </w:rPr>
            </w:pPr>
            <w:r>
              <w:rPr>
                <w:rFonts w:hint="eastAsia" w:cs="宋体"/>
                <w:kern w:val="0"/>
                <w:szCs w:val="21"/>
              </w:rPr>
              <w:t>（20分）</w:t>
            </w:r>
          </w:p>
        </w:tc>
        <w:tc>
          <w:tcPr>
            <w:tcW w:w="5628" w:type="dxa"/>
            <w:tcBorders>
              <w:top w:val="single" w:color="000000" w:sz="4" w:space="0"/>
              <w:left w:val="single" w:color="auto" w:sz="4" w:space="0"/>
              <w:bottom w:val="single" w:color="auto" w:sz="4" w:space="0"/>
            </w:tcBorders>
            <w:vAlign w:val="center"/>
          </w:tcPr>
          <w:p>
            <w:pPr>
              <w:widowControl/>
              <w:ind w:firstLine="0" w:firstLineChars="0"/>
              <w:jc w:val="both"/>
              <w:rPr>
                <w:rFonts w:cs="宋体"/>
                <w:szCs w:val="21"/>
              </w:rPr>
            </w:pPr>
            <w:r>
              <w:rPr>
                <w:rFonts w:hint="eastAsia" w:cs="宋体"/>
                <w:szCs w:val="21"/>
              </w:rPr>
              <w:t>投标报价与评标基准价相等得满分20分。</w:t>
            </w:r>
          </w:p>
          <w:p>
            <w:pPr>
              <w:widowControl/>
              <w:ind w:firstLine="0" w:firstLineChars="0"/>
              <w:jc w:val="both"/>
              <w:rPr>
                <w:rFonts w:cs="宋体"/>
                <w:szCs w:val="21"/>
              </w:rPr>
            </w:pPr>
            <w:r>
              <w:rPr>
                <w:rFonts w:hint="eastAsia" w:cs="宋体"/>
                <w:szCs w:val="21"/>
              </w:rPr>
              <w:t>当投标报价低于评标基准价时，每低1%在满分20分的基础上扣1分，扣完为止；</w:t>
            </w:r>
          </w:p>
          <w:p>
            <w:pPr>
              <w:widowControl/>
              <w:ind w:firstLine="0" w:firstLineChars="0"/>
              <w:jc w:val="both"/>
              <w:rPr>
                <w:rFonts w:cs="宋体"/>
                <w:szCs w:val="21"/>
              </w:rPr>
            </w:pPr>
            <w:r>
              <w:rPr>
                <w:rFonts w:hint="eastAsia" w:cs="宋体"/>
                <w:szCs w:val="21"/>
              </w:rPr>
              <w:t>当投标报价高于评标基准价时，每高1%在满分20分的基础上扣1分，扣完为止</w:t>
            </w:r>
          </w:p>
          <w:p>
            <w:pPr>
              <w:ind w:firstLine="0" w:firstLineChars="0"/>
              <w:jc w:val="both"/>
              <w:rPr>
                <w:rFonts w:cs="宋体"/>
                <w:szCs w:val="21"/>
              </w:rPr>
            </w:pPr>
            <w:r>
              <w:rPr>
                <w:rFonts w:hint="eastAsia" w:cs="宋体"/>
                <w:szCs w:val="21"/>
              </w:rPr>
              <w:t>注：1、不足1%按插入法计算，报价得分保留两位小数。</w:t>
            </w:r>
          </w:p>
          <w:p>
            <w:pPr>
              <w:ind w:firstLine="0" w:firstLineChars="0"/>
              <w:jc w:val="both"/>
              <w:rPr>
                <w:rFonts w:cs="宋体"/>
                <w:szCs w:val="21"/>
              </w:rPr>
            </w:pPr>
            <w:r>
              <w:rPr>
                <w:rFonts w:hint="eastAsia" w:cs="宋体"/>
                <w:szCs w:val="21"/>
              </w:rPr>
              <w:t>2、对小型和微型企业在采用原报价进行评分的基础上增加其价格得分的5%作为其价格分，用增加后的价格分参与评审；</w:t>
            </w:r>
          </w:p>
          <w:p>
            <w:pPr>
              <w:ind w:firstLine="0" w:firstLineChars="0"/>
              <w:jc w:val="both"/>
              <w:rPr>
                <w:rFonts w:cs="宋体"/>
                <w:szCs w:val="21"/>
              </w:rPr>
            </w:pPr>
            <w:r>
              <w:rPr>
                <w:rFonts w:hint="eastAsia" w:cs="宋体"/>
                <w:szCs w:val="21"/>
              </w:rPr>
              <w:t>3、参加本项目的小微企业应当按照《政府采购促进中小企业发展管理办法》（财库〔2020〕46号）的规定提供《中小企业声明函》详见附件1。</w:t>
            </w:r>
          </w:p>
          <w:p>
            <w:pPr>
              <w:ind w:firstLine="0" w:firstLineChars="0"/>
              <w:jc w:val="both"/>
              <w:rPr>
                <w:rFonts w:cs="宋体"/>
                <w:szCs w:val="21"/>
              </w:rPr>
            </w:pPr>
            <w:r>
              <w:rPr>
                <w:rFonts w:hint="eastAsia" w:cs="宋体"/>
                <w:szCs w:val="21"/>
              </w:rPr>
              <w:t>4、根据财政部司法部发布的《关于政府采购支持监狱企业发展有关问题的通知》（财库〔2016〕68号）和财政部民政部中国残疾人联合会《关于促进残疾人就业政府采购政策的通知》（财库〔2017〕141号）规定，本项目对监狱和残疾人福利企业生产的产品的价格在采用原报价进行评分的基础上增加其价格得分的5%作为其价格分，用增加后的价格分参与评审。监狱企业作为投标人须提供由省级以上监狱管理局、戒毒管理局(含新疆生产建设兵团)出具的属于监狱企业的证明文件复印件，否则不予认定。残疾人福利企业作为投标人须符合财库〔2017〕141号文件要求的条件，并出具《残疾人福利企业声明函》（见附件2），否则，不予认定。</w:t>
            </w:r>
          </w:p>
          <w:p>
            <w:pPr>
              <w:ind w:firstLine="0" w:firstLineChars="0"/>
              <w:jc w:val="both"/>
              <w:rPr>
                <w:rFonts w:cs="宋体"/>
                <w:szCs w:val="21"/>
              </w:rPr>
            </w:pPr>
            <w:r>
              <w:rPr>
                <w:rFonts w:hint="eastAsia" w:cs="宋体"/>
                <w:szCs w:val="21"/>
              </w:rPr>
              <w:t>5、同一投标人，中小微企业产品和监狱企业产品及残疾人福利企业产品价格扣除优惠只享受一次，不得重复享受。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72" w:hRule="atLeast"/>
          <w:jc w:val="center"/>
        </w:trPr>
        <w:tc>
          <w:tcPr>
            <w:tcW w:w="1060" w:type="dxa"/>
            <w:vMerge w:val="restart"/>
            <w:tcBorders>
              <w:top w:val="single" w:color="auto" w:sz="4" w:space="0"/>
              <w:bottom w:val="single" w:color="auto" w:sz="4" w:space="0"/>
              <w:right w:val="single" w:color="000000" w:sz="4" w:space="0"/>
            </w:tcBorders>
            <w:vAlign w:val="center"/>
          </w:tcPr>
          <w:p>
            <w:pPr>
              <w:adjustRightInd w:val="0"/>
              <w:ind w:firstLine="0" w:firstLineChars="0"/>
              <w:jc w:val="center"/>
              <w:rPr>
                <w:rFonts w:cs="宋体"/>
              </w:rPr>
            </w:pPr>
            <w:r>
              <w:rPr>
                <w:rFonts w:hint="eastAsia" w:cs="宋体"/>
                <w:kern w:val="0"/>
                <w:szCs w:val="21"/>
              </w:rPr>
              <w:t>2.2.4（2）</w:t>
            </w:r>
          </w:p>
        </w:tc>
        <w:tc>
          <w:tcPr>
            <w:tcW w:w="1107" w:type="dxa"/>
            <w:vMerge w:val="restart"/>
            <w:tcBorders>
              <w:top w:val="single" w:color="auto" w:sz="4" w:space="0"/>
              <w:left w:val="single" w:color="000000" w:sz="4" w:space="0"/>
              <w:bottom w:val="single" w:color="auto" w:sz="4" w:space="0"/>
              <w:right w:val="single" w:color="000000" w:sz="4" w:space="0"/>
            </w:tcBorders>
            <w:vAlign w:val="center"/>
          </w:tcPr>
          <w:p>
            <w:pPr>
              <w:widowControl/>
              <w:ind w:firstLine="0" w:firstLineChars="0"/>
              <w:jc w:val="center"/>
              <w:rPr>
                <w:rFonts w:cs="宋体"/>
                <w:kern w:val="0"/>
                <w:szCs w:val="21"/>
              </w:rPr>
            </w:pPr>
            <w:r>
              <w:rPr>
                <w:rFonts w:hint="eastAsia" w:cs="宋体"/>
                <w:kern w:val="0"/>
                <w:szCs w:val="21"/>
              </w:rPr>
              <w:t>监理大纲评审标准</w:t>
            </w:r>
          </w:p>
          <w:p>
            <w:pPr>
              <w:adjustRightInd w:val="0"/>
              <w:ind w:firstLine="0" w:firstLineChars="0"/>
              <w:jc w:val="center"/>
              <w:rPr>
                <w:rFonts w:cs="宋体"/>
                <w:kern w:val="0"/>
                <w:szCs w:val="21"/>
              </w:rPr>
            </w:pPr>
            <w:r>
              <w:rPr>
                <w:rFonts w:hint="eastAsia" w:cs="宋体"/>
                <w:kern w:val="0"/>
                <w:szCs w:val="21"/>
              </w:rPr>
              <w:t>（50</w:t>
            </w:r>
            <w:r>
              <w:rPr>
                <w:rFonts w:hint="eastAsia"/>
              </w:rPr>
              <w:t>分</w:t>
            </w:r>
            <w:r>
              <w:rPr>
                <w:rFonts w:hint="eastAsia" w:cs="宋体"/>
                <w:kern w:val="0"/>
                <w:szCs w:val="21"/>
              </w:rPr>
              <w:t>）</w:t>
            </w:r>
          </w:p>
        </w:tc>
        <w:tc>
          <w:tcPr>
            <w:tcW w:w="1502" w:type="dxa"/>
            <w:tcBorders>
              <w:top w:val="single" w:color="auto" w:sz="4" w:space="0"/>
              <w:left w:val="single" w:color="000000" w:sz="4" w:space="0"/>
              <w:bottom w:val="single" w:color="auto"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组织机构</w:t>
            </w:r>
          </w:p>
          <w:p>
            <w:pPr>
              <w:adjustRightInd w:val="0"/>
              <w:ind w:firstLine="0" w:firstLineChars="0"/>
              <w:jc w:val="center"/>
              <w:rPr>
                <w:rFonts w:cs="宋体"/>
                <w:kern w:val="0"/>
                <w:szCs w:val="21"/>
              </w:rPr>
            </w:pPr>
            <w:r>
              <w:rPr>
                <w:rFonts w:hint="eastAsia" w:cs="宋体"/>
                <w:kern w:val="0"/>
                <w:szCs w:val="21"/>
              </w:rPr>
              <w:t>（5分）</w:t>
            </w:r>
          </w:p>
        </w:tc>
        <w:tc>
          <w:tcPr>
            <w:tcW w:w="5628" w:type="dxa"/>
            <w:tcBorders>
              <w:top w:val="single" w:color="000000" w:sz="4" w:space="0"/>
              <w:left w:val="single" w:color="000000" w:sz="4" w:space="0"/>
              <w:bottom w:val="single" w:color="000000" w:sz="4" w:space="0"/>
            </w:tcBorders>
            <w:vAlign w:val="center"/>
          </w:tcPr>
          <w:p>
            <w:pPr>
              <w:ind w:firstLine="0" w:firstLineChars="0"/>
              <w:jc w:val="both"/>
              <w:rPr>
                <w:rFonts w:cs="宋体"/>
                <w:kern w:val="0"/>
                <w:szCs w:val="21"/>
              </w:rPr>
            </w:pPr>
            <w:r>
              <w:rPr>
                <w:rFonts w:hint="eastAsia" w:cs="宋体"/>
                <w:kern w:val="0"/>
                <w:szCs w:val="21"/>
              </w:rPr>
              <w:t>①评委根据监理组织机构完整性，专业覆盖全面性，是否符合本地相关法规、文件等要求的人数并能否满足本项目实际的需求；在0-2分内自主打分。</w:t>
            </w:r>
          </w:p>
          <w:p>
            <w:pPr>
              <w:ind w:firstLine="0" w:firstLineChars="0"/>
              <w:jc w:val="both"/>
              <w:rPr>
                <w:rFonts w:cs="宋体"/>
                <w:kern w:val="0"/>
                <w:szCs w:val="21"/>
              </w:rPr>
            </w:pPr>
            <w:r>
              <w:rPr>
                <w:rFonts w:hint="eastAsia" w:cs="宋体"/>
                <w:kern w:val="0"/>
                <w:szCs w:val="21"/>
              </w:rPr>
              <w:t>②明确各级监理人员(包括总监理工程师、总监代表（如有）、专业监理工程师、监理员、安全员、见证员)岗位职责,得3分,缺一个岗位职责扣0.5分,缺二个及以上岗位职责不得分；此项最多得3分。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1019" w:hRule="atLeast"/>
          <w:jc w:val="center"/>
        </w:trPr>
        <w:tc>
          <w:tcPr>
            <w:tcW w:w="1060" w:type="dxa"/>
            <w:vMerge w:val="continue"/>
            <w:tcBorders>
              <w:top w:val="single" w:color="auto" w:sz="4" w:space="0"/>
              <w:bottom w:val="single" w:color="auto" w:sz="4" w:space="0"/>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top w:val="single" w:color="auto" w:sz="4" w:space="0"/>
              <w:left w:val="single" w:color="000000" w:sz="4" w:space="0"/>
              <w:bottom w:val="single" w:color="auto" w:sz="4" w:space="0"/>
              <w:right w:val="single" w:color="000000" w:sz="4" w:space="0"/>
            </w:tcBorders>
            <w:vAlign w:val="center"/>
          </w:tcPr>
          <w:p>
            <w:pPr>
              <w:adjustRightInd w:val="0"/>
              <w:ind w:firstLine="0" w:firstLineChars="0"/>
              <w:jc w:val="center"/>
              <w:rPr>
                <w:rFonts w:cs="宋体"/>
                <w:kern w:val="0"/>
                <w:szCs w:val="21"/>
              </w:rPr>
            </w:pPr>
          </w:p>
        </w:tc>
        <w:tc>
          <w:tcPr>
            <w:tcW w:w="1502" w:type="dxa"/>
            <w:tcBorders>
              <w:top w:val="single" w:color="auto" w:sz="4" w:space="0"/>
              <w:left w:val="single" w:color="000000" w:sz="4" w:space="0"/>
              <w:bottom w:val="single" w:color="auto"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进度控制措施</w:t>
            </w:r>
          </w:p>
          <w:p>
            <w:pPr>
              <w:adjustRightInd w:val="0"/>
              <w:ind w:firstLine="0" w:firstLineChars="0"/>
              <w:jc w:val="center"/>
              <w:rPr>
                <w:rFonts w:cs="宋体"/>
                <w:kern w:val="0"/>
                <w:szCs w:val="21"/>
              </w:rPr>
            </w:pPr>
            <w:r>
              <w:rPr>
                <w:rFonts w:hint="eastAsia" w:cs="宋体"/>
                <w:kern w:val="0"/>
                <w:szCs w:val="21"/>
              </w:rPr>
              <w:t>（5分）</w:t>
            </w:r>
          </w:p>
        </w:tc>
        <w:tc>
          <w:tcPr>
            <w:tcW w:w="5628" w:type="dxa"/>
            <w:tcBorders>
              <w:top w:val="single" w:color="000000" w:sz="4" w:space="0"/>
              <w:left w:val="single" w:color="000000" w:sz="4" w:space="0"/>
              <w:bottom w:val="single" w:color="000000" w:sz="4" w:space="0"/>
            </w:tcBorders>
            <w:vAlign w:val="center"/>
          </w:tcPr>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①针对本项目各项工作进度计划安排科学合理，相应保障控制措施内容完整、可实施性强的得3-5分。</w:t>
            </w:r>
          </w:p>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②针对本项目各项工作进度计划安排基本合理，相应保障控制措施基本完整、可实施的得2-3分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③针对本项目各项工作进度计划水平低，相应保障控制措施不完善,可实施性较差的得0-2分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1357" w:hRule="atLeast"/>
          <w:jc w:val="center"/>
        </w:trPr>
        <w:tc>
          <w:tcPr>
            <w:tcW w:w="1060" w:type="dxa"/>
            <w:vMerge w:val="continue"/>
            <w:tcBorders>
              <w:top w:val="single" w:color="auto" w:sz="4" w:space="0"/>
              <w:bottom w:val="single" w:color="auto" w:sz="4" w:space="0"/>
              <w:right w:val="single" w:color="000000" w:sz="4" w:space="0"/>
            </w:tcBorders>
            <w:vAlign w:val="center"/>
          </w:tcPr>
          <w:p>
            <w:pPr>
              <w:adjustRightInd w:val="0"/>
              <w:ind w:firstLine="0" w:firstLineChars="0"/>
              <w:jc w:val="center"/>
              <w:rPr>
                <w:rFonts w:cs="宋体"/>
                <w:kern w:val="0"/>
                <w:szCs w:val="21"/>
              </w:rPr>
            </w:pPr>
          </w:p>
        </w:tc>
        <w:tc>
          <w:tcPr>
            <w:tcW w:w="1107" w:type="dxa"/>
            <w:vMerge w:val="continue"/>
            <w:tcBorders>
              <w:top w:val="single" w:color="auto" w:sz="4" w:space="0"/>
              <w:left w:val="single" w:color="000000" w:sz="4" w:space="0"/>
              <w:bottom w:val="single" w:color="auto" w:sz="4" w:space="0"/>
              <w:right w:val="single" w:color="000000" w:sz="4" w:space="0"/>
            </w:tcBorders>
            <w:vAlign w:val="center"/>
          </w:tcPr>
          <w:p>
            <w:pPr>
              <w:adjustRightInd w:val="0"/>
              <w:ind w:firstLine="0" w:firstLineChars="0"/>
              <w:jc w:val="center"/>
              <w:rPr>
                <w:rFonts w:cs="宋体"/>
                <w:kern w:val="0"/>
                <w:szCs w:val="21"/>
              </w:rPr>
            </w:pPr>
          </w:p>
        </w:tc>
        <w:tc>
          <w:tcPr>
            <w:tcW w:w="1502" w:type="dxa"/>
            <w:tcBorders>
              <w:top w:val="single" w:color="auto" w:sz="4" w:space="0"/>
              <w:left w:val="single" w:color="000000" w:sz="4" w:space="0"/>
              <w:bottom w:val="single" w:color="auto"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质量控制措施</w:t>
            </w:r>
          </w:p>
          <w:p>
            <w:pPr>
              <w:adjustRightInd w:val="0"/>
              <w:ind w:firstLine="0" w:firstLineChars="0"/>
              <w:jc w:val="center"/>
              <w:rPr>
                <w:rFonts w:cs="宋体"/>
                <w:kern w:val="0"/>
                <w:szCs w:val="21"/>
              </w:rPr>
            </w:pPr>
            <w:r>
              <w:rPr>
                <w:rFonts w:hint="eastAsia" w:cs="宋体"/>
                <w:kern w:val="0"/>
                <w:szCs w:val="21"/>
              </w:rPr>
              <w:t>(5分）</w:t>
            </w:r>
          </w:p>
        </w:tc>
        <w:tc>
          <w:tcPr>
            <w:tcW w:w="5628" w:type="dxa"/>
            <w:tcBorders>
              <w:top w:val="single" w:color="000000" w:sz="4" w:space="0"/>
              <w:left w:val="single" w:color="000000" w:sz="4" w:space="0"/>
              <w:bottom w:val="single" w:color="000000" w:sz="4" w:space="0"/>
            </w:tcBorders>
            <w:vAlign w:val="center"/>
          </w:tcPr>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①针对本项目的质量控制措施完全满足项目需求，措施内容完整、科学合理、可实施性强的得3-5分。</w:t>
            </w:r>
          </w:p>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②针对本项目的质量控制措施基本满足项目需求，措施内容基本合理，可实施的得2-3分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③针对本项目的质量控制措施水平低，措施内容不合理,可实施性较差的得0-2分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867" w:hRule="atLeast"/>
          <w:jc w:val="center"/>
        </w:trPr>
        <w:tc>
          <w:tcPr>
            <w:tcW w:w="1060" w:type="dxa"/>
            <w:vMerge w:val="continue"/>
            <w:tcBorders>
              <w:top w:val="single" w:color="auto" w:sz="4" w:space="0"/>
              <w:bottom w:val="single" w:color="auto" w:sz="4" w:space="0"/>
              <w:right w:val="single" w:color="000000" w:sz="4" w:space="0"/>
            </w:tcBorders>
            <w:vAlign w:val="center"/>
          </w:tcPr>
          <w:p>
            <w:pPr>
              <w:pStyle w:val="11"/>
              <w:ind w:left="0" w:leftChars="0" w:firstLine="0" w:firstLineChars="0"/>
              <w:jc w:val="center"/>
              <w:rPr>
                <w:rFonts w:cs="宋体"/>
              </w:rPr>
            </w:pPr>
          </w:p>
        </w:tc>
        <w:tc>
          <w:tcPr>
            <w:tcW w:w="1107" w:type="dxa"/>
            <w:vMerge w:val="continue"/>
            <w:tcBorders>
              <w:top w:val="single" w:color="auto" w:sz="4" w:space="0"/>
              <w:left w:val="single" w:color="000000" w:sz="4" w:space="0"/>
              <w:bottom w:val="single" w:color="auto" w:sz="4" w:space="0"/>
              <w:right w:val="single" w:color="000000" w:sz="4" w:space="0"/>
            </w:tcBorders>
            <w:vAlign w:val="center"/>
          </w:tcPr>
          <w:p>
            <w:pPr>
              <w:adjustRightInd w:val="0"/>
              <w:ind w:firstLine="0" w:firstLineChars="0"/>
              <w:jc w:val="center"/>
              <w:rPr>
                <w:rFonts w:cs="宋体"/>
                <w:kern w:val="0"/>
                <w:szCs w:val="21"/>
              </w:rPr>
            </w:pPr>
          </w:p>
        </w:tc>
        <w:tc>
          <w:tcPr>
            <w:tcW w:w="1502" w:type="dxa"/>
            <w:tcBorders>
              <w:top w:val="single" w:color="auto" w:sz="4" w:space="0"/>
              <w:left w:val="single" w:color="000000" w:sz="4" w:space="0"/>
              <w:bottom w:val="single" w:color="auto"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投资控制</w:t>
            </w:r>
          </w:p>
          <w:p>
            <w:pPr>
              <w:adjustRightInd w:val="0"/>
              <w:ind w:firstLine="0" w:firstLineChars="0"/>
              <w:jc w:val="center"/>
              <w:rPr>
                <w:rFonts w:cs="宋体"/>
                <w:kern w:val="0"/>
                <w:szCs w:val="21"/>
              </w:rPr>
            </w:pPr>
            <w:r>
              <w:rPr>
                <w:rFonts w:hint="eastAsia" w:cs="宋体"/>
                <w:kern w:val="0"/>
                <w:szCs w:val="21"/>
              </w:rPr>
              <w:t>（5分）</w:t>
            </w:r>
          </w:p>
        </w:tc>
        <w:tc>
          <w:tcPr>
            <w:tcW w:w="5628" w:type="dxa"/>
            <w:tcBorders>
              <w:top w:val="single" w:color="000000" w:sz="4" w:space="0"/>
              <w:left w:val="single" w:color="000000" w:sz="4" w:space="0"/>
              <w:bottom w:val="single" w:color="auto" w:sz="4" w:space="0"/>
            </w:tcBorders>
            <w:vAlign w:val="center"/>
          </w:tcPr>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①针对项目实际的投资控制程序、控制目标和工程造价 目标风险分析以及制定防范性对策科学合理、完善全面、可实施性强的得3-5分。</w:t>
            </w:r>
          </w:p>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②针对项目实际的投资控制程序、控制目标和工程造价 目标风险分析以及制定防范性对策基本合理、全面、可实施的得2-3分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③针对项目实际的投资控制程序、控制目标和工程造价 目标风险分析以及制定防范性对策不合理、可实施性较差的得0-2分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1357" w:hRule="atLeast"/>
          <w:jc w:val="center"/>
        </w:trPr>
        <w:tc>
          <w:tcPr>
            <w:tcW w:w="1060" w:type="dxa"/>
            <w:vMerge w:val="continue"/>
            <w:tcBorders>
              <w:top w:val="single" w:color="auto" w:sz="4" w:space="0"/>
              <w:bottom w:val="single" w:color="auto" w:sz="4" w:space="0"/>
              <w:right w:val="single" w:color="000000" w:sz="4" w:space="0"/>
            </w:tcBorders>
            <w:vAlign w:val="center"/>
          </w:tcPr>
          <w:p>
            <w:pPr>
              <w:pStyle w:val="11"/>
              <w:ind w:left="0" w:leftChars="0" w:firstLine="0" w:firstLineChars="0"/>
              <w:jc w:val="center"/>
              <w:rPr>
                <w:rFonts w:cs="宋体"/>
              </w:rPr>
            </w:pPr>
          </w:p>
        </w:tc>
        <w:tc>
          <w:tcPr>
            <w:tcW w:w="1107" w:type="dxa"/>
            <w:vMerge w:val="continue"/>
            <w:tcBorders>
              <w:top w:val="single" w:color="auto" w:sz="4" w:space="0"/>
              <w:left w:val="single" w:color="000000" w:sz="4" w:space="0"/>
              <w:bottom w:val="single" w:color="auto" w:sz="4" w:space="0"/>
              <w:right w:val="single" w:color="auto" w:sz="4" w:space="0"/>
            </w:tcBorders>
            <w:vAlign w:val="center"/>
          </w:tcPr>
          <w:p>
            <w:pPr>
              <w:adjustRightInd w:val="0"/>
              <w:ind w:firstLine="0" w:firstLineChars="0"/>
              <w:jc w:val="center"/>
              <w:rPr>
                <w:rFonts w:cs="宋体"/>
                <w:kern w:val="0"/>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adjustRightInd w:val="0"/>
              <w:ind w:firstLine="0" w:firstLineChars="0"/>
              <w:jc w:val="center"/>
              <w:rPr>
                <w:rFonts w:cs="宋体"/>
                <w:kern w:val="0"/>
                <w:szCs w:val="21"/>
              </w:rPr>
            </w:pPr>
            <w:r>
              <w:rPr>
                <w:rFonts w:hint="eastAsia" w:cs="宋体"/>
                <w:kern w:val="0"/>
                <w:szCs w:val="21"/>
              </w:rPr>
              <w:t>履行安全生产、环境保护监理法定职责</w:t>
            </w:r>
          </w:p>
          <w:p>
            <w:pPr>
              <w:adjustRightInd w:val="0"/>
              <w:ind w:firstLine="0" w:firstLineChars="0"/>
              <w:jc w:val="center"/>
              <w:rPr>
                <w:rFonts w:cs="宋体"/>
                <w:kern w:val="0"/>
                <w:szCs w:val="21"/>
              </w:rPr>
            </w:pPr>
            <w:r>
              <w:rPr>
                <w:rFonts w:hint="eastAsia" w:cs="宋体"/>
                <w:kern w:val="0"/>
                <w:szCs w:val="21"/>
              </w:rPr>
              <w:t>（5分）</w:t>
            </w:r>
          </w:p>
        </w:tc>
        <w:tc>
          <w:tcPr>
            <w:tcW w:w="5628" w:type="dxa"/>
            <w:tcBorders>
              <w:top w:val="single" w:color="auto" w:sz="4" w:space="0"/>
              <w:left w:val="single" w:color="auto" w:sz="4" w:space="0"/>
              <w:bottom w:val="single" w:color="auto" w:sz="4" w:space="0"/>
            </w:tcBorders>
            <w:vAlign w:val="center"/>
          </w:tcPr>
          <w:p>
            <w:pPr>
              <w:widowControl/>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①针对本项目安全生产和环境保护监理法定职责的内容完善全面、科学合理的得3-5分。</w:t>
            </w:r>
          </w:p>
          <w:p>
            <w:pPr>
              <w:widowControl/>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②针对本项目安全生产和环境保护监理法定职责的内容基本全面合理的得2-3分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p>
            <w:pPr>
              <w:widowControl/>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③针对本项目安全生产和环境保护监理法定职责的内容不全面、不合理的得0-2分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1039" w:hRule="atLeast"/>
          <w:jc w:val="center"/>
        </w:trPr>
        <w:tc>
          <w:tcPr>
            <w:tcW w:w="1060" w:type="dxa"/>
            <w:vMerge w:val="continue"/>
            <w:tcBorders>
              <w:top w:val="single" w:color="auto" w:sz="4" w:space="0"/>
              <w:bottom w:val="single" w:color="auto" w:sz="4" w:space="0"/>
              <w:right w:val="single" w:color="000000" w:sz="4" w:space="0"/>
            </w:tcBorders>
            <w:vAlign w:val="center"/>
          </w:tcPr>
          <w:p>
            <w:pPr>
              <w:pStyle w:val="11"/>
              <w:ind w:left="0" w:leftChars="0" w:firstLine="0" w:firstLineChars="0"/>
              <w:jc w:val="center"/>
              <w:rPr>
                <w:rFonts w:cs="宋体"/>
              </w:rPr>
            </w:pPr>
          </w:p>
        </w:tc>
        <w:tc>
          <w:tcPr>
            <w:tcW w:w="1107" w:type="dxa"/>
            <w:vMerge w:val="continue"/>
            <w:tcBorders>
              <w:top w:val="single" w:color="auto" w:sz="4" w:space="0"/>
              <w:left w:val="single" w:color="000000" w:sz="4" w:space="0"/>
              <w:bottom w:val="single" w:color="auto" w:sz="4" w:space="0"/>
              <w:right w:val="single" w:color="auto" w:sz="4" w:space="0"/>
            </w:tcBorders>
            <w:vAlign w:val="center"/>
          </w:tcPr>
          <w:p>
            <w:pPr>
              <w:adjustRightInd w:val="0"/>
              <w:ind w:firstLine="0" w:firstLineChars="0"/>
              <w:jc w:val="center"/>
              <w:rPr>
                <w:rFonts w:cs="宋体"/>
                <w:kern w:val="0"/>
                <w:szCs w:val="21"/>
              </w:rPr>
            </w:pPr>
          </w:p>
        </w:tc>
        <w:tc>
          <w:tcPr>
            <w:tcW w:w="1502" w:type="dxa"/>
            <w:tcBorders>
              <w:top w:val="single" w:color="auto" w:sz="4" w:space="0"/>
              <w:left w:val="single" w:color="auto" w:sz="4" w:space="0"/>
              <w:bottom w:val="single" w:color="auto" w:sz="4" w:space="0"/>
              <w:right w:val="single" w:color="auto" w:sz="4" w:space="0"/>
            </w:tcBorders>
            <w:vAlign w:val="center"/>
          </w:tcPr>
          <w:p>
            <w:pPr>
              <w:adjustRightInd w:val="0"/>
              <w:ind w:firstLine="0" w:firstLineChars="0"/>
              <w:jc w:val="center"/>
              <w:rPr>
                <w:rFonts w:cs="宋体"/>
                <w:kern w:val="0"/>
                <w:szCs w:val="21"/>
              </w:rPr>
            </w:pPr>
            <w:r>
              <w:rPr>
                <w:rFonts w:hint="eastAsia" w:cs="宋体"/>
                <w:kern w:val="0"/>
                <w:szCs w:val="21"/>
              </w:rPr>
              <w:t>合同管理、信息管理</w:t>
            </w:r>
          </w:p>
          <w:p>
            <w:pPr>
              <w:adjustRightInd w:val="0"/>
              <w:ind w:firstLine="0" w:firstLineChars="0"/>
              <w:jc w:val="center"/>
              <w:rPr>
                <w:rFonts w:cs="宋体"/>
                <w:kern w:val="0"/>
                <w:szCs w:val="21"/>
              </w:rPr>
            </w:pPr>
            <w:r>
              <w:rPr>
                <w:rFonts w:hint="eastAsia" w:cs="宋体"/>
                <w:kern w:val="0"/>
                <w:szCs w:val="21"/>
              </w:rPr>
              <w:t>（5分）</w:t>
            </w:r>
          </w:p>
        </w:tc>
        <w:tc>
          <w:tcPr>
            <w:tcW w:w="5628" w:type="dxa"/>
            <w:tcBorders>
              <w:top w:val="single" w:color="auto" w:sz="4" w:space="0"/>
              <w:left w:val="single" w:color="auto" w:sz="4" w:space="0"/>
              <w:bottom w:val="single" w:color="auto" w:sz="4" w:space="0"/>
            </w:tcBorders>
            <w:vAlign w:val="center"/>
          </w:tcPr>
          <w:p>
            <w:pPr>
              <w:widowControl/>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①针对本项目的合同及信息管理制度和措施全面详实、科学合理的得3-5分。</w:t>
            </w:r>
          </w:p>
          <w:p>
            <w:pPr>
              <w:widowControl/>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②针对本项目的合同及信息管理制度和措施基本完善、基本合理的得2-3分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p>
            <w:pPr>
              <w:widowControl/>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③针对本项目的合同及信息管理制度和措施不全面、不合理的得0-2分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92" w:hRule="atLeast"/>
          <w:jc w:val="center"/>
        </w:trPr>
        <w:tc>
          <w:tcPr>
            <w:tcW w:w="1060" w:type="dxa"/>
            <w:vMerge w:val="continue"/>
            <w:tcBorders>
              <w:top w:val="single" w:color="auto" w:sz="4" w:space="0"/>
              <w:bottom w:val="single" w:color="auto" w:sz="4" w:space="0"/>
              <w:right w:val="single" w:color="000000" w:sz="4" w:space="0"/>
            </w:tcBorders>
            <w:vAlign w:val="center"/>
          </w:tcPr>
          <w:p>
            <w:pPr>
              <w:pStyle w:val="11"/>
              <w:ind w:left="0" w:leftChars="0" w:firstLine="0" w:firstLineChars="0"/>
              <w:jc w:val="center"/>
              <w:rPr>
                <w:rFonts w:cs="宋体"/>
              </w:rPr>
            </w:pPr>
          </w:p>
        </w:tc>
        <w:tc>
          <w:tcPr>
            <w:tcW w:w="1107" w:type="dxa"/>
            <w:vMerge w:val="continue"/>
            <w:tcBorders>
              <w:top w:val="single" w:color="auto" w:sz="4" w:space="0"/>
              <w:left w:val="single" w:color="000000" w:sz="4" w:space="0"/>
              <w:bottom w:val="single" w:color="auto" w:sz="4" w:space="0"/>
              <w:right w:val="single" w:color="000000" w:sz="4" w:space="0"/>
            </w:tcBorders>
            <w:vAlign w:val="center"/>
          </w:tcPr>
          <w:p>
            <w:pPr>
              <w:adjustRightInd w:val="0"/>
              <w:ind w:firstLine="0" w:firstLineChars="0"/>
              <w:jc w:val="center"/>
              <w:rPr>
                <w:rFonts w:cs="宋体"/>
                <w:kern w:val="0"/>
                <w:szCs w:val="21"/>
              </w:rPr>
            </w:pPr>
          </w:p>
        </w:tc>
        <w:tc>
          <w:tcPr>
            <w:tcW w:w="1502" w:type="dxa"/>
            <w:tcBorders>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协调工程建设相关方关系</w:t>
            </w:r>
          </w:p>
          <w:p>
            <w:pPr>
              <w:adjustRightInd w:val="0"/>
              <w:ind w:firstLine="0" w:firstLineChars="0"/>
              <w:jc w:val="center"/>
              <w:rPr>
                <w:rFonts w:cs="宋体"/>
                <w:kern w:val="0"/>
                <w:szCs w:val="21"/>
              </w:rPr>
            </w:pPr>
            <w:r>
              <w:rPr>
                <w:rFonts w:hint="eastAsia" w:cs="宋体"/>
                <w:kern w:val="0"/>
                <w:szCs w:val="21"/>
              </w:rPr>
              <w:t>（5分）</w:t>
            </w:r>
          </w:p>
        </w:tc>
        <w:tc>
          <w:tcPr>
            <w:tcW w:w="5628" w:type="dxa"/>
            <w:tcBorders>
              <w:top w:val="single" w:color="000000" w:sz="4" w:space="0"/>
              <w:left w:val="single" w:color="000000" w:sz="4" w:space="0"/>
              <w:bottom w:val="single" w:color="000000" w:sz="4" w:space="0"/>
            </w:tcBorders>
            <w:vAlign w:val="center"/>
          </w:tcPr>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①针对本项目的工作协调措施和方法及协调机制的规范性完全符合项目需求，科学合理、切实可行的得3-5分。</w:t>
            </w:r>
          </w:p>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②针对本项目的工作协调措施和方法及协调机制的规范性基本符合项目需求，可实施的得2-3分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③针对本项目的工作协调措施和方法及协调机制的规范性不合理，可实施性较差的得0-2分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517" w:hRule="atLeast"/>
          <w:jc w:val="center"/>
        </w:trPr>
        <w:tc>
          <w:tcPr>
            <w:tcW w:w="1060" w:type="dxa"/>
            <w:vMerge w:val="continue"/>
            <w:tcBorders>
              <w:top w:val="single" w:color="auto" w:sz="4" w:space="0"/>
              <w:bottom w:val="single" w:color="auto" w:sz="4" w:space="0"/>
              <w:right w:val="single" w:color="000000" w:sz="4" w:space="0"/>
            </w:tcBorders>
            <w:vAlign w:val="center"/>
          </w:tcPr>
          <w:p>
            <w:pPr>
              <w:pStyle w:val="11"/>
              <w:ind w:left="0" w:leftChars="0" w:firstLine="0" w:firstLineChars="0"/>
              <w:jc w:val="center"/>
              <w:rPr>
                <w:rFonts w:cs="宋体"/>
              </w:rPr>
            </w:pPr>
          </w:p>
        </w:tc>
        <w:tc>
          <w:tcPr>
            <w:tcW w:w="1107" w:type="dxa"/>
            <w:vMerge w:val="continue"/>
            <w:tcBorders>
              <w:top w:val="single" w:color="auto" w:sz="4" w:space="0"/>
              <w:left w:val="single" w:color="000000" w:sz="4" w:space="0"/>
              <w:bottom w:val="single" w:color="auto" w:sz="4" w:space="0"/>
              <w:right w:val="single" w:color="000000" w:sz="4" w:space="0"/>
            </w:tcBorders>
            <w:vAlign w:val="center"/>
          </w:tcPr>
          <w:p>
            <w:pPr>
              <w:adjustRightInd w:val="0"/>
              <w:ind w:firstLine="0" w:firstLineChars="0"/>
              <w:jc w:val="center"/>
              <w:rPr>
                <w:rFonts w:cs="宋体"/>
                <w:kern w:val="0"/>
                <w:szCs w:val="21"/>
              </w:rPr>
            </w:pPr>
          </w:p>
        </w:tc>
        <w:tc>
          <w:tcPr>
            <w:tcW w:w="1502" w:type="dxa"/>
            <w:tcBorders>
              <w:left w:val="single" w:color="000000" w:sz="4" w:space="0"/>
              <w:bottom w:val="single" w:color="000000"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工程验收实施方案</w:t>
            </w:r>
          </w:p>
          <w:p>
            <w:pPr>
              <w:adjustRightInd w:val="0"/>
              <w:ind w:firstLine="0" w:firstLineChars="0"/>
              <w:jc w:val="center"/>
              <w:rPr>
                <w:rFonts w:cs="宋体"/>
                <w:kern w:val="0"/>
                <w:szCs w:val="21"/>
              </w:rPr>
            </w:pPr>
            <w:r>
              <w:rPr>
                <w:rFonts w:hint="eastAsia" w:cs="宋体"/>
                <w:kern w:val="0"/>
                <w:szCs w:val="21"/>
              </w:rPr>
              <w:t>（5分）</w:t>
            </w:r>
          </w:p>
        </w:tc>
        <w:tc>
          <w:tcPr>
            <w:tcW w:w="5628" w:type="dxa"/>
            <w:tcBorders>
              <w:top w:val="single" w:color="000000" w:sz="4" w:space="0"/>
              <w:left w:val="single" w:color="000000" w:sz="4" w:space="0"/>
              <w:bottom w:val="single" w:color="000000" w:sz="4" w:space="0"/>
            </w:tcBorders>
            <w:vAlign w:val="center"/>
          </w:tcPr>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①针对本项目的工程验收实施方案科学合理、内容全面、可实施性强的得3-5分。</w:t>
            </w:r>
          </w:p>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②针对本项目的工程验收实施方案基本合理、内容基本全面、可实施的得2-3分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③针对本项目的工程验收实施方案不全面、不合理、可实施性较差的得0-2分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1357" w:hRule="atLeast"/>
          <w:jc w:val="center"/>
        </w:trPr>
        <w:tc>
          <w:tcPr>
            <w:tcW w:w="1060" w:type="dxa"/>
            <w:vMerge w:val="continue"/>
            <w:tcBorders>
              <w:top w:val="single" w:color="auto" w:sz="4" w:space="0"/>
              <w:bottom w:val="single" w:color="auto" w:sz="4" w:space="0"/>
              <w:right w:val="single" w:color="000000" w:sz="4" w:space="0"/>
            </w:tcBorders>
            <w:vAlign w:val="center"/>
          </w:tcPr>
          <w:p>
            <w:pPr>
              <w:pStyle w:val="11"/>
              <w:ind w:left="0" w:leftChars="0" w:firstLine="0" w:firstLineChars="0"/>
              <w:jc w:val="center"/>
              <w:rPr>
                <w:rFonts w:cs="宋体"/>
              </w:rPr>
            </w:pPr>
          </w:p>
        </w:tc>
        <w:tc>
          <w:tcPr>
            <w:tcW w:w="1107" w:type="dxa"/>
            <w:vMerge w:val="continue"/>
            <w:tcBorders>
              <w:top w:val="single" w:color="auto" w:sz="4" w:space="0"/>
              <w:left w:val="single" w:color="000000" w:sz="4" w:space="0"/>
              <w:bottom w:val="single" w:color="auto" w:sz="4" w:space="0"/>
              <w:right w:val="single" w:color="000000" w:sz="4" w:space="0"/>
            </w:tcBorders>
            <w:vAlign w:val="center"/>
          </w:tcPr>
          <w:p>
            <w:pPr>
              <w:adjustRightInd w:val="0"/>
              <w:ind w:firstLine="0" w:firstLineChars="0"/>
              <w:jc w:val="center"/>
              <w:rPr>
                <w:rFonts w:cs="宋体"/>
                <w:kern w:val="0"/>
                <w:szCs w:val="21"/>
              </w:rPr>
            </w:pPr>
          </w:p>
        </w:tc>
        <w:tc>
          <w:tcPr>
            <w:tcW w:w="1502" w:type="dxa"/>
            <w:tcBorders>
              <w:left w:val="single" w:color="000000" w:sz="4" w:space="0"/>
              <w:bottom w:val="single" w:color="auto"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竣工资料收集与整理</w:t>
            </w:r>
          </w:p>
          <w:p>
            <w:pPr>
              <w:adjustRightInd w:val="0"/>
              <w:ind w:firstLine="0" w:firstLineChars="0"/>
              <w:jc w:val="center"/>
              <w:rPr>
                <w:rFonts w:cs="宋体"/>
                <w:kern w:val="0"/>
                <w:szCs w:val="21"/>
              </w:rPr>
            </w:pPr>
            <w:r>
              <w:rPr>
                <w:rFonts w:hint="eastAsia" w:cs="宋体"/>
                <w:kern w:val="0"/>
                <w:szCs w:val="21"/>
              </w:rPr>
              <w:t>（5分）</w:t>
            </w:r>
          </w:p>
        </w:tc>
        <w:tc>
          <w:tcPr>
            <w:tcW w:w="5628" w:type="dxa"/>
            <w:tcBorders>
              <w:top w:val="single" w:color="000000" w:sz="4" w:space="0"/>
              <w:left w:val="single" w:color="000000" w:sz="4" w:space="0"/>
              <w:bottom w:val="single" w:color="auto" w:sz="4" w:space="0"/>
            </w:tcBorders>
            <w:vAlign w:val="center"/>
          </w:tcPr>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①针对本项目的竣工/联合验收资料收集与整理措施符合项目需求，符合国家、省、市档案管理的相关规定，可实施性强的得3-5分。</w:t>
            </w:r>
          </w:p>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②针对本项目的竣工/联合验收资料收集与整理措施基本符合项目需求，符合国家、省、市档案管理的相关规定，可实施的得2-3分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p>
            <w:pPr>
              <w:ind w:firstLine="0"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③针对本项目的竣工/联合验收资料收集与整理措施不完整，可实施性差的得0-2分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607" w:hRule="atLeast"/>
          <w:jc w:val="center"/>
        </w:trPr>
        <w:tc>
          <w:tcPr>
            <w:tcW w:w="1060" w:type="dxa"/>
            <w:vMerge w:val="continue"/>
            <w:tcBorders>
              <w:top w:val="single" w:color="auto" w:sz="4" w:space="0"/>
              <w:bottom w:val="single" w:color="auto" w:sz="4" w:space="0"/>
              <w:right w:val="single" w:color="000000" w:sz="4" w:space="0"/>
            </w:tcBorders>
            <w:vAlign w:val="center"/>
          </w:tcPr>
          <w:p>
            <w:pPr>
              <w:pStyle w:val="11"/>
              <w:ind w:left="0" w:leftChars="0" w:firstLine="0" w:firstLineChars="0"/>
              <w:jc w:val="center"/>
              <w:rPr>
                <w:rFonts w:cs="宋体"/>
              </w:rPr>
            </w:pPr>
          </w:p>
        </w:tc>
        <w:tc>
          <w:tcPr>
            <w:tcW w:w="1107" w:type="dxa"/>
            <w:vMerge w:val="continue"/>
            <w:tcBorders>
              <w:top w:val="single" w:color="auto" w:sz="4" w:space="0"/>
              <w:left w:val="single" w:color="000000" w:sz="4" w:space="0"/>
              <w:bottom w:val="single" w:color="auto" w:sz="4" w:space="0"/>
              <w:right w:val="single" w:color="auto" w:sz="4" w:space="0"/>
            </w:tcBorders>
            <w:vAlign w:val="center"/>
          </w:tcPr>
          <w:p>
            <w:pPr>
              <w:adjustRightInd w:val="0"/>
              <w:ind w:firstLine="0" w:firstLineChars="0"/>
              <w:jc w:val="center"/>
              <w:rPr>
                <w:rFonts w:cs="宋体"/>
                <w:kern w:val="0"/>
                <w:szCs w:val="21"/>
              </w:rPr>
            </w:pPr>
          </w:p>
        </w:tc>
        <w:tc>
          <w:tcPr>
            <w:tcW w:w="1502" w:type="dxa"/>
            <w:tcBorders>
              <w:top w:val="single" w:color="auto" w:sz="4" w:space="0"/>
              <w:left w:val="single" w:color="auto" w:sz="4" w:space="0"/>
              <w:bottom w:val="single" w:color="auto" w:sz="4" w:space="0"/>
              <w:right w:val="single" w:color="000000" w:sz="4" w:space="0"/>
            </w:tcBorders>
            <w:vAlign w:val="center"/>
          </w:tcPr>
          <w:p>
            <w:pPr>
              <w:adjustRightInd w:val="0"/>
              <w:ind w:firstLine="0" w:firstLineChars="0"/>
              <w:jc w:val="center"/>
              <w:rPr>
                <w:rFonts w:cs="宋体"/>
                <w:kern w:val="0"/>
                <w:szCs w:val="21"/>
              </w:rPr>
            </w:pPr>
            <w:r>
              <w:rPr>
                <w:rFonts w:hint="eastAsia" w:cs="宋体"/>
                <w:kern w:val="0"/>
                <w:szCs w:val="21"/>
              </w:rPr>
              <w:t>缺陷责任期内工程质量缺陷管理</w:t>
            </w:r>
          </w:p>
          <w:p>
            <w:pPr>
              <w:adjustRightInd w:val="0"/>
              <w:ind w:firstLine="0" w:firstLineChars="0"/>
              <w:jc w:val="center"/>
              <w:rPr>
                <w:rFonts w:cs="宋体"/>
                <w:kern w:val="0"/>
                <w:szCs w:val="21"/>
              </w:rPr>
            </w:pPr>
            <w:r>
              <w:rPr>
                <w:rFonts w:hint="eastAsia" w:cs="宋体"/>
                <w:kern w:val="0"/>
                <w:szCs w:val="21"/>
              </w:rPr>
              <w:t>（5分）</w:t>
            </w:r>
          </w:p>
        </w:tc>
        <w:tc>
          <w:tcPr>
            <w:tcW w:w="5628" w:type="dxa"/>
            <w:tcBorders>
              <w:top w:val="single" w:color="auto" w:sz="4" w:space="0"/>
              <w:left w:val="single" w:color="000000" w:sz="4" w:space="0"/>
              <w:bottom w:val="single" w:color="auto" w:sz="4" w:space="0"/>
            </w:tcBorders>
            <w:vAlign w:val="center"/>
          </w:tcPr>
          <w:p>
            <w:pPr>
              <w:pStyle w:val="40"/>
              <w:numPr>
                <w:ilvl w:val="0"/>
                <w:numId w:val="1"/>
              </w:numPr>
              <w:ind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针对本项目的</w:t>
            </w:r>
            <w:r>
              <w:rPr>
                <w:rFonts w:hint="eastAsia" w:cs="宋体"/>
                <w:kern w:val="0"/>
                <w:szCs w:val="21"/>
              </w:rPr>
              <w:t>缺陷责任</w:t>
            </w:r>
            <w:r>
              <w:rPr>
                <w:rFonts w:hint="eastAsia" w:asciiTheme="minorEastAsia" w:hAnsiTheme="minorEastAsia" w:eastAsiaTheme="minorEastAsia" w:cstheme="minorEastAsia"/>
                <w:szCs w:val="21"/>
              </w:rPr>
              <w:t>期内工程质量缺陷管理措施全面完整，完全满足项目需求，措施科学合理、切实可行的得3-5分。</w:t>
            </w:r>
          </w:p>
          <w:p>
            <w:pPr>
              <w:pStyle w:val="40"/>
              <w:numPr>
                <w:ilvl w:val="0"/>
                <w:numId w:val="1"/>
              </w:numPr>
              <w:ind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针对本项目的</w:t>
            </w:r>
            <w:r>
              <w:rPr>
                <w:rFonts w:hint="eastAsia" w:cs="宋体"/>
                <w:kern w:val="0"/>
                <w:szCs w:val="21"/>
              </w:rPr>
              <w:t>缺陷责任</w:t>
            </w:r>
            <w:r>
              <w:rPr>
                <w:rFonts w:hint="eastAsia" w:asciiTheme="minorEastAsia" w:hAnsiTheme="minorEastAsia" w:eastAsiaTheme="minorEastAsia" w:cstheme="minorEastAsia"/>
                <w:szCs w:val="21"/>
              </w:rPr>
              <w:t>期内工程质量缺陷管理措施基本完整，基本满足项目需求，可实施的得2-3分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p>
            <w:pPr>
              <w:pStyle w:val="40"/>
              <w:numPr>
                <w:ilvl w:val="0"/>
                <w:numId w:val="1"/>
              </w:numPr>
              <w:ind w:firstLineChars="0"/>
              <w:jc w:val="both"/>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针对本项目的</w:t>
            </w:r>
            <w:r>
              <w:rPr>
                <w:rFonts w:hint="eastAsia" w:cs="宋体"/>
                <w:kern w:val="0"/>
                <w:szCs w:val="21"/>
              </w:rPr>
              <w:t>缺陷责任</w:t>
            </w:r>
            <w:r>
              <w:rPr>
                <w:rFonts w:hint="eastAsia" w:asciiTheme="minorEastAsia" w:hAnsiTheme="minorEastAsia" w:eastAsiaTheme="minorEastAsia" w:cstheme="minorEastAsia"/>
                <w:szCs w:val="21"/>
              </w:rPr>
              <w:t>期内工程质量缺陷管理措施不完整，可实施性差的得0-2分</w:t>
            </w:r>
            <w:r>
              <w:rPr>
                <w:rFonts w:asciiTheme="minorEastAsia" w:hAnsiTheme="minorEastAsia" w:eastAsiaTheme="minorEastAsia" w:cstheme="minorEastAsia"/>
                <w:szCs w:val="21"/>
              </w:rPr>
              <w:t>（含）</w:t>
            </w:r>
            <w:r>
              <w:rPr>
                <w:rFonts w:hint="eastAsia" w:asciiTheme="minorEastAsia" w:hAnsiTheme="minorEastAsia" w:eastAsia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347" w:hRule="atLeast"/>
          <w:jc w:val="center"/>
        </w:trPr>
        <w:tc>
          <w:tcPr>
            <w:tcW w:w="1060" w:type="dxa"/>
            <w:vMerge w:val="continue"/>
            <w:tcBorders>
              <w:top w:val="single" w:color="auto" w:sz="4" w:space="0"/>
              <w:bottom w:val="single" w:color="auto" w:sz="4" w:space="0"/>
              <w:right w:val="single" w:color="000000" w:sz="4" w:space="0"/>
            </w:tcBorders>
            <w:vAlign w:val="center"/>
          </w:tcPr>
          <w:p>
            <w:pPr>
              <w:pStyle w:val="11"/>
              <w:ind w:left="0" w:leftChars="0" w:firstLine="0" w:firstLineChars="0"/>
              <w:jc w:val="center"/>
              <w:rPr>
                <w:rFonts w:cs="宋体"/>
              </w:rPr>
            </w:pPr>
          </w:p>
        </w:tc>
        <w:tc>
          <w:tcPr>
            <w:tcW w:w="1107" w:type="dxa"/>
            <w:vMerge w:val="continue"/>
            <w:tcBorders>
              <w:top w:val="single" w:color="auto" w:sz="4" w:space="0"/>
              <w:left w:val="single" w:color="000000" w:sz="4" w:space="0"/>
              <w:bottom w:val="single" w:color="auto" w:sz="4" w:space="0"/>
              <w:right w:val="single" w:color="000000" w:sz="4" w:space="0"/>
            </w:tcBorders>
            <w:vAlign w:val="center"/>
          </w:tcPr>
          <w:p>
            <w:pPr>
              <w:adjustRightInd w:val="0"/>
              <w:ind w:firstLine="0" w:firstLineChars="0"/>
              <w:jc w:val="center"/>
              <w:rPr>
                <w:rFonts w:cs="宋体"/>
                <w:kern w:val="0"/>
                <w:szCs w:val="21"/>
              </w:rPr>
            </w:pPr>
          </w:p>
        </w:tc>
        <w:tc>
          <w:tcPr>
            <w:tcW w:w="7130" w:type="dxa"/>
            <w:gridSpan w:val="2"/>
            <w:tcBorders>
              <w:top w:val="single" w:color="auto" w:sz="4" w:space="0"/>
              <w:left w:val="single" w:color="000000" w:sz="4" w:space="0"/>
              <w:bottom w:val="single" w:color="auto" w:sz="4" w:space="0"/>
            </w:tcBorders>
            <w:vAlign w:val="center"/>
          </w:tcPr>
          <w:p>
            <w:pPr>
              <w:widowControl/>
              <w:autoSpaceDE/>
              <w:autoSpaceDN/>
              <w:ind w:firstLine="0" w:firstLineChars="0"/>
              <w:jc w:val="center"/>
              <w:rPr>
                <w:rFonts w:cs="宋体"/>
                <w:szCs w:val="21"/>
              </w:rPr>
            </w:pPr>
            <w:r>
              <w:rPr>
                <w:rFonts w:hint="eastAsia" w:cs="宋体"/>
                <w:b/>
                <w:bCs/>
                <w:kern w:val="0"/>
                <w:szCs w:val="21"/>
              </w:rPr>
              <w:t>备注：上述评审项如有缺项，则该项为0分。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433" w:hRule="atLeast"/>
          <w:jc w:val="center"/>
        </w:trPr>
        <w:tc>
          <w:tcPr>
            <w:tcW w:w="1060" w:type="dxa"/>
            <w:vMerge w:val="restart"/>
            <w:tcBorders>
              <w:top w:val="single" w:color="auto" w:sz="4" w:space="0"/>
              <w:bottom w:val="single" w:color="auto" w:sz="4" w:space="0"/>
              <w:right w:val="single" w:color="auto" w:sz="4" w:space="0"/>
            </w:tcBorders>
            <w:vAlign w:val="center"/>
          </w:tcPr>
          <w:p>
            <w:pPr>
              <w:adjustRightInd w:val="0"/>
              <w:ind w:firstLine="0" w:firstLineChars="0"/>
              <w:jc w:val="center"/>
              <w:rPr>
                <w:rFonts w:cs="宋体"/>
                <w:kern w:val="0"/>
                <w:szCs w:val="21"/>
              </w:rPr>
            </w:pPr>
            <w:r>
              <w:rPr>
                <w:rFonts w:hint="eastAsia" w:cs="宋体"/>
                <w:kern w:val="0"/>
                <w:szCs w:val="21"/>
              </w:rPr>
              <w:t>2.2.4（3）</w:t>
            </w:r>
          </w:p>
        </w:tc>
        <w:tc>
          <w:tcPr>
            <w:tcW w:w="1107"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kern w:val="0"/>
                <w:szCs w:val="21"/>
              </w:rPr>
            </w:pPr>
            <w:r>
              <w:rPr>
                <w:rFonts w:hint="eastAsia" w:cs="宋体"/>
                <w:kern w:val="0"/>
                <w:szCs w:val="21"/>
              </w:rPr>
              <w:t>商务部分</w:t>
            </w:r>
          </w:p>
          <w:p>
            <w:pPr>
              <w:widowControl/>
              <w:ind w:firstLine="0" w:firstLineChars="0"/>
              <w:jc w:val="center"/>
              <w:rPr>
                <w:rFonts w:cs="宋体"/>
                <w:kern w:val="0"/>
                <w:szCs w:val="21"/>
              </w:rPr>
            </w:pPr>
            <w:r>
              <w:rPr>
                <w:rFonts w:hint="eastAsia" w:cs="宋体"/>
                <w:kern w:val="0"/>
                <w:szCs w:val="21"/>
              </w:rPr>
              <w:t>评审标准</w:t>
            </w:r>
          </w:p>
          <w:p>
            <w:pPr>
              <w:widowControl/>
              <w:ind w:firstLine="0" w:firstLineChars="0"/>
              <w:jc w:val="center"/>
              <w:rPr>
                <w:rFonts w:cs="宋体"/>
                <w:kern w:val="0"/>
                <w:szCs w:val="21"/>
              </w:rPr>
            </w:pPr>
            <w:r>
              <w:rPr>
                <w:rFonts w:hint="eastAsia" w:cs="宋体"/>
                <w:kern w:val="0"/>
                <w:szCs w:val="21"/>
              </w:rPr>
              <w:t>（30分）</w:t>
            </w:r>
          </w:p>
        </w:tc>
        <w:tc>
          <w:tcPr>
            <w:tcW w:w="1502" w:type="dxa"/>
            <w:tcBorders>
              <w:top w:val="single" w:color="auto" w:sz="4" w:space="0"/>
              <w:left w:val="single" w:color="auto" w:sz="4" w:space="0"/>
              <w:bottom w:val="single" w:color="000000" w:sz="4" w:space="0"/>
              <w:right w:val="single" w:color="auto" w:sz="4" w:space="0"/>
            </w:tcBorders>
            <w:vAlign w:val="center"/>
          </w:tcPr>
          <w:p>
            <w:pPr>
              <w:adjustRightInd w:val="0"/>
              <w:ind w:firstLine="0" w:firstLineChars="0"/>
              <w:jc w:val="center"/>
              <w:rPr>
                <w:rFonts w:cs="宋体"/>
                <w:kern w:val="0"/>
                <w:szCs w:val="21"/>
              </w:rPr>
            </w:pPr>
            <w:r>
              <w:rPr>
                <w:rFonts w:cs="宋体"/>
                <w:kern w:val="0"/>
                <w:szCs w:val="21"/>
              </w:rPr>
              <w:t>企业实力</w:t>
            </w:r>
          </w:p>
          <w:p>
            <w:pPr>
              <w:adjustRightInd w:val="0"/>
              <w:ind w:firstLine="0" w:firstLineChars="0"/>
              <w:jc w:val="center"/>
              <w:rPr>
                <w:rFonts w:cs="宋体"/>
                <w:kern w:val="0"/>
                <w:szCs w:val="21"/>
              </w:rPr>
            </w:pPr>
            <w:r>
              <w:rPr>
                <w:rFonts w:cs="宋体"/>
                <w:kern w:val="0"/>
                <w:szCs w:val="21"/>
              </w:rPr>
              <w:t>（</w:t>
            </w:r>
            <w:r>
              <w:rPr>
                <w:rFonts w:hint="eastAsia" w:cs="宋体"/>
                <w:kern w:val="0"/>
                <w:szCs w:val="21"/>
              </w:rPr>
              <w:t>9</w:t>
            </w:r>
            <w:r>
              <w:rPr>
                <w:rFonts w:cs="宋体"/>
                <w:kern w:val="0"/>
                <w:szCs w:val="21"/>
              </w:rPr>
              <w:t>分）</w:t>
            </w:r>
          </w:p>
        </w:tc>
        <w:tc>
          <w:tcPr>
            <w:tcW w:w="5628" w:type="dxa"/>
            <w:tcBorders>
              <w:top w:val="single" w:color="auto" w:sz="4" w:space="0"/>
              <w:left w:val="single" w:color="auto" w:sz="4" w:space="0"/>
              <w:bottom w:val="single" w:color="000000" w:sz="4" w:space="0"/>
            </w:tcBorders>
            <w:vAlign w:val="center"/>
          </w:tcPr>
          <w:p>
            <w:pPr>
              <w:widowControl/>
              <w:ind w:firstLine="0" w:firstLineChars="0"/>
              <w:jc w:val="both"/>
              <w:rPr>
                <w:rFonts w:cs="宋体"/>
                <w:szCs w:val="21"/>
                <w:lang w:val="zh-CN"/>
              </w:rPr>
            </w:pPr>
            <w:r>
              <w:rPr>
                <w:rFonts w:hint="eastAsia" w:cs="宋体"/>
                <w:szCs w:val="21"/>
                <w:lang w:val="zh-CN"/>
              </w:rPr>
              <w:t>1.企业荣誉：投标人2019年1月1日以来获得省（部）级行政部门或其委托的同级监理协会颁发的先进（优秀）监理企业荣誉的得1.5分，市级得1分，没有不得分，同一种荣誉称号以级别最高奖项得分，此项最多得3分。投标文件中附获奖证书或文件原件扫描件。</w:t>
            </w:r>
          </w:p>
          <w:p>
            <w:pPr>
              <w:widowControl/>
              <w:ind w:firstLine="0" w:firstLineChars="0"/>
              <w:jc w:val="both"/>
              <w:rPr>
                <w:rFonts w:cs="宋体"/>
                <w:szCs w:val="21"/>
                <w:lang w:val="zh-CN"/>
              </w:rPr>
            </w:pPr>
            <w:r>
              <w:rPr>
                <w:rFonts w:hint="eastAsia" w:cs="宋体"/>
                <w:szCs w:val="21"/>
                <w:lang w:val="zh-CN"/>
              </w:rPr>
              <w:t>2.企业获得过AAA信用等级证书且在有效期内的得3分。投标文件中附信用等级证书及信用报告原件扫描件。</w:t>
            </w:r>
          </w:p>
          <w:p>
            <w:pPr>
              <w:widowControl/>
              <w:ind w:firstLine="0" w:firstLineChars="0"/>
              <w:jc w:val="both"/>
              <w:rPr>
                <w:rFonts w:cs="宋体"/>
                <w:szCs w:val="21"/>
              </w:rPr>
            </w:pPr>
            <w:r>
              <w:rPr>
                <w:rFonts w:hint="eastAsia" w:cs="宋体"/>
                <w:szCs w:val="21"/>
                <w:lang w:val="zh-CN"/>
              </w:rPr>
              <w:t>3.投标人通过质量、环境、职业健康管理体系认证三证齐全且在有效期内得3分，缺项不得分。以证书有效期为准，投标文件中附证书原件扫描件。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433" w:hRule="atLeast"/>
          <w:jc w:val="center"/>
        </w:trPr>
        <w:tc>
          <w:tcPr>
            <w:tcW w:w="1060" w:type="dxa"/>
            <w:vMerge w:val="continue"/>
            <w:tcBorders>
              <w:top w:val="single" w:color="auto" w:sz="4" w:space="0"/>
              <w:bottom w:val="single" w:color="auto" w:sz="4" w:space="0"/>
              <w:right w:val="single" w:color="auto" w:sz="4" w:space="0"/>
            </w:tcBorders>
            <w:vAlign w:val="center"/>
          </w:tcPr>
          <w:p>
            <w:pPr>
              <w:adjustRightInd w:val="0"/>
              <w:ind w:firstLine="0" w:firstLineChars="0"/>
              <w:jc w:val="center"/>
              <w:rPr>
                <w:rFonts w:cs="宋体"/>
                <w:kern w:val="0"/>
                <w:szCs w:val="21"/>
              </w:rPr>
            </w:pPr>
          </w:p>
        </w:tc>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kern w:val="0"/>
                <w:szCs w:val="21"/>
              </w:rPr>
            </w:pPr>
          </w:p>
        </w:tc>
        <w:tc>
          <w:tcPr>
            <w:tcW w:w="1502" w:type="dxa"/>
            <w:tcBorders>
              <w:top w:val="single" w:color="000000" w:sz="4" w:space="0"/>
              <w:left w:val="single" w:color="auto" w:sz="4" w:space="0"/>
              <w:bottom w:val="single" w:color="auto" w:sz="4" w:space="0"/>
              <w:right w:val="single" w:color="auto" w:sz="4" w:space="0"/>
            </w:tcBorders>
            <w:vAlign w:val="center"/>
          </w:tcPr>
          <w:p>
            <w:pPr>
              <w:adjustRightInd w:val="0"/>
              <w:ind w:firstLine="0" w:firstLineChars="0"/>
              <w:jc w:val="center"/>
              <w:rPr>
                <w:rFonts w:cs="宋体"/>
                <w:kern w:val="0"/>
                <w:szCs w:val="21"/>
              </w:rPr>
            </w:pPr>
            <w:r>
              <w:rPr>
                <w:rFonts w:hint="eastAsia" w:cs="宋体"/>
                <w:kern w:val="0"/>
                <w:szCs w:val="21"/>
              </w:rPr>
              <w:t>拟投入现场监理人员配置</w:t>
            </w:r>
          </w:p>
          <w:p>
            <w:pPr>
              <w:adjustRightInd w:val="0"/>
              <w:ind w:firstLine="0" w:firstLineChars="0"/>
              <w:jc w:val="center"/>
              <w:rPr>
                <w:rFonts w:cs="宋体"/>
                <w:kern w:val="0"/>
                <w:szCs w:val="21"/>
              </w:rPr>
            </w:pPr>
            <w:r>
              <w:rPr>
                <w:rFonts w:hint="eastAsia" w:cs="宋体"/>
                <w:kern w:val="0"/>
                <w:szCs w:val="21"/>
              </w:rPr>
              <w:t>（6分）</w:t>
            </w:r>
          </w:p>
        </w:tc>
        <w:tc>
          <w:tcPr>
            <w:tcW w:w="5628" w:type="dxa"/>
            <w:tcBorders>
              <w:top w:val="single" w:color="000000" w:sz="4" w:space="0"/>
              <w:left w:val="single" w:color="auto" w:sz="4" w:space="0"/>
              <w:bottom w:val="single" w:color="auto" w:sz="4" w:space="0"/>
            </w:tcBorders>
            <w:vAlign w:val="center"/>
          </w:tcPr>
          <w:p>
            <w:pPr>
              <w:widowControl/>
              <w:ind w:firstLine="0" w:firstLineChars="0"/>
              <w:jc w:val="both"/>
              <w:rPr>
                <w:rFonts w:cs="宋体"/>
                <w:szCs w:val="21"/>
                <w:lang w:val="zh-CN"/>
              </w:rPr>
            </w:pPr>
            <w:r>
              <w:rPr>
                <w:rFonts w:hint="eastAsia" w:cs="宋体"/>
                <w:szCs w:val="21"/>
                <w:lang w:val="zh-CN"/>
              </w:rPr>
              <w:t>（</w:t>
            </w:r>
            <w:r>
              <w:rPr>
                <w:rFonts w:hint="eastAsia" w:cs="宋体"/>
                <w:szCs w:val="21"/>
              </w:rPr>
              <w:t>1</w:t>
            </w:r>
            <w:r>
              <w:rPr>
                <w:rFonts w:hint="eastAsia" w:cs="宋体"/>
                <w:szCs w:val="21"/>
                <w:lang w:val="zh-CN"/>
              </w:rPr>
              <w:t>）现场监理人员（不含总监）每具有一个工程系列高级工程师职称或注册监理工程师的得1分，最多得</w:t>
            </w:r>
            <w:r>
              <w:rPr>
                <w:rFonts w:hint="eastAsia" w:cs="宋体"/>
                <w:szCs w:val="21"/>
              </w:rPr>
              <w:t>3</w:t>
            </w:r>
            <w:r>
              <w:rPr>
                <w:rFonts w:hint="eastAsia" w:cs="宋体"/>
                <w:szCs w:val="21"/>
                <w:lang w:val="zh-CN"/>
              </w:rPr>
              <w:t>分；</w:t>
            </w:r>
          </w:p>
          <w:p>
            <w:pPr>
              <w:widowControl/>
              <w:ind w:firstLine="0" w:firstLineChars="0"/>
              <w:jc w:val="both"/>
              <w:rPr>
                <w:rFonts w:cs="宋体"/>
                <w:szCs w:val="21"/>
                <w:lang w:val="zh-CN"/>
              </w:rPr>
            </w:pPr>
            <w:r>
              <w:rPr>
                <w:rFonts w:hint="eastAsia" w:cs="宋体"/>
                <w:szCs w:val="21"/>
                <w:lang w:val="zh-CN"/>
              </w:rPr>
              <w:t>（2）造价控制人员（非总监）具有注册一级造价工程师的得1分；</w:t>
            </w:r>
          </w:p>
          <w:p>
            <w:pPr>
              <w:widowControl/>
              <w:ind w:firstLine="0" w:firstLineChars="0"/>
              <w:jc w:val="both"/>
              <w:rPr>
                <w:rFonts w:cs="宋体"/>
                <w:szCs w:val="21"/>
                <w:lang w:val="zh-CN"/>
              </w:rPr>
            </w:pPr>
            <w:r>
              <w:rPr>
                <w:rFonts w:hint="eastAsia" w:cs="宋体"/>
                <w:szCs w:val="21"/>
                <w:lang w:val="zh-CN"/>
              </w:rPr>
              <w:t>（3）现场监理人员专业配置齐全，专业配置包括土建、给排水、电气、</w:t>
            </w:r>
            <w:r>
              <w:rPr>
                <w:rFonts w:hint="eastAsia" w:cs="宋体"/>
                <w:szCs w:val="21"/>
              </w:rPr>
              <w:t>暖通</w:t>
            </w:r>
            <w:r>
              <w:rPr>
                <w:rFonts w:hint="eastAsia" w:cs="宋体"/>
                <w:szCs w:val="21"/>
                <w:lang w:val="zh-CN"/>
              </w:rPr>
              <w:t>、造价等专业的得</w:t>
            </w:r>
            <w:r>
              <w:rPr>
                <w:rFonts w:hint="eastAsia" w:cs="宋体"/>
                <w:szCs w:val="21"/>
              </w:rPr>
              <w:t>2</w:t>
            </w:r>
            <w:r>
              <w:rPr>
                <w:rFonts w:hint="eastAsia" w:cs="宋体"/>
                <w:szCs w:val="21"/>
                <w:lang w:val="zh-CN"/>
              </w:rPr>
              <w:t>分，专业不齐全</w:t>
            </w:r>
            <w:r>
              <w:rPr>
                <w:rFonts w:hint="eastAsia" w:cs="宋体"/>
                <w:szCs w:val="21"/>
              </w:rPr>
              <w:t>不得分</w:t>
            </w:r>
            <w:r>
              <w:rPr>
                <w:rFonts w:hint="eastAsia" w:cs="宋体"/>
                <w:szCs w:val="21"/>
                <w:lang w:val="zh-CN"/>
              </w:rPr>
              <w:t>；</w:t>
            </w:r>
          </w:p>
          <w:p>
            <w:pPr>
              <w:widowControl/>
              <w:ind w:firstLine="0" w:firstLineChars="0"/>
              <w:jc w:val="both"/>
              <w:rPr>
                <w:rFonts w:cs="宋体"/>
                <w:szCs w:val="21"/>
                <w:lang w:val="zh-CN"/>
              </w:rPr>
            </w:pPr>
            <w:r>
              <w:rPr>
                <w:rFonts w:hint="eastAsia" w:cs="宋体"/>
                <w:szCs w:val="21"/>
                <w:lang w:val="zh-CN"/>
              </w:rPr>
              <w:t>现场监理人员必须为投标人现有在职人员，同一人</w:t>
            </w:r>
            <w:r>
              <w:rPr>
                <w:rFonts w:hint="eastAsia" w:cs="宋体"/>
                <w:szCs w:val="21"/>
              </w:rPr>
              <w:t>员</w:t>
            </w:r>
            <w:r>
              <w:rPr>
                <w:rFonts w:hint="eastAsia" w:cs="宋体"/>
                <w:szCs w:val="21"/>
                <w:lang w:val="zh-CN"/>
              </w:rPr>
              <w:t>具有多个证书的按1个证书计算。</w:t>
            </w:r>
          </w:p>
          <w:p>
            <w:pPr>
              <w:widowControl/>
              <w:ind w:firstLine="0" w:firstLineChars="0"/>
              <w:jc w:val="both"/>
              <w:rPr>
                <w:rFonts w:cs="宋体"/>
                <w:szCs w:val="21"/>
                <w:lang w:val="zh-CN"/>
              </w:rPr>
            </w:pPr>
            <w:r>
              <w:rPr>
                <w:rFonts w:hint="eastAsia" w:cs="宋体"/>
                <w:szCs w:val="21"/>
                <w:lang w:val="zh-CN"/>
              </w:rPr>
              <w:t>备注：上述人员须提供有关证书（职称证或岗位证或注册证等）及社保证明。</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433" w:hRule="atLeast"/>
          <w:jc w:val="center"/>
        </w:trPr>
        <w:tc>
          <w:tcPr>
            <w:tcW w:w="1060" w:type="dxa"/>
            <w:vMerge w:val="continue"/>
            <w:tcBorders>
              <w:top w:val="single" w:color="auto" w:sz="4" w:space="0"/>
              <w:bottom w:val="single" w:color="auto" w:sz="4" w:space="0"/>
              <w:right w:val="single" w:color="auto" w:sz="4" w:space="0"/>
            </w:tcBorders>
            <w:vAlign w:val="center"/>
          </w:tcPr>
          <w:p>
            <w:pPr>
              <w:adjustRightInd w:val="0"/>
              <w:ind w:firstLine="0" w:firstLineChars="0"/>
              <w:jc w:val="center"/>
              <w:rPr>
                <w:rFonts w:cs="宋体"/>
                <w:kern w:val="0"/>
                <w:szCs w:val="21"/>
              </w:rPr>
            </w:pPr>
          </w:p>
        </w:tc>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sz w:val="24"/>
                <w:szCs w:val="24"/>
              </w:rPr>
            </w:pPr>
          </w:p>
        </w:tc>
        <w:tc>
          <w:tcPr>
            <w:tcW w:w="1502" w:type="dxa"/>
            <w:tcBorders>
              <w:top w:val="single" w:color="auto" w:sz="4" w:space="0"/>
              <w:left w:val="single" w:color="auto" w:sz="4" w:space="0"/>
              <w:bottom w:val="single" w:color="000000" w:sz="4" w:space="0"/>
              <w:right w:val="single" w:color="auto" w:sz="4" w:space="0"/>
            </w:tcBorders>
            <w:vAlign w:val="center"/>
          </w:tcPr>
          <w:p>
            <w:pPr>
              <w:adjustRightInd w:val="0"/>
              <w:ind w:firstLine="0" w:firstLineChars="0"/>
              <w:jc w:val="center"/>
              <w:rPr>
                <w:rFonts w:cs="宋体"/>
                <w:kern w:val="0"/>
                <w:szCs w:val="21"/>
              </w:rPr>
            </w:pPr>
            <w:r>
              <w:rPr>
                <w:rFonts w:hint="eastAsia" w:cs="宋体"/>
                <w:kern w:val="0"/>
                <w:szCs w:val="21"/>
              </w:rPr>
              <w:t>企业业绩</w:t>
            </w:r>
          </w:p>
          <w:p>
            <w:pPr>
              <w:adjustRightInd w:val="0"/>
              <w:ind w:firstLine="0" w:firstLineChars="0"/>
              <w:jc w:val="center"/>
              <w:rPr>
                <w:rFonts w:cs="宋体"/>
                <w:kern w:val="0"/>
                <w:szCs w:val="21"/>
              </w:rPr>
            </w:pPr>
            <w:r>
              <w:rPr>
                <w:rFonts w:hint="eastAsia" w:cs="宋体"/>
                <w:kern w:val="0"/>
                <w:szCs w:val="21"/>
              </w:rPr>
              <w:t>（5分）</w:t>
            </w:r>
          </w:p>
        </w:tc>
        <w:tc>
          <w:tcPr>
            <w:tcW w:w="5628" w:type="dxa"/>
            <w:tcBorders>
              <w:top w:val="single" w:color="auto" w:sz="4" w:space="0"/>
              <w:left w:val="single" w:color="auto" w:sz="4" w:space="0"/>
              <w:bottom w:val="single" w:color="000000" w:sz="4" w:space="0"/>
            </w:tcBorders>
            <w:vAlign w:val="center"/>
          </w:tcPr>
          <w:p>
            <w:pPr>
              <w:widowControl/>
              <w:ind w:firstLine="0" w:firstLineChars="0"/>
              <w:jc w:val="both"/>
              <w:rPr>
                <w:rFonts w:cs="宋体"/>
                <w:szCs w:val="21"/>
              </w:rPr>
            </w:pPr>
            <w:r>
              <w:rPr>
                <w:rFonts w:hint="eastAsia" w:cs="宋体"/>
                <w:szCs w:val="21"/>
              </w:rPr>
              <w:t>2020年1月1日以来，投标人签订的类似项目业绩合同，每提供1份业绩合同得2.5分，最多得5分。投标文件中附业绩中标通知书、合同协议书扫描件或复印件，否则不得分。</w:t>
            </w:r>
          </w:p>
          <w:p>
            <w:pPr>
              <w:widowControl/>
              <w:ind w:firstLine="0" w:firstLineChars="0"/>
              <w:jc w:val="both"/>
              <w:rPr>
                <w:rFonts w:cs="宋体"/>
                <w:szCs w:val="21"/>
              </w:rPr>
            </w:pPr>
            <w:r>
              <w:rPr>
                <w:rFonts w:hint="eastAsia" w:cs="宋体"/>
                <w:szCs w:val="21"/>
              </w:rPr>
              <w:t>注：企业业绩与投标人资格条件（业绩要求）、拟派总监理工程师业绩不重复计算。</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433" w:hRule="atLeast"/>
          <w:jc w:val="center"/>
        </w:trPr>
        <w:tc>
          <w:tcPr>
            <w:tcW w:w="1060" w:type="dxa"/>
            <w:vMerge w:val="continue"/>
            <w:tcBorders>
              <w:top w:val="single" w:color="auto" w:sz="4" w:space="0"/>
              <w:bottom w:val="single" w:color="auto" w:sz="4" w:space="0"/>
              <w:right w:val="single" w:color="auto" w:sz="4" w:space="0"/>
            </w:tcBorders>
            <w:vAlign w:val="center"/>
          </w:tcPr>
          <w:p>
            <w:pPr>
              <w:adjustRightInd w:val="0"/>
              <w:ind w:firstLine="0" w:firstLineChars="0"/>
              <w:jc w:val="center"/>
              <w:rPr>
                <w:rFonts w:cs="宋体"/>
                <w:kern w:val="0"/>
                <w:szCs w:val="21"/>
              </w:rPr>
            </w:pPr>
          </w:p>
        </w:tc>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sz w:val="24"/>
                <w:szCs w:val="24"/>
              </w:rPr>
            </w:pPr>
          </w:p>
        </w:tc>
        <w:tc>
          <w:tcPr>
            <w:tcW w:w="1502" w:type="dxa"/>
            <w:vMerge w:val="restart"/>
            <w:tcBorders>
              <w:top w:val="single" w:color="000000" w:sz="4" w:space="0"/>
              <w:left w:val="single" w:color="auto" w:sz="4" w:space="0"/>
              <w:bottom w:val="single" w:color="auto" w:sz="4" w:space="0"/>
              <w:right w:val="single" w:color="auto" w:sz="4" w:space="0"/>
            </w:tcBorders>
            <w:vAlign w:val="center"/>
          </w:tcPr>
          <w:p>
            <w:pPr>
              <w:adjustRightInd w:val="0"/>
              <w:ind w:firstLine="0" w:firstLineChars="0"/>
              <w:jc w:val="center"/>
              <w:rPr>
                <w:rFonts w:cs="宋体"/>
                <w:kern w:val="0"/>
                <w:szCs w:val="21"/>
              </w:rPr>
            </w:pPr>
            <w:r>
              <w:rPr>
                <w:rFonts w:hint="eastAsia" w:cs="宋体"/>
                <w:kern w:val="0"/>
                <w:szCs w:val="21"/>
              </w:rPr>
              <w:t>服务承诺</w:t>
            </w:r>
          </w:p>
          <w:p>
            <w:pPr>
              <w:adjustRightInd w:val="0"/>
              <w:ind w:firstLine="0" w:firstLineChars="0"/>
              <w:jc w:val="center"/>
              <w:rPr>
                <w:rFonts w:cs="宋体"/>
                <w:kern w:val="0"/>
                <w:szCs w:val="21"/>
              </w:rPr>
            </w:pPr>
            <w:r>
              <w:rPr>
                <w:rFonts w:hint="eastAsia" w:cs="宋体"/>
                <w:kern w:val="0"/>
                <w:szCs w:val="21"/>
              </w:rPr>
              <w:t>（10分）</w:t>
            </w:r>
          </w:p>
        </w:tc>
        <w:tc>
          <w:tcPr>
            <w:tcW w:w="5628" w:type="dxa"/>
            <w:tcBorders>
              <w:top w:val="single" w:color="000000" w:sz="4" w:space="0"/>
              <w:left w:val="single" w:color="auto" w:sz="4" w:space="0"/>
              <w:bottom w:val="single" w:color="000000" w:sz="4" w:space="0"/>
            </w:tcBorders>
            <w:vAlign w:val="center"/>
          </w:tcPr>
          <w:p>
            <w:pPr>
              <w:widowControl/>
              <w:ind w:firstLine="0" w:firstLineChars="0"/>
              <w:jc w:val="both"/>
              <w:rPr>
                <w:rFonts w:cs="宋体"/>
                <w:szCs w:val="21"/>
              </w:rPr>
            </w:pPr>
            <w:r>
              <w:rPr>
                <w:rFonts w:hint="eastAsia" w:cs="宋体"/>
                <w:szCs w:val="21"/>
              </w:rPr>
              <w:t>1.根据投标人提供的驻场服务承诺（6分）</w:t>
            </w:r>
          </w:p>
          <w:p>
            <w:pPr>
              <w:widowControl/>
              <w:ind w:firstLine="0" w:firstLineChars="0"/>
              <w:jc w:val="both"/>
              <w:rPr>
                <w:rFonts w:cs="宋体"/>
                <w:szCs w:val="21"/>
              </w:rPr>
            </w:pPr>
            <w:r>
              <w:rPr>
                <w:rFonts w:hint="eastAsia" w:cs="宋体"/>
                <w:szCs w:val="21"/>
              </w:rPr>
              <w:t>①驻场服务工作时间（不少于8小时/日）；</w:t>
            </w:r>
          </w:p>
          <w:p>
            <w:pPr>
              <w:widowControl/>
              <w:ind w:firstLine="0" w:firstLineChars="0"/>
              <w:jc w:val="both"/>
              <w:rPr>
                <w:rFonts w:cs="宋体"/>
                <w:szCs w:val="21"/>
                <w:highlight w:val="none"/>
              </w:rPr>
            </w:pPr>
            <w:r>
              <w:rPr>
                <w:rFonts w:hint="eastAsia" w:cs="宋体"/>
                <w:szCs w:val="21"/>
                <w:highlight w:val="none"/>
              </w:rPr>
              <w:t>②明确驻场人员数量以及拟投入团队配置BIM技术人员；</w:t>
            </w:r>
          </w:p>
          <w:p>
            <w:pPr>
              <w:widowControl/>
              <w:ind w:firstLine="0" w:firstLineChars="0"/>
              <w:jc w:val="both"/>
              <w:rPr>
                <w:rFonts w:cs="宋体"/>
                <w:szCs w:val="21"/>
                <w:highlight w:val="none"/>
              </w:rPr>
            </w:pPr>
            <w:r>
              <w:rPr>
                <w:rFonts w:hint="eastAsia" w:cs="宋体"/>
                <w:szCs w:val="21"/>
                <w:highlight w:val="none"/>
              </w:rPr>
              <w:t>③承诺免费提供三项投资额</w:t>
            </w:r>
            <w:r>
              <w:rPr>
                <w:rFonts w:cs="宋体"/>
                <w:szCs w:val="21"/>
                <w:highlight w:val="none"/>
              </w:rPr>
              <w:t>200万元以下的项目监理服务</w:t>
            </w:r>
            <w:r>
              <w:rPr>
                <w:rFonts w:hint="eastAsia" w:cs="宋体"/>
                <w:szCs w:val="21"/>
                <w:highlight w:val="none"/>
              </w:rPr>
              <w:t>。</w:t>
            </w:r>
          </w:p>
          <w:p>
            <w:pPr>
              <w:widowControl/>
              <w:ind w:firstLine="0" w:firstLineChars="0"/>
              <w:jc w:val="both"/>
              <w:rPr>
                <w:rFonts w:cs="宋体"/>
                <w:szCs w:val="21"/>
              </w:rPr>
            </w:pPr>
            <w:r>
              <w:rPr>
                <w:rFonts w:hint="eastAsia" w:cs="宋体"/>
                <w:szCs w:val="21"/>
              </w:rPr>
              <w:t>投标人根据上述三项内容</w:t>
            </w:r>
            <w:bookmarkStart w:id="500" w:name="_GoBack"/>
            <w:bookmarkEnd w:id="500"/>
            <w:r>
              <w:rPr>
                <w:rFonts w:hint="eastAsia" w:cs="宋体"/>
                <w:szCs w:val="21"/>
              </w:rPr>
              <w:t>承诺，依据服务承诺内容是否响应、具体全面等情况进行综合打分；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433" w:hRule="atLeast"/>
          <w:jc w:val="center"/>
        </w:trPr>
        <w:tc>
          <w:tcPr>
            <w:tcW w:w="1060" w:type="dxa"/>
            <w:vMerge w:val="continue"/>
            <w:tcBorders>
              <w:top w:val="single" w:color="auto" w:sz="4" w:space="0"/>
              <w:bottom w:val="single" w:color="auto" w:sz="4" w:space="0"/>
              <w:right w:val="single" w:color="auto" w:sz="4" w:space="0"/>
            </w:tcBorders>
            <w:vAlign w:val="center"/>
          </w:tcPr>
          <w:p>
            <w:pPr>
              <w:adjustRightInd w:val="0"/>
              <w:ind w:firstLine="0" w:firstLineChars="0"/>
              <w:jc w:val="center"/>
              <w:rPr>
                <w:rFonts w:cs="宋体"/>
                <w:kern w:val="0"/>
                <w:szCs w:val="21"/>
              </w:rPr>
            </w:pPr>
          </w:p>
        </w:tc>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sz w:val="24"/>
                <w:szCs w:val="24"/>
              </w:rPr>
            </w:pP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cs="宋体"/>
              </w:rPr>
            </w:pPr>
          </w:p>
        </w:tc>
        <w:tc>
          <w:tcPr>
            <w:tcW w:w="5628" w:type="dxa"/>
            <w:tcBorders>
              <w:top w:val="single" w:color="000000" w:sz="4" w:space="0"/>
              <w:left w:val="single" w:color="auto" w:sz="4" w:space="0"/>
              <w:bottom w:val="single" w:color="000000" w:sz="4" w:space="0"/>
            </w:tcBorders>
            <w:vAlign w:val="center"/>
          </w:tcPr>
          <w:p>
            <w:pPr>
              <w:widowControl/>
              <w:ind w:firstLine="0" w:firstLineChars="0"/>
              <w:jc w:val="both"/>
              <w:rPr>
                <w:rFonts w:cs="宋体"/>
                <w:szCs w:val="21"/>
              </w:rPr>
            </w:pPr>
            <w:r>
              <w:rPr>
                <w:rFonts w:hint="eastAsia" w:cs="宋体"/>
                <w:szCs w:val="21"/>
              </w:rPr>
              <w:t>2.其他实质性服务承诺方案（4分）</w:t>
            </w:r>
          </w:p>
          <w:p>
            <w:pPr>
              <w:widowControl/>
              <w:ind w:firstLine="0" w:firstLineChars="0"/>
              <w:jc w:val="both"/>
              <w:rPr>
                <w:rFonts w:cs="宋体"/>
                <w:szCs w:val="21"/>
              </w:rPr>
            </w:pPr>
            <w:r>
              <w:rPr>
                <w:rFonts w:hint="eastAsia" w:cs="宋体"/>
                <w:szCs w:val="21"/>
              </w:rPr>
              <w:t>投标人提供的针对本项目的其他实质性优惠服务承诺方案，依据服务承诺方案的可行性、保障是否全面等情况进行综合评价后打分。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57" w:type="dxa"/>
            <w:bottom w:w="0" w:type="dxa"/>
            <w:right w:w="57" w:type="dxa"/>
          </w:tblCellMar>
        </w:tblPrEx>
        <w:trPr>
          <w:trHeight w:val="472" w:hRule="atLeast"/>
          <w:jc w:val="center"/>
        </w:trPr>
        <w:tc>
          <w:tcPr>
            <w:tcW w:w="1060" w:type="dxa"/>
            <w:vMerge w:val="continue"/>
            <w:tcBorders>
              <w:top w:val="single" w:color="auto" w:sz="4" w:space="0"/>
              <w:right w:val="single" w:color="auto" w:sz="4" w:space="0"/>
            </w:tcBorders>
            <w:vAlign w:val="center"/>
          </w:tcPr>
          <w:p>
            <w:pPr>
              <w:pStyle w:val="7"/>
              <w:ind w:left="0" w:firstLine="0" w:firstLineChars="0"/>
              <w:jc w:val="center"/>
              <w:rPr>
                <w:rFonts w:cs="宋体"/>
              </w:rPr>
            </w:pPr>
          </w:p>
        </w:tc>
        <w:tc>
          <w:tcPr>
            <w:tcW w:w="1107" w:type="dxa"/>
            <w:vMerge w:val="continue"/>
            <w:tcBorders>
              <w:top w:val="single" w:color="auto" w:sz="4" w:space="0"/>
              <w:left w:val="single" w:color="auto" w:sz="4" w:space="0"/>
              <w:right w:val="single" w:color="auto" w:sz="4" w:space="0"/>
            </w:tcBorders>
            <w:vAlign w:val="center"/>
          </w:tcPr>
          <w:p>
            <w:pPr>
              <w:pStyle w:val="7"/>
              <w:ind w:left="0" w:firstLine="0" w:firstLineChars="0"/>
              <w:jc w:val="center"/>
              <w:rPr>
                <w:rFonts w:cs="宋体"/>
                <w:b/>
                <w:bCs/>
                <w:kern w:val="0"/>
                <w:szCs w:val="21"/>
              </w:rPr>
            </w:pPr>
          </w:p>
        </w:tc>
        <w:tc>
          <w:tcPr>
            <w:tcW w:w="7130" w:type="dxa"/>
            <w:gridSpan w:val="2"/>
            <w:tcBorders>
              <w:top w:val="single" w:color="000000" w:sz="4" w:space="0"/>
              <w:left w:val="single" w:color="auto" w:sz="4" w:space="0"/>
            </w:tcBorders>
            <w:vAlign w:val="center"/>
          </w:tcPr>
          <w:p>
            <w:pPr>
              <w:pStyle w:val="7"/>
              <w:ind w:left="0" w:firstLine="0" w:firstLineChars="0"/>
              <w:jc w:val="center"/>
              <w:rPr>
                <w:rFonts w:cs="宋体"/>
                <w:b/>
                <w:bCs/>
                <w:kern w:val="0"/>
                <w:szCs w:val="21"/>
              </w:rPr>
            </w:pPr>
            <w:r>
              <w:rPr>
                <w:rFonts w:hint="eastAsia" w:cs="宋体"/>
                <w:b/>
                <w:bCs/>
                <w:kern w:val="0"/>
                <w:szCs w:val="21"/>
              </w:rPr>
              <w:t>备注：上述评审项如有缺项，则该项为0分。</w:t>
            </w:r>
          </w:p>
        </w:tc>
      </w:tr>
    </w:tbl>
    <w:p>
      <w:pPr>
        <w:ind w:firstLine="0" w:firstLineChars="0"/>
        <w:rPr>
          <w:rFonts w:cs="宋体"/>
          <w:szCs w:val="21"/>
        </w:rPr>
      </w:pPr>
      <w:bookmarkStart w:id="362" w:name="_Toc29597"/>
      <w:bookmarkStart w:id="363" w:name="_Toc29"/>
      <w:r>
        <w:rPr>
          <w:rFonts w:hint="eastAsia" w:cs="宋体"/>
          <w:szCs w:val="21"/>
        </w:rPr>
        <w:br w:type="page"/>
      </w:r>
    </w:p>
    <w:p>
      <w:pPr>
        <w:pStyle w:val="3"/>
      </w:pPr>
      <w:bookmarkStart w:id="364" w:name="_Toc152663953"/>
      <w:r>
        <w:rPr>
          <w:rFonts w:hint="eastAsia"/>
        </w:rPr>
        <w:t>1. 评标方法</w:t>
      </w:r>
      <w:bookmarkEnd w:id="362"/>
      <w:bookmarkEnd w:id="363"/>
      <w:bookmarkEnd w:id="364"/>
    </w:p>
    <w:p>
      <w:pPr>
        <w:ind w:firstLine="420"/>
      </w:pPr>
      <w:r>
        <w:rPr>
          <w:rFonts w:hint="eastAsia"/>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pPr>
        <w:pStyle w:val="3"/>
      </w:pPr>
      <w:bookmarkStart w:id="365" w:name="_Toc152663954"/>
      <w:bookmarkStart w:id="366" w:name="_Toc12751"/>
      <w:bookmarkStart w:id="367" w:name="_Toc10387"/>
      <w:r>
        <w:rPr>
          <w:rFonts w:hint="eastAsia"/>
        </w:rPr>
        <w:t>2. 评审标准</w:t>
      </w:r>
      <w:bookmarkEnd w:id="365"/>
      <w:bookmarkEnd w:id="366"/>
      <w:bookmarkEnd w:id="367"/>
    </w:p>
    <w:p>
      <w:pPr>
        <w:pStyle w:val="4"/>
      </w:pPr>
      <w:bookmarkStart w:id="368" w:name="_Toc25042"/>
      <w:bookmarkStart w:id="369" w:name="_Toc10244"/>
      <w:bookmarkStart w:id="370" w:name="_Toc152663955"/>
      <w:bookmarkStart w:id="371" w:name="_Toc32073"/>
      <w:bookmarkStart w:id="372" w:name="_Toc30901"/>
      <w:bookmarkStart w:id="373" w:name="_Toc4694"/>
      <w:r>
        <w:rPr>
          <w:rFonts w:hint="eastAsia"/>
        </w:rPr>
        <w:t>2.1 初步评审标准</w:t>
      </w:r>
      <w:bookmarkEnd w:id="368"/>
      <w:bookmarkEnd w:id="369"/>
      <w:bookmarkEnd w:id="370"/>
      <w:bookmarkEnd w:id="371"/>
      <w:bookmarkEnd w:id="372"/>
      <w:bookmarkEnd w:id="373"/>
    </w:p>
    <w:p>
      <w:pPr>
        <w:ind w:firstLine="420"/>
      </w:pPr>
      <w:r>
        <w:rPr>
          <w:rFonts w:hint="eastAsia"/>
        </w:rPr>
        <w:t>2.1.1 形式评审标准：见评标办法前附表。</w:t>
      </w:r>
    </w:p>
    <w:p>
      <w:pPr>
        <w:ind w:firstLine="420"/>
      </w:pPr>
      <w:r>
        <w:rPr>
          <w:rFonts w:hint="eastAsia"/>
        </w:rPr>
        <w:t>2.1.2 资格评审标准：见评标办法前附表。</w:t>
      </w:r>
    </w:p>
    <w:p>
      <w:pPr>
        <w:ind w:firstLine="420"/>
      </w:pPr>
      <w:r>
        <w:rPr>
          <w:rFonts w:hint="eastAsia"/>
        </w:rPr>
        <w:t>2.1.3 响应性评审标准：见评标办法前附表。</w:t>
      </w:r>
    </w:p>
    <w:p>
      <w:pPr>
        <w:pStyle w:val="4"/>
      </w:pPr>
      <w:bookmarkStart w:id="374" w:name="_Toc152663956"/>
      <w:bookmarkStart w:id="375" w:name="_Toc31317"/>
      <w:bookmarkStart w:id="376" w:name="_Toc19791"/>
      <w:bookmarkStart w:id="377" w:name="_Toc30078"/>
      <w:bookmarkStart w:id="378" w:name="_Toc21997"/>
      <w:bookmarkStart w:id="379" w:name="_Toc1858"/>
      <w:r>
        <w:rPr>
          <w:rFonts w:hint="eastAsia"/>
        </w:rPr>
        <w:t>2.2 分值构成与评分标准</w:t>
      </w:r>
      <w:bookmarkEnd w:id="374"/>
      <w:bookmarkEnd w:id="375"/>
      <w:bookmarkEnd w:id="376"/>
      <w:bookmarkEnd w:id="377"/>
      <w:bookmarkEnd w:id="378"/>
      <w:bookmarkEnd w:id="379"/>
    </w:p>
    <w:p>
      <w:pPr>
        <w:ind w:firstLine="420"/>
      </w:pPr>
      <w:r>
        <w:rPr>
          <w:rFonts w:hint="eastAsia"/>
        </w:rPr>
        <w:t>2.2.1 分值构成</w:t>
      </w:r>
    </w:p>
    <w:p>
      <w:pPr>
        <w:ind w:firstLine="420"/>
      </w:pPr>
      <w:r>
        <w:rPr>
          <w:rFonts w:hint="eastAsia"/>
        </w:rPr>
        <w:t>（1）报价部分：见评标办法前附表；</w:t>
      </w:r>
    </w:p>
    <w:p>
      <w:pPr>
        <w:ind w:firstLine="420"/>
      </w:pPr>
      <w:r>
        <w:rPr>
          <w:rFonts w:hint="eastAsia"/>
        </w:rPr>
        <w:t>（2）监理大纲：见评标办法前附表；</w:t>
      </w:r>
    </w:p>
    <w:p>
      <w:pPr>
        <w:ind w:firstLine="420"/>
      </w:pPr>
      <w:r>
        <w:rPr>
          <w:rFonts w:hint="eastAsia"/>
        </w:rPr>
        <w:t>（3）商务部分：见评标办法前附表；</w:t>
      </w:r>
    </w:p>
    <w:p>
      <w:pPr>
        <w:ind w:firstLine="420"/>
      </w:pPr>
      <w:r>
        <w:rPr>
          <w:rFonts w:hint="eastAsia"/>
        </w:rPr>
        <w:t>2.2.2 评标基准价计算方法：见评标办法前附表。</w:t>
      </w:r>
    </w:p>
    <w:p>
      <w:pPr>
        <w:ind w:firstLine="420"/>
      </w:pPr>
      <w:r>
        <w:rPr>
          <w:rFonts w:hint="eastAsia"/>
        </w:rPr>
        <w:t>2.2.3 投标报价的偏差率计算公式：见评标办法前附表。</w:t>
      </w:r>
    </w:p>
    <w:p>
      <w:pPr>
        <w:ind w:firstLine="420"/>
      </w:pPr>
      <w:r>
        <w:rPr>
          <w:rFonts w:hint="eastAsia"/>
        </w:rPr>
        <w:t>2.2.4 评分标准</w:t>
      </w:r>
    </w:p>
    <w:p>
      <w:pPr>
        <w:ind w:firstLine="420"/>
      </w:pPr>
      <w:r>
        <w:rPr>
          <w:rFonts w:hint="eastAsia"/>
        </w:rPr>
        <w:t>（1）报价部分评审标准：见评标办法前附表；</w:t>
      </w:r>
    </w:p>
    <w:p>
      <w:pPr>
        <w:ind w:firstLine="420"/>
      </w:pPr>
      <w:r>
        <w:rPr>
          <w:rFonts w:hint="eastAsia"/>
        </w:rPr>
        <w:t>（2）监理大纲评审标准：见评标办法前附表；</w:t>
      </w:r>
    </w:p>
    <w:p>
      <w:pPr>
        <w:ind w:firstLine="420"/>
      </w:pPr>
      <w:r>
        <w:rPr>
          <w:rFonts w:hint="eastAsia"/>
        </w:rPr>
        <w:t>（3）商务部分评审标准：见评标办法前附表；</w:t>
      </w:r>
    </w:p>
    <w:p>
      <w:pPr>
        <w:pStyle w:val="3"/>
      </w:pPr>
      <w:bookmarkStart w:id="380" w:name="_Toc152663957"/>
      <w:bookmarkStart w:id="381" w:name="_Toc18662"/>
      <w:bookmarkStart w:id="382" w:name="_Toc16550"/>
      <w:r>
        <w:rPr>
          <w:rFonts w:hint="eastAsia"/>
        </w:rPr>
        <w:t>3. 评标程序</w:t>
      </w:r>
      <w:bookmarkEnd w:id="380"/>
      <w:bookmarkEnd w:id="381"/>
      <w:bookmarkEnd w:id="382"/>
    </w:p>
    <w:p>
      <w:pPr>
        <w:pStyle w:val="4"/>
      </w:pPr>
      <w:bookmarkStart w:id="383" w:name="_Toc26984"/>
      <w:bookmarkStart w:id="384" w:name="_Toc5907"/>
      <w:bookmarkStart w:id="385" w:name="_Toc5496"/>
      <w:bookmarkStart w:id="386" w:name="_Toc2391"/>
      <w:bookmarkStart w:id="387" w:name="_Toc30423"/>
      <w:bookmarkStart w:id="388" w:name="_Toc152663958"/>
      <w:r>
        <w:rPr>
          <w:rFonts w:hint="eastAsia"/>
        </w:rPr>
        <w:t>3.1 初步评审</w:t>
      </w:r>
      <w:bookmarkEnd w:id="383"/>
      <w:bookmarkEnd w:id="384"/>
      <w:bookmarkEnd w:id="385"/>
      <w:bookmarkEnd w:id="386"/>
      <w:bookmarkEnd w:id="387"/>
      <w:bookmarkEnd w:id="388"/>
    </w:p>
    <w:p>
      <w:pPr>
        <w:ind w:firstLine="420"/>
      </w:pPr>
      <w:r>
        <w:rPr>
          <w:rFonts w:hint="eastAsia"/>
        </w:rPr>
        <w:t>3.1.1 评标委员会依据本章第2.1款规定的标准对投标文件进行初步评审。有一项不符合评审标准的，评标委员会应当否决其投标。</w:t>
      </w:r>
    </w:p>
    <w:p>
      <w:pPr>
        <w:ind w:firstLine="420"/>
      </w:pPr>
      <w:r>
        <w:rPr>
          <w:rFonts w:hint="eastAsia"/>
        </w:rPr>
        <w:t>3.1.2 投标人有以下情形之一的，评标委员会应当否决其投标：</w:t>
      </w:r>
    </w:p>
    <w:p>
      <w:pPr>
        <w:ind w:firstLine="630" w:firstLineChars="300"/>
      </w:pPr>
      <w:r>
        <w:rPr>
          <w:rFonts w:hint="eastAsia"/>
        </w:rPr>
        <w:t>（1）投标文件没有对招标文件的实质性要求和条件作出响应，或者对招标文件的偏差超出招标文件规定的偏差范围或最高项数；</w:t>
      </w:r>
    </w:p>
    <w:p>
      <w:pPr>
        <w:ind w:firstLine="630" w:firstLineChars="300"/>
      </w:pPr>
      <w:r>
        <w:rPr>
          <w:rFonts w:hint="eastAsia"/>
        </w:rPr>
        <w:t>（2）有串通投标、弄虚作假、行贿等违法行为。</w:t>
      </w:r>
    </w:p>
    <w:p>
      <w:pPr>
        <w:ind w:firstLine="420"/>
      </w:pPr>
      <w:r>
        <w:rPr>
          <w:rFonts w:hint="eastAsia"/>
        </w:rPr>
        <w:t>3.1.3 投标报价有算术错误的，评标委员会按以下原则对投标报价进行修正，并要求投标人书面澄清确认。投标人拒不澄清确认的，评标委员会应当否决其投标：</w:t>
      </w:r>
    </w:p>
    <w:p>
      <w:pPr>
        <w:ind w:firstLine="630" w:firstLineChars="300"/>
      </w:pPr>
      <w:r>
        <w:rPr>
          <w:rFonts w:hint="eastAsia"/>
        </w:rPr>
        <w:t>（1）投标文件中的大写金额与小写金额不一致的，以大写金额为准；</w:t>
      </w:r>
    </w:p>
    <w:p>
      <w:pPr>
        <w:ind w:firstLine="630" w:firstLineChars="300"/>
      </w:pPr>
      <w:r>
        <w:rPr>
          <w:rFonts w:hint="eastAsia"/>
        </w:rPr>
        <w:t>（2）总价金额与单价金额不一致的，以单价金额为准，但单价金额小数点有明显错误的除外。</w:t>
      </w:r>
    </w:p>
    <w:p>
      <w:pPr>
        <w:pStyle w:val="4"/>
      </w:pPr>
      <w:bookmarkStart w:id="389" w:name="_Toc9275"/>
      <w:bookmarkStart w:id="390" w:name="_Toc1020"/>
      <w:bookmarkStart w:id="391" w:name="_Toc31964"/>
      <w:bookmarkStart w:id="392" w:name="_Toc152663959"/>
      <w:bookmarkStart w:id="393" w:name="_Toc14008"/>
      <w:bookmarkStart w:id="394" w:name="_Toc29467"/>
      <w:r>
        <w:rPr>
          <w:rFonts w:hint="eastAsia"/>
        </w:rPr>
        <w:t>3.2 详细评审</w:t>
      </w:r>
      <w:bookmarkEnd w:id="389"/>
      <w:bookmarkEnd w:id="390"/>
      <w:bookmarkEnd w:id="391"/>
      <w:bookmarkEnd w:id="392"/>
      <w:bookmarkEnd w:id="393"/>
      <w:bookmarkEnd w:id="394"/>
    </w:p>
    <w:p>
      <w:pPr>
        <w:ind w:firstLine="420"/>
      </w:pPr>
      <w:r>
        <w:rPr>
          <w:rFonts w:hint="eastAsia"/>
        </w:rPr>
        <w:t>3.2.1 评标委员会按本章第2.2款规定的量化因素和分值进行打分，并计算出综合评估得分。</w:t>
      </w:r>
    </w:p>
    <w:p>
      <w:pPr>
        <w:ind w:firstLine="420"/>
      </w:pPr>
      <w:r>
        <w:rPr>
          <w:rFonts w:hint="eastAsia"/>
        </w:rPr>
        <w:t>（1）按本章第 2.2.4（1）目规定的评审因素和分值对报价部分计算出得分 A；</w:t>
      </w:r>
    </w:p>
    <w:p>
      <w:pPr>
        <w:ind w:firstLine="420"/>
      </w:pPr>
      <w:r>
        <w:rPr>
          <w:rFonts w:hint="eastAsia"/>
        </w:rPr>
        <w:t>（2）按本章第 2.2.4（2）目规定的评审因素和分值对监理大纲计算出得分 B；</w:t>
      </w:r>
    </w:p>
    <w:p>
      <w:pPr>
        <w:ind w:firstLine="420"/>
      </w:pPr>
      <w:r>
        <w:rPr>
          <w:rFonts w:hint="eastAsia"/>
        </w:rPr>
        <w:t>（3）按本章第 2.2.4（3）目规定的评审因素和分值对商务部分计算出得分 C；</w:t>
      </w:r>
    </w:p>
    <w:p>
      <w:pPr>
        <w:ind w:firstLine="420"/>
      </w:pPr>
      <w:r>
        <w:rPr>
          <w:rFonts w:hint="eastAsia"/>
        </w:rPr>
        <w:t>3.2.2 评分分值计算保留小数点后两位，小数点后第三位“四舍五入”。</w:t>
      </w:r>
    </w:p>
    <w:p>
      <w:pPr>
        <w:ind w:firstLine="420"/>
      </w:pPr>
      <w:r>
        <w:rPr>
          <w:rFonts w:hint="eastAsia"/>
        </w:rPr>
        <w:t>3.2.3 投标人得分=A+B+C。</w:t>
      </w:r>
    </w:p>
    <w:p>
      <w:pPr>
        <w:ind w:firstLine="420"/>
      </w:pPr>
      <w:r>
        <w:rPr>
          <w:rFonts w:hint="eastAsia"/>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4"/>
      </w:pPr>
      <w:bookmarkStart w:id="395" w:name="_Toc152663960"/>
      <w:bookmarkStart w:id="396" w:name="_Toc26565"/>
      <w:bookmarkStart w:id="397" w:name="_Toc6092"/>
      <w:bookmarkStart w:id="398" w:name="_Toc29940"/>
      <w:bookmarkStart w:id="399" w:name="_Toc10072"/>
      <w:bookmarkStart w:id="400" w:name="_Toc25920"/>
      <w:r>
        <w:rPr>
          <w:rFonts w:hint="eastAsia"/>
        </w:rPr>
        <w:t>3.3 投标文件的澄清</w:t>
      </w:r>
      <w:bookmarkEnd w:id="395"/>
      <w:bookmarkEnd w:id="396"/>
      <w:bookmarkEnd w:id="397"/>
      <w:bookmarkEnd w:id="398"/>
      <w:bookmarkEnd w:id="399"/>
      <w:bookmarkEnd w:id="400"/>
    </w:p>
    <w:p>
      <w:pPr>
        <w:ind w:firstLine="420"/>
      </w:pPr>
      <w:r>
        <w:rPr>
          <w:rFonts w:hint="eastAsia"/>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ind w:firstLine="420"/>
      </w:pPr>
      <w:r>
        <w:rPr>
          <w:rFonts w:hint="eastAsia"/>
        </w:rPr>
        <w:t>3.3.2 澄清、说明或补正不得超出投标文件的范围且不得改变投标文件的实质性内容，并构成投标文件的组成部分。</w:t>
      </w:r>
    </w:p>
    <w:p>
      <w:pPr>
        <w:ind w:firstLine="420"/>
      </w:pPr>
      <w:r>
        <w:rPr>
          <w:rFonts w:hint="eastAsia"/>
        </w:rPr>
        <w:t>3.3.3 评标委员会对投标人提交的澄清、说明或补正有疑问的，可以要求投标人进一步澄清、说明或补正，直至满足评标委员会的要求。</w:t>
      </w:r>
    </w:p>
    <w:p>
      <w:pPr>
        <w:pStyle w:val="4"/>
      </w:pPr>
      <w:bookmarkStart w:id="401" w:name="_Toc152663961"/>
      <w:bookmarkStart w:id="402" w:name="_Toc18181"/>
      <w:bookmarkStart w:id="403" w:name="_Toc5442"/>
      <w:bookmarkStart w:id="404" w:name="_Toc9674"/>
      <w:bookmarkStart w:id="405" w:name="_Toc10581"/>
      <w:bookmarkStart w:id="406" w:name="_Toc8805"/>
      <w:r>
        <w:rPr>
          <w:rFonts w:hint="eastAsia"/>
        </w:rPr>
        <w:t>3.4 评标结果</w:t>
      </w:r>
      <w:bookmarkEnd w:id="401"/>
      <w:bookmarkEnd w:id="402"/>
      <w:bookmarkEnd w:id="403"/>
      <w:bookmarkEnd w:id="404"/>
      <w:bookmarkEnd w:id="405"/>
      <w:bookmarkEnd w:id="406"/>
    </w:p>
    <w:p>
      <w:pPr>
        <w:ind w:firstLine="420"/>
      </w:pPr>
      <w:r>
        <w:rPr>
          <w:rFonts w:hint="eastAsia"/>
        </w:rPr>
        <w:t>3.4.1 除第二章“投标人须知”前附表授权直接确定中标人外，评标委员会按照得分由高到低的顺序推荐中标候选人，并标明排序。</w:t>
      </w:r>
    </w:p>
    <w:p>
      <w:pPr>
        <w:ind w:firstLine="420"/>
      </w:pPr>
      <w:r>
        <w:rPr>
          <w:rFonts w:hint="eastAsia"/>
        </w:rPr>
        <w:t>3.4.2 评标委员会完成评标后，应当向招标人提交书面评标报告和中标候选人名单。</w:t>
      </w:r>
    </w:p>
    <w:p>
      <w:pPr>
        <w:ind w:firstLine="420"/>
      </w:pPr>
      <w:r>
        <w:rPr>
          <w:rFonts w:hint="eastAsia"/>
        </w:rPr>
        <w:br w:type="page"/>
      </w:r>
    </w:p>
    <w:p>
      <w:pPr>
        <w:pStyle w:val="2"/>
      </w:pPr>
      <w:bookmarkStart w:id="407" w:name="_Toc14803"/>
      <w:bookmarkStart w:id="408" w:name="_Toc152663962"/>
      <w:r>
        <w:rPr>
          <w:rFonts w:hint="eastAsia"/>
        </w:rPr>
        <w:t>第四章 合同条款及格式</w:t>
      </w:r>
      <w:bookmarkEnd w:id="407"/>
      <w:bookmarkEnd w:id="408"/>
    </w:p>
    <w:p>
      <w:pPr>
        <w:pStyle w:val="36"/>
        <w:spacing w:before="240" w:beforeLines="100" w:after="240" w:afterLines="100" w:line="400" w:lineRule="exact"/>
        <w:outlineLvl w:val="0"/>
        <w:rPr>
          <w:rFonts w:cs="宋体"/>
          <w:b w:val="0"/>
          <w:color w:val="auto"/>
          <w:sz w:val="32"/>
          <w:szCs w:val="32"/>
        </w:rPr>
      </w:pPr>
      <w:bookmarkStart w:id="409" w:name="_Toc1318"/>
      <w:bookmarkStart w:id="410" w:name="_Toc152663963"/>
    </w:p>
    <w:p>
      <w:pPr>
        <w:pStyle w:val="36"/>
        <w:spacing w:before="240" w:beforeLines="100" w:after="240" w:afterLines="100" w:line="400" w:lineRule="exact"/>
        <w:outlineLvl w:val="0"/>
        <w:rPr>
          <w:rFonts w:cs="宋体"/>
          <w:b w:val="0"/>
          <w:color w:val="auto"/>
          <w:sz w:val="32"/>
          <w:szCs w:val="32"/>
        </w:rPr>
      </w:pPr>
    </w:p>
    <w:p>
      <w:pPr>
        <w:ind w:firstLine="420"/>
        <w:rPr>
          <w:rFonts w:cs="宋体"/>
          <w:lang w:val="zh-CN"/>
        </w:rPr>
      </w:pPr>
    </w:p>
    <w:p>
      <w:pPr>
        <w:spacing w:line="360" w:lineRule="auto"/>
        <w:ind w:firstLine="643"/>
        <w:jc w:val="center"/>
        <w:rPr>
          <w:rFonts w:cs="宋体"/>
          <w:b/>
          <w:bCs/>
          <w:sz w:val="30"/>
          <w:szCs w:val="30"/>
        </w:rPr>
      </w:pPr>
      <w:r>
        <w:rPr>
          <w:rFonts w:hint="eastAsia" w:cs="宋体"/>
          <w:b/>
          <w:sz w:val="32"/>
          <w:szCs w:val="32"/>
        </w:rPr>
        <w:t>（ＧＦ－2012－0202）</w:t>
      </w:r>
    </w:p>
    <w:p>
      <w:pPr>
        <w:ind w:firstLine="0" w:firstLineChars="0"/>
        <w:jc w:val="center"/>
        <w:rPr>
          <w:rFonts w:cs="宋体"/>
          <w:sz w:val="44"/>
          <w:szCs w:val="44"/>
        </w:rPr>
      </w:pPr>
    </w:p>
    <w:p>
      <w:pPr>
        <w:pStyle w:val="26"/>
      </w:pPr>
    </w:p>
    <w:p>
      <w:pPr>
        <w:ind w:firstLine="0" w:firstLineChars="0"/>
        <w:jc w:val="center"/>
        <w:rPr>
          <w:rFonts w:cs="宋体"/>
          <w:sz w:val="44"/>
          <w:szCs w:val="44"/>
        </w:rPr>
      </w:pPr>
    </w:p>
    <w:p>
      <w:pPr>
        <w:ind w:firstLine="0" w:firstLineChars="0"/>
        <w:jc w:val="center"/>
        <w:rPr>
          <w:rFonts w:cs="宋体"/>
          <w:b/>
          <w:bCs/>
          <w:sz w:val="44"/>
          <w:szCs w:val="44"/>
        </w:rPr>
      </w:pPr>
      <w:r>
        <w:rPr>
          <w:rFonts w:hint="eastAsia" w:cs="宋体"/>
          <w:b/>
          <w:bCs/>
          <w:sz w:val="44"/>
          <w:szCs w:val="44"/>
        </w:rPr>
        <w:t>建设工程监理合同</w:t>
      </w:r>
    </w:p>
    <w:p>
      <w:pPr>
        <w:spacing w:line="360" w:lineRule="auto"/>
        <w:ind w:firstLine="960"/>
        <w:jc w:val="center"/>
        <w:rPr>
          <w:rFonts w:cs="宋体"/>
          <w:bCs/>
          <w:sz w:val="48"/>
          <w:szCs w:val="48"/>
        </w:rPr>
      </w:pPr>
    </w:p>
    <w:p>
      <w:pPr>
        <w:spacing w:line="360" w:lineRule="auto"/>
        <w:ind w:firstLine="420"/>
        <w:jc w:val="center"/>
        <w:rPr>
          <w:rFonts w:cs="宋体"/>
          <w:bCs/>
        </w:rPr>
      </w:pPr>
    </w:p>
    <w:p>
      <w:pPr>
        <w:spacing w:line="360" w:lineRule="auto"/>
        <w:ind w:firstLine="422"/>
        <w:jc w:val="center"/>
        <w:rPr>
          <w:rFonts w:cs="宋体"/>
          <w:b/>
          <w:bCs/>
        </w:rPr>
      </w:pPr>
    </w:p>
    <w:p>
      <w:pPr>
        <w:spacing w:line="360" w:lineRule="auto"/>
        <w:ind w:firstLine="422"/>
        <w:jc w:val="center"/>
        <w:rPr>
          <w:rFonts w:cs="宋体"/>
          <w:b/>
          <w:bCs/>
        </w:rPr>
      </w:pPr>
    </w:p>
    <w:p>
      <w:pPr>
        <w:spacing w:line="360" w:lineRule="auto"/>
        <w:ind w:firstLine="422"/>
        <w:jc w:val="center"/>
        <w:rPr>
          <w:rFonts w:cs="宋体"/>
          <w:b/>
          <w:bCs/>
        </w:rPr>
      </w:pPr>
    </w:p>
    <w:p>
      <w:pPr>
        <w:pStyle w:val="26"/>
        <w:rPr>
          <w:rFonts w:ascii="宋体" w:cs="宋体"/>
          <w:b/>
          <w:bCs/>
        </w:rPr>
      </w:pPr>
    </w:p>
    <w:p>
      <w:pPr>
        <w:ind w:firstLine="420"/>
      </w:pPr>
    </w:p>
    <w:p>
      <w:pPr>
        <w:ind w:firstLine="422"/>
        <w:rPr>
          <w:rFonts w:cs="宋体"/>
          <w:b/>
          <w:bCs/>
        </w:rPr>
      </w:pPr>
    </w:p>
    <w:p>
      <w:pPr>
        <w:pStyle w:val="26"/>
        <w:rPr>
          <w:rFonts w:ascii="宋体" w:cs="宋体"/>
          <w:b/>
          <w:bCs/>
        </w:rPr>
      </w:pPr>
    </w:p>
    <w:p>
      <w:pPr>
        <w:ind w:firstLine="420"/>
      </w:pPr>
    </w:p>
    <w:p>
      <w:pPr>
        <w:pStyle w:val="26"/>
        <w:rPr>
          <w:rFonts w:ascii="宋体" w:cs="宋体"/>
        </w:rPr>
      </w:pPr>
    </w:p>
    <w:p>
      <w:pPr>
        <w:pStyle w:val="26"/>
        <w:rPr>
          <w:rFonts w:ascii="宋体" w:cs="宋体"/>
        </w:rPr>
      </w:pPr>
    </w:p>
    <w:p>
      <w:pPr>
        <w:pStyle w:val="26"/>
        <w:rPr>
          <w:rFonts w:ascii="宋体" w:cs="宋体"/>
        </w:rPr>
      </w:pPr>
    </w:p>
    <w:p>
      <w:pPr>
        <w:spacing w:line="400" w:lineRule="exact"/>
        <w:ind w:firstLine="0" w:firstLineChars="0"/>
        <w:jc w:val="center"/>
        <w:rPr>
          <w:rFonts w:cs="宋体"/>
          <w:b/>
        </w:rPr>
      </w:pPr>
      <w:r>
        <w:rPr>
          <w:rFonts w:hint="eastAsia" w:cs="宋体"/>
          <w:b/>
          <w:bCs/>
          <w:sz w:val="32"/>
          <w:szCs w:val="32"/>
        </w:rPr>
        <w:t xml:space="preserve">  住房和城乡建设部</w:t>
      </w:r>
    </w:p>
    <w:p>
      <w:pPr>
        <w:spacing w:line="400" w:lineRule="exact"/>
        <w:ind w:firstLine="0" w:firstLineChars="0"/>
        <w:jc w:val="center"/>
        <w:rPr>
          <w:rFonts w:cs="宋体"/>
          <w:b/>
          <w:sz w:val="32"/>
          <w:szCs w:val="32"/>
        </w:rPr>
      </w:pPr>
      <w:r>
        <w:rPr>
          <w:rFonts w:hint="eastAsia" w:cs="宋体"/>
          <w:b/>
        </w:rPr>
        <w:t xml:space="preserve">                                                          </w:t>
      </w:r>
      <w:r>
        <w:rPr>
          <w:rFonts w:hint="eastAsia" w:cs="宋体"/>
          <w:b/>
          <w:sz w:val="32"/>
          <w:szCs w:val="32"/>
        </w:rPr>
        <w:t>制定</w:t>
      </w:r>
    </w:p>
    <w:p>
      <w:pPr>
        <w:spacing w:line="400" w:lineRule="exact"/>
        <w:ind w:firstLine="0" w:firstLineChars="0"/>
        <w:jc w:val="center"/>
        <w:rPr>
          <w:rFonts w:cs="宋体"/>
          <w:b/>
        </w:rPr>
      </w:pPr>
      <w:r>
        <w:rPr>
          <w:rFonts w:hint="eastAsia" w:cs="宋体"/>
          <w:b/>
          <w:bCs/>
          <w:sz w:val="32"/>
          <w:szCs w:val="32"/>
        </w:rPr>
        <w:t xml:space="preserve">   国家工商行政管理总局</w:t>
      </w:r>
    </w:p>
    <w:p>
      <w:pPr>
        <w:spacing w:line="360" w:lineRule="auto"/>
        <w:ind w:firstLine="0" w:firstLineChars="0"/>
        <w:jc w:val="center"/>
        <w:rPr>
          <w:rFonts w:cs="宋体"/>
          <w:b/>
          <w:bCs/>
          <w:sz w:val="32"/>
          <w:szCs w:val="32"/>
        </w:rPr>
      </w:pPr>
    </w:p>
    <w:p>
      <w:pPr>
        <w:spacing w:line="360" w:lineRule="auto"/>
        <w:ind w:firstLine="0" w:firstLineChars="0"/>
        <w:jc w:val="center"/>
        <w:rPr>
          <w:rFonts w:cs="宋体"/>
          <w:b/>
          <w:bCs/>
          <w:sz w:val="32"/>
          <w:szCs w:val="32"/>
        </w:rPr>
      </w:pPr>
      <w:r>
        <w:rPr>
          <w:rFonts w:hint="eastAsia" w:cs="宋体"/>
          <w:b/>
          <w:bCs/>
          <w:sz w:val="32"/>
          <w:szCs w:val="32"/>
        </w:rPr>
        <w:t xml:space="preserve">   年   月   日</w:t>
      </w:r>
    </w:p>
    <w:p>
      <w:pPr>
        <w:spacing w:line="360" w:lineRule="auto"/>
        <w:ind w:firstLine="422"/>
        <w:jc w:val="center"/>
        <w:rPr>
          <w:rFonts w:cs="宋体"/>
          <w:b/>
          <w:bCs/>
        </w:rPr>
      </w:pPr>
    </w:p>
    <w:p>
      <w:pPr>
        <w:spacing w:line="360" w:lineRule="auto"/>
        <w:ind w:firstLine="420"/>
        <w:jc w:val="center"/>
        <w:rPr>
          <w:rFonts w:cs="宋体"/>
          <w:b/>
          <w:bCs/>
          <w:szCs w:val="24"/>
        </w:rPr>
      </w:pPr>
      <w:r>
        <w:rPr>
          <w:rFonts w:hint="eastAsia" w:cs="宋体"/>
        </w:rPr>
        <w:br w:type="page"/>
      </w:r>
      <w:bookmarkStart w:id="411" w:name="_Toc2218"/>
      <w:bookmarkStart w:id="412" w:name="_Toc16900"/>
      <w:r>
        <w:rPr>
          <w:rFonts w:hint="eastAsia" w:cs="宋体"/>
          <w:b/>
          <w:bCs/>
          <w:szCs w:val="24"/>
        </w:rPr>
        <w:t>第一部分  协议书</w:t>
      </w:r>
      <w:bookmarkEnd w:id="411"/>
      <w:bookmarkEnd w:id="412"/>
    </w:p>
    <w:p>
      <w:pPr>
        <w:ind w:firstLine="422"/>
        <w:rPr>
          <w:b/>
          <w:bCs/>
        </w:rPr>
      </w:pPr>
      <w:r>
        <w:rPr>
          <w:rFonts w:hint="eastAsia"/>
          <w:b/>
          <w:bCs/>
        </w:rPr>
        <w:t>委托人（全称）：</w:t>
      </w:r>
      <w:r>
        <w:rPr>
          <w:rFonts w:hint="eastAsia"/>
          <w:b/>
          <w:bCs/>
          <w:u w:val="single"/>
        </w:rPr>
        <w:t xml:space="preserve">                           </w:t>
      </w:r>
    </w:p>
    <w:p>
      <w:pPr>
        <w:ind w:firstLine="422"/>
        <w:rPr>
          <w:b/>
          <w:bCs/>
        </w:rPr>
      </w:pPr>
      <w:r>
        <w:rPr>
          <w:rFonts w:hint="eastAsia"/>
          <w:b/>
          <w:bCs/>
        </w:rPr>
        <w:t>监理人（全称）：</w:t>
      </w:r>
      <w:r>
        <w:rPr>
          <w:rFonts w:hint="eastAsia"/>
          <w:b/>
          <w:bCs/>
          <w:u w:val="single"/>
        </w:rPr>
        <w:t xml:space="preserve">                           </w:t>
      </w:r>
    </w:p>
    <w:p>
      <w:pPr>
        <w:ind w:firstLine="420"/>
      </w:pPr>
      <w:r>
        <w:rPr>
          <w:rFonts w:hint="eastAsia"/>
        </w:rPr>
        <w:t>根据《中华人民共和国民法典》、《中华人民共和国建筑法》及其他有关法律、法规，遵循平等、自愿、公平和诚信的原则，甲乙双方就下述工程委托监理与相关服务事项协商一致，订立本合同，以资共守。</w:t>
      </w:r>
    </w:p>
    <w:p>
      <w:pPr>
        <w:ind w:firstLine="422"/>
        <w:rPr>
          <w:rFonts w:cs="宋体"/>
          <w:b/>
          <w:szCs w:val="24"/>
        </w:rPr>
      </w:pPr>
      <w:r>
        <w:rPr>
          <w:rFonts w:hint="eastAsia" w:cs="宋体"/>
          <w:b/>
          <w:szCs w:val="24"/>
        </w:rPr>
        <w:t>一、工程概况</w:t>
      </w:r>
    </w:p>
    <w:p>
      <w:pPr>
        <w:ind w:firstLine="420"/>
        <w:rPr>
          <w:rFonts w:cs="宋体"/>
          <w:szCs w:val="24"/>
          <w:u w:val="single"/>
        </w:rPr>
      </w:pPr>
      <w:r>
        <w:rPr>
          <w:rFonts w:hint="eastAsia" w:cs="宋体"/>
          <w:szCs w:val="24"/>
        </w:rPr>
        <w:t>1. 工程名称：</w:t>
      </w:r>
      <w:r>
        <w:rPr>
          <w:rFonts w:hint="eastAsia" w:cs="宋体"/>
          <w:szCs w:val="24"/>
          <w:u w:val="single"/>
        </w:rPr>
        <w:t xml:space="preserve"> 河南信息统计职业学院新校区建设二期（统计与大数据产教融合实训基地）监理项目；</w:t>
      </w:r>
    </w:p>
    <w:p>
      <w:pPr>
        <w:ind w:firstLine="420"/>
        <w:rPr>
          <w:rFonts w:cs="宋体"/>
          <w:szCs w:val="24"/>
        </w:rPr>
      </w:pPr>
      <w:r>
        <w:rPr>
          <w:rFonts w:hint="eastAsia" w:cs="宋体"/>
          <w:szCs w:val="24"/>
        </w:rPr>
        <w:t>2. 工程地点：</w:t>
      </w:r>
      <w:r>
        <w:rPr>
          <w:rFonts w:hint="eastAsia" w:cs="宋体"/>
          <w:szCs w:val="24"/>
          <w:u w:val="single"/>
        </w:rPr>
        <w:t xml:space="preserve"> 郑州市郑东新区河南信息统计职业学院白沙校区（郑东新区白沙园区金龙路北、休明路南，刘集街西，松鹤街东）</w:t>
      </w:r>
      <w:r>
        <w:rPr>
          <w:rFonts w:hint="eastAsia" w:cs="宋体"/>
          <w:szCs w:val="24"/>
        </w:rPr>
        <w:t>；</w:t>
      </w:r>
    </w:p>
    <w:p>
      <w:pPr>
        <w:ind w:firstLine="420"/>
        <w:rPr>
          <w:rFonts w:cs="宋体"/>
          <w:szCs w:val="24"/>
        </w:rPr>
      </w:pPr>
      <w:r>
        <w:rPr>
          <w:rFonts w:hint="eastAsia" w:cs="宋体"/>
          <w:szCs w:val="24"/>
        </w:rPr>
        <w:t>3. 工程规模：</w:t>
      </w:r>
      <w:r>
        <w:rPr>
          <w:rFonts w:hint="eastAsia" w:cs="宋体"/>
        </w:rPr>
        <w:t>项目总建筑面积28000平方米（含地下建筑面积5000平方米)；相关设备安装及电力、道路管网等配套设施；</w:t>
      </w:r>
    </w:p>
    <w:p>
      <w:pPr>
        <w:ind w:firstLine="420"/>
        <w:rPr>
          <w:rFonts w:cs="宋体"/>
          <w:szCs w:val="24"/>
        </w:rPr>
      </w:pPr>
      <w:r>
        <w:rPr>
          <w:rFonts w:hint="eastAsia" w:cs="宋体"/>
          <w:szCs w:val="24"/>
        </w:rPr>
        <w:t>4. 工程概算投资额：12160.89</w:t>
      </w:r>
      <w:r>
        <w:rPr>
          <w:rFonts w:hint="eastAsia" w:cs="宋体"/>
          <w:szCs w:val="24"/>
          <w:u w:val="single"/>
        </w:rPr>
        <w:t>万元</w:t>
      </w:r>
      <w:r>
        <w:rPr>
          <w:rFonts w:hint="eastAsia" w:cs="宋体"/>
          <w:szCs w:val="24"/>
        </w:rPr>
        <w:t>。</w:t>
      </w:r>
    </w:p>
    <w:p>
      <w:pPr>
        <w:ind w:firstLine="422"/>
        <w:rPr>
          <w:rFonts w:cs="宋体"/>
          <w:b/>
          <w:szCs w:val="24"/>
        </w:rPr>
      </w:pPr>
      <w:r>
        <w:rPr>
          <w:rFonts w:hint="eastAsia" w:cs="宋体"/>
          <w:b/>
          <w:szCs w:val="24"/>
        </w:rPr>
        <w:t>二、词语限定</w:t>
      </w:r>
    </w:p>
    <w:p>
      <w:pPr>
        <w:ind w:firstLine="420"/>
        <w:rPr>
          <w:rFonts w:cs="宋体"/>
          <w:szCs w:val="24"/>
        </w:rPr>
      </w:pPr>
      <w:r>
        <w:rPr>
          <w:rFonts w:hint="eastAsia" w:cs="宋体"/>
          <w:szCs w:val="24"/>
        </w:rPr>
        <w:t>协议书中相关词语的含义与通用条件中的定义与解释相同。</w:t>
      </w:r>
    </w:p>
    <w:p>
      <w:pPr>
        <w:ind w:firstLine="422"/>
        <w:rPr>
          <w:rFonts w:cs="宋体"/>
          <w:b/>
          <w:szCs w:val="24"/>
        </w:rPr>
      </w:pPr>
      <w:r>
        <w:rPr>
          <w:rFonts w:hint="eastAsia" w:cs="宋体"/>
          <w:b/>
          <w:szCs w:val="24"/>
        </w:rPr>
        <w:t>三、组成本合同的文件</w:t>
      </w:r>
    </w:p>
    <w:p>
      <w:pPr>
        <w:ind w:firstLine="420"/>
        <w:rPr>
          <w:rFonts w:cs="宋体"/>
          <w:szCs w:val="24"/>
        </w:rPr>
      </w:pPr>
      <w:r>
        <w:rPr>
          <w:rFonts w:hint="eastAsia" w:cs="宋体"/>
          <w:szCs w:val="24"/>
        </w:rPr>
        <w:t>1. 协议书；</w:t>
      </w:r>
    </w:p>
    <w:p>
      <w:pPr>
        <w:ind w:firstLine="420"/>
        <w:rPr>
          <w:rFonts w:cs="宋体"/>
          <w:szCs w:val="24"/>
        </w:rPr>
      </w:pPr>
      <w:r>
        <w:rPr>
          <w:rFonts w:hint="eastAsia" w:cs="宋体"/>
          <w:szCs w:val="24"/>
        </w:rPr>
        <w:t>2. 中标/成交通知书；</w:t>
      </w:r>
    </w:p>
    <w:p>
      <w:pPr>
        <w:ind w:firstLine="420"/>
        <w:rPr>
          <w:rFonts w:cs="宋体"/>
          <w:szCs w:val="24"/>
        </w:rPr>
      </w:pPr>
      <w:r>
        <w:rPr>
          <w:rFonts w:hint="eastAsia" w:cs="宋体"/>
          <w:szCs w:val="24"/>
        </w:rPr>
        <w:t>3. 招标过程中及合同实施过程中形成的补遗、澄清、纪要等文件；</w:t>
      </w:r>
    </w:p>
    <w:p>
      <w:pPr>
        <w:ind w:firstLine="420"/>
        <w:rPr>
          <w:rFonts w:cs="宋体"/>
          <w:szCs w:val="24"/>
        </w:rPr>
      </w:pPr>
      <w:r>
        <w:rPr>
          <w:rFonts w:hint="eastAsia" w:cs="宋体"/>
          <w:szCs w:val="24"/>
        </w:rPr>
        <w:t>4. 专用条件；</w:t>
      </w:r>
    </w:p>
    <w:p>
      <w:pPr>
        <w:ind w:firstLine="420"/>
        <w:rPr>
          <w:rFonts w:cs="宋体"/>
          <w:szCs w:val="24"/>
        </w:rPr>
      </w:pPr>
      <w:r>
        <w:rPr>
          <w:rFonts w:hint="eastAsia" w:cs="宋体"/>
          <w:szCs w:val="24"/>
        </w:rPr>
        <w:t>5. 通用条件；</w:t>
      </w:r>
    </w:p>
    <w:p>
      <w:pPr>
        <w:ind w:firstLine="420"/>
        <w:rPr>
          <w:rFonts w:cs="宋体"/>
          <w:szCs w:val="24"/>
        </w:rPr>
      </w:pPr>
      <w:r>
        <w:rPr>
          <w:rFonts w:hint="eastAsia" w:cs="宋体"/>
          <w:szCs w:val="24"/>
        </w:rPr>
        <w:t>6. 附件，即：</w:t>
      </w:r>
    </w:p>
    <w:p>
      <w:pPr>
        <w:ind w:firstLine="420"/>
        <w:rPr>
          <w:rFonts w:cs="宋体"/>
          <w:szCs w:val="24"/>
        </w:rPr>
      </w:pPr>
      <w:r>
        <w:rPr>
          <w:rFonts w:hint="eastAsia" w:cs="宋体"/>
          <w:szCs w:val="24"/>
        </w:rPr>
        <w:t>附录A  相关服务的范围和内容</w:t>
      </w:r>
    </w:p>
    <w:p>
      <w:pPr>
        <w:ind w:firstLine="420"/>
        <w:rPr>
          <w:rFonts w:cs="宋体"/>
          <w:szCs w:val="24"/>
        </w:rPr>
      </w:pPr>
      <w:r>
        <w:rPr>
          <w:rFonts w:hint="eastAsia" w:cs="宋体"/>
          <w:szCs w:val="24"/>
        </w:rPr>
        <w:t xml:space="preserve">附录B </w:t>
      </w:r>
      <w:r>
        <w:rPr>
          <w:rFonts w:cs="宋体"/>
          <w:szCs w:val="24"/>
        </w:rPr>
        <w:t xml:space="preserve"> </w:t>
      </w:r>
      <w:r>
        <w:rPr>
          <w:rFonts w:hint="eastAsia" w:cs="宋体"/>
          <w:szCs w:val="24"/>
        </w:rPr>
        <w:t>委托人派遣的人员和提供的房屋、资料、设备</w:t>
      </w:r>
    </w:p>
    <w:p>
      <w:pPr>
        <w:ind w:firstLine="420"/>
        <w:rPr>
          <w:rFonts w:cs="宋体"/>
          <w:szCs w:val="24"/>
        </w:rPr>
      </w:pPr>
      <w:r>
        <w:rPr>
          <w:rFonts w:hint="eastAsia" w:cs="宋体"/>
          <w:szCs w:val="24"/>
        </w:rPr>
        <w:t>附录C  保廉合同</w:t>
      </w:r>
    </w:p>
    <w:p>
      <w:pPr>
        <w:numPr>
          <w:ilvl w:val="255"/>
          <w:numId w:val="0"/>
        </w:numPr>
        <w:ind w:left="420" w:leftChars="200"/>
        <w:rPr>
          <w:rFonts w:cs="宋体"/>
          <w:szCs w:val="24"/>
        </w:rPr>
      </w:pPr>
      <w:r>
        <w:rPr>
          <w:rFonts w:hint="eastAsia" w:cs="宋体"/>
          <w:szCs w:val="24"/>
        </w:rPr>
        <w:t>7.</w:t>
      </w:r>
      <w:r>
        <w:rPr>
          <w:rFonts w:cs="宋体"/>
          <w:szCs w:val="24"/>
        </w:rPr>
        <w:t>投标函及投标函附录或造价咨询服务建议书；</w:t>
      </w:r>
    </w:p>
    <w:p>
      <w:pPr>
        <w:ind w:firstLine="420"/>
        <w:rPr>
          <w:rFonts w:cs="宋体"/>
          <w:szCs w:val="24"/>
        </w:rPr>
      </w:pPr>
      <w:r>
        <w:rPr>
          <w:rFonts w:hint="eastAsia" w:cs="宋体"/>
          <w:szCs w:val="24"/>
        </w:rPr>
        <w:t>8.招标文件及招标文件有关问题的备忘录及附件；</w:t>
      </w:r>
    </w:p>
    <w:p>
      <w:pPr>
        <w:ind w:firstLine="420"/>
        <w:rPr>
          <w:rFonts w:cs="宋体"/>
          <w:szCs w:val="24"/>
        </w:rPr>
      </w:pPr>
      <w:r>
        <w:rPr>
          <w:rFonts w:hint="eastAsia" w:cs="宋体"/>
          <w:szCs w:val="24"/>
        </w:rPr>
        <w:t>9.投标文件及澄清补充和其他补充文件；</w:t>
      </w:r>
    </w:p>
    <w:p>
      <w:pPr>
        <w:ind w:firstLine="420"/>
        <w:rPr>
          <w:rFonts w:cs="宋体"/>
          <w:szCs w:val="24"/>
        </w:rPr>
      </w:pPr>
      <w:r>
        <w:rPr>
          <w:rFonts w:hint="eastAsia" w:cs="宋体"/>
          <w:szCs w:val="24"/>
        </w:rPr>
        <w:t>10.其它合同文件（包括往来函等）</w:t>
      </w:r>
    </w:p>
    <w:p>
      <w:pPr>
        <w:wordWrap w:val="0"/>
        <w:ind w:firstLine="420"/>
        <w:rPr>
          <w:color w:val="000000"/>
          <w:kern w:val="0"/>
          <w:szCs w:val="21"/>
          <w:u w:val="single"/>
        </w:rPr>
      </w:pPr>
      <w:r>
        <w:rPr>
          <w:rFonts w:hint="eastAsia" w:cs="宋体"/>
          <w:szCs w:val="24"/>
        </w:rPr>
        <w:t>本合同签订后，双方依法签订的补充协议也是本合同文件的组成部分。</w:t>
      </w:r>
      <w:r>
        <w:t>上述各项合同文件属于同一类内容的文件，应以最新签署的为准。</w:t>
      </w:r>
      <w:r>
        <w:rPr>
          <w:rFonts w:hint="eastAsia"/>
          <w:color w:val="000000"/>
          <w:kern w:val="0"/>
          <w:szCs w:val="21"/>
          <w:u w:val="single"/>
        </w:rPr>
        <w:t>合同履约中签订的补充协议和其它补充条款在合同中处于优先地位。</w:t>
      </w:r>
    </w:p>
    <w:p>
      <w:pPr>
        <w:ind w:firstLine="422"/>
        <w:rPr>
          <w:rFonts w:cs="宋体"/>
          <w:b/>
          <w:bCs/>
          <w:szCs w:val="24"/>
        </w:rPr>
      </w:pPr>
      <w:r>
        <w:rPr>
          <w:rFonts w:hint="eastAsia" w:cs="宋体"/>
          <w:b/>
          <w:bCs/>
          <w:szCs w:val="24"/>
        </w:rPr>
        <w:t>四、总监理工程师</w:t>
      </w:r>
    </w:p>
    <w:p>
      <w:pPr>
        <w:ind w:firstLine="420"/>
        <w:rPr>
          <w:rFonts w:cs="宋体"/>
          <w:szCs w:val="24"/>
        </w:rPr>
      </w:pPr>
      <w:r>
        <w:rPr>
          <w:rFonts w:hint="eastAsia" w:cs="宋体"/>
          <w:szCs w:val="24"/>
        </w:rPr>
        <w:t>总监理工程师姓名：</w:t>
      </w:r>
      <w:r>
        <w:rPr>
          <w:rFonts w:hint="eastAsia" w:cs="宋体"/>
          <w:szCs w:val="24"/>
          <w:u w:val="single"/>
        </w:rPr>
        <w:t xml:space="preserve">                   </w:t>
      </w:r>
      <w:r>
        <w:rPr>
          <w:rFonts w:hint="eastAsia" w:cs="宋体"/>
          <w:szCs w:val="24"/>
        </w:rPr>
        <w:t>，</w:t>
      </w:r>
    </w:p>
    <w:p>
      <w:pPr>
        <w:ind w:firstLine="420"/>
        <w:rPr>
          <w:rFonts w:cs="宋体"/>
          <w:szCs w:val="24"/>
        </w:rPr>
      </w:pPr>
      <w:r>
        <w:rPr>
          <w:rFonts w:hint="eastAsia" w:cs="宋体"/>
          <w:szCs w:val="24"/>
        </w:rPr>
        <w:t>身份证号码：</w:t>
      </w:r>
      <w:r>
        <w:rPr>
          <w:rFonts w:hint="eastAsia" w:cs="宋体"/>
          <w:szCs w:val="24"/>
          <w:u w:val="single"/>
        </w:rPr>
        <w:t xml:space="preserve">                      </w:t>
      </w:r>
      <w:r>
        <w:rPr>
          <w:rFonts w:hint="eastAsia" w:cs="宋体"/>
          <w:szCs w:val="24"/>
        </w:rPr>
        <w:t>，注册号：</w:t>
      </w:r>
      <w:r>
        <w:rPr>
          <w:rFonts w:hint="eastAsia" w:cs="宋体"/>
          <w:szCs w:val="24"/>
          <w:u w:val="single"/>
        </w:rPr>
        <w:t xml:space="preserve">                        </w:t>
      </w:r>
      <w:r>
        <w:rPr>
          <w:rFonts w:hint="eastAsia" w:cs="宋体"/>
          <w:szCs w:val="24"/>
        </w:rPr>
        <w:t>。</w:t>
      </w:r>
    </w:p>
    <w:p>
      <w:pPr>
        <w:ind w:firstLine="422"/>
        <w:rPr>
          <w:rFonts w:cs="宋体"/>
          <w:szCs w:val="24"/>
        </w:rPr>
      </w:pPr>
      <w:r>
        <w:rPr>
          <w:rFonts w:hint="eastAsia" w:cs="宋体"/>
          <w:b/>
          <w:szCs w:val="24"/>
        </w:rPr>
        <w:t>五、签约酬金</w:t>
      </w:r>
    </w:p>
    <w:p>
      <w:pPr>
        <w:ind w:firstLine="420"/>
        <w:rPr>
          <w:rFonts w:cs="宋体"/>
          <w:szCs w:val="24"/>
        </w:rPr>
      </w:pPr>
      <w:r>
        <w:rPr>
          <w:rFonts w:hint="eastAsia" w:cs="宋体"/>
          <w:szCs w:val="24"/>
        </w:rPr>
        <w:t>（1）本工程监理签约酬金为概算建安费的（大写）：</w:t>
      </w:r>
      <w:r>
        <w:rPr>
          <w:rFonts w:hint="eastAsia" w:cs="宋体"/>
          <w:szCs w:val="24"/>
          <w:u w:val="single"/>
        </w:rPr>
        <w:t xml:space="preserve">              </w:t>
      </w:r>
      <w:r>
        <w:rPr>
          <w:rFonts w:hint="eastAsia" w:cs="宋体"/>
          <w:szCs w:val="24"/>
        </w:rPr>
        <w:t xml:space="preserve"> （ </w:t>
      </w:r>
      <w:r>
        <w:rPr>
          <w:rFonts w:hint="eastAsia" w:cs="宋体"/>
          <w:szCs w:val="24"/>
          <w:u w:val="single"/>
        </w:rPr>
        <w:t xml:space="preserve">       </w:t>
      </w:r>
      <w:r>
        <w:rPr>
          <w:rFonts w:hint="eastAsia" w:cs="宋体"/>
          <w:szCs w:val="24"/>
        </w:rPr>
        <w:t>）。</w:t>
      </w:r>
    </w:p>
    <w:p>
      <w:pPr>
        <w:ind w:firstLine="420"/>
        <w:rPr>
          <w:rFonts w:cs="宋体"/>
          <w:szCs w:val="24"/>
        </w:rPr>
      </w:pPr>
      <w:r>
        <w:rPr>
          <w:rFonts w:hint="eastAsia" w:cs="宋体"/>
          <w:szCs w:val="24"/>
        </w:rPr>
        <w:t>本合同总价为监理人在充分考虑了工程规模、监理范围、工作内容、监理难度、工作条件、自身实力、风险因素、市场竞争等情况后进行的合理报价。本合同总价包括为提供本合同项下监理服务所发生的一切费用和开支，包括但不限于：</w:t>
      </w:r>
      <w:r>
        <w:rPr>
          <w:rFonts w:hint="eastAsia" w:cs="宋体"/>
          <w:szCs w:val="21"/>
        </w:rPr>
        <w:t>现场办公、生活设施、饮食居住等基本生活费、劳务费、技术服务费、监测、测量、抽检、交通、通讯、保险、管理费、税费和利润以及为完成本工程所提供的专用仪器、设备和设施等与监理业务有关的一切费用</w:t>
      </w:r>
      <w:r>
        <w:rPr>
          <w:rFonts w:hint="eastAsia" w:cs="宋体"/>
          <w:szCs w:val="24"/>
        </w:rPr>
        <w:t>。签约酬金中未发生的部分在最后一次付款时扣除。部分标准：1、未发生的伙食费（按3</w:t>
      </w:r>
      <w:r>
        <w:rPr>
          <w:rFonts w:cs="宋体"/>
          <w:szCs w:val="24"/>
        </w:rPr>
        <w:t>0</w:t>
      </w:r>
      <w:r>
        <w:rPr>
          <w:rFonts w:hint="eastAsia" w:cs="宋体"/>
          <w:szCs w:val="24"/>
        </w:rPr>
        <w:t>元/人.天扣除，人员数量按照投标文件承诺人员，天数按照实际工期计算）；2、未发生的住宿费（按</w:t>
      </w:r>
      <w:r>
        <w:rPr>
          <w:rFonts w:cs="宋体"/>
          <w:szCs w:val="24"/>
        </w:rPr>
        <w:t>20</w:t>
      </w:r>
      <w:r>
        <w:rPr>
          <w:rFonts w:hint="eastAsia" w:cs="宋体"/>
          <w:szCs w:val="24"/>
        </w:rPr>
        <w:t>元/人.天扣除，人员数量按照投标文件承诺人员，天数按照实际工期计算）；3、其它应扣部分由委托人委托造价咨询公司依照相关标准、市场行情、并结合实际情况拟订，监理人对此表示认同并完全服从。</w:t>
      </w:r>
    </w:p>
    <w:p>
      <w:pPr>
        <w:ind w:firstLine="420"/>
        <w:rPr>
          <w:rFonts w:cs="宋体"/>
          <w:szCs w:val="24"/>
        </w:rPr>
      </w:pPr>
      <w:r>
        <w:t>因</w:t>
      </w:r>
      <w:r>
        <w:rPr>
          <w:spacing w:val="-3"/>
        </w:rPr>
        <w:t>工</w:t>
      </w:r>
      <w:r>
        <w:t>程</w:t>
      </w:r>
      <w:r>
        <w:rPr>
          <w:spacing w:val="-3"/>
        </w:rPr>
        <w:t>规</w:t>
      </w:r>
      <w:r>
        <w:t>模</w:t>
      </w:r>
      <w:r>
        <w:rPr>
          <w:spacing w:val="-3"/>
        </w:rPr>
        <w:t>、</w:t>
      </w:r>
      <w:r>
        <w:rPr>
          <w:rFonts w:hint="eastAsia"/>
        </w:rPr>
        <w:t>监理</w:t>
      </w:r>
      <w:r>
        <w:t>范围</w:t>
      </w:r>
      <w:r>
        <w:rPr>
          <w:spacing w:val="-3"/>
        </w:rPr>
        <w:t>及</w:t>
      </w:r>
      <w:r>
        <w:t>内</w:t>
      </w:r>
      <w:r>
        <w:rPr>
          <w:spacing w:val="-3"/>
        </w:rPr>
        <w:t>容</w:t>
      </w:r>
      <w:r>
        <w:t>的</w:t>
      </w:r>
      <w:r>
        <w:rPr>
          <w:spacing w:val="-3"/>
        </w:rPr>
        <w:t>变</w:t>
      </w:r>
      <w:r>
        <w:t>化</w:t>
      </w:r>
      <w:r>
        <w:rPr>
          <w:spacing w:val="-3"/>
        </w:rPr>
        <w:t>等</w:t>
      </w:r>
      <w:r>
        <w:t>导</w:t>
      </w:r>
      <w:r>
        <w:rPr>
          <w:spacing w:val="-3"/>
        </w:rPr>
        <w:t>致</w:t>
      </w:r>
      <w:r>
        <w:rPr>
          <w:rFonts w:hint="eastAsia"/>
        </w:rPr>
        <w:t>监理</w:t>
      </w:r>
      <w:r>
        <w:rPr>
          <w:spacing w:val="-3"/>
        </w:rPr>
        <w:t>人</w:t>
      </w:r>
      <w:r>
        <w:t>的</w:t>
      </w:r>
      <w:r>
        <w:rPr>
          <w:spacing w:val="-3"/>
        </w:rPr>
        <w:t>工</w:t>
      </w:r>
      <w:r>
        <w:t>作</w:t>
      </w:r>
      <w:r>
        <w:rPr>
          <w:spacing w:val="-3"/>
        </w:rPr>
        <w:t>量</w:t>
      </w:r>
      <w:r>
        <w:t>增</w:t>
      </w:r>
      <w:r>
        <w:rPr>
          <w:spacing w:val="-3"/>
        </w:rPr>
        <w:t>减</w:t>
      </w:r>
      <w:r>
        <w:t>时</w:t>
      </w:r>
      <w:r>
        <w:rPr>
          <w:spacing w:val="-3"/>
        </w:rPr>
        <w:t>，</w:t>
      </w:r>
      <w:r>
        <w:rPr>
          <w:rFonts w:hint="eastAsia"/>
        </w:rPr>
        <w:t>监理</w:t>
      </w:r>
      <w:r>
        <w:rPr>
          <w:spacing w:val="-3"/>
        </w:rPr>
        <w:t>酬</w:t>
      </w:r>
      <w:r>
        <w:t>金</w:t>
      </w:r>
      <w:r>
        <w:rPr>
          <w:spacing w:val="-3"/>
        </w:rPr>
        <w:t>的</w:t>
      </w:r>
      <w:r>
        <w:t>调</w:t>
      </w:r>
      <w:r>
        <w:rPr>
          <w:spacing w:val="-3"/>
        </w:rPr>
        <w:t>整</w:t>
      </w:r>
      <w:r>
        <w:t>方法：</w:t>
      </w:r>
      <w:r>
        <w:rPr>
          <w:rFonts w:hint="eastAsia"/>
          <w:u w:val="single"/>
        </w:rPr>
        <w:t>因工程规模、服务范围及内容的变化导致监理人的工作量减少时，按减少工作量的比例从协议书约定的服务酬金中扣减相同比例的酬金。</w:t>
      </w:r>
    </w:p>
    <w:p>
      <w:pPr>
        <w:ind w:firstLine="420"/>
        <w:rPr>
          <w:rFonts w:cs="宋体"/>
          <w:szCs w:val="24"/>
        </w:rPr>
      </w:pPr>
      <w:r>
        <w:rPr>
          <w:rFonts w:hint="eastAsia" w:cs="宋体"/>
          <w:szCs w:val="24"/>
        </w:rPr>
        <w:t>（2）监理酬金的结算：本合同最终结算酬金由正常工作酬金和附加工作酬金组成。其中，正常工作酬金的结算金额=监理签约酬金；附加工作酬金的计算执行专用条件第6.2.2的约定。</w:t>
      </w:r>
    </w:p>
    <w:p>
      <w:pPr>
        <w:ind w:firstLine="420"/>
      </w:pPr>
      <w:r>
        <w:rPr>
          <w:rFonts w:hint="eastAsia"/>
        </w:rPr>
        <w:t>（3）监理服务质量考核金：本项目合同总额=概算建安费*中标费率。从本项目合同总额中拿出10%作为监理服务质量考核金，本考核金在最后一次支付时计算。考核分基本合格、合格、良好、优秀4个档次。考核金分别发放20%-40%、41%-60%、61%-80%、81%-100%。考核标准由委托人制定，监理人须无条件服从。</w:t>
      </w:r>
    </w:p>
    <w:p>
      <w:pPr>
        <w:ind w:firstLine="422"/>
        <w:rPr>
          <w:rFonts w:cs="宋体"/>
          <w:b/>
          <w:szCs w:val="24"/>
        </w:rPr>
      </w:pPr>
      <w:r>
        <w:rPr>
          <w:rFonts w:hint="eastAsia" w:cs="宋体"/>
          <w:b/>
          <w:szCs w:val="24"/>
        </w:rPr>
        <w:t>六、期限</w:t>
      </w:r>
    </w:p>
    <w:p>
      <w:pPr>
        <w:ind w:firstLine="420"/>
        <w:rPr>
          <w:rFonts w:cs="宋体"/>
          <w:szCs w:val="24"/>
        </w:rPr>
      </w:pPr>
      <w:r>
        <w:rPr>
          <w:rFonts w:hint="eastAsia" w:cs="宋体"/>
          <w:szCs w:val="24"/>
        </w:rPr>
        <w:t>监理期限：</w:t>
      </w:r>
      <w:r>
        <w:rPr>
          <w:rFonts w:hint="eastAsia" w:cs="宋体"/>
        </w:rPr>
        <w:t>自合同签订之日起至项目缺陷责任期满或至项目审计结束（结束时间以后者发生时间为准）</w:t>
      </w:r>
    </w:p>
    <w:p>
      <w:pPr>
        <w:ind w:firstLine="422"/>
        <w:rPr>
          <w:rFonts w:cs="宋体"/>
          <w:b/>
          <w:szCs w:val="24"/>
        </w:rPr>
      </w:pPr>
      <w:r>
        <w:rPr>
          <w:rFonts w:hint="eastAsia" w:cs="宋体"/>
          <w:b/>
          <w:szCs w:val="24"/>
        </w:rPr>
        <w:t>七、双方承诺</w:t>
      </w:r>
    </w:p>
    <w:p>
      <w:pPr>
        <w:ind w:firstLine="420"/>
        <w:rPr>
          <w:rFonts w:cs="宋体"/>
          <w:b/>
          <w:szCs w:val="24"/>
        </w:rPr>
      </w:pPr>
      <w:r>
        <w:rPr>
          <w:rFonts w:hint="eastAsia" w:cs="宋体"/>
          <w:szCs w:val="24"/>
        </w:rPr>
        <w:t>1. 监理人向委托人承诺，按照本合同约定提供监理与相关服务。</w:t>
      </w:r>
    </w:p>
    <w:p>
      <w:pPr>
        <w:ind w:firstLine="420"/>
        <w:rPr>
          <w:rFonts w:cs="宋体"/>
          <w:szCs w:val="24"/>
        </w:rPr>
      </w:pPr>
      <w:r>
        <w:rPr>
          <w:rFonts w:hint="eastAsia" w:cs="宋体"/>
          <w:szCs w:val="24"/>
        </w:rPr>
        <w:t>2. 委托人向监理人承诺，按照本合同约定派遣相应的人员，提供</w:t>
      </w:r>
      <w:r>
        <w:rPr>
          <w:rFonts w:hint="eastAsia" w:cs="宋体"/>
          <w:bCs/>
          <w:szCs w:val="24"/>
        </w:rPr>
        <w:t>房屋、资料</w:t>
      </w:r>
      <w:r>
        <w:rPr>
          <w:rFonts w:hint="eastAsia" w:cs="宋体"/>
          <w:szCs w:val="24"/>
        </w:rPr>
        <w:t>、设备，并按本合同约定支付酬金。</w:t>
      </w:r>
    </w:p>
    <w:p>
      <w:pPr>
        <w:ind w:firstLine="422"/>
        <w:rPr>
          <w:rFonts w:cs="宋体"/>
          <w:b/>
          <w:szCs w:val="24"/>
        </w:rPr>
      </w:pPr>
      <w:r>
        <w:rPr>
          <w:rFonts w:hint="eastAsia" w:cs="宋体"/>
          <w:b/>
          <w:szCs w:val="24"/>
        </w:rPr>
        <w:t>八、合同订立</w:t>
      </w:r>
    </w:p>
    <w:p>
      <w:pPr>
        <w:ind w:firstLine="420"/>
        <w:rPr>
          <w:rFonts w:cs="宋体"/>
          <w:szCs w:val="24"/>
        </w:rPr>
      </w:pPr>
      <w:r>
        <w:rPr>
          <w:rFonts w:hint="eastAsia" w:cs="宋体"/>
          <w:szCs w:val="24"/>
        </w:rPr>
        <w:t>1. 订立时间：</w:t>
      </w:r>
      <w:r>
        <w:rPr>
          <w:rFonts w:hint="eastAsia" w:cs="宋体"/>
          <w:szCs w:val="24"/>
          <w:u w:val="single"/>
        </w:rPr>
        <w:t xml:space="preserve">          </w:t>
      </w:r>
      <w:r>
        <w:rPr>
          <w:rFonts w:hint="eastAsia" w:cs="宋体"/>
          <w:szCs w:val="24"/>
        </w:rPr>
        <w:t>年</w:t>
      </w:r>
      <w:r>
        <w:rPr>
          <w:rFonts w:hint="eastAsia" w:cs="宋体"/>
          <w:szCs w:val="24"/>
          <w:u w:val="single"/>
        </w:rPr>
        <w:t xml:space="preserve">       </w:t>
      </w:r>
      <w:r>
        <w:rPr>
          <w:rFonts w:hint="eastAsia" w:cs="宋体"/>
          <w:szCs w:val="24"/>
        </w:rPr>
        <w:t>月</w:t>
      </w:r>
      <w:r>
        <w:rPr>
          <w:rFonts w:hint="eastAsia" w:cs="宋体"/>
          <w:szCs w:val="24"/>
          <w:u w:val="single"/>
        </w:rPr>
        <w:t xml:space="preserve">      </w:t>
      </w:r>
      <w:r>
        <w:rPr>
          <w:rFonts w:hint="eastAsia" w:cs="宋体"/>
          <w:szCs w:val="24"/>
        </w:rPr>
        <w:t>日。</w:t>
      </w:r>
    </w:p>
    <w:p>
      <w:pPr>
        <w:ind w:firstLine="420"/>
        <w:rPr>
          <w:rFonts w:cs="宋体"/>
          <w:szCs w:val="24"/>
        </w:rPr>
      </w:pPr>
      <w:r>
        <w:rPr>
          <w:rFonts w:hint="eastAsia" w:cs="宋体"/>
          <w:szCs w:val="24"/>
        </w:rPr>
        <w:t>2. 订立地点：</w:t>
      </w:r>
      <w:r>
        <w:rPr>
          <w:rFonts w:hint="eastAsia" w:cs="宋体"/>
          <w:szCs w:val="24"/>
          <w:u w:val="single"/>
        </w:rPr>
        <w:t xml:space="preserve"> 郑州市 </w:t>
      </w:r>
      <w:r>
        <w:rPr>
          <w:rFonts w:hint="eastAsia" w:cs="宋体"/>
          <w:szCs w:val="24"/>
        </w:rPr>
        <w:t>。</w:t>
      </w:r>
    </w:p>
    <w:p>
      <w:pPr>
        <w:ind w:firstLine="420"/>
        <w:rPr>
          <w:rFonts w:cs="宋体"/>
          <w:szCs w:val="24"/>
        </w:rPr>
      </w:pPr>
      <w:r>
        <w:rPr>
          <w:rFonts w:hint="eastAsia" w:cs="宋体"/>
          <w:szCs w:val="24"/>
        </w:rPr>
        <w:t>3. 本合同一式</w:t>
      </w:r>
      <w:r>
        <w:rPr>
          <w:rFonts w:hint="eastAsia" w:cs="宋体"/>
          <w:szCs w:val="24"/>
          <w:u w:val="single"/>
        </w:rPr>
        <w:t xml:space="preserve">    </w:t>
      </w:r>
      <w:r>
        <w:rPr>
          <w:rFonts w:hint="eastAsia" w:cs="宋体"/>
          <w:szCs w:val="24"/>
        </w:rPr>
        <w:t>份，委托人执</w:t>
      </w:r>
      <w:r>
        <w:rPr>
          <w:rFonts w:hint="eastAsia" w:cs="宋体"/>
          <w:szCs w:val="24"/>
          <w:u w:val="single"/>
        </w:rPr>
        <w:t xml:space="preserve">      </w:t>
      </w:r>
      <w:r>
        <w:rPr>
          <w:rFonts w:hint="eastAsia" w:cs="宋体"/>
          <w:szCs w:val="24"/>
        </w:rPr>
        <w:t>份，监理人执</w:t>
      </w:r>
      <w:r>
        <w:rPr>
          <w:rFonts w:hint="eastAsia" w:cs="宋体"/>
          <w:szCs w:val="24"/>
          <w:u w:val="single"/>
        </w:rPr>
        <w:t xml:space="preserve">      </w:t>
      </w:r>
      <w:r>
        <w:rPr>
          <w:rFonts w:hint="eastAsia" w:cs="宋体"/>
          <w:szCs w:val="24"/>
        </w:rPr>
        <w:t>份，具有同等法律效力。</w:t>
      </w:r>
    </w:p>
    <w:p>
      <w:pPr>
        <w:ind w:firstLine="420"/>
        <w:rPr>
          <w:rFonts w:cs="宋体"/>
          <w:szCs w:val="24"/>
        </w:rPr>
      </w:pPr>
    </w:p>
    <w:tbl>
      <w:tblPr>
        <w:tblStyle w:val="2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2"/>
        <w:gridCol w:w="4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02" w:type="dxa"/>
            <w:tcBorders>
              <w:tl2br w:val="nil"/>
              <w:tr2bl w:val="nil"/>
            </w:tcBorders>
          </w:tcPr>
          <w:p>
            <w:pPr>
              <w:ind w:firstLine="0" w:firstLineChars="0"/>
              <w:jc w:val="both"/>
              <w:rPr>
                <w:rFonts w:cs="宋体"/>
                <w:szCs w:val="24"/>
              </w:rPr>
            </w:pPr>
            <w:r>
              <w:rPr>
                <w:rFonts w:hint="eastAsia" w:cs="宋体"/>
                <w:szCs w:val="24"/>
              </w:rPr>
              <w:t>委托人：</w:t>
            </w:r>
            <w:r>
              <w:rPr>
                <w:rFonts w:hint="eastAsia" w:cs="宋体"/>
                <w:szCs w:val="24"/>
                <w:u w:val="single"/>
              </w:rPr>
              <w:t xml:space="preserve">   （盖章）         </w:t>
            </w:r>
          </w:p>
        </w:tc>
        <w:tc>
          <w:tcPr>
            <w:tcW w:w="4569" w:type="dxa"/>
            <w:tcBorders>
              <w:tl2br w:val="nil"/>
              <w:tr2bl w:val="nil"/>
            </w:tcBorders>
          </w:tcPr>
          <w:p>
            <w:pPr>
              <w:ind w:firstLine="0" w:firstLineChars="0"/>
              <w:jc w:val="both"/>
              <w:rPr>
                <w:rFonts w:cs="宋体"/>
                <w:szCs w:val="24"/>
              </w:rPr>
            </w:pPr>
            <w:r>
              <w:rPr>
                <w:rFonts w:hint="eastAsia" w:cs="宋体"/>
                <w:szCs w:val="24"/>
              </w:rPr>
              <w:t>监理人：</w:t>
            </w:r>
            <w:r>
              <w:rPr>
                <w:rFonts w:hint="eastAsia" w:cs="宋体"/>
                <w:szCs w:val="24"/>
                <w:u w:val="single"/>
              </w:rPr>
              <w:t xml:space="preserve">   （盖章）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02" w:type="dxa"/>
            <w:tcBorders>
              <w:tl2br w:val="nil"/>
              <w:tr2bl w:val="nil"/>
            </w:tcBorders>
          </w:tcPr>
          <w:p>
            <w:pPr>
              <w:ind w:firstLine="0" w:firstLineChars="0"/>
              <w:jc w:val="both"/>
              <w:rPr>
                <w:rFonts w:cs="宋体"/>
                <w:szCs w:val="24"/>
              </w:rPr>
            </w:pPr>
            <w:r>
              <w:rPr>
                <w:rFonts w:hint="eastAsia" w:cs="宋体"/>
                <w:szCs w:val="24"/>
              </w:rPr>
              <w:t xml:space="preserve">住所： </w:t>
            </w:r>
            <w:r>
              <w:rPr>
                <w:rFonts w:hint="eastAsia" w:cs="宋体"/>
                <w:szCs w:val="24"/>
                <w:u w:val="single"/>
              </w:rPr>
              <w:t xml:space="preserve">                     </w:t>
            </w:r>
          </w:p>
        </w:tc>
        <w:tc>
          <w:tcPr>
            <w:tcW w:w="4569" w:type="dxa"/>
            <w:tcBorders>
              <w:tl2br w:val="nil"/>
              <w:tr2bl w:val="nil"/>
            </w:tcBorders>
          </w:tcPr>
          <w:p>
            <w:pPr>
              <w:ind w:firstLine="0" w:firstLineChars="0"/>
              <w:jc w:val="both"/>
              <w:rPr>
                <w:rFonts w:cs="宋体"/>
                <w:szCs w:val="24"/>
              </w:rPr>
            </w:pPr>
            <w:r>
              <w:rPr>
                <w:rFonts w:hint="eastAsia" w:cs="宋体"/>
                <w:szCs w:val="24"/>
              </w:rPr>
              <w:t xml:space="preserve">住所： </w:t>
            </w:r>
            <w:r>
              <w:rPr>
                <w:rFonts w:hint="eastAsia" w:cs="宋体"/>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02" w:type="dxa"/>
            <w:tcBorders>
              <w:tl2br w:val="nil"/>
              <w:tr2bl w:val="nil"/>
            </w:tcBorders>
          </w:tcPr>
          <w:p>
            <w:pPr>
              <w:ind w:firstLine="0" w:firstLineChars="0"/>
              <w:jc w:val="both"/>
              <w:rPr>
                <w:rFonts w:cs="宋体"/>
                <w:szCs w:val="24"/>
              </w:rPr>
            </w:pPr>
            <w:r>
              <w:rPr>
                <w:rFonts w:hint="eastAsia" w:cs="宋体"/>
                <w:szCs w:val="24"/>
              </w:rPr>
              <w:t>邮政编码：</w:t>
            </w:r>
            <w:r>
              <w:rPr>
                <w:rFonts w:hint="eastAsia" w:cs="宋体"/>
                <w:szCs w:val="24"/>
                <w:u w:val="single"/>
              </w:rPr>
              <w:t xml:space="preserve">                  </w:t>
            </w:r>
          </w:p>
        </w:tc>
        <w:tc>
          <w:tcPr>
            <w:tcW w:w="4569" w:type="dxa"/>
            <w:tcBorders>
              <w:tl2br w:val="nil"/>
              <w:tr2bl w:val="nil"/>
            </w:tcBorders>
          </w:tcPr>
          <w:p>
            <w:pPr>
              <w:ind w:firstLine="0" w:firstLineChars="0"/>
              <w:jc w:val="both"/>
              <w:rPr>
                <w:rFonts w:cs="宋体"/>
                <w:szCs w:val="24"/>
              </w:rPr>
            </w:pPr>
            <w:r>
              <w:rPr>
                <w:rFonts w:hint="eastAsia" w:cs="宋体"/>
                <w:szCs w:val="24"/>
              </w:rPr>
              <w:t>邮政编码：</w:t>
            </w:r>
            <w:r>
              <w:rPr>
                <w:rFonts w:hint="eastAsia" w:cs="宋体"/>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02" w:type="dxa"/>
            <w:tcBorders>
              <w:tl2br w:val="nil"/>
              <w:tr2bl w:val="nil"/>
            </w:tcBorders>
          </w:tcPr>
          <w:p>
            <w:pPr>
              <w:ind w:firstLine="0" w:firstLineChars="0"/>
              <w:jc w:val="both"/>
              <w:rPr>
                <w:rFonts w:cs="宋体"/>
                <w:szCs w:val="24"/>
              </w:rPr>
            </w:pPr>
            <w:r>
              <w:rPr>
                <w:rFonts w:hint="eastAsia" w:cs="宋体"/>
                <w:szCs w:val="24"/>
              </w:rPr>
              <w:t>法定代表人或其委托代理人：</w:t>
            </w:r>
            <w:r>
              <w:rPr>
                <w:rFonts w:hint="eastAsia" w:cs="宋体"/>
                <w:szCs w:val="24"/>
                <w:u w:val="single"/>
              </w:rPr>
              <w:t xml:space="preserve">             </w:t>
            </w:r>
          </w:p>
        </w:tc>
        <w:tc>
          <w:tcPr>
            <w:tcW w:w="4569" w:type="dxa"/>
            <w:tcBorders>
              <w:tl2br w:val="nil"/>
              <w:tr2bl w:val="nil"/>
            </w:tcBorders>
          </w:tcPr>
          <w:p>
            <w:pPr>
              <w:ind w:firstLine="0" w:firstLineChars="0"/>
              <w:jc w:val="both"/>
              <w:rPr>
                <w:rFonts w:cs="宋体"/>
                <w:szCs w:val="24"/>
              </w:rPr>
            </w:pPr>
            <w:r>
              <w:rPr>
                <w:rFonts w:hint="eastAsia" w:cs="宋体"/>
                <w:szCs w:val="24"/>
              </w:rPr>
              <w:t>法定代表人或其委托代理人：</w:t>
            </w:r>
            <w:r>
              <w:rPr>
                <w:rFonts w:hint="eastAsia" w:cs="宋体"/>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02" w:type="dxa"/>
            <w:tcBorders>
              <w:tl2br w:val="nil"/>
              <w:tr2bl w:val="nil"/>
            </w:tcBorders>
          </w:tcPr>
          <w:p>
            <w:pPr>
              <w:ind w:firstLine="0" w:firstLineChars="0"/>
              <w:jc w:val="both"/>
              <w:rPr>
                <w:rFonts w:cs="宋体"/>
                <w:szCs w:val="24"/>
              </w:rPr>
            </w:pPr>
            <w:r>
              <w:rPr>
                <w:rFonts w:hint="eastAsia" w:cs="宋体"/>
                <w:szCs w:val="24"/>
              </w:rPr>
              <w:t>开户银行：</w:t>
            </w:r>
            <w:r>
              <w:rPr>
                <w:rFonts w:hint="eastAsia" w:cs="宋体"/>
                <w:szCs w:val="24"/>
                <w:u w:val="single"/>
              </w:rPr>
              <w:t xml:space="preserve">    （银行全称）  </w:t>
            </w:r>
          </w:p>
        </w:tc>
        <w:tc>
          <w:tcPr>
            <w:tcW w:w="4569" w:type="dxa"/>
            <w:tcBorders>
              <w:tl2br w:val="nil"/>
              <w:tr2bl w:val="nil"/>
            </w:tcBorders>
          </w:tcPr>
          <w:p>
            <w:pPr>
              <w:ind w:firstLine="0" w:firstLineChars="0"/>
              <w:jc w:val="both"/>
              <w:rPr>
                <w:rFonts w:cs="宋体"/>
                <w:szCs w:val="24"/>
              </w:rPr>
            </w:pPr>
            <w:r>
              <w:rPr>
                <w:rFonts w:hint="eastAsia" w:cs="宋体"/>
                <w:szCs w:val="24"/>
              </w:rPr>
              <w:t>开户银行：</w:t>
            </w:r>
            <w:r>
              <w:rPr>
                <w:rFonts w:hint="eastAsia" w:cs="宋体"/>
                <w:szCs w:val="24"/>
                <w:u w:val="single"/>
              </w:rPr>
              <w:t xml:space="preserve">    （银行全称）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02" w:type="dxa"/>
            <w:tcBorders>
              <w:tl2br w:val="nil"/>
              <w:tr2bl w:val="nil"/>
            </w:tcBorders>
          </w:tcPr>
          <w:p>
            <w:pPr>
              <w:ind w:firstLine="0" w:firstLineChars="0"/>
              <w:jc w:val="both"/>
              <w:rPr>
                <w:rFonts w:cs="宋体"/>
                <w:szCs w:val="24"/>
              </w:rPr>
            </w:pPr>
            <w:r>
              <w:rPr>
                <w:rFonts w:hint="eastAsia" w:cs="宋体"/>
                <w:szCs w:val="24"/>
              </w:rPr>
              <w:t>账号：</w:t>
            </w:r>
            <w:r>
              <w:rPr>
                <w:rFonts w:hint="eastAsia" w:cs="宋体"/>
                <w:szCs w:val="24"/>
                <w:u w:val="single"/>
              </w:rPr>
              <w:t xml:space="preserve">                      </w:t>
            </w:r>
          </w:p>
        </w:tc>
        <w:tc>
          <w:tcPr>
            <w:tcW w:w="4569" w:type="dxa"/>
            <w:tcBorders>
              <w:tl2br w:val="nil"/>
              <w:tr2bl w:val="nil"/>
            </w:tcBorders>
          </w:tcPr>
          <w:p>
            <w:pPr>
              <w:ind w:firstLine="0" w:firstLineChars="0"/>
              <w:jc w:val="both"/>
              <w:rPr>
                <w:rFonts w:cs="宋体"/>
                <w:szCs w:val="24"/>
              </w:rPr>
            </w:pPr>
            <w:r>
              <w:rPr>
                <w:rFonts w:hint="eastAsia" w:cs="宋体"/>
                <w:szCs w:val="24"/>
              </w:rPr>
              <w:t>账号：</w:t>
            </w:r>
            <w:r>
              <w:rPr>
                <w:rFonts w:hint="eastAsia" w:cs="宋体"/>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02" w:type="dxa"/>
            <w:tcBorders>
              <w:tl2br w:val="nil"/>
              <w:tr2bl w:val="nil"/>
            </w:tcBorders>
          </w:tcPr>
          <w:p>
            <w:pPr>
              <w:ind w:firstLine="0" w:firstLineChars="0"/>
              <w:jc w:val="both"/>
              <w:rPr>
                <w:rFonts w:cs="宋体"/>
                <w:szCs w:val="24"/>
              </w:rPr>
            </w:pPr>
            <w:r>
              <w:rPr>
                <w:rFonts w:hint="eastAsia" w:cs="宋体"/>
                <w:szCs w:val="24"/>
              </w:rPr>
              <w:t>电话：</w:t>
            </w:r>
            <w:r>
              <w:rPr>
                <w:rFonts w:hint="eastAsia" w:cs="宋体"/>
                <w:szCs w:val="24"/>
                <w:u w:val="single"/>
              </w:rPr>
              <w:t xml:space="preserve">                      </w:t>
            </w:r>
          </w:p>
        </w:tc>
        <w:tc>
          <w:tcPr>
            <w:tcW w:w="4569" w:type="dxa"/>
            <w:tcBorders>
              <w:tl2br w:val="nil"/>
              <w:tr2bl w:val="nil"/>
            </w:tcBorders>
          </w:tcPr>
          <w:p>
            <w:pPr>
              <w:ind w:firstLine="0" w:firstLineChars="0"/>
              <w:jc w:val="both"/>
              <w:rPr>
                <w:rFonts w:cs="宋体"/>
                <w:szCs w:val="24"/>
              </w:rPr>
            </w:pPr>
            <w:r>
              <w:rPr>
                <w:rFonts w:hint="eastAsia" w:cs="宋体"/>
                <w:szCs w:val="24"/>
              </w:rPr>
              <w:t>电话：</w:t>
            </w:r>
            <w:r>
              <w:rPr>
                <w:rFonts w:hint="eastAsia" w:cs="宋体"/>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02" w:type="dxa"/>
            <w:tcBorders>
              <w:tl2br w:val="nil"/>
              <w:tr2bl w:val="nil"/>
            </w:tcBorders>
          </w:tcPr>
          <w:p>
            <w:pPr>
              <w:ind w:firstLine="0" w:firstLineChars="0"/>
              <w:jc w:val="both"/>
              <w:rPr>
                <w:rFonts w:cs="宋体"/>
                <w:szCs w:val="24"/>
              </w:rPr>
            </w:pPr>
            <w:r>
              <w:rPr>
                <w:rFonts w:hint="eastAsia" w:cs="宋体"/>
                <w:szCs w:val="24"/>
              </w:rPr>
              <w:t>传真：</w:t>
            </w:r>
            <w:r>
              <w:rPr>
                <w:rFonts w:hint="eastAsia" w:cs="宋体"/>
                <w:szCs w:val="24"/>
                <w:u w:val="single"/>
              </w:rPr>
              <w:t xml:space="preserve">                      </w:t>
            </w:r>
          </w:p>
        </w:tc>
        <w:tc>
          <w:tcPr>
            <w:tcW w:w="4569" w:type="dxa"/>
            <w:tcBorders>
              <w:tl2br w:val="nil"/>
              <w:tr2bl w:val="nil"/>
            </w:tcBorders>
          </w:tcPr>
          <w:p>
            <w:pPr>
              <w:ind w:firstLine="0" w:firstLineChars="0"/>
              <w:jc w:val="both"/>
              <w:rPr>
                <w:rFonts w:cs="宋体"/>
                <w:szCs w:val="24"/>
              </w:rPr>
            </w:pPr>
            <w:r>
              <w:rPr>
                <w:rFonts w:hint="eastAsia" w:cs="宋体"/>
                <w:szCs w:val="24"/>
              </w:rPr>
              <w:t>传真：</w:t>
            </w:r>
            <w:r>
              <w:rPr>
                <w:rFonts w:hint="eastAsia" w:cs="宋体"/>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502" w:type="dxa"/>
            <w:tcBorders>
              <w:tl2br w:val="nil"/>
              <w:tr2bl w:val="nil"/>
            </w:tcBorders>
          </w:tcPr>
          <w:p>
            <w:pPr>
              <w:ind w:firstLine="0" w:firstLineChars="0"/>
              <w:jc w:val="both"/>
              <w:rPr>
                <w:rFonts w:cs="宋体"/>
                <w:szCs w:val="24"/>
              </w:rPr>
            </w:pPr>
            <w:r>
              <w:rPr>
                <w:rFonts w:hint="eastAsia" w:cs="宋体"/>
                <w:szCs w:val="24"/>
              </w:rPr>
              <w:t>电子邮箱：</w:t>
            </w:r>
            <w:r>
              <w:rPr>
                <w:rFonts w:hint="eastAsia" w:cs="宋体"/>
                <w:szCs w:val="24"/>
                <w:u w:val="single"/>
              </w:rPr>
              <w:t xml:space="preserve">                  </w:t>
            </w:r>
          </w:p>
        </w:tc>
        <w:tc>
          <w:tcPr>
            <w:tcW w:w="4569" w:type="dxa"/>
            <w:tcBorders>
              <w:tl2br w:val="nil"/>
              <w:tr2bl w:val="nil"/>
            </w:tcBorders>
          </w:tcPr>
          <w:p>
            <w:pPr>
              <w:ind w:firstLine="0" w:firstLineChars="0"/>
              <w:jc w:val="both"/>
              <w:rPr>
                <w:rFonts w:cs="宋体"/>
                <w:szCs w:val="24"/>
              </w:rPr>
            </w:pPr>
            <w:r>
              <w:rPr>
                <w:rFonts w:hint="eastAsia" w:cs="宋体"/>
                <w:szCs w:val="24"/>
              </w:rPr>
              <w:t>电子邮箱：</w:t>
            </w:r>
            <w:r>
              <w:rPr>
                <w:rFonts w:hint="eastAsia" w:cs="宋体"/>
                <w:szCs w:val="24"/>
                <w:u w:val="single"/>
              </w:rPr>
              <w:t xml:space="preserve">                  </w:t>
            </w:r>
          </w:p>
        </w:tc>
      </w:tr>
    </w:tbl>
    <w:p>
      <w:pPr>
        <w:ind w:firstLine="420"/>
        <w:rPr>
          <w:rFonts w:cs="宋体"/>
          <w:szCs w:val="24"/>
        </w:rPr>
      </w:pPr>
    </w:p>
    <w:p>
      <w:pPr>
        <w:pStyle w:val="8"/>
        <w:ind w:left="0" w:leftChars="0" w:right="0" w:rightChars="0" w:firstLine="0" w:firstLineChars="0"/>
        <w:rPr>
          <w:rFonts w:cs="宋体"/>
          <w:sz w:val="24"/>
          <w:szCs w:val="24"/>
        </w:rPr>
      </w:pPr>
      <w:r>
        <w:rPr>
          <w:rFonts w:hint="eastAsia" w:cs="宋体"/>
          <w:sz w:val="24"/>
          <w:szCs w:val="24"/>
        </w:rPr>
        <w:br w:type="page"/>
      </w:r>
      <w:bookmarkStart w:id="413" w:name="_Toc8577"/>
      <w:bookmarkStart w:id="414" w:name="_Toc15938"/>
    </w:p>
    <w:p>
      <w:pPr>
        <w:ind w:firstLine="0" w:firstLineChars="0"/>
        <w:jc w:val="center"/>
        <w:rPr>
          <w:b/>
          <w:bCs/>
        </w:rPr>
      </w:pPr>
      <w:r>
        <w:rPr>
          <w:rFonts w:hint="eastAsia"/>
          <w:b/>
          <w:bCs/>
        </w:rPr>
        <w:t>第二部分  通用条件</w:t>
      </w:r>
      <w:bookmarkEnd w:id="413"/>
      <w:bookmarkEnd w:id="414"/>
    </w:p>
    <w:p>
      <w:pPr>
        <w:keepNext/>
        <w:keepLines/>
        <w:ind w:firstLine="422"/>
        <w:rPr>
          <w:rFonts w:cs="宋体"/>
          <w:b/>
          <w:bCs/>
          <w:szCs w:val="24"/>
        </w:rPr>
      </w:pPr>
      <w:r>
        <w:rPr>
          <w:rFonts w:hint="eastAsia" w:cs="宋体"/>
          <w:b/>
          <w:bCs/>
          <w:szCs w:val="24"/>
        </w:rPr>
        <w:t>1. 定义与解释</w:t>
      </w:r>
    </w:p>
    <w:p>
      <w:pPr>
        <w:ind w:firstLine="422"/>
        <w:rPr>
          <w:rFonts w:cs="宋体"/>
          <w:b/>
          <w:bCs/>
          <w:szCs w:val="24"/>
        </w:rPr>
      </w:pPr>
      <w:r>
        <w:rPr>
          <w:rFonts w:hint="eastAsia" w:cs="宋体"/>
          <w:b/>
          <w:szCs w:val="24"/>
        </w:rPr>
        <w:t xml:space="preserve">1.1 </w:t>
      </w:r>
      <w:r>
        <w:rPr>
          <w:rFonts w:hint="eastAsia" w:cs="宋体"/>
          <w:b/>
          <w:bCs/>
          <w:szCs w:val="24"/>
        </w:rPr>
        <w:t>定义</w:t>
      </w:r>
    </w:p>
    <w:p>
      <w:pPr>
        <w:ind w:firstLine="420"/>
        <w:rPr>
          <w:rFonts w:cs="宋体"/>
          <w:szCs w:val="24"/>
        </w:rPr>
      </w:pPr>
      <w:r>
        <w:rPr>
          <w:rFonts w:hint="eastAsia" w:cs="宋体"/>
          <w:szCs w:val="24"/>
        </w:rPr>
        <w:t>除根据上下文另有其意义外，组成本合同的全部文件中的下列名词和用语应具有本款所赋予的含义：</w:t>
      </w:r>
    </w:p>
    <w:p>
      <w:pPr>
        <w:ind w:firstLine="420"/>
        <w:rPr>
          <w:rFonts w:cs="宋体"/>
          <w:szCs w:val="24"/>
        </w:rPr>
      </w:pPr>
      <w:r>
        <w:rPr>
          <w:rFonts w:hint="eastAsia" w:cs="宋体"/>
          <w:szCs w:val="24"/>
        </w:rPr>
        <w:t>1.1.1 “工程”是指按照本合同约定实施监理与相关服务的建设工程。</w:t>
      </w:r>
    </w:p>
    <w:p>
      <w:pPr>
        <w:ind w:firstLine="420"/>
        <w:rPr>
          <w:rFonts w:cs="宋体"/>
          <w:szCs w:val="24"/>
        </w:rPr>
      </w:pPr>
      <w:r>
        <w:rPr>
          <w:rFonts w:hint="eastAsia" w:cs="宋体"/>
          <w:szCs w:val="24"/>
        </w:rPr>
        <w:t>1.1.2 “委托人”是指本合同中委托监理与相关服务的一方，及其合法的继承人或受让人。</w:t>
      </w:r>
    </w:p>
    <w:p>
      <w:pPr>
        <w:ind w:firstLine="420"/>
        <w:rPr>
          <w:rFonts w:cs="宋体"/>
          <w:szCs w:val="24"/>
        </w:rPr>
      </w:pPr>
      <w:r>
        <w:rPr>
          <w:rFonts w:hint="eastAsia" w:cs="宋体"/>
          <w:szCs w:val="24"/>
        </w:rPr>
        <w:t>1.1.3 “监理人”是指本合同中提供监理与相关服务的一方，及其合法的继承人。</w:t>
      </w:r>
    </w:p>
    <w:p>
      <w:pPr>
        <w:ind w:firstLine="420"/>
        <w:rPr>
          <w:rFonts w:cs="宋体"/>
          <w:szCs w:val="24"/>
        </w:rPr>
      </w:pPr>
      <w:r>
        <w:rPr>
          <w:rFonts w:hint="eastAsia" w:cs="宋体"/>
          <w:szCs w:val="24"/>
        </w:rPr>
        <w:t>1.1.4  “承包人”是指在工程范围内与委托人签订勘察、设计、施工等有关合同的当事人，及其合法的继承人。</w:t>
      </w:r>
    </w:p>
    <w:p>
      <w:pPr>
        <w:ind w:firstLine="420"/>
        <w:rPr>
          <w:rFonts w:cs="宋体"/>
          <w:szCs w:val="24"/>
        </w:rPr>
      </w:pPr>
      <w:r>
        <w:rPr>
          <w:rFonts w:hint="eastAsia" w:cs="宋体"/>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firstLine="420"/>
        <w:rPr>
          <w:rFonts w:cs="宋体"/>
          <w:szCs w:val="24"/>
        </w:rPr>
      </w:pPr>
      <w:r>
        <w:rPr>
          <w:rFonts w:hint="eastAsia" w:cs="宋体"/>
          <w:szCs w:val="24"/>
        </w:rPr>
        <w:t>1.1.6 “相关服务”是指监理人受委托人的委托 ，按照本合同约定，在勘察、设计、保修等阶段提供的服务活动。</w:t>
      </w:r>
    </w:p>
    <w:p>
      <w:pPr>
        <w:ind w:firstLine="420"/>
        <w:rPr>
          <w:rFonts w:cs="宋体"/>
          <w:szCs w:val="24"/>
        </w:rPr>
      </w:pPr>
      <w:r>
        <w:rPr>
          <w:rFonts w:hint="eastAsia" w:cs="宋体"/>
          <w:szCs w:val="24"/>
        </w:rPr>
        <w:t>1.1.7 “正常工作”指本合同订立时通用条件和专用条件中约定的监理人的工作。</w:t>
      </w:r>
    </w:p>
    <w:p>
      <w:pPr>
        <w:ind w:firstLine="420"/>
        <w:rPr>
          <w:rFonts w:cs="宋体"/>
          <w:szCs w:val="24"/>
        </w:rPr>
      </w:pPr>
      <w:r>
        <w:rPr>
          <w:rFonts w:hint="eastAsia" w:cs="宋体"/>
          <w:szCs w:val="24"/>
        </w:rPr>
        <w:t>1.1.8 “附加工作”是指本合同约定的正常工作以外监理人的工作。</w:t>
      </w:r>
    </w:p>
    <w:p>
      <w:pPr>
        <w:ind w:firstLine="420"/>
        <w:rPr>
          <w:rFonts w:cs="宋体"/>
          <w:szCs w:val="24"/>
        </w:rPr>
      </w:pPr>
      <w:r>
        <w:rPr>
          <w:rFonts w:hint="eastAsia" w:cs="宋体"/>
          <w:szCs w:val="24"/>
        </w:rPr>
        <w:t>1.1.9 “项目监理机构”是指监理人派驻工程负责履行本合同的组织机构。</w:t>
      </w:r>
    </w:p>
    <w:p>
      <w:pPr>
        <w:ind w:firstLine="420"/>
        <w:rPr>
          <w:rFonts w:cs="宋体"/>
          <w:szCs w:val="24"/>
        </w:rPr>
      </w:pPr>
      <w:r>
        <w:rPr>
          <w:rFonts w:hint="eastAsia" w:cs="宋体"/>
          <w:szCs w:val="24"/>
        </w:rPr>
        <w:t>1.1.10 “总监理工程师”是指由监理人的法定代表人书面授权，全面负责履行本合同、主持项目监理机构工作的注册监理工程师。</w:t>
      </w:r>
    </w:p>
    <w:p>
      <w:pPr>
        <w:ind w:firstLine="420"/>
        <w:rPr>
          <w:rFonts w:cs="宋体"/>
          <w:szCs w:val="24"/>
        </w:rPr>
      </w:pPr>
      <w:r>
        <w:rPr>
          <w:rFonts w:hint="eastAsia" w:cs="宋体"/>
          <w:szCs w:val="24"/>
        </w:rPr>
        <w:t>1.1.11 “酬金”是指监理人履行本合同义务，委托人按照本合同约定给付监理人的金额。</w:t>
      </w:r>
    </w:p>
    <w:p>
      <w:pPr>
        <w:ind w:firstLine="420"/>
        <w:rPr>
          <w:rFonts w:cs="宋体"/>
          <w:szCs w:val="24"/>
        </w:rPr>
      </w:pPr>
      <w:r>
        <w:rPr>
          <w:rFonts w:hint="eastAsia" w:cs="宋体"/>
          <w:szCs w:val="24"/>
        </w:rPr>
        <w:t>1.1.12 “正常工作酬金”是指监理人完成正常工作，委托人应给付监理人并在协议书中载明的签约酬金额。</w:t>
      </w:r>
    </w:p>
    <w:p>
      <w:pPr>
        <w:ind w:firstLine="420"/>
        <w:rPr>
          <w:rFonts w:cs="宋体"/>
          <w:szCs w:val="24"/>
        </w:rPr>
      </w:pPr>
      <w:r>
        <w:rPr>
          <w:rFonts w:hint="eastAsia" w:cs="宋体"/>
          <w:szCs w:val="24"/>
        </w:rPr>
        <w:t>1.1.13 “附加工作酬金”是指监理人完成附加工作，委托人应给付监理人的金额。</w:t>
      </w:r>
    </w:p>
    <w:p>
      <w:pPr>
        <w:ind w:firstLine="420"/>
        <w:rPr>
          <w:rFonts w:cs="宋体"/>
          <w:szCs w:val="24"/>
        </w:rPr>
      </w:pPr>
      <w:r>
        <w:rPr>
          <w:rFonts w:hint="eastAsia" w:cs="宋体"/>
          <w:szCs w:val="24"/>
        </w:rPr>
        <w:t>1.1.14 “一方”是指委托人或监理人；“双方”是指委托人和监理人；“第三方”是指除委托人和监理人以外的有关方。</w:t>
      </w:r>
    </w:p>
    <w:p>
      <w:pPr>
        <w:ind w:firstLine="420"/>
        <w:rPr>
          <w:rFonts w:cs="宋体"/>
          <w:szCs w:val="24"/>
        </w:rPr>
      </w:pPr>
      <w:r>
        <w:rPr>
          <w:rFonts w:hint="eastAsia" w:cs="宋体"/>
          <w:szCs w:val="24"/>
        </w:rPr>
        <w:t>1.1.15 “书面形式”是指合同书、信件和数据电文（包括电报、电传、传真、电子数据交换和电子邮件）等可以有形地表现所载内容的形式。</w:t>
      </w:r>
    </w:p>
    <w:p>
      <w:pPr>
        <w:ind w:firstLine="420"/>
        <w:rPr>
          <w:rFonts w:cs="宋体"/>
          <w:szCs w:val="24"/>
        </w:rPr>
      </w:pPr>
      <w:r>
        <w:rPr>
          <w:rFonts w:hint="eastAsia" w:cs="宋体"/>
          <w:szCs w:val="24"/>
        </w:rPr>
        <w:t>1.1.16 “天”是指第一天零时至第二天零时的时间。</w:t>
      </w:r>
    </w:p>
    <w:p>
      <w:pPr>
        <w:ind w:firstLine="420"/>
        <w:rPr>
          <w:rFonts w:cs="宋体"/>
          <w:szCs w:val="24"/>
        </w:rPr>
      </w:pPr>
      <w:r>
        <w:rPr>
          <w:rFonts w:hint="eastAsia" w:cs="宋体"/>
          <w:szCs w:val="24"/>
        </w:rPr>
        <w:t>1.1.17 “月”是指按公历从一个月中任何一天开始的一个公历月时间。</w:t>
      </w:r>
    </w:p>
    <w:p>
      <w:pPr>
        <w:ind w:firstLine="420"/>
        <w:rPr>
          <w:rFonts w:cs="宋体"/>
          <w:szCs w:val="24"/>
        </w:rPr>
      </w:pPr>
      <w:r>
        <w:rPr>
          <w:rFonts w:hint="eastAsia" w:cs="宋体"/>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ind w:firstLine="422"/>
        <w:rPr>
          <w:rFonts w:cs="宋体"/>
          <w:b/>
          <w:szCs w:val="24"/>
        </w:rPr>
      </w:pPr>
      <w:r>
        <w:rPr>
          <w:rFonts w:hint="eastAsia" w:cs="宋体"/>
          <w:b/>
          <w:szCs w:val="24"/>
        </w:rPr>
        <w:t>1.2 解释</w:t>
      </w:r>
    </w:p>
    <w:p>
      <w:pPr>
        <w:tabs>
          <w:tab w:val="left" w:pos="6140"/>
        </w:tabs>
        <w:ind w:firstLine="420"/>
        <w:rPr>
          <w:rFonts w:cs="宋体"/>
          <w:szCs w:val="24"/>
        </w:rPr>
      </w:pPr>
      <w:r>
        <w:rPr>
          <w:rFonts w:hint="eastAsia" w:cs="宋体"/>
          <w:szCs w:val="24"/>
        </w:rPr>
        <w:t>1.2.1 本合同使用中文书写、解释和说明。如专用条件约定使用两种及以上语言文字时，应以中文为准。</w:t>
      </w:r>
    </w:p>
    <w:p>
      <w:pPr>
        <w:tabs>
          <w:tab w:val="left" w:pos="6140"/>
        </w:tabs>
        <w:ind w:firstLine="420"/>
        <w:rPr>
          <w:rFonts w:cs="宋体"/>
          <w:szCs w:val="24"/>
        </w:rPr>
      </w:pPr>
      <w:r>
        <w:rPr>
          <w:rFonts w:hint="eastAsia" w:cs="宋体"/>
          <w:szCs w:val="24"/>
        </w:rPr>
        <w:t>1.2.2 组成本合同的下列文件彼此应能相互解释、互为说明。除专用条件另有约定外，本合同文件的解释顺序如下：</w:t>
      </w:r>
    </w:p>
    <w:p>
      <w:pPr>
        <w:ind w:firstLine="420"/>
        <w:rPr>
          <w:rFonts w:cs="宋体"/>
          <w:szCs w:val="24"/>
        </w:rPr>
      </w:pPr>
      <w:r>
        <w:rPr>
          <w:rFonts w:hint="eastAsia" w:cs="宋体"/>
          <w:szCs w:val="24"/>
        </w:rPr>
        <w:t>（1）协议书；</w:t>
      </w:r>
    </w:p>
    <w:p>
      <w:pPr>
        <w:ind w:firstLine="420"/>
        <w:rPr>
          <w:rFonts w:cs="宋体"/>
          <w:szCs w:val="24"/>
        </w:rPr>
      </w:pPr>
      <w:r>
        <w:rPr>
          <w:rFonts w:hint="eastAsia" w:cs="宋体"/>
          <w:szCs w:val="24"/>
        </w:rPr>
        <w:t>（2）成交通知书（适用于招标工程）或委托书（适用于非招标工程）；</w:t>
      </w:r>
    </w:p>
    <w:p>
      <w:pPr>
        <w:ind w:firstLine="420"/>
        <w:rPr>
          <w:rFonts w:cs="宋体"/>
          <w:szCs w:val="24"/>
        </w:rPr>
      </w:pPr>
      <w:r>
        <w:rPr>
          <w:rFonts w:hint="eastAsia" w:cs="宋体"/>
          <w:szCs w:val="24"/>
        </w:rPr>
        <w:t>（3）专用条件及附录；</w:t>
      </w:r>
    </w:p>
    <w:p>
      <w:pPr>
        <w:ind w:firstLine="420"/>
        <w:rPr>
          <w:rFonts w:cs="宋体"/>
          <w:szCs w:val="24"/>
        </w:rPr>
      </w:pPr>
      <w:r>
        <w:rPr>
          <w:rFonts w:hint="eastAsia" w:cs="宋体"/>
          <w:szCs w:val="24"/>
        </w:rPr>
        <w:t>（4）通用条件；</w:t>
      </w:r>
    </w:p>
    <w:p>
      <w:pPr>
        <w:ind w:firstLine="420"/>
        <w:rPr>
          <w:rFonts w:cs="宋体"/>
          <w:szCs w:val="24"/>
        </w:rPr>
      </w:pPr>
      <w:r>
        <w:rPr>
          <w:rFonts w:hint="eastAsia" w:cs="宋体"/>
          <w:szCs w:val="24"/>
        </w:rPr>
        <w:t>（5）投标文件（适用于招标工程）或监理与相关服务建议书（适用于非招标工程）。</w:t>
      </w:r>
    </w:p>
    <w:p>
      <w:pPr>
        <w:ind w:firstLine="420"/>
        <w:rPr>
          <w:rFonts w:cs="宋体"/>
          <w:szCs w:val="24"/>
        </w:rPr>
      </w:pPr>
      <w:r>
        <w:rPr>
          <w:rFonts w:hint="eastAsia" w:cs="宋体"/>
          <w:szCs w:val="24"/>
        </w:rPr>
        <w:t>双方签订的补充协议与其他文件发生矛盾或歧义时，属于同一类内容的文件，应以最新签署的为准。</w:t>
      </w:r>
    </w:p>
    <w:p>
      <w:pPr>
        <w:keepNext/>
        <w:keepLines/>
        <w:ind w:firstLine="422"/>
        <w:rPr>
          <w:rFonts w:cs="宋体"/>
          <w:b/>
          <w:bCs/>
          <w:szCs w:val="24"/>
        </w:rPr>
      </w:pPr>
      <w:r>
        <w:rPr>
          <w:rFonts w:hint="eastAsia" w:cs="宋体"/>
          <w:b/>
          <w:bCs/>
          <w:szCs w:val="24"/>
        </w:rPr>
        <w:t>2. 监理人的义务</w:t>
      </w:r>
    </w:p>
    <w:p>
      <w:pPr>
        <w:ind w:firstLine="422"/>
        <w:rPr>
          <w:rFonts w:cs="宋体"/>
          <w:b/>
          <w:szCs w:val="24"/>
        </w:rPr>
      </w:pPr>
      <w:r>
        <w:rPr>
          <w:rFonts w:hint="eastAsia" w:cs="宋体"/>
          <w:b/>
          <w:szCs w:val="24"/>
        </w:rPr>
        <w:t>2.1 监理的范围和工作内容</w:t>
      </w:r>
    </w:p>
    <w:p>
      <w:pPr>
        <w:ind w:firstLine="420"/>
        <w:rPr>
          <w:rFonts w:cs="宋体"/>
          <w:szCs w:val="24"/>
        </w:rPr>
      </w:pPr>
      <w:r>
        <w:rPr>
          <w:rFonts w:hint="eastAsia" w:cs="宋体"/>
          <w:szCs w:val="24"/>
        </w:rPr>
        <w:t>2.1.1 监理范围在专用条件中约定。</w:t>
      </w:r>
    </w:p>
    <w:p>
      <w:pPr>
        <w:ind w:firstLine="420"/>
        <w:rPr>
          <w:rFonts w:cs="宋体"/>
          <w:szCs w:val="24"/>
        </w:rPr>
      </w:pPr>
      <w:r>
        <w:rPr>
          <w:rFonts w:hint="eastAsia" w:cs="宋体"/>
          <w:szCs w:val="24"/>
        </w:rPr>
        <w:t>2.1.2 除专用条件另有约定外，监理工作内容包括：</w:t>
      </w:r>
    </w:p>
    <w:p>
      <w:pPr>
        <w:ind w:firstLine="420"/>
        <w:rPr>
          <w:rFonts w:cs="宋体"/>
          <w:szCs w:val="24"/>
        </w:rPr>
      </w:pPr>
      <w:r>
        <w:rPr>
          <w:rFonts w:hint="eastAsia" w:cs="宋体"/>
          <w:szCs w:val="24"/>
        </w:rPr>
        <w:t>（1）收到工程设计文件后编制监理规划，并在第一次工地会议7天前报委托人。根据有关规定和监理工作需要，编制监理实施细则；</w:t>
      </w:r>
    </w:p>
    <w:p>
      <w:pPr>
        <w:ind w:firstLine="420"/>
        <w:rPr>
          <w:rFonts w:cs="宋体"/>
          <w:szCs w:val="24"/>
        </w:rPr>
      </w:pPr>
      <w:r>
        <w:rPr>
          <w:rFonts w:hint="eastAsia" w:cs="宋体"/>
          <w:szCs w:val="24"/>
        </w:rPr>
        <w:t>（2）熟悉工程设计文件，并参加由委托人主持的图纸会审和设计交底会议；</w:t>
      </w:r>
    </w:p>
    <w:p>
      <w:pPr>
        <w:ind w:firstLine="420"/>
        <w:rPr>
          <w:rFonts w:cs="宋体"/>
          <w:szCs w:val="24"/>
        </w:rPr>
      </w:pPr>
      <w:r>
        <w:rPr>
          <w:rFonts w:hint="eastAsia" w:cs="宋体"/>
          <w:szCs w:val="24"/>
        </w:rPr>
        <w:t>（3）参加由委托人主持的第一次工地会议；主持监理例会并根据工程需要主持或参加专题会议；</w:t>
      </w:r>
    </w:p>
    <w:p>
      <w:pPr>
        <w:ind w:firstLine="420"/>
        <w:rPr>
          <w:rFonts w:cs="宋体"/>
          <w:szCs w:val="24"/>
        </w:rPr>
      </w:pPr>
      <w:r>
        <w:rPr>
          <w:rFonts w:hint="eastAsia" w:cs="宋体"/>
          <w:szCs w:val="24"/>
        </w:rPr>
        <w:t>（4）审查施工承包人提交的施工组织设计，重点审查其中的质量安全技术措施、专项施工方案与工程建设强制性标准的符合性；</w:t>
      </w:r>
    </w:p>
    <w:p>
      <w:pPr>
        <w:ind w:firstLine="420"/>
        <w:rPr>
          <w:rFonts w:cs="宋体"/>
          <w:szCs w:val="24"/>
        </w:rPr>
      </w:pPr>
      <w:r>
        <w:rPr>
          <w:rFonts w:hint="eastAsia" w:cs="宋体"/>
          <w:szCs w:val="24"/>
        </w:rPr>
        <w:t xml:space="preserve">（5）检查施工承包人工程质量、安全生产管理制度及组织机构和人员资格； </w:t>
      </w:r>
    </w:p>
    <w:p>
      <w:pPr>
        <w:ind w:firstLine="420"/>
        <w:rPr>
          <w:rFonts w:cs="宋体"/>
          <w:szCs w:val="24"/>
        </w:rPr>
      </w:pPr>
      <w:r>
        <w:rPr>
          <w:rFonts w:hint="eastAsia" w:cs="宋体"/>
          <w:szCs w:val="24"/>
        </w:rPr>
        <w:t>（6）检查施工承包人专职安全生产管理人员的配备情况；</w:t>
      </w:r>
    </w:p>
    <w:p>
      <w:pPr>
        <w:ind w:firstLine="420"/>
        <w:rPr>
          <w:rFonts w:cs="宋体"/>
          <w:szCs w:val="24"/>
        </w:rPr>
      </w:pPr>
      <w:r>
        <w:rPr>
          <w:rFonts w:hint="eastAsia" w:cs="宋体"/>
          <w:szCs w:val="24"/>
        </w:rPr>
        <w:t>（7）审查施工承包人提交的施工进度计划，核查承包人对施工进度计划的调整；</w:t>
      </w:r>
    </w:p>
    <w:p>
      <w:pPr>
        <w:ind w:firstLine="420"/>
        <w:rPr>
          <w:rFonts w:cs="宋体"/>
          <w:szCs w:val="24"/>
        </w:rPr>
      </w:pPr>
      <w:r>
        <w:rPr>
          <w:rFonts w:hint="eastAsia" w:cs="宋体"/>
          <w:szCs w:val="24"/>
        </w:rPr>
        <w:t>（8）检查施工承包人的试验室；</w:t>
      </w:r>
    </w:p>
    <w:p>
      <w:pPr>
        <w:ind w:firstLine="420"/>
        <w:rPr>
          <w:rFonts w:cs="宋体"/>
          <w:szCs w:val="24"/>
        </w:rPr>
      </w:pPr>
      <w:r>
        <w:rPr>
          <w:rFonts w:hint="eastAsia" w:cs="宋体"/>
          <w:szCs w:val="24"/>
        </w:rPr>
        <w:t>（9）审核施工分包人资质条件；</w:t>
      </w:r>
    </w:p>
    <w:p>
      <w:pPr>
        <w:ind w:firstLine="420"/>
        <w:rPr>
          <w:rFonts w:cs="宋体"/>
          <w:szCs w:val="24"/>
        </w:rPr>
      </w:pPr>
      <w:r>
        <w:rPr>
          <w:rFonts w:hint="eastAsia" w:cs="宋体"/>
          <w:szCs w:val="24"/>
        </w:rPr>
        <w:t>（10）查验施工承包人的施工测量放线成果；</w:t>
      </w:r>
    </w:p>
    <w:p>
      <w:pPr>
        <w:ind w:firstLine="420"/>
        <w:rPr>
          <w:rFonts w:cs="宋体"/>
          <w:szCs w:val="24"/>
        </w:rPr>
      </w:pPr>
      <w:r>
        <w:rPr>
          <w:rFonts w:hint="eastAsia" w:cs="宋体"/>
          <w:szCs w:val="24"/>
        </w:rPr>
        <w:t>（11）审查工程开工条件，对条件具备的签发开工令；</w:t>
      </w:r>
    </w:p>
    <w:p>
      <w:pPr>
        <w:ind w:firstLine="420"/>
        <w:rPr>
          <w:rFonts w:cs="宋体"/>
          <w:szCs w:val="24"/>
        </w:rPr>
      </w:pPr>
      <w:r>
        <w:rPr>
          <w:rFonts w:hint="eastAsia" w:cs="宋体"/>
          <w:szCs w:val="24"/>
        </w:rPr>
        <w:t>（12）审查施工承包人报送的工程材料、构配件、设备质量证明文件的有效性和符合性，并按规定对用于工程的材料采取平行检验或见证取样方式进行抽检；</w:t>
      </w:r>
    </w:p>
    <w:p>
      <w:pPr>
        <w:ind w:firstLine="420"/>
        <w:rPr>
          <w:rFonts w:cs="宋体"/>
          <w:szCs w:val="24"/>
        </w:rPr>
      </w:pPr>
      <w:r>
        <w:rPr>
          <w:rFonts w:hint="eastAsia" w:cs="宋体"/>
          <w:szCs w:val="24"/>
        </w:rPr>
        <w:t>（13）审核施工承包人提交的工程款支付申请，签发或出具工程款支付证书，并报委托人审核、批准；</w:t>
      </w:r>
    </w:p>
    <w:p>
      <w:pPr>
        <w:ind w:firstLine="420"/>
        <w:rPr>
          <w:rFonts w:cs="宋体"/>
          <w:szCs w:val="24"/>
        </w:rPr>
      </w:pPr>
      <w:r>
        <w:rPr>
          <w:rFonts w:hint="eastAsia" w:cs="宋体"/>
          <w:szCs w:val="24"/>
        </w:rPr>
        <w:t>（14）在巡视、旁站和检验过程中，发现工程质量、施工安全存在事故隐患的，要求施工承包人整改并报委托人；</w:t>
      </w:r>
    </w:p>
    <w:p>
      <w:pPr>
        <w:ind w:firstLine="420"/>
        <w:rPr>
          <w:rFonts w:cs="宋体"/>
          <w:szCs w:val="24"/>
        </w:rPr>
      </w:pPr>
      <w:r>
        <w:rPr>
          <w:rFonts w:hint="eastAsia" w:cs="宋体"/>
          <w:szCs w:val="24"/>
        </w:rPr>
        <w:t>（15）经委托人同意，签发工程暂停令和复工令；</w:t>
      </w:r>
    </w:p>
    <w:p>
      <w:pPr>
        <w:ind w:firstLine="420"/>
        <w:rPr>
          <w:rFonts w:cs="宋体"/>
          <w:szCs w:val="24"/>
        </w:rPr>
      </w:pPr>
      <w:r>
        <w:rPr>
          <w:rFonts w:hint="eastAsia" w:cs="宋体"/>
          <w:szCs w:val="24"/>
        </w:rPr>
        <w:t>（16）审查施工承包人提交的采用新材料、新工艺、新技术、新设备的论证材料及相关验收标准；</w:t>
      </w:r>
    </w:p>
    <w:p>
      <w:pPr>
        <w:ind w:firstLine="420"/>
        <w:rPr>
          <w:rFonts w:cs="宋体"/>
          <w:szCs w:val="24"/>
        </w:rPr>
      </w:pPr>
      <w:r>
        <w:rPr>
          <w:rFonts w:hint="eastAsia" w:cs="宋体"/>
          <w:szCs w:val="24"/>
        </w:rPr>
        <w:t>（17）验收隐蔽工程、分部分项工程；</w:t>
      </w:r>
    </w:p>
    <w:p>
      <w:pPr>
        <w:ind w:firstLine="420"/>
        <w:rPr>
          <w:rFonts w:cs="宋体"/>
          <w:szCs w:val="24"/>
        </w:rPr>
      </w:pPr>
      <w:r>
        <w:rPr>
          <w:rFonts w:hint="eastAsia" w:cs="宋体"/>
          <w:szCs w:val="24"/>
        </w:rPr>
        <w:t>（18）审查施工承包人提交的工程变更申请，协调处理施工进度调整、费用索赔、合同争议等事项；</w:t>
      </w:r>
    </w:p>
    <w:p>
      <w:pPr>
        <w:ind w:firstLine="420"/>
        <w:rPr>
          <w:rFonts w:cs="宋体"/>
          <w:szCs w:val="24"/>
        </w:rPr>
      </w:pPr>
      <w:r>
        <w:rPr>
          <w:rFonts w:hint="eastAsia" w:cs="宋体"/>
          <w:szCs w:val="24"/>
        </w:rPr>
        <w:t>（19）审查施工承包人提交的竣工验收申请，编写工程质量评估报告；</w:t>
      </w:r>
    </w:p>
    <w:p>
      <w:pPr>
        <w:ind w:firstLine="420"/>
        <w:rPr>
          <w:rFonts w:cs="宋体"/>
          <w:szCs w:val="24"/>
        </w:rPr>
      </w:pPr>
      <w:r>
        <w:rPr>
          <w:rFonts w:hint="eastAsia" w:cs="宋体"/>
          <w:szCs w:val="24"/>
        </w:rPr>
        <w:t>（20）参加工程竣工验收，签署竣工验收意见；</w:t>
      </w:r>
    </w:p>
    <w:p>
      <w:pPr>
        <w:ind w:firstLine="420"/>
        <w:rPr>
          <w:rFonts w:cs="宋体"/>
          <w:szCs w:val="24"/>
        </w:rPr>
      </w:pPr>
      <w:r>
        <w:rPr>
          <w:rFonts w:hint="eastAsia" w:cs="宋体"/>
          <w:szCs w:val="24"/>
        </w:rPr>
        <w:t>（21）审查施工承包人提交的竣工结算申请并报委托人；</w:t>
      </w:r>
    </w:p>
    <w:p>
      <w:pPr>
        <w:ind w:firstLine="420"/>
        <w:rPr>
          <w:rFonts w:cs="宋体"/>
          <w:szCs w:val="24"/>
        </w:rPr>
      </w:pPr>
      <w:r>
        <w:rPr>
          <w:rFonts w:hint="eastAsia" w:cs="宋体"/>
          <w:szCs w:val="24"/>
        </w:rPr>
        <w:t>（22）编制、整理工程监理归档文件并报委托人。</w:t>
      </w:r>
    </w:p>
    <w:p>
      <w:pPr>
        <w:ind w:firstLine="420"/>
        <w:rPr>
          <w:rFonts w:cs="宋体"/>
          <w:szCs w:val="24"/>
        </w:rPr>
      </w:pPr>
      <w:r>
        <w:rPr>
          <w:rFonts w:hint="eastAsia" w:cs="宋体"/>
          <w:szCs w:val="24"/>
        </w:rPr>
        <w:t>2.1.3 相关服务的范围和内容在附录A中约定。</w:t>
      </w:r>
    </w:p>
    <w:p>
      <w:pPr>
        <w:ind w:firstLine="422"/>
        <w:rPr>
          <w:rFonts w:cs="宋体"/>
          <w:b/>
          <w:szCs w:val="24"/>
        </w:rPr>
      </w:pPr>
      <w:r>
        <w:rPr>
          <w:rFonts w:hint="eastAsia" w:cs="宋体"/>
          <w:b/>
          <w:szCs w:val="24"/>
        </w:rPr>
        <w:t>2.2 监理与相关服务依据</w:t>
      </w:r>
    </w:p>
    <w:p>
      <w:pPr>
        <w:ind w:firstLine="420"/>
        <w:rPr>
          <w:rFonts w:cs="宋体"/>
          <w:szCs w:val="24"/>
        </w:rPr>
      </w:pPr>
      <w:r>
        <w:rPr>
          <w:rFonts w:hint="eastAsia" w:cs="宋体"/>
          <w:szCs w:val="24"/>
        </w:rPr>
        <w:t>2.2.1 监理依据包括：</w:t>
      </w:r>
    </w:p>
    <w:p>
      <w:pPr>
        <w:ind w:firstLine="420"/>
        <w:rPr>
          <w:rFonts w:cs="宋体"/>
          <w:szCs w:val="24"/>
        </w:rPr>
      </w:pPr>
      <w:r>
        <w:rPr>
          <w:rFonts w:hint="eastAsia" w:cs="宋体"/>
          <w:szCs w:val="24"/>
        </w:rPr>
        <w:t>（1）适用的法律、行政法规及部门规章；</w:t>
      </w:r>
    </w:p>
    <w:p>
      <w:pPr>
        <w:ind w:firstLine="420"/>
        <w:rPr>
          <w:rFonts w:cs="宋体"/>
          <w:szCs w:val="24"/>
        </w:rPr>
      </w:pPr>
      <w:r>
        <w:rPr>
          <w:rFonts w:hint="eastAsia" w:cs="宋体"/>
          <w:szCs w:val="24"/>
        </w:rPr>
        <w:t>（2）与工程有关的标准；</w:t>
      </w:r>
    </w:p>
    <w:p>
      <w:pPr>
        <w:ind w:firstLine="420"/>
        <w:rPr>
          <w:rFonts w:cs="宋体"/>
          <w:szCs w:val="24"/>
        </w:rPr>
      </w:pPr>
      <w:r>
        <w:rPr>
          <w:rFonts w:hint="eastAsia" w:cs="宋体"/>
          <w:szCs w:val="24"/>
        </w:rPr>
        <w:t>（3）工程设计及有关文件；</w:t>
      </w:r>
    </w:p>
    <w:p>
      <w:pPr>
        <w:ind w:firstLine="420"/>
        <w:rPr>
          <w:rFonts w:cs="宋体"/>
          <w:szCs w:val="24"/>
        </w:rPr>
      </w:pPr>
      <w:r>
        <w:rPr>
          <w:rFonts w:hint="eastAsia" w:cs="宋体"/>
          <w:szCs w:val="24"/>
        </w:rPr>
        <w:t>（4）本合同及委托人与第三方签订的与实施工程有关的其他合同。</w:t>
      </w:r>
    </w:p>
    <w:p>
      <w:pPr>
        <w:ind w:firstLine="420"/>
        <w:rPr>
          <w:rFonts w:cs="宋体"/>
          <w:szCs w:val="24"/>
        </w:rPr>
      </w:pPr>
      <w:r>
        <w:rPr>
          <w:rFonts w:hint="eastAsia" w:cs="宋体"/>
          <w:szCs w:val="24"/>
        </w:rPr>
        <w:t>双方根据工程的行业和地域特点，在专用条件中具体约定监理依据。</w:t>
      </w:r>
    </w:p>
    <w:p>
      <w:pPr>
        <w:ind w:firstLine="420"/>
        <w:rPr>
          <w:rFonts w:cs="宋体"/>
          <w:szCs w:val="24"/>
        </w:rPr>
      </w:pPr>
      <w:r>
        <w:rPr>
          <w:rFonts w:hint="eastAsia" w:cs="宋体"/>
          <w:szCs w:val="24"/>
        </w:rPr>
        <w:t>2.2.2 相关服务依据在专用条件中约定。</w:t>
      </w:r>
    </w:p>
    <w:p>
      <w:pPr>
        <w:ind w:firstLine="422"/>
        <w:rPr>
          <w:rFonts w:cs="宋体"/>
          <w:b/>
          <w:szCs w:val="24"/>
        </w:rPr>
      </w:pPr>
      <w:r>
        <w:rPr>
          <w:rFonts w:hint="eastAsia" w:cs="宋体"/>
          <w:b/>
          <w:szCs w:val="24"/>
        </w:rPr>
        <w:t>2.3 项目监理机构和人员</w:t>
      </w:r>
    </w:p>
    <w:p>
      <w:pPr>
        <w:ind w:firstLine="420"/>
        <w:rPr>
          <w:rFonts w:cs="宋体"/>
          <w:szCs w:val="24"/>
        </w:rPr>
      </w:pPr>
      <w:r>
        <w:rPr>
          <w:rFonts w:hint="eastAsia" w:cs="宋体"/>
          <w:szCs w:val="24"/>
        </w:rPr>
        <w:t>2.3.1 监理人应组建满足工作需要的项目监理机构，配备必要的检测设备。项目监理机构的主要人员应具有相应的资格条件。</w:t>
      </w:r>
    </w:p>
    <w:p>
      <w:pPr>
        <w:ind w:firstLine="420"/>
        <w:rPr>
          <w:rFonts w:cs="宋体"/>
          <w:szCs w:val="24"/>
        </w:rPr>
      </w:pPr>
      <w:r>
        <w:rPr>
          <w:rFonts w:hint="eastAsia" w:cs="宋体"/>
          <w:szCs w:val="24"/>
        </w:rPr>
        <w:t>2.3.2 本合同履行过程中，总监理工程师及重要岗位监理人员应保持相对稳定，以保证监理工作正常进行。</w:t>
      </w:r>
    </w:p>
    <w:p>
      <w:pPr>
        <w:ind w:firstLine="420"/>
        <w:rPr>
          <w:rFonts w:cs="宋体"/>
          <w:szCs w:val="24"/>
        </w:rPr>
      </w:pPr>
      <w:r>
        <w:rPr>
          <w:rFonts w:hint="eastAsia" w:cs="宋体"/>
          <w:szCs w:val="24"/>
        </w:rPr>
        <w:t>2.3.3  监理人可根据工程进展和工作需要调整项目监理机构人员。监理人更换总监理工程师时，应提前7天向委托人书面报告，经委托人同意后方可更换。不经委托人同意更换总监的，委托人有权解除合同同时罚没履约保证金，并追诉因此对委托人造成的其它经济损失。监理人更换项目监理机构及其他监理人员，应以相当资格与能力的人员替换，并通知委托人。</w:t>
      </w:r>
    </w:p>
    <w:p>
      <w:pPr>
        <w:ind w:firstLine="420"/>
        <w:rPr>
          <w:rFonts w:cs="宋体"/>
          <w:szCs w:val="24"/>
        </w:rPr>
      </w:pPr>
      <w:r>
        <w:rPr>
          <w:rFonts w:hint="eastAsia" w:cs="宋体"/>
          <w:szCs w:val="24"/>
        </w:rPr>
        <w:t>2.3.4 监理人应及时更换有下列情形之一的监理人员：</w:t>
      </w:r>
    </w:p>
    <w:p>
      <w:pPr>
        <w:ind w:firstLine="420"/>
        <w:rPr>
          <w:rFonts w:cs="宋体"/>
          <w:szCs w:val="24"/>
        </w:rPr>
      </w:pPr>
      <w:r>
        <w:rPr>
          <w:rFonts w:hint="eastAsia" w:cs="宋体"/>
          <w:szCs w:val="24"/>
        </w:rPr>
        <w:t>（1）严重过失行为的；</w:t>
      </w:r>
    </w:p>
    <w:p>
      <w:pPr>
        <w:ind w:firstLine="420"/>
        <w:rPr>
          <w:rFonts w:cs="宋体"/>
          <w:szCs w:val="24"/>
        </w:rPr>
      </w:pPr>
      <w:r>
        <w:rPr>
          <w:rFonts w:hint="eastAsia" w:cs="宋体"/>
          <w:szCs w:val="24"/>
        </w:rPr>
        <w:t>（2）有违法行为不能履行职责的；</w:t>
      </w:r>
    </w:p>
    <w:p>
      <w:pPr>
        <w:ind w:firstLine="420"/>
        <w:rPr>
          <w:rFonts w:cs="宋体"/>
          <w:szCs w:val="24"/>
        </w:rPr>
      </w:pPr>
      <w:r>
        <w:rPr>
          <w:rFonts w:hint="eastAsia" w:cs="宋体"/>
          <w:szCs w:val="24"/>
        </w:rPr>
        <w:t>（3）涉嫌犯罪的；</w:t>
      </w:r>
    </w:p>
    <w:p>
      <w:pPr>
        <w:ind w:firstLine="420"/>
        <w:rPr>
          <w:rFonts w:cs="宋体"/>
          <w:szCs w:val="24"/>
        </w:rPr>
      </w:pPr>
      <w:r>
        <w:rPr>
          <w:rFonts w:hint="eastAsia" w:cs="宋体"/>
          <w:szCs w:val="24"/>
        </w:rPr>
        <w:t>（4）不能胜任岗位职责的；</w:t>
      </w:r>
    </w:p>
    <w:p>
      <w:pPr>
        <w:ind w:firstLine="420"/>
        <w:rPr>
          <w:rFonts w:cs="宋体"/>
          <w:szCs w:val="24"/>
        </w:rPr>
      </w:pPr>
      <w:r>
        <w:rPr>
          <w:rFonts w:hint="eastAsia" w:cs="宋体"/>
          <w:szCs w:val="24"/>
        </w:rPr>
        <w:t>（5）严重违反职业道德的；</w:t>
      </w:r>
    </w:p>
    <w:p>
      <w:pPr>
        <w:ind w:firstLine="420"/>
        <w:rPr>
          <w:rFonts w:cs="宋体"/>
          <w:szCs w:val="24"/>
        </w:rPr>
      </w:pPr>
      <w:r>
        <w:rPr>
          <w:rFonts w:hint="eastAsia" w:cs="宋体"/>
          <w:szCs w:val="24"/>
        </w:rPr>
        <w:t>（6）专用条件约定的其他情形。</w:t>
      </w:r>
    </w:p>
    <w:p>
      <w:pPr>
        <w:ind w:firstLine="420"/>
        <w:rPr>
          <w:rFonts w:cs="宋体"/>
          <w:kern w:val="0"/>
          <w:szCs w:val="24"/>
        </w:rPr>
      </w:pPr>
      <w:r>
        <w:rPr>
          <w:rFonts w:hint="eastAsia" w:cs="宋体"/>
          <w:szCs w:val="24"/>
        </w:rPr>
        <w:t>2.3.5 委托人可要求监理人更换不能胜任本职工作的项目监理机构人员。</w:t>
      </w:r>
    </w:p>
    <w:p>
      <w:pPr>
        <w:ind w:firstLine="422"/>
        <w:rPr>
          <w:rFonts w:cs="宋体"/>
          <w:b/>
          <w:szCs w:val="24"/>
        </w:rPr>
      </w:pPr>
      <w:r>
        <w:rPr>
          <w:rFonts w:hint="eastAsia" w:cs="宋体"/>
          <w:b/>
          <w:szCs w:val="24"/>
        </w:rPr>
        <w:t>2.4 履行职责</w:t>
      </w:r>
    </w:p>
    <w:p>
      <w:pPr>
        <w:ind w:firstLine="420"/>
        <w:rPr>
          <w:rFonts w:cs="宋体"/>
          <w:szCs w:val="24"/>
        </w:rPr>
      </w:pPr>
      <w:r>
        <w:rPr>
          <w:rFonts w:hint="eastAsia" w:cs="宋体"/>
          <w:kern w:val="0"/>
          <w:szCs w:val="24"/>
        </w:rPr>
        <w:t>监理人应遵循职业道德准则和行为规范，严格按照法律法规、工程建设有关标准及本合同履行职责。</w:t>
      </w:r>
    </w:p>
    <w:p>
      <w:pPr>
        <w:ind w:firstLine="420"/>
        <w:rPr>
          <w:rFonts w:cs="宋体"/>
          <w:kern w:val="0"/>
          <w:szCs w:val="24"/>
        </w:rPr>
      </w:pPr>
      <w:r>
        <w:rPr>
          <w:rFonts w:hint="eastAsia" w:cs="宋体"/>
          <w:kern w:val="0"/>
          <w:szCs w:val="24"/>
        </w:rPr>
        <w:t>2.4.1 在监理与相关服务范围内，委托人和承包人提出的意见和要求，监理人应及时提出处置意见。当委托人与承包人之间发生合同争议时，监理人应协助委托人、承包人协商解决。</w:t>
      </w:r>
    </w:p>
    <w:p>
      <w:pPr>
        <w:ind w:firstLine="420"/>
        <w:rPr>
          <w:rFonts w:cs="宋体"/>
          <w:kern w:val="0"/>
          <w:szCs w:val="24"/>
        </w:rPr>
      </w:pPr>
      <w:r>
        <w:rPr>
          <w:rFonts w:hint="eastAsia" w:cs="宋体"/>
          <w:kern w:val="0"/>
          <w:szCs w:val="24"/>
        </w:rPr>
        <w:t>2.4.2 当委托人与承包人之间的合同争议提交仲裁机构仲裁或人民法院审理时，监理人应提供必要的证明资料。</w:t>
      </w:r>
    </w:p>
    <w:p>
      <w:pPr>
        <w:ind w:firstLine="420"/>
        <w:rPr>
          <w:rFonts w:cs="宋体"/>
          <w:kern w:val="0"/>
          <w:szCs w:val="24"/>
        </w:rPr>
      </w:pPr>
      <w:r>
        <w:rPr>
          <w:rFonts w:hint="eastAsia" w:cs="宋体"/>
          <w:kern w:val="0"/>
          <w:szCs w:val="24"/>
        </w:rPr>
        <w:t>2.4.3 监理人应在专用条件约定的授权范围内，处理委托人与承包人所签订合同的变更事宜。如果变更超过授权范围，应以书面形式报委托人批准。</w:t>
      </w:r>
    </w:p>
    <w:p>
      <w:pPr>
        <w:ind w:firstLine="420"/>
        <w:rPr>
          <w:rFonts w:cs="宋体"/>
          <w:kern w:val="0"/>
          <w:szCs w:val="24"/>
        </w:rPr>
      </w:pPr>
      <w:r>
        <w:rPr>
          <w:rFonts w:hint="eastAsia" w:cs="宋体"/>
          <w:kern w:val="0"/>
          <w:szCs w:val="24"/>
        </w:rPr>
        <w:t>在紧急情况下，为了保护财产和人身安全，监理人所发出的指令未能事先报委托人批准时，应在发出指令后的24小时内以书面形式报委托人。</w:t>
      </w:r>
    </w:p>
    <w:p>
      <w:pPr>
        <w:ind w:firstLine="420"/>
        <w:rPr>
          <w:rFonts w:cs="宋体"/>
          <w:kern w:val="0"/>
          <w:szCs w:val="24"/>
        </w:rPr>
      </w:pPr>
      <w:r>
        <w:rPr>
          <w:rFonts w:hint="eastAsia" w:cs="宋体"/>
          <w:kern w:val="0"/>
          <w:szCs w:val="24"/>
        </w:rPr>
        <w:t>2.4.4 除专用条件另有约定外，监理人发现承包人的人员不能胜任本职工作的，有权要求承包人予以调换。</w:t>
      </w:r>
    </w:p>
    <w:p>
      <w:pPr>
        <w:ind w:firstLine="422"/>
        <w:rPr>
          <w:rFonts w:cs="宋体"/>
          <w:b/>
          <w:szCs w:val="24"/>
        </w:rPr>
      </w:pPr>
      <w:r>
        <w:rPr>
          <w:rFonts w:hint="eastAsia" w:cs="宋体"/>
          <w:b/>
          <w:szCs w:val="24"/>
        </w:rPr>
        <w:t>2.5 提交报告</w:t>
      </w:r>
    </w:p>
    <w:p>
      <w:pPr>
        <w:ind w:firstLine="420"/>
        <w:rPr>
          <w:rFonts w:cs="宋体"/>
          <w:szCs w:val="24"/>
        </w:rPr>
      </w:pPr>
      <w:r>
        <w:rPr>
          <w:rFonts w:hint="eastAsia" w:cs="宋体"/>
          <w:szCs w:val="24"/>
        </w:rPr>
        <w:t>监理人应按专用条件约定的种类、时间和份数向委托人提交监理与相关服务的报告。</w:t>
      </w:r>
    </w:p>
    <w:p>
      <w:pPr>
        <w:ind w:firstLine="422"/>
        <w:rPr>
          <w:rFonts w:cs="宋体"/>
          <w:b/>
          <w:szCs w:val="24"/>
        </w:rPr>
      </w:pPr>
      <w:r>
        <w:rPr>
          <w:rFonts w:hint="eastAsia" w:cs="宋体"/>
          <w:b/>
          <w:szCs w:val="24"/>
        </w:rPr>
        <w:t>2.6 文件资料</w:t>
      </w:r>
    </w:p>
    <w:p>
      <w:pPr>
        <w:ind w:firstLine="420"/>
        <w:rPr>
          <w:rFonts w:cs="宋体"/>
          <w:szCs w:val="24"/>
        </w:rPr>
      </w:pPr>
      <w:r>
        <w:rPr>
          <w:rFonts w:hint="eastAsia" w:cs="宋体"/>
          <w:kern w:val="0"/>
          <w:szCs w:val="24"/>
        </w:rPr>
        <w:t>在本合同履行期内，监理人应在现场保留工作所用的图纸、报告及记录监理工</w:t>
      </w:r>
      <w:r>
        <w:rPr>
          <w:rFonts w:hint="eastAsia" w:cs="宋体"/>
          <w:szCs w:val="24"/>
        </w:rPr>
        <w:t>作的相关文件。工程竣工后，应当按照档案管理规定将监理有关文件归档。</w:t>
      </w:r>
    </w:p>
    <w:p>
      <w:pPr>
        <w:keepNext/>
        <w:keepLines/>
        <w:ind w:firstLine="422"/>
        <w:rPr>
          <w:rFonts w:cs="宋体"/>
          <w:b/>
          <w:bCs/>
          <w:szCs w:val="24"/>
        </w:rPr>
      </w:pPr>
      <w:r>
        <w:rPr>
          <w:rFonts w:hint="eastAsia" w:cs="宋体"/>
          <w:b/>
          <w:bCs/>
          <w:szCs w:val="24"/>
        </w:rPr>
        <w:t>3．委托人的义务</w:t>
      </w:r>
    </w:p>
    <w:p>
      <w:pPr>
        <w:ind w:firstLine="422"/>
        <w:rPr>
          <w:rFonts w:cs="宋体"/>
          <w:b/>
          <w:szCs w:val="24"/>
        </w:rPr>
      </w:pPr>
      <w:r>
        <w:rPr>
          <w:rFonts w:hint="eastAsia" w:cs="宋体"/>
          <w:b/>
          <w:szCs w:val="24"/>
        </w:rPr>
        <w:t>3.1 告知</w:t>
      </w:r>
    </w:p>
    <w:p>
      <w:pPr>
        <w:ind w:firstLine="420"/>
        <w:rPr>
          <w:rFonts w:cs="宋体"/>
          <w:kern w:val="0"/>
          <w:szCs w:val="24"/>
        </w:rPr>
      </w:pPr>
      <w:r>
        <w:rPr>
          <w:rFonts w:hint="eastAsia" w:cs="宋体"/>
          <w:kern w:val="0"/>
          <w:szCs w:val="24"/>
        </w:rPr>
        <w:t>委托人应在委托人与承包人签订的合同中明确监理人、总监理工程师和授予项目监理机构的权限。如有变更，应及时通知承包人。</w:t>
      </w:r>
    </w:p>
    <w:p>
      <w:pPr>
        <w:ind w:firstLine="422"/>
        <w:rPr>
          <w:rFonts w:cs="宋体"/>
          <w:b/>
          <w:szCs w:val="24"/>
        </w:rPr>
      </w:pPr>
      <w:r>
        <w:rPr>
          <w:rFonts w:hint="eastAsia" w:cs="宋体"/>
          <w:b/>
          <w:szCs w:val="24"/>
        </w:rPr>
        <w:t>3.2 提供资料</w:t>
      </w:r>
    </w:p>
    <w:p>
      <w:pPr>
        <w:ind w:firstLine="420"/>
        <w:rPr>
          <w:rFonts w:cs="宋体"/>
          <w:szCs w:val="24"/>
        </w:rPr>
      </w:pPr>
      <w:r>
        <w:rPr>
          <w:rFonts w:hint="eastAsia" w:cs="宋体"/>
          <w:kern w:val="0"/>
          <w:szCs w:val="24"/>
        </w:rPr>
        <w:t>委托人应按照附件约定，无偿向监理人提供工程有关的资料。</w:t>
      </w:r>
      <w:r>
        <w:rPr>
          <w:rFonts w:hint="eastAsia" w:cs="宋体"/>
          <w:szCs w:val="24"/>
        </w:rPr>
        <w:t>在本合同履行过程中，委托人应及时向监理人提供最新的与工程有关的资料。</w:t>
      </w:r>
    </w:p>
    <w:p>
      <w:pPr>
        <w:ind w:firstLine="422"/>
        <w:rPr>
          <w:rFonts w:cs="宋体"/>
          <w:b/>
          <w:szCs w:val="24"/>
        </w:rPr>
      </w:pPr>
      <w:r>
        <w:rPr>
          <w:rFonts w:hint="eastAsia" w:cs="宋体"/>
          <w:b/>
          <w:szCs w:val="24"/>
        </w:rPr>
        <w:t>3.3 提供工作条件</w:t>
      </w:r>
    </w:p>
    <w:p>
      <w:pPr>
        <w:ind w:firstLine="420"/>
        <w:rPr>
          <w:rFonts w:cs="宋体"/>
          <w:szCs w:val="24"/>
        </w:rPr>
      </w:pPr>
      <w:r>
        <w:rPr>
          <w:rFonts w:hint="eastAsia" w:cs="宋体"/>
          <w:szCs w:val="24"/>
        </w:rPr>
        <w:t>委托人应为监理人完成监理与相关服务提供必要的条件。</w:t>
      </w:r>
    </w:p>
    <w:p>
      <w:pPr>
        <w:ind w:firstLine="420"/>
        <w:rPr>
          <w:rFonts w:cs="宋体"/>
          <w:szCs w:val="24"/>
        </w:rPr>
      </w:pPr>
      <w:r>
        <w:rPr>
          <w:rFonts w:hint="eastAsia" w:cs="宋体"/>
          <w:kern w:val="0"/>
          <w:szCs w:val="24"/>
        </w:rPr>
        <w:t>3.3.1</w:t>
      </w:r>
      <w:r>
        <w:rPr>
          <w:rFonts w:hint="eastAsia"/>
          <w:szCs w:val="21"/>
        </w:rPr>
        <w:t>委托人需要监理人派驻项目现场监理人员的，除专用条件另有约定外，项目监理人员有权无偿使用由委托人提供的房屋及设备。</w:t>
      </w:r>
    </w:p>
    <w:p>
      <w:pPr>
        <w:ind w:firstLine="420"/>
        <w:rPr>
          <w:rFonts w:cs="宋体"/>
          <w:szCs w:val="24"/>
        </w:rPr>
      </w:pPr>
      <w:r>
        <w:rPr>
          <w:rFonts w:hint="eastAsia" w:cs="宋体"/>
          <w:kern w:val="0"/>
          <w:szCs w:val="24"/>
        </w:rPr>
        <w:t xml:space="preserve">3.3.2 </w:t>
      </w:r>
      <w:r>
        <w:rPr>
          <w:rFonts w:hint="eastAsia" w:cs="宋体"/>
          <w:szCs w:val="24"/>
        </w:rPr>
        <w:t>委托人应负责协调工程建设中所有外部关系，为监理人履行本合同提供必要的外部条件。</w:t>
      </w:r>
    </w:p>
    <w:p>
      <w:pPr>
        <w:ind w:firstLine="422"/>
        <w:rPr>
          <w:rFonts w:cs="宋体"/>
          <w:b/>
          <w:szCs w:val="24"/>
        </w:rPr>
      </w:pPr>
      <w:r>
        <w:rPr>
          <w:rFonts w:hint="eastAsia" w:cs="宋体"/>
          <w:b/>
          <w:szCs w:val="24"/>
        </w:rPr>
        <w:t>3.4 委托人代表</w:t>
      </w:r>
    </w:p>
    <w:p>
      <w:pPr>
        <w:ind w:firstLine="420"/>
        <w:rPr>
          <w:rFonts w:cs="宋体"/>
          <w:szCs w:val="24"/>
        </w:rPr>
      </w:pPr>
      <w:r>
        <w:rPr>
          <w:rFonts w:hint="eastAsia" w:cs="宋体"/>
          <w:szCs w:val="24"/>
        </w:rPr>
        <w:t>委托人应授权一名熟悉工程情况的代表，负责与监理人联系。委托人应在双方签订本合同后7天内，将委托人代表的姓名和职责书面告知监理人。当委托人更换委托人代表时，应提前7天通知监理人。</w:t>
      </w:r>
    </w:p>
    <w:p>
      <w:pPr>
        <w:ind w:firstLine="422"/>
        <w:rPr>
          <w:rFonts w:cs="宋体"/>
          <w:b/>
          <w:szCs w:val="24"/>
        </w:rPr>
      </w:pPr>
      <w:r>
        <w:rPr>
          <w:rFonts w:hint="eastAsia" w:cs="宋体"/>
          <w:b/>
          <w:szCs w:val="24"/>
        </w:rPr>
        <w:t>3.5 委托人意见或要求</w:t>
      </w:r>
    </w:p>
    <w:p>
      <w:pPr>
        <w:ind w:firstLine="420"/>
        <w:rPr>
          <w:rFonts w:cs="宋体"/>
          <w:szCs w:val="24"/>
        </w:rPr>
      </w:pPr>
      <w:r>
        <w:rPr>
          <w:rFonts w:hint="eastAsia" w:cs="宋体"/>
          <w:szCs w:val="24"/>
        </w:rPr>
        <w:t>在本合同约定的监理与相关服务工作范围内，委托人对承包人的任何意见或要求应通知监理人，由监理人向承包人发出相应指令。</w:t>
      </w:r>
    </w:p>
    <w:p>
      <w:pPr>
        <w:ind w:firstLine="422"/>
        <w:rPr>
          <w:rFonts w:cs="宋体"/>
          <w:b/>
          <w:szCs w:val="24"/>
        </w:rPr>
      </w:pPr>
      <w:r>
        <w:rPr>
          <w:rFonts w:hint="eastAsia" w:cs="宋体"/>
          <w:b/>
          <w:szCs w:val="24"/>
        </w:rPr>
        <w:t>3.6 答复</w:t>
      </w:r>
    </w:p>
    <w:p>
      <w:pPr>
        <w:ind w:firstLine="420"/>
        <w:rPr>
          <w:rFonts w:cs="宋体"/>
          <w:szCs w:val="24"/>
        </w:rPr>
      </w:pPr>
      <w:r>
        <w:rPr>
          <w:rFonts w:hint="eastAsia" w:cs="宋体"/>
          <w:szCs w:val="24"/>
        </w:rPr>
        <w:t>委托人应在专用条件约定的时间内，对监理人以书面形式提交并要求作出决定的事宜，给予书面答复。</w:t>
      </w:r>
    </w:p>
    <w:p>
      <w:pPr>
        <w:ind w:firstLine="422"/>
        <w:rPr>
          <w:rFonts w:cs="宋体"/>
          <w:b/>
          <w:szCs w:val="24"/>
        </w:rPr>
      </w:pPr>
      <w:r>
        <w:rPr>
          <w:rFonts w:hint="eastAsia" w:cs="宋体"/>
          <w:b/>
          <w:szCs w:val="24"/>
        </w:rPr>
        <w:t>3.7 支付</w:t>
      </w:r>
    </w:p>
    <w:p>
      <w:pPr>
        <w:ind w:firstLine="420"/>
        <w:rPr>
          <w:rFonts w:cs="宋体"/>
          <w:szCs w:val="24"/>
        </w:rPr>
      </w:pPr>
      <w:r>
        <w:rPr>
          <w:rFonts w:hint="eastAsia" w:cs="宋体"/>
          <w:szCs w:val="24"/>
        </w:rPr>
        <w:t>委托人应按本合同约定，向监理人支付酬金。</w:t>
      </w:r>
    </w:p>
    <w:p>
      <w:pPr>
        <w:keepNext/>
        <w:keepLines/>
        <w:ind w:firstLine="422"/>
        <w:rPr>
          <w:rFonts w:cs="宋体"/>
          <w:b/>
          <w:bCs/>
          <w:szCs w:val="24"/>
        </w:rPr>
      </w:pPr>
      <w:r>
        <w:rPr>
          <w:rFonts w:hint="eastAsia" w:cs="宋体"/>
          <w:b/>
          <w:bCs/>
          <w:szCs w:val="24"/>
        </w:rPr>
        <w:t>4. 违约责任</w:t>
      </w:r>
    </w:p>
    <w:p>
      <w:pPr>
        <w:ind w:firstLine="422"/>
        <w:rPr>
          <w:rFonts w:cs="宋体"/>
          <w:b/>
          <w:szCs w:val="24"/>
        </w:rPr>
      </w:pPr>
      <w:r>
        <w:rPr>
          <w:rFonts w:hint="eastAsia" w:cs="宋体"/>
          <w:b/>
          <w:szCs w:val="24"/>
        </w:rPr>
        <w:t>4.1 监理人的违约责任</w:t>
      </w:r>
    </w:p>
    <w:p>
      <w:pPr>
        <w:ind w:firstLine="420"/>
        <w:rPr>
          <w:rFonts w:cs="宋体"/>
          <w:szCs w:val="24"/>
        </w:rPr>
      </w:pPr>
      <w:r>
        <w:rPr>
          <w:rFonts w:hint="eastAsia" w:cs="宋体"/>
          <w:kern w:val="0"/>
          <w:szCs w:val="24"/>
        </w:rPr>
        <w:t>监理人未履行本合同义务的，应承担相应的责任。</w:t>
      </w:r>
    </w:p>
    <w:p>
      <w:pPr>
        <w:ind w:firstLine="420"/>
        <w:rPr>
          <w:rFonts w:cs="宋体"/>
          <w:kern w:val="0"/>
          <w:szCs w:val="24"/>
        </w:rPr>
      </w:pPr>
      <w:r>
        <w:rPr>
          <w:rFonts w:hint="eastAsia" w:cs="宋体"/>
          <w:kern w:val="0"/>
          <w:szCs w:val="24"/>
        </w:rPr>
        <w:t>4.1.1 因监理人违反本合同约定</w:t>
      </w:r>
      <w:r>
        <w:rPr>
          <w:rFonts w:hint="eastAsia" w:cs="宋体"/>
          <w:szCs w:val="24"/>
        </w:rPr>
        <w:t>给委托人造成损失的，监理人应当赔偿委托人损失</w:t>
      </w:r>
      <w:r>
        <w:rPr>
          <w:rFonts w:hint="eastAsia" w:cs="宋体"/>
          <w:kern w:val="0"/>
          <w:szCs w:val="24"/>
        </w:rPr>
        <w:t>。赔偿金额的确定方法在专用条件中约定。监理人承担部分赔偿责任的，其承担赔偿金额由双方协商确定。</w:t>
      </w:r>
    </w:p>
    <w:p>
      <w:pPr>
        <w:ind w:firstLine="420"/>
        <w:rPr>
          <w:rFonts w:cs="宋体"/>
          <w:kern w:val="0"/>
          <w:szCs w:val="24"/>
        </w:rPr>
      </w:pPr>
      <w:r>
        <w:rPr>
          <w:rFonts w:hint="eastAsia" w:cs="宋体"/>
          <w:kern w:val="0"/>
          <w:szCs w:val="24"/>
        </w:rPr>
        <w:t>4.1.2 监理人向委托人的索赔不成立时，监理人应赔偿委托人由此发生的费用。</w:t>
      </w:r>
    </w:p>
    <w:p>
      <w:pPr>
        <w:ind w:firstLine="422"/>
        <w:rPr>
          <w:rFonts w:cs="宋体"/>
          <w:b/>
          <w:szCs w:val="24"/>
        </w:rPr>
      </w:pPr>
      <w:r>
        <w:rPr>
          <w:rFonts w:hint="eastAsia" w:cs="宋体"/>
          <w:b/>
          <w:szCs w:val="24"/>
        </w:rPr>
        <w:t>4.2 委托人的违约责任</w:t>
      </w:r>
    </w:p>
    <w:p>
      <w:pPr>
        <w:ind w:firstLine="420"/>
        <w:rPr>
          <w:rFonts w:cs="宋体"/>
          <w:kern w:val="0"/>
          <w:szCs w:val="24"/>
        </w:rPr>
      </w:pPr>
      <w:r>
        <w:rPr>
          <w:rFonts w:hint="eastAsia" w:cs="宋体"/>
          <w:kern w:val="0"/>
          <w:szCs w:val="24"/>
        </w:rPr>
        <w:t>委托人未履行本合同义务的，应承担相应的责任。</w:t>
      </w:r>
    </w:p>
    <w:p>
      <w:pPr>
        <w:ind w:firstLine="420"/>
        <w:rPr>
          <w:rFonts w:cs="宋体"/>
          <w:kern w:val="0"/>
          <w:szCs w:val="24"/>
        </w:rPr>
      </w:pPr>
      <w:r>
        <w:rPr>
          <w:rFonts w:hint="eastAsia" w:cs="宋体"/>
          <w:kern w:val="0"/>
          <w:szCs w:val="24"/>
        </w:rPr>
        <w:t>4.2.1 委托人违反本合同约定造成监理人损失的，委托人应予以赔偿。</w:t>
      </w:r>
    </w:p>
    <w:p>
      <w:pPr>
        <w:ind w:firstLine="420"/>
        <w:rPr>
          <w:rFonts w:cs="宋体"/>
          <w:kern w:val="0"/>
          <w:szCs w:val="24"/>
        </w:rPr>
      </w:pPr>
      <w:r>
        <w:rPr>
          <w:rFonts w:hint="eastAsia" w:cs="宋体"/>
          <w:kern w:val="0"/>
          <w:szCs w:val="24"/>
        </w:rPr>
        <w:t>4.2.2 委托人向监理人的索赔不成立时，应赔偿监理人由此引起的费用。</w:t>
      </w:r>
    </w:p>
    <w:p>
      <w:pPr>
        <w:ind w:firstLine="420"/>
        <w:rPr>
          <w:rFonts w:cs="宋体"/>
          <w:kern w:val="0"/>
          <w:szCs w:val="24"/>
        </w:rPr>
      </w:pPr>
      <w:r>
        <w:rPr>
          <w:rFonts w:hint="eastAsia" w:cs="宋体"/>
          <w:szCs w:val="24"/>
        </w:rPr>
        <w:t xml:space="preserve">4.2.3 </w:t>
      </w:r>
      <w:r>
        <w:rPr>
          <w:rFonts w:hint="eastAsia" w:cs="宋体"/>
          <w:kern w:val="0"/>
          <w:szCs w:val="24"/>
        </w:rPr>
        <w:t>委托人未能按期支付</w:t>
      </w:r>
      <w:r>
        <w:rPr>
          <w:rFonts w:hint="eastAsia" w:cs="宋体"/>
          <w:szCs w:val="24"/>
        </w:rPr>
        <w:t>酬金</w:t>
      </w:r>
      <w:r>
        <w:rPr>
          <w:rFonts w:hint="eastAsia" w:cs="宋体"/>
          <w:kern w:val="0"/>
          <w:szCs w:val="24"/>
        </w:rPr>
        <w:t>超过28天，应按专用条件约定支付逾期付款利息。</w:t>
      </w:r>
    </w:p>
    <w:p>
      <w:pPr>
        <w:ind w:firstLine="422"/>
        <w:rPr>
          <w:rFonts w:cs="宋体"/>
          <w:b/>
          <w:szCs w:val="24"/>
        </w:rPr>
      </w:pPr>
      <w:r>
        <w:rPr>
          <w:rFonts w:hint="eastAsia" w:cs="宋体"/>
          <w:b/>
          <w:szCs w:val="24"/>
        </w:rPr>
        <w:t>4.3 除外责任</w:t>
      </w:r>
    </w:p>
    <w:p>
      <w:pPr>
        <w:ind w:firstLine="420"/>
        <w:rPr>
          <w:rFonts w:cs="宋体"/>
          <w:kern w:val="0"/>
          <w:szCs w:val="24"/>
        </w:rPr>
      </w:pPr>
      <w:r>
        <w:rPr>
          <w:rFonts w:hint="eastAsia" w:cs="宋体"/>
          <w:kern w:val="0"/>
          <w:szCs w:val="24"/>
        </w:rPr>
        <w:t>因非监理人的原因，且监理人无过错，发生工程质量事故、安全事故、工期延误等造成的损失，监理人不承担赔偿责任。</w:t>
      </w:r>
    </w:p>
    <w:p>
      <w:pPr>
        <w:ind w:firstLine="420"/>
        <w:rPr>
          <w:rFonts w:cs="宋体"/>
          <w:kern w:val="0"/>
          <w:szCs w:val="24"/>
        </w:rPr>
      </w:pPr>
      <w:r>
        <w:rPr>
          <w:rFonts w:hint="eastAsia" w:cs="宋体"/>
          <w:kern w:val="0"/>
          <w:szCs w:val="24"/>
        </w:rPr>
        <w:t>因不可抗力导致本合同全部或部分不能履行时，双方各自承担其因此而造成的损失、损害。</w:t>
      </w:r>
    </w:p>
    <w:p>
      <w:pPr>
        <w:keepNext/>
        <w:keepLines/>
        <w:ind w:firstLine="422"/>
        <w:rPr>
          <w:rFonts w:cs="宋体"/>
          <w:b/>
          <w:bCs/>
          <w:szCs w:val="24"/>
        </w:rPr>
      </w:pPr>
      <w:r>
        <w:rPr>
          <w:rFonts w:hint="eastAsia" w:cs="宋体"/>
          <w:b/>
          <w:bCs/>
          <w:szCs w:val="24"/>
        </w:rPr>
        <w:t>5. 支付</w:t>
      </w:r>
    </w:p>
    <w:p>
      <w:pPr>
        <w:ind w:firstLine="422"/>
        <w:rPr>
          <w:rFonts w:cs="宋体"/>
          <w:b/>
          <w:szCs w:val="24"/>
        </w:rPr>
      </w:pPr>
      <w:r>
        <w:rPr>
          <w:rFonts w:hint="eastAsia" w:cs="宋体"/>
          <w:b/>
          <w:szCs w:val="24"/>
        </w:rPr>
        <w:t>5.1 支付货币</w:t>
      </w:r>
    </w:p>
    <w:p>
      <w:pPr>
        <w:ind w:firstLine="420"/>
        <w:rPr>
          <w:rFonts w:cs="宋体"/>
          <w:bCs/>
          <w:szCs w:val="24"/>
        </w:rPr>
      </w:pPr>
      <w:r>
        <w:rPr>
          <w:rFonts w:hint="eastAsia" w:cs="宋体"/>
          <w:szCs w:val="24"/>
        </w:rPr>
        <w:t>除专用条件另有约定外，酬金均以人民币支付。涉及外币支付的，所采用的货币种类、比例和汇率在专用条件中约定。</w:t>
      </w:r>
    </w:p>
    <w:p>
      <w:pPr>
        <w:ind w:firstLine="422"/>
        <w:rPr>
          <w:rFonts w:cs="宋体"/>
          <w:b/>
          <w:szCs w:val="24"/>
        </w:rPr>
      </w:pPr>
      <w:r>
        <w:rPr>
          <w:rFonts w:hint="eastAsia" w:cs="宋体"/>
          <w:b/>
          <w:szCs w:val="24"/>
        </w:rPr>
        <w:t>5.2 支付申请</w:t>
      </w:r>
    </w:p>
    <w:p>
      <w:pPr>
        <w:ind w:firstLine="420"/>
        <w:rPr>
          <w:rFonts w:cs="宋体"/>
          <w:szCs w:val="24"/>
        </w:rPr>
      </w:pPr>
      <w:r>
        <w:rPr>
          <w:rFonts w:hint="eastAsia" w:cs="宋体"/>
          <w:szCs w:val="24"/>
        </w:rPr>
        <w:t>监理人应在本合同约定的每次应付款时间的7天前，向委托人提交支付申请书。支付申请书应当说明当期应付款总额，并列出当期应支付的款项及其金额。</w:t>
      </w:r>
    </w:p>
    <w:p>
      <w:pPr>
        <w:ind w:firstLine="422"/>
        <w:rPr>
          <w:rFonts w:cs="宋体"/>
          <w:b/>
          <w:szCs w:val="24"/>
        </w:rPr>
      </w:pPr>
      <w:r>
        <w:rPr>
          <w:rFonts w:hint="eastAsia" w:cs="宋体"/>
          <w:b/>
          <w:szCs w:val="24"/>
        </w:rPr>
        <w:t>5.3 支付酬金</w:t>
      </w:r>
    </w:p>
    <w:p>
      <w:pPr>
        <w:ind w:firstLine="420"/>
        <w:rPr>
          <w:rFonts w:cs="宋体"/>
          <w:szCs w:val="24"/>
        </w:rPr>
      </w:pPr>
      <w:r>
        <w:rPr>
          <w:rFonts w:hint="eastAsia" w:cs="宋体"/>
          <w:szCs w:val="24"/>
        </w:rPr>
        <w:t>支付的酬金包括正常工作酬金、附加工作酬金及费用。</w:t>
      </w:r>
    </w:p>
    <w:p>
      <w:pPr>
        <w:ind w:firstLine="422"/>
        <w:rPr>
          <w:rFonts w:cs="宋体"/>
          <w:b/>
          <w:szCs w:val="24"/>
        </w:rPr>
      </w:pPr>
      <w:r>
        <w:rPr>
          <w:rFonts w:hint="eastAsia" w:cs="宋体"/>
          <w:b/>
          <w:szCs w:val="24"/>
        </w:rPr>
        <w:t>5.4 有争议部分的付款</w:t>
      </w:r>
    </w:p>
    <w:p>
      <w:pPr>
        <w:ind w:firstLine="420"/>
        <w:rPr>
          <w:rFonts w:cs="宋体"/>
          <w:szCs w:val="24"/>
        </w:rPr>
      </w:pPr>
      <w:r>
        <w:rPr>
          <w:rFonts w:hint="eastAsia" w:cs="宋体"/>
          <w:szCs w:val="24"/>
        </w:rPr>
        <w:t>委托人对监理人提交的支付申请书有异议时，应当在收到监理人提交的支付申请书后7天内，以书面形式向监理人发出异议通知。无异议部分的款项应按期支付，有异议部分的款项按第7条约定办理。</w:t>
      </w:r>
    </w:p>
    <w:p>
      <w:pPr>
        <w:keepNext/>
        <w:keepLines/>
        <w:ind w:firstLine="422"/>
        <w:rPr>
          <w:rFonts w:cs="宋体"/>
          <w:b/>
          <w:bCs/>
          <w:szCs w:val="24"/>
        </w:rPr>
      </w:pPr>
      <w:r>
        <w:rPr>
          <w:rFonts w:hint="eastAsia" w:cs="宋体"/>
          <w:b/>
          <w:bCs/>
          <w:szCs w:val="24"/>
        </w:rPr>
        <w:t>6. 合同生效、变更、暂停、解除与终止</w:t>
      </w:r>
    </w:p>
    <w:p>
      <w:pPr>
        <w:ind w:firstLine="422"/>
        <w:rPr>
          <w:rFonts w:cs="宋体"/>
          <w:b/>
          <w:szCs w:val="24"/>
        </w:rPr>
      </w:pPr>
      <w:r>
        <w:rPr>
          <w:rFonts w:hint="eastAsia" w:cs="宋体"/>
          <w:b/>
          <w:szCs w:val="24"/>
        </w:rPr>
        <w:t>6.1 生效</w:t>
      </w:r>
    </w:p>
    <w:p>
      <w:pPr>
        <w:ind w:firstLine="420"/>
        <w:rPr>
          <w:rFonts w:cs="宋体"/>
          <w:szCs w:val="24"/>
        </w:rPr>
      </w:pPr>
      <w:r>
        <w:rPr>
          <w:rFonts w:hint="eastAsia" w:cs="宋体"/>
          <w:szCs w:val="24"/>
        </w:rPr>
        <w:t>除法律另有规定或者专用条件另有约定外，委托人和监理人的法定代表人或其授权代理人在协议书上签字并盖单位章后本合同生效。</w:t>
      </w:r>
    </w:p>
    <w:p>
      <w:pPr>
        <w:ind w:firstLine="422"/>
        <w:rPr>
          <w:rFonts w:cs="宋体"/>
          <w:b/>
          <w:szCs w:val="24"/>
        </w:rPr>
      </w:pPr>
      <w:r>
        <w:rPr>
          <w:rFonts w:hint="eastAsia" w:cs="宋体"/>
          <w:b/>
          <w:szCs w:val="24"/>
        </w:rPr>
        <w:t>6.2 变更</w:t>
      </w:r>
    </w:p>
    <w:p>
      <w:pPr>
        <w:ind w:firstLine="420"/>
        <w:rPr>
          <w:rFonts w:cs="宋体"/>
          <w:szCs w:val="24"/>
        </w:rPr>
      </w:pPr>
      <w:r>
        <w:rPr>
          <w:rFonts w:hint="eastAsia" w:cs="宋体"/>
          <w:szCs w:val="24"/>
        </w:rPr>
        <w:t xml:space="preserve">6.2.1 </w:t>
      </w:r>
      <w:r>
        <w:t>因</w:t>
      </w:r>
      <w:r>
        <w:rPr>
          <w:spacing w:val="-3"/>
        </w:rPr>
        <w:t>工</w:t>
      </w:r>
      <w:r>
        <w:t>程</w:t>
      </w:r>
      <w:r>
        <w:rPr>
          <w:spacing w:val="-3"/>
        </w:rPr>
        <w:t>规</w:t>
      </w:r>
      <w:r>
        <w:t>模</w:t>
      </w:r>
      <w:r>
        <w:rPr>
          <w:spacing w:val="-3"/>
        </w:rPr>
        <w:t>、</w:t>
      </w:r>
      <w:r>
        <w:rPr>
          <w:rFonts w:hint="eastAsia"/>
        </w:rPr>
        <w:t>监理</w:t>
      </w:r>
      <w:r>
        <w:t>范围</w:t>
      </w:r>
      <w:r>
        <w:rPr>
          <w:spacing w:val="-3"/>
        </w:rPr>
        <w:t>及</w:t>
      </w:r>
      <w:r>
        <w:t>内</w:t>
      </w:r>
      <w:r>
        <w:rPr>
          <w:spacing w:val="-3"/>
        </w:rPr>
        <w:t>容</w:t>
      </w:r>
      <w:r>
        <w:t>的</w:t>
      </w:r>
      <w:r>
        <w:rPr>
          <w:spacing w:val="-3"/>
        </w:rPr>
        <w:t>变</w:t>
      </w:r>
      <w:r>
        <w:t>化</w:t>
      </w:r>
      <w:r>
        <w:rPr>
          <w:spacing w:val="-3"/>
        </w:rPr>
        <w:t>等</w:t>
      </w:r>
      <w:r>
        <w:t>导</w:t>
      </w:r>
      <w:r>
        <w:rPr>
          <w:spacing w:val="-3"/>
        </w:rPr>
        <w:t>致</w:t>
      </w:r>
      <w:r>
        <w:rPr>
          <w:rFonts w:hint="eastAsia"/>
        </w:rPr>
        <w:t>监理</w:t>
      </w:r>
      <w:r>
        <w:rPr>
          <w:spacing w:val="-3"/>
        </w:rPr>
        <w:t>人</w:t>
      </w:r>
      <w:r>
        <w:t>的</w:t>
      </w:r>
      <w:r>
        <w:rPr>
          <w:spacing w:val="-3"/>
        </w:rPr>
        <w:t>工</w:t>
      </w:r>
      <w:r>
        <w:t>作</w:t>
      </w:r>
      <w:r>
        <w:rPr>
          <w:spacing w:val="-3"/>
        </w:rPr>
        <w:t>量</w:t>
      </w:r>
      <w:r>
        <w:t>增</w:t>
      </w:r>
      <w:r>
        <w:rPr>
          <w:spacing w:val="-3"/>
        </w:rPr>
        <w:t>减</w:t>
      </w:r>
      <w:r>
        <w:t>时</w:t>
      </w:r>
      <w:r>
        <w:rPr>
          <w:spacing w:val="-3"/>
        </w:rPr>
        <w:t>，</w:t>
      </w:r>
      <w:r>
        <w:rPr>
          <w:rFonts w:hint="eastAsia"/>
        </w:rPr>
        <w:t>监理</w:t>
      </w:r>
      <w:r>
        <w:rPr>
          <w:spacing w:val="-3"/>
        </w:rPr>
        <w:t>酬</w:t>
      </w:r>
      <w:r>
        <w:t>金</w:t>
      </w:r>
      <w:r>
        <w:rPr>
          <w:spacing w:val="-3"/>
        </w:rPr>
        <w:t>的</w:t>
      </w:r>
      <w:r>
        <w:t>调</w:t>
      </w:r>
      <w:r>
        <w:rPr>
          <w:spacing w:val="-3"/>
        </w:rPr>
        <w:t>整</w:t>
      </w:r>
      <w:r>
        <w:t>方法：</w:t>
      </w:r>
      <w:r>
        <w:rPr>
          <w:rFonts w:hint="eastAsia"/>
          <w:u w:val="single"/>
        </w:rPr>
        <w:t>因工程规模、服务范围及内容的变化导致监理人的工作量减少时，按减少工作量的比例从协议书约定的服务酬金中扣减相同比例的酬金。</w:t>
      </w:r>
    </w:p>
    <w:p>
      <w:pPr>
        <w:ind w:firstLine="420"/>
        <w:rPr>
          <w:rFonts w:cs="宋体"/>
          <w:szCs w:val="24"/>
        </w:rPr>
      </w:pPr>
      <w:r>
        <w:rPr>
          <w:rFonts w:hint="eastAsia" w:cs="宋体"/>
          <w:szCs w:val="24"/>
        </w:rPr>
        <w:t>6.2.2 除不可抗力外，因非监理人原因导致监理人履行合同期限延长、内容增加时，监理人应当将此情况与可能产生的影响及时通知委托人。增加的监理工作时间、工作内容应视为附加工作。附加工作酬金按下列方法确定：双方协商。</w:t>
      </w:r>
    </w:p>
    <w:p>
      <w:pPr>
        <w:ind w:firstLine="420"/>
        <w:rPr>
          <w:rFonts w:cs="宋体"/>
          <w:szCs w:val="24"/>
        </w:rPr>
      </w:pPr>
      <w:r>
        <w:rPr>
          <w:rFonts w:hint="eastAsia" w:cs="宋体"/>
          <w:szCs w:val="24"/>
        </w:rPr>
        <w:t>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firstLine="420"/>
        <w:rPr>
          <w:rFonts w:cs="宋体"/>
          <w:szCs w:val="24"/>
        </w:rPr>
      </w:pPr>
      <w:r>
        <w:rPr>
          <w:rFonts w:hint="eastAsia" w:cs="宋体"/>
          <w:szCs w:val="24"/>
        </w:rPr>
        <w:t>6.2.4 合同签订后，遇有与工程相关的法律法规、标准颁布或修订的，双方应遵照执行。由此引起监理与相关服务的范围、时间、酬金变化的，双方应通过协商进行相应调整。</w:t>
      </w:r>
    </w:p>
    <w:p>
      <w:pPr>
        <w:ind w:firstLine="420"/>
        <w:rPr>
          <w:rFonts w:cs="宋体"/>
          <w:szCs w:val="24"/>
        </w:rPr>
      </w:pPr>
      <w:r>
        <w:rPr>
          <w:rFonts w:hint="eastAsia" w:cs="宋体"/>
          <w:szCs w:val="24"/>
        </w:rPr>
        <w:t>6.2.5 因非监理人原因造成工程概算投资额或建筑安装工程费增加时，正常工作酬金应作相应调整。调整方法在专用条件中约定。</w:t>
      </w:r>
    </w:p>
    <w:p>
      <w:pPr>
        <w:ind w:firstLine="420"/>
        <w:rPr>
          <w:rFonts w:cs="宋体"/>
          <w:szCs w:val="24"/>
        </w:rPr>
      </w:pPr>
      <w:r>
        <w:rPr>
          <w:rFonts w:hint="eastAsia" w:cs="宋体"/>
          <w:szCs w:val="24"/>
        </w:rPr>
        <w:t>6.2.6 因工程规模、监理范围的变化导致监理人的正常工作量减少时，正常工作酬金应作相应调整。调整方法在专用条件中约定。</w:t>
      </w:r>
    </w:p>
    <w:p>
      <w:pPr>
        <w:ind w:firstLine="422"/>
        <w:rPr>
          <w:rFonts w:cs="宋体"/>
          <w:b/>
          <w:szCs w:val="24"/>
        </w:rPr>
      </w:pPr>
      <w:r>
        <w:rPr>
          <w:rFonts w:hint="eastAsia" w:cs="宋体"/>
          <w:b/>
          <w:szCs w:val="24"/>
        </w:rPr>
        <w:t>6.3 暂停与解除</w:t>
      </w:r>
    </w:p>
    <w:p>
      <w:pPr>
        <w:ind w:firstLine="420"/>
        <w:rPr>
          <w:rFonts w:cs="宋体"/>
          <w:szCs w:val="24"/>
        </w:rPr>
      </w:pPr>
      <w:r>
        <w:rPr>
          <w:rFonts w:hint="eastAsia" w:cs="宋体"/>
          <w:szCs w:val="24"/>
        </w:rPr>
        <w:t>除双方协商一致可以解除本合同外，当一方无正当理由未履行本合同约定的义务时，另一方可以根据本合同约定暂停履行本合同直至解除本合同。</w:t>
      </w:r>
    </w:p>
    <w:p>
      <w:pPr>
        <w:ind w:firstLine="420"/>
        <w:rPr>
          <w:rFonts w:cs="宋体"/>
          <w:szCs w:val="24"/>
        </w:rPr>
      </w:pPr>
      <w:r>
        <w:rPr>
          <w:rFonts w:hint="eastAsia" w:cs="宋体"/>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firstLine="420"/>
        <w:rPr>
          <w:rFonts w:cs="宋体"/>
          <w:szCs w:val="24"/>
        </w:rPr>
      </w:pPr>
      <w:r>
        <w:rPr>
          <w:rFonts w:hint="eastAsia" w:cs="宋体"/>
          <w:szCs w:val="24"/>
        </w:rPr>
        <w:t>解除本合同的协议必须采取书面形式，协议未达成之前，本合同仍然有效。</w:t>
      </w:r>
    </w:p>
    <w:p>
      <w:pPr>
        <w:ind w:firstLine="420"/>
        <w:rPr>
          <w:rFonts w:cs="宋体"/>
          <w:szCs w:val="24"/>
        </w:rPr>
      </w:pPr>
      <w:r>
        <w:rPr>
          <w:rFonts w:hint="eastAsia" w:cs="宋体"/>
          <w:szCs w:val="24"/>
        </w:rPr>
        <w:t>6.3.2 在本合同有效期内，因非监理人的原因导致工程施工全部或部分暂停，委托人可通知监理人要求暂停全部或部分工作。监理人应立即安排停止工作，并将开支减至最小。</w:t>
      </w:r>
    </w:p>
    <w:p>
      <w:pPr>
        <w:ind w:firstLine="420"/>
        <w:rPr>
          <w:rFonts w:cs="宋体"/>
          <w:szCs w:val="24"/>
        </w:rPr>
      </w:pPr>
      <w:r>
        <w:rPr>
          <w:rFonts w:hint="eastAsia" w:cs="宋体"/>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cs="宋体"/>
          <w:kern w:val="0"/>
          <w:szCs w:val="24"/>
        </w:rPr>
        <w:t>的</w:t>
      </w:r>
      <w:r>
        <w:rPr>
          <w:rFonts w:hint="eastAsia" w:cs="宋体"/>
          <w:szCs w:val="24"/>
        </w:rPr>
        <w:t>酬金支付至</w:t>
      </w:r>
      <w:r>
        <w:rPr>
          <w:rFonts w:hint="eastAsia" w:cs="宋体"/>
          <w:kern w:val="0"/>
          <w:szCs w:val="24"/>
        </w:rPr>
        <w:t>限期改正通知到达监理人之日</w:t>
      </w:r>
      <w:r>
        <w:rPr>
          <w:rFonts w:hint="eastAsia" w:cs="宋体"/>
          <w:szCs w:val="24"/>
        </w:rPr>
        <w:t>，但监理人应承担第4.1款约定的责任。</w:t>
      </w:r>
    </w:p>
    <w:p>
      <w:pPr>
        <w:ind w:firstLine="420"/>
        <w:rPr>
          <w:rFonts w:cs="宋体"/>
          <w:szCs w:val="24"/>
        </w:rPr>
      </w:pPr>
      <w:r>
        <w:rPr>
          <w:rFonts w:hint="eastAsia" w:cs="宋体"/>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firstLine="420"/>
        <w:rPr>
          <w:rFonts w:cs="宋体"/>
          <w:szCs w:val="24"/>
        </w:rPr>
      </w:pPr>
      <w:r>
        <w:rPr>
          <w:rFonts w:hint="eastAsia" w:cs="宋体"/>
          <w:szCs w:val="24"/>
        </w:rPr>
        <w:t>6.3.5 本合同解除后，本合同约定的有关结算、清理、争议解决方式的条件仍然有效。</w:t>
      </w:r>
    </w:p>
    <w:p>
      <w:pPr>
        <w:ind w:firstLine="422"/>
        <w:rPr>
          <w:rFonts w:cs="宋体"/>
          <w:b/>
          <w:szCs w:val="24"/>
        </w:rPr>
      </w:pPr>
      <w:r>
        <w:rPr>
          <w:rFonts w:hint="eastAsia" w:cs="宋体"/>
          <w:b/>
          <w:szCs w:val="24"/>
        </w:rPr>
        <w:t>6.4 终止</w:t>
      </w:r>
    </w:p>
    <w:p>
      <w:pPr>
        <w:ind w:firstLine="420"/>
        <w:rPr>
          <w:rFonts w:cs="宋体"/>
          <w:szCs w:val="24"/>
        </w:rPr>
      </w:pPr>
      <w:r>
        <w:rPr>
          <w:rFonts w:hint="eastAsia" w:cs="宋体"/>
          <w:szCs w:val="24"/>
        </w:rPr>
        <w:t>以下条件全部满足时，本合同即告终止：</w:t>
      </w:r>
    </w:p>
    <w:p>
      <w:pPr>
        <w:ind w:firstLine="420"/>
        <w:rPr>
          <w:rFonts w:cs="宋体"/>
          <w:szCs w:val="24"/>
        </w:rPr>
      </w:pPr>
      <w:r>
        <w:rPr>
          <w:rFonts w:hint="eastAsia" w:cs="宋体"/>
          <w:szCs w:val="24"/>
        </w:rPr>
        <w:t>（1）监理人完成本合同约定的全部工作；</w:t>
      </w:r>
    </w:p>
    <w:p>
      <w:pPr>
        <w:ind w:firstLine="420"/>
        <w:rPr>
          <w:rFonts w:cs="宋体"/>
          <w:szCs w:val="24"/>
        </w:rPr>
      </w:pPr>
      <w:r>
        <w:rPr>
          <w:rFonts w:hint="eastAsia" w:cs="宋体"/>
          <w:szCs w:val="24"/>
        </w:rPr>
        <w:t>（2）委托人与监理人结清并支付全部酬金。</w:t>
      </w:r>
    </w:p>
    <w:p>
      <w:pPr>
        <w:keepNext/>
        <w:keepLines/>
        <w:ind w:firstLine="422"/>
        <w:rPr>
          <w:rFonts w:cs="宋体"/>
          <w:b/>
          <w:bCs/>
          <w:szCs w:val="24"/>
        </w:rPr>
      </w:pPr>
      <w:r>
        <w:rPr>
          <w:rFonts w:hint="eastAsia" w:cs="宋体"/>
          <w:b/>
          <w:bCs/>
          <w:szCs w:val="24"/>
        </w:rPr>
        <w:t>7. 争议解决</w:t>
      </w:r>
    </w:p>
    <w:p>
      <w:pPr>
        <w:ind w:firstLine="422"/>
        <w:rPr>
          <w:rFonts w:cs="宋体"/>
          <w:b/>
          <w:szCs w:val="24"/>
        </w:rPr>
      </w:pPr>
      <w:r>
        <w:rPr>
          <w:rFonts w:hint="eastAsia" w:cs="宋体"/>
          <w:b/>
          <w:szCs w:val="24"/>
        </w:rPr>
        <w:t>7.1 协商</w:t>
      </w:r>
    </w:p>
    <w:p>
      <w:pPr>
        <w:ind w:firstLine="420"/>
        <w:rPr>
          <w:rFonts w:cs="宋体"/>
          <w:bCs/>
          <w:szCs w:val="24"/>
        </w:rPr>
      </w:pPr>
      <w:r>
        <w:rPr>
          <w:rFonts w:hint="eastAsia" w:cs="宋体"/>
          <w:szCs w:val="24"/>
        </w:rPr>
        <w:t>双方应本着诚信原则协商解决彼此间的争议。</w:t>
      </w:r>
    </w:p>
    <w:p>
      <w:pPr>
        <w:ind w:firstLine="422"/>
        <w:rPr>
          <w:rFonts w:cs="宋体"/>
          <w:b/>
          <w:szCs w:val="24"/>
        </w:rPr>
      </w:pPr>
      <w:r>
        <w:rPr>
          <w:rFonts w:hint="eastAsia" w:cs="宋体"/>
          <w:b/>
          <w:szCs w:val="24"/>
        </w:rPr>
        <w:t>7.2 调解</w:t>
      </w:r>
    </w:p>
    <w:p>
      <w:pPr>
        <w:ind w:firstLine="420"/>
        <w:rPr>
          <w:rFonts w:cs="宋体"/>
          <w:bCs/>
          <w:szCs w:val="24"/>
        </w:rPr>
      </w:pPr>
      <w:r>
        <w:rPr>
          <w:rFonts w:hint="eastAsia" w:cs="宋体"/>
          <w:szCs w:val="24"/>
        </w:rPr>
        <w:t>如果双方不能在14天内或双方商定的其他时间内解决本合同争议，可以将其提交给专用条件约定的或事后达成协议的调解人进行调解。</w:t>
      </w:r>
    </w:p>
    <w:p>
      <w:pPr>
        <w:ind w:firstLine="422"/>
        <w:rPr>
          <w:rFonts w:cs="宋体"/>
          <w:b/>
          <w:szCs w:val="24"/>
        </w:rPr>
      </w:pPr>
      <w:r>
        <w:rPr>
          <w:rFonts w:hint="eastAsia" w:cs="宋体"/>
          <w:b/>
          <w:szCs w:val="24"/>
        </w:rPr>
        <w:t>7.3 仲裁或诉讼</w:t>
      </w:r>
    </w:p>
    <w:p>
      <w:pPr>
        <w:ind w:firstLine="420"/>
        <w:rPr>
          <w:rFonts w:cs="宋体"/>
          <w:szCs w:val="24"/>
        </w:rPr>
      </w:pPr>
      <w:r>
        <w:rPr>
          <w:rFonts w:hint="eastAsia" w:cs="宋体"/>
          <w:szCs w:val="24"/>
        </w:rPr>
        <w:t>双方均有权不经调解直接向专用条件约定的仲裁机构申请仲裁或向有管辖权的人民法院提起诉讼。</w:t>
      </w:r>
    </w:p>
    <w:p>
      <w:pPr>
        <w:keepNext/>
        <w:keepLines/>
        <w:ind w:firstLine="422"/>
        <w:rPr>
          <w:rFonts w:cs="宋体"/>
          <w:b/>
          <w:bCs/>
          <w:szCs w:val="24"/>
        </w:rPr>
      </w:pPr>
      <w:r>
        <w:rPr>
          <w:rFonts w:hint="eastAsia" w:cs="宋体"/>
          <w:b/>
          <w:bCs/>
          <w:szCs w:val="24"/>
        </w:rPr>
        <w:t>8. 其他</w:t>
      </w:r>
    </w:p>
    <w:p>
      <w:pPr>
        <w:ind w:firstLine="422"/>
        <w:rPr>
          <w:rFonts w:cs="宋体"/>
          <w:b/>
          <w:szCs w:val="24"/>
        </w:rPr>
      </w:pPr>
      <w:r>
        <w:rPr>
          <w:rFonts w:hint="eastAsia" w:cs="宋体"/>
          <w:b/>
          <w:szCs w:val="24"/>
        </w:rPr>
        <w:t>8.1 外出考察费用</w:t>
      </w:r>
    </w:p>
    <w:p>
      <w:pPr>
        <w:ind w:firstLine="420"/>
        <w:rPr>
          <w:rFonts w:cs="宋体"/>
          <w:bCs/>
          <w:szCs w:val="24"/>
        </w:rPr>
      </w:pPr>
      <w:r>
        <w:rPr>
          <w:rFonts w:hint="eastAsia" w:cs="宋体"/>
          <w:szCs w:val="24"/>
        </w:rPr>
        <w:t>经委托人同意，监理人员外出考察发生的费用由委托人审核后支付。</w:t>
      </w:r>
    </w:p>
    <w:p>
      <w:pPr>
        <w:ind w:firstLine="422"/>
        <w:rPr>
          <w:rFonts w:cs="宋体"/>
          <w:b/>
          <w:szCs w:val="24"/>
        </w:rPr>
      </w:pPr>
      <w:r>
        <w:rPr>
          <w:rFonts w:hint="eastAsia" w:cs="宋体"/>
          <w:b/>
          <w:szCs w:val="24"/>
        </w:rPr>
        <w:t>8.2 检测费用</w:t>
      </w:r>
    </w:p>
    <w:p>
      <w:pPr>
        <w:ind w:firstLine="420"/>
        <w:rPr>
          <w:rFonts w:cs="宋体"/>
          <w:szCs w:val="24"/>
        </w:rPr>
      </w:pPr>
      <w:r>
        <w:rPr>
          <w:rFonts w:hint="eastAsia" w:cs="宋体"/>
          <w:szCs w:val="24"/>
        </w:rPr>
        <w:t xml:space="preserve">委托人要求监理人进行的材料和设备检测所需发生费用，由委托人支付，支付时间在专用条件中约定。 </w:t>
      </w:r>
    </w:p>
    <w:p>
      <w:pPr>
        <w:ind w:firstLine="422"/>
        <w:rPr>
          <w:rFonts w:cs="宋体"/>
          <w:b/>
          <w:szCs w:val="24"/>
        </w:rPr>
      </w:pPr>
      <w:r>
        <w:rPr>
          <w:rFonts w:hint="eastAsia" w:cs="宋体"/>
          <w:b/>
          <w:szCs w:val="24"/>
        </w:rPr>
        <w:t>8.3 咨询费用</w:t>
      </w:r>
    </w:p>
    <w:p>
      <w:pPr>
        <w:ind w:firstLine="420"/>
        <w:rPr>
          <w:rFonts w:cs="宋体"/>
          <w:szCs w:val="24"/>
        </w:rPr>
      </w:pPr>
      <w:r>
        <w:rPr>
          <w:rFonts w:hint="eastAsia" w:cs="宋体"/>
          <w:szCs w:val="24"/>
        </w:rPr>
        <w:t xml:space="preserve">经委托人同意，根据工程需要由监理人组织的相关咨询论证会以及聘请相关专家等发生的费用由委托人支付，支付时间在专用条件中约定。 </w:t>
      </w:r>
    </w:p>
    <w:p>
      <w:pPr>
        <w:ind w:firstLine="422"/>
        <w:rPr>
          <w:rFonts w:cs="宋体"/>
          <w:b/>
          <w:szCs w:val="24"/>
        </w:rPr>
      </w:pPr>
      <w:r>
        <w:rPr>
          <w:rFonts w:hint="eastAsia" w:cs="宋体"/>
          <w:b/>
          <w:szCs w:val="24"/>
        </w:rPr>
        <w:t>8.4 守法诚信</w:t>
      </w:r>
    </w:p>
    <w:p>
      <w:pPr>
        <w:ind w:firstLine="420"/>
        <w:rPr>
          <w:rFonts w:cs="宋体"/>
          <w:bCs/>
          <w:szCs w:val="24"/>
        </w:rPr>
      </w:pPr>
      <w:r>
        <w:rPr>
          <w:rFonts w:hint="eastAsia" w:cs="宋体"/>
          <w:szCs w:val="24"/>
        </w:rPr>
        <w:t>监理人及其工作人员不得从与实施工程有关的第三方处获得任何经济利益。</w:t>
      </w:r>
    </w:p>
    <w:p>
      <w:pPr>
        <w:ind w:firstLine="422"/>
        <w:rPr>
          <w:rFonts w:cs="宋体"/>
          <w:b/>
          <w:szCs w:val="24"/>
        </w:rPr>
      </w:pPr>
      <w:r>
        <w:rPr>
          <w:rFonts w:hint="eastAsia" w:cs="宋体"/>
          <w:b/>
          <w:szCs w:val="24"/>
        </w:rPr>
        <w:t>8.5 保密</w:t>
      </w:r>
    </w:p>
    <w:p>
      <w:pPr>
        <w:ind w:firstLine="420"/>
        <w:rPr>
          <w:rFonts w:cs="宋体"/>
          <w:bCs/>
          <w:szCs w:val="24"/>
        </w:rPr>
      </w:pPr>
      <w:r>
        <w:rPr>
          <w:rFonts w:hint="eastAsia" w:cs="宋体"/>
          <w:szCs w:val="24"/>
        </w:rPr>
        <w:t>双方不得泄露对方申明的保密资料，亦不得泄露与实施工程有关的第三方所提供的保密资料，保密事项在专用条件中约定。</w:t>
      </w:r>
    </w:p>
    <w:p>
      <w:pPr>
        <w:ind w:firstLine="422"/>
        <w:rPr>
          <w:rFonts w:cs="宋体"/>
          <w:b/>
          <w:szCs w:val="24"/>
        </w:rPr>
      </w:pPr>
      <w:r>
        <w:rPr>
          <w:rFonts w:hint="eastAsia" w:cs="宋体"/>
          <w:b/>
          <w:szCs w:val="24"/>
        </w:rPr>
        <w:t>8.6 通知</w:t>
      </w:r>
    </w:p>
    <w:p>
      <w:pPr>
        <w:ind w:firstLine="420"/>
        <w:rPr>
          <w:rFonts w:cs="宋体"/>
          <w:bCs/>
          <w:szCs w:val="24"/>
        </w:rPr>
      </w:pPr>
      <w:r>
        <w:rPr>
          <w:rFonts w:hint="eastAsia" w:cs="宋体"/>
          <w:szCs w:val="24"/>
        </w:rPr>
        <w:t>本合同涉及的通知均应当采用书面形式，并在送达对方时生效，收件人应书面签收。</w:t>
      </w:r>
    </w:p>
    <w:p>
      <w:pPr>
        <w:ind w:firstLine="422"/>
        <w:rPr>
          <w:rFonts w:cs="宋体"/>
          <w:b/>
          <w:szCs w:val="24"/>
        </w:rPr>
      </w:pPr>
      <w:r>
        <w:rPr>
          <w:rFonts w:hint="eastAsia" w:cs="宋体"/>
          <w:b/>
          <w:szCs w:val="24"/>
        </w:rPr>
        <w:t>8.7 著作权</w:t>
      </w:r>
    </w:p>
    <w:p>
      <w:pPr>
        <w:ind w:firstLine="420"/>
        <w:rPr>
          <w:rFonts w:cs="宋体"/>
          <w:szCs w:val="24"/>
        </w:rPr>
      </w:pPr>
      <w:r>
        <w:rPr>
          <w:rFonts w:hint="eastAsia" w:cs="宋体"/>
          <w:szCs w:val="24"/>
        </w:rPr>
        <w:t>监理人对其编制的文件拥有著作权。</w:t>
      </w:r>
    </w:p>
    <w:p>
      <w:pPr>
        <w:ind w:firstLine="420"/>
        <w:rPr>
          <w:rFonts w:cs="宋体"/>
          <w:szCs w:val="24"/>
        </w:rPr>
      </w:pPr>
      <w:r>
        <w:rPr>
          <w:rFonts w:hint="eastAsia" w:cs="宋体"/>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firstLine="422"/>
        <w:jc w:val="center"/>
        <w:rPr>
          <w:rFonts w:cs="宋体"/>
          <w:b/>
          <w:szCs w:val="24"/>
        </w:rPr>
      </w:pPr>
      <w:r>
        <w:rPr>
          <w:rFonts w:hint="eastAsia" w:cs="宋体"/>
          <w:b/>
          <w:szCs w:val="24"/>
        </w:rPr>
        <w:br w:type="page"/>
      </w:r>
      <w:bookmarkStart w:id="415" w:name="_Toc32577"/>
      <w:bookmarkStart w:id="416" w:name="_Toc13324"/>
    </w:p>
    <w:p>
      <w:pPr>
        <w:ind w:firstLine="0" w:firstLineChars="0"/>
        <w:jc w:val="center"/>
        <w:rPr>
          <w:b/>
          <w:bCs/>
        </w:rPr>
      </w:pPr>
      <w:r>
        <w:rPr>
          <w:rFonts w:hint="eastAsia"/>
          <w:b/>
          <w:bCs/>
        </w:rPr>
        <w:t>第三部分  专用条件</w:t>
      </w:r>
      <w:bookmarkEnd w:id="415"/>
      <w:bookmarkEnd w:id="416"/>
    </w:p>
    <w:p>
      <w:pPr>
        <w:ind w:firstLine="422"/>
        <w:rPr>
          <w:rFonts w:cs="宋体"/>
          <w:b/>
          <w:szCs w:val="24"/>
        </w:rPr>
      </w:pPr>
      <w:r>
        <w:rPr>
          <w:rFonts w:hint="eastAsia" w:cs="宋体"/>
          <w:b/>
          <w:szCs w:val="24"/>
        </w:rPr>
        <w:t>1. 定义与解释</w:t>
      </w:r>
    </w:p>
    <w:p>
      <w:pPr>
        <w:ind w:firstLine="420"/>
        <w:rPr>
          <w:rFonts w:cs="宋体"/>
          <w:szCs w:val="24"/>
        </w:rPr>
      </w:pPr>
      <w:r>
        <w:rPr>
          <w:rFonts w:hint="eastAsia" w:cs="宋体"/>
          <w:szCs w:val="24"/>
        </w:rPr>
        <w:t>1.2  解释</w:t>
      </w:r>
    </w:p>
    <w:p>
      <w:pPr>
        <w:ind w:firstLine="420"/>
        <w:rPr>
          <w:rFonts w:cs="宋体"/>
          <w:szCs w:val="24"/>
        </w:rPr>
      </w:pPr>
      <w:r>
        <w:rPr>
          <w:rFonts w:hint="eastAsia" w:cs="宋体"/>
          <w:szCs w:val="24"/>
        </w:rPr>
        <w:t>1.2.1 本合同文件除使用中文外，还可用</w:t>
      </w:r>
      <w:r>
        <w:rPr>
          <w:rFonts w:hint="eastAsia" w:cs="宋体"/>
          <w:szCs w:val="24"/>
          <w:u w:val="single"/>
        </w:rPr>
        <w:t xml:space="preserve">    /   </w:t>
      </w:r>
      <w:r>
        <w:rPr>
          <w:rFonts w:hint="eastAsia" w:cs="宋体"/>
          <w:szCs w:val="24"/>
        </w:rPr>
        <w:t>。</w:t>
      </w:r>
    </w:p>
    <w:p>
      <w:pPr>
        <w:ind w:firstLine="420"/>
        <w:rPr>
          <w:rFonts w:cs="宋体"/>
          <w:szCs w:val="24"/>
          <w:u w:val="single"/>
        </w:rPr>
      </w:pPr>
      <w:r>
        <w:rPr>
          <w:rFonts w:hint="eastAsia" w:cs="宋体"/>
          <w:szCs w:val="24"/>
        </w:rPr>
        <w:t>1.2.2 约定本合同文件的解释顺序为：</w:t>
      </w:r>
    </w:p>
    <w:p>
      <w:pPr>
        <w:ind w:firstLine="420"/>
        <w:rPr>
          <w:rFonts w:cs="宋体"/>
          <w:szCs w:val="24"/>
        </w:rPr>
      </w:pPr>
      <w:r>
        <w:rPr>
          <w:rFonts w:hint="eastAsia" w:cs="宋体"/>
          <w:szCs w:val="24"/>
        </w:rPr>
        <w:t>（1） 协议书；</w:t>
      </w:r>
    </w:p>
    <w:p>
      <w:pPr>
        <w:ind w:firstLine="420"/>
        <w:rPr>
          <w:rFonts w:cs="宋体"/>
          <w:szCs w:val="24"/>
        </w:rPr>
      </w:pPr>
      <w:r>
        <w:rPr>
          <w:rFonts w:hint="eastAsia" w:cs="宋体"/>
          <w:szCs w:val="24"/>
        </w:rPr>
        <w:t>（2） 成交通知书；</w:t>
      </w:r>
    </w:p>
    <w:p>
      <w:pPr>
        <w:ind w:firstLine="420"/>
        <w:rPr>
          <w:rFonts w:cs="宋体"/>
          <w:szCs w:val="24"/>
        </w:rPr>
      </w:pPr>
      <w:r>
        <w:rPr>
          <w:rFonts w:hint="eastAsia" w:cs="宋体"/>
          <w:szCs w:val="24"/>
        </w:rPr>
        <w:t>（3） 采购过程中及合同签订过程中形成的补遗、澄清、纪要等文件；</w:t>
      </w:r>
    </w:p>
    <w:p>
      <w:pPr>
        <w:ind w:firstLine="420"/>
        <w:rPr>
          <w:rFonts w:cs="宋体"/>
          <w:szCs w:val="24"/>
        </w:rPr>
      </w:pPr>
      <w:r>
        <w:rPr>
          <w:rFonts w:hint="eastAsia" w:cs="宋体"/>
          <w:szCs w:val="24"/>
        </w:rPr>
        <w:t>（4） 专用条件；</w:t>
      </w:r>
    </w:p>
    <w:p>
      <w:pPr>
        <w:ind w:firstLine="420"/>
        <w:rPr>
          <w:rFonts w:cs="宋体"/>
          <w:szCs w:val="24"/>
        </w:rPr>
      </w:pPr>
      <w:r>
        <w:rPr>
          <w:rFonts w:hint="eastAsia" w:cs="宋体"/>
          <w:szCs w:val="24"/>
        </w:rPr>
        <w:t>（5） 通用条件；</w:t>
      </w:r>
    </w:p>
    <w:p>
      <w:pPr>
        <w:ind w:firstLine="420"/>
        <w:rPr>
          <w:rFonts w:cs="宋体"/>
          <w:szCs w:val="24"/>
        </w:rPr>
      </w:pPr>
      <w:r>
        <w:rPr>
          <w:rFonts w:hint="eastAsia" w:cs="宋体"/>
          <w:szCs w:val="24"/>
        </w:rPr>
        <w:t>（6） 附件，即：</w:t>
      </w:r>
    </w:p>
    <w:p>
      <w:pPr>
        <w:ind w:firstLine="420"/>
        <w:rPr>
          <w:rFonts w:cs="宋体"/>
          <w:szCs w:val="24"/>
        </w:rPr>
      </w:pPr>
      <w:r>
        <w:rPr>
          <w:rFonts w:hint="eastAsia" w:cs="宋体"/>
          <w:szCs w:val="24"/>
        </w:rPr>
        <w:t>附件1  相关服务的范围和内容</w:t>
      </w:r>
    </w:p>
    <w:p>
      <w:pPr>
        <w:ind w:firstLine="420"/>
        <w:rPr>
          <w:rFonts w:cs="宋体"/>
          <w:szCs w:val="24"/>
        </w:rPr>
      </w:pPr>
      <w:r>
        <w:rPr>
          <w:rFonts w:hint="eastAsia" w:cs="宋体"/>
          <w:szCs w:val="24"/>
        </w:rPr>
        <w:t>附件2  委托人派遣的人员和提供的房屋、资料、设备</w:t>
      </w:r>
    </w:p>
    <w:p>
      <w:pPr>
        <w:ind w:firstLine="420"/>
        <w:rPr>
          <w:rFonts w:cs="宋体"/>
          <w:szCs w:val="24"/>
        </w:rPr>
      </w:pPr>
      <w:r>
        <w:rPr>
          <w:rFonts w:hint="eastAsia" w:cs="宋体"/>
          <w:szCs w:val="24"/>
        </w:rPr>
        <w:t>附件3  监理工作管理规定</w:t>
      </w:r>
    </w:p>
    <w:p>
      <w:pPr>
        <w:ind w:firstLine="420"/>
        <w:rPr>
          <w:rFonts w:cs="宋体"/>
          <w:szCs w:val="24"/>
        </w:rPr>
      </w:pPr>
      <w:r>
        <w:rPr>
          <w:rFonts w:hint="eastAsia" w:cs="宋体"/>
          <w:bCs/>
          <w:szCs w:val="24"/>
        </w:rPr>
        <w:t>附件4</w:t>
      </w:r>
      <w:r>
        <w:rPr>
          <w:rFonts w:hint="eastAsia" w:cs="宋体"/>
          <w:szCs w:val="24"/>
        </w:rPr>
        <w:t xml:space="preserve">  保廉合同</w:t>
      </w:r>
    </w:p>
    <w:p>
      <w:pPr>
        <w:ind w:firstLine="420"/>
        <w:rPr>
          <w:rFonts w:cs="宋体"/>
          <w:szCs w:val="24"/>
        </w:rPr>
      </w:pPr>
      <w:r>
        <w:rPr>
          <w:rFonts w:hint="eastAsia" w:cs="宋体"/>
          <w:szCs w:val="24"/>
        </w:rPr>
        <w:t>（7）其他合同文件。</w:t>
      </w:r>
    </w:p>
    <w:p>
      <w:pPr>
        <w:ind w:firstLine="420"/>
        <w:rPr>
          <w:rFonts w:cs="宋体"/>
          <w:bCs/>
          <w:szCs w:val="24"/>
        </w:rPr>
      </w:pPr>
      <w:r>
        <w:rPr>
          <w:rFonts w:hint="eastAsia" w:cs="宋体"/>
          <w:bCs/>
          <w:szCs w:val="24"/>
        </w:rPr>
        <w:t>如上述组成合同的文件内容不一致，排列顺序在前者效力优先。</w:t>
      </w:r>
    </w:p>
    <w:p>
      <w:pPr>
        <w:ind w:firstLine="420"/>
        <w:rPr>
          <w:rFonts w:cs="宋体"/>
          <w:szCs w:val="24"/>
        </w:rPr>
      </w:pPr>
      <w:r>
        <w:rPr>
          <w:rFonts w:hint="eastAsia" w:cs="宋体"/>
          <w:szCs w:val="24"/>
        </w:rPr>
        <w:t>以上各项合同文件包括合同当事人就该项合同文件所作出的补充和修改（包括变更、协议、纪要、备忘录等），属于同一类内容的文件，应以最新签署的为准。</w:t>
      </w:r>
    </w:p>
    <w:p>
      <w:pPr>
        <w:ind w:firstLine="422"/>
        <w:rPr>
          <w:rFonts w:cs="宋体"/>
          <w:b/>
          <w:szCs w:val="24"/>
        </w:rPr>
      </w:pPr>
      <w:r>
        <w:rPr>
          <w:rFonts w:hint="eastAsia" w:cs="宋体"/>
          <w:b/>
          <w:szCs w:val="24"/>
        </w:rPr>
        <w:t>2. 监理人义务</w:t>
      </w:r>
    </w:p>
    <w:p>
      <w:pPr>
        <w:ind w:firstLine="420"/>
        <w:rPr>
          <w:rFonts w:cs="宋体"/>
          <w:szCs w:val="24"/>
        </w:rPr>
      </w:pPr>
      <w:r>
        <w:rPr>
          <w:rFonts w:hint="eastAsia" w:cs="宋体"/>
          <w:szCs w:val="24"/>
        </w:rPr>
        <w:t>2.1 监理的范围和</w:t>
      </w:r>
      <w:r>
        <w:rPr>
          <w:rFonts w:hint="eastAsia" w:cs="宋体"/>
          <w:bCs/>
          <w:szCs w:val="24"/>
        </w:rPr>
        <w:t>内容</w:t>
      </w:r>
    </w:p>
    <w:p>
      <w:pPr>
        <w:ind w:firstLine="420"/>
        <w:rPr>
          <w:rFonts w:cs="宋体"/>
          <w:szCs w:val="24"/>
        </w:rPr>
      </w:pPr>
      <w:r>
        <w:rPr>
          <w:rFonts w:hint="eastAsia" w:cs="宋体"/>
          <w:szCs w:val="24"/>
        </w:rPr>
        <w:t>2.1.1 监理范围包括：</w:t>
      </w:r>
    </w:p>
    <w:p>
      <w:pPr>
        <w:ind w:firstLine="420"/>
        <w:rPr>
          <w:rFonts w:cs="宋体"/>
          <w:szCs w:val="24"/>
        </w:rPr>
      </w:pPr>
      <w:r>
        <w:rPr>
          <w:rFonts w:hint="eastAsia" w:cs="宋体"/>
          <w:szCs w:val="24"/>
        </w:rPr>
        <w:t>本合同监理范围包括：</w:t>
      </w:r>
    </w:p>
    <w:p>
      <w:pPr>
        <w:ind w:firstLine="420" w:firstLineChars="0"/>
        <w:rPr>
          <w:rFonts w:cs="宋体"/>
          <w:szCs w:val="24"/>
          <w:u w:val="single"/>
        </w:rPr>
      </w:pPr>
      <w:r>
        <w:rPr>
          <w:rFonts w:hint="eastAsia" w:cs="宋体"/>
          <w:szCs w:val="24"/>
          <w:u w:val="single"/>
        </w:rPr>
        <w:t>河南信息统计职业学院新校区建设项目二期（统计与大数据产教融合实训基地项目）监理项目含编制项目监理规划和监理实施细则、进度控制、质量控制、投资控制、履行安全生产环境保护监理法定职责、合同管理、信息管理、BIM协同管理应用配合服务（含平台审批、数据采集上传等）、工程验收策划、组织单位工程预验收，提出质量评估意见、参与专项验收、参与技术验收、参与单位验收、竣工资料收集与整理、</w:t>
      </w:r>
      <w:r>
        <w:rPr>
          <w:rFonts w:hint="eastAsia" w:cs="宋体"/>
          <w:kern w:val="0"/>
          <w:szCs w:val="21"/>
        </w:rPr>
        <w:t>缺陷责任</w:t>
      </w:r>
      <w:r>
        <w:rPr>
          <w:rFonts w:hint="eastAsia" w:cs="宋体"/>
          <w:szCs w:val="24"/>
          <w:u w:val="single"/>
        </w:rPr>
        <w:t>期内工程质量缺陷管理、以及协调招标人与工程建设有关各方的工作关系等工作。</w:t>
      </w:r>
      <w:r>
        <w:rPr>
          <w:rFonts w:hint="eastAsia" w:cs="宋体"/>
          <w:szCs w:val="24"/>
        </w:rPr>
        <w:t xml:space="preserve"> </w:t>
      </w:r>
    </w:p>
    <w:p>
      <w:pPr>
        <w:ind w:firstLine="420"/>
        <w:rPr>
          <w:rFonts w:cs="宋体"/>
          <w:szCs w:val="24"/>
        </w:rPr>
      </w:pPr>
      <w:r>
        <w:rPr>
          <w:rFonts w:hint="eastAsia" w:cs="宋体"/>
          <w:szCs w:val="24"/>
        </w:rPr>
        <w:t>2.1.2  监理工作内容还包括：</w:t>
      </w:r>
    </w:p>
    <w:p>
      <w:pPr>
        <w:ind w:firstLine="420"/>
        <w:rPr>
          <w:rFonts w:cs="宋体"/>
          <w:szCs w:val="24"/>
        </w:rPr>
      </w:pPr>
      <w:r>
        <w:rPr>
          <w:rFonts w:hint="eastAsia" w:cs="宋体"/>
          <w:szCs w:val="24"/>
        </w:rPr>
        <w:t>（1）熟悉并掌握合同文件，了解施工现场，以分项工程为单位，实施监理工作交底，认真填写监理工作交底记录。对工程设计中的技术问题，按照安全和优化的原则，事先征得委托人的同意后，向设计人提出建议。当发现工程设计不符合国家颁布的建设工程质量标准或设计合同约定的质量标准时，监理人应当书面报告委托人并要求设计人更正。</w:t>
      </w:r>
    </w:p>
    <w:p>
      <w:pPr>
        <w:ind w:firstLine="420"/>
        <w:rPr>
          <w:rFonts w:cs="宋体"/>
          <w:szCs w:val="24"/>
        </w:rPr>
      </w:pPr>
      <w:r>
        <w:rPr>
          <w:rFonts w:hint="eastAsia" w:cs="宋体"/>
          <w:szCs w:val="24"/>
        </w:rPr>
        <w:t>（2）认真做好第一次工地会议和常规工地会议、监理会议的会议记录，按时下发会议纪要；会议纪要由监理人整理并在相应会议后48小时内分发给出席会议的各方；各方在收到会议纪要后24小时内，如有任何异议，应将有关异议以书面形式通知监理人；对在上述时限内提出的任何有效异议，监理人应将此类书面异议转发给其他出席会议方，有异议的事项在下一个会议上更新讨论或由监理人依合同条件的有关约定发出相应指示。</w:t>
      </w:r>
    </w:p>
    <w:p>
      <w:pPr>
        <w:ind w:firstLine="420"/>
        <w:rPr>
          <w:rFonts w:cs="宋体"/>
          <w:szCs w:val="24"/>
        </w:rPr>
      </w:pPr>
      <w:r>
        <w:rPr>
          <w:rFonts w:hint="eastAsia" w:cs="宋体"/>
          <w:szCs w:val="24"/>
        </w:rPr>
        <w:t>（3）如施工承包人人员的从业资格、持证上岗等情况不符合相关法规、委托人的制度办法等工程管理规定，可勒令进行整改，并按照施工合同约定要求承包人承担违约责任。</w:t>
      </w:r>
    </w:p>
    <w:p>
      <w:pPr>
        <w:ind w:firstLine="420"/>
        <w:rPr>
          <w:rFonts w:cs="宋体"/>
          <w:szCs w:val="24"/>
        </w:rPr>
      </w:pPr>
      <w:r>
        <w:rPr>
          <w:rFonts w:hint="eastAsia" w:cs="宋体"/>
          <w:szCs w:val="24"/>
        </w:rPr>
        <w:t>（4）及时排查、分析并发现影响进度的隐患，督促承包人采取有效措施加以预防。若发现工期延误，应分析原因，并督促和协调承包人调整施工计划，保证合同工期的实现，并按照施工合同约定要求承包人承担违约责任。</w:t>
      </w:r>
    </w:p>
    <w:p>
      <w:pPr>
        <w:ind w:firstLine="420"/>
        <w:rPr>
          <w:rFonts w:cs="宋体"/>
          <w:szCs w:val="24"/>
        </w:rPr>
      </w:pPr>
      <w:r>
        <w:rPr>
          <w:rFonts w:hint="eastAsia" w:cs="宋体"/>
          <w:szCs w:val="24"/>
        </w:rPr>
        <w:t>按照委托人规定的格式、内容、要求和期限，编制总监办的监理周报、监理月报、支付季报或其它报表，并按时上报。</w:t>
      </w:r>
    </w:p>
    <w:p>
      <w:pPr>
        <w:ind w:firstLine="420"/>
        <w:rPr>
          <w:rFonts w:cs="宋体"/>
          <w:szCs w:val="24"/>
        </w:rPr>
      </w:pPr>
      <w:r>
        <w:rPr>
          <w:rFonts w:hint="eastAsia" w:cs="宋体"/>
          <w:szCs w:val="24"/>
        </w:rPr>
        <w:t>对工程施工进度进行检查、监督，当工程实际竣工日期提前或超过工程施工合同约定的竣工期限时及时书面报告委托人。</w:t>
      </w:r>
    </w:p>
    <w:p>
      <w:pPr>
        <w:ind w:firstLine="420"/>
        <w:rPr>
          <w:rFonts w:cs="宋体"/>
          <w:szCs w:val="24"/>
        </w:rPr>
      </w:pPr>
      <w:r>
        <w:rPr>
          <w:rFonts w:hint="eastAsia" w:cs="宋体"/>
          <w:szCs w:val="24"/>
        </w:rPr>
        <w:t>（5）审查拟用于本工程的原始材料、成套设备（无论该材料、设备是委托人提供还是承包人提供）的品质以及工艺试验和标准试验；对审查合格的建筑材料、建筑构配件和设备，监理工程师应当及时签字；未经监理工程师签字认可的建筑材料、建筑构配件和设备，监理人应当禁止承包人在工程中使用和安装，并禁止承包人进行下一道工序的施工。</w:t>
      </w:r>
    </w:p>
    <w:p>
      <w:pPr>
        <w:ind w:firstLine="420"/>
        <w:rPr>
          <w:rFonts w:cs="宋体"/>
          <w:szCs w:val="24"/>
        </w:rPr>
      </w:pPr>
      <w:r>
        <w:rPr>
          <w:rFonts w:hint="eastAsia" w:cs="宋体"/>
          <w:szCs w:val="24"/>
        </w:rPr>
        <w:t>（6）建立现场监理的试验、检测工作体系。依据设计要求、技术规范和要求按照合同约定或相关规范要求的项目与频率（监理人独立抽检的频率为承包人检验频率的10%），在委托人认可的质量检验单位独立开展监理试验、检测工作，并且完成见证取样工作。监理人应采用自备的检测设备和计量器具进行现场试验、检测，且所用的计量器具必须经计量检测单位检验，并在有效期内使用。所有自行或者外委试验检测的相关费用均已包含在正常工作酬金中；如监理人不能按照委托人要求按时配备试验检测设备或委托相应的检测单位进行检测，委托人有权代为配置或委托，由此发生的费用从任意一期应支付的监理正常工作酬金中扣除。</w:t>
      </w:r>
    </w:p>
    <w:p>
      <w:pPr>
        <w:ind w:firstLine="420"/>
        <w:rPr>
          <w:rFonts w:cs="宋体"/>
          <w:szCs w:val="24"/>
        </w:rPr>
      </w:pPr>
      <w:r>
        <w:rPr>
          <w:rFonts w:hint="eastAsia" w:cs="宋体"/>
          <w:szCs w:val="24"/>
        </w:rPr>
        <w:t>（7） 施工质量、安全控制、进度控制</w:t>
      </w:r>
    </w:p>
    <w:p>
      <w:pPr>
        <w:ind w:firstLine="420"/>
        <w:rPr>
          <w:rFonts w:cs="宋体"/>
          <w:szCs w:val="24"/>
        </w:rPr>
      </w:pPr>
      <w:r>
        <w:rPr>
          <w:rFonts w:hint="eastAsia" w:cs="宋体"/>
          <w:szCs w:val="24"/>
        </w:rPr>
        <w:t>1）质量控制</w:t>
      </w:r>
    </w:p>
    <w:p>
      <w:pPr>
        <w:ind w:firstLine="420"/>
        <w:rPr>
          <w:rFonts w:cs="宋体"/>
          <w:szCs w:val="24"/>
        </w:rPr>
      </w:pPr>
      <w:r>
        <w:rPr>
          <w:rFonts w:hint="eastAsia" w:cs="宋体"/>
          <w:szCs w:val="24"/>
        </w:rPr>
        <w:t>详细地收集并记录每天的施工情况，审查承包人实施本工程的专项施工方案及主要方法或工艺，在关键的施工工序上必须进行旁站监理。</w:t>
      </w:r>
    </w:p>
    <w:p>
      <w:pPr>
        <w:ind w:firstLine="420"/>
        <w:rPr>
          <w:rFonts w:cs="宋体"/>
          <w:szCs w:val="24"/>
        </w:rPr>
      </w:pPr>
      <w:r>
        <w:rPr>
          <w:rFonts w:hint="eastAsia" w:cs="宋体"/>
          <w:szCs w:val="24"/>
        </w:rPr>
        <w:t>加强开展监理的预控工作，避免不合格品及质量事故的出现，对国家相关规范标准及委托人要求必须旁站监理的工程项目实施旁站监理，进行全过程控制，做好旁站记录。</w:t>
      </w:r>
    </w:p>
    <w:p>
      <w:pPr>
        <w:ind w:firstLine="420"/>
        <w:rPr>
          <w:rFonts w:cs="宋体"/>
          <w:szCs w:val="24"/>
        </w:rPr>
      </w:pPr>
      <w:r>
        <w:rPr>
          <w:rFonts w:hint="eastAsia" w:cs="宋体"/>
          <w:szCs w:val="24"/>
        </w:rPr>
        <w:t>监理人对工程上使用的材料、施工安全和施工质量具有检验权。监理人对于不符合规范标准、设计要求或合同约定的材料、构配件、设备，无论承包人提供还是委托人提供，在征得委托人的同意后，有权勒令承包人停止使用。对于不符合规范和质量标准的工序、分部分项工程和不安全施工作业，有权勒令承包人停工整改或返工。在施工承包人出现质量问题或安全隐患，委托人要求暂停施工或发生其他紧急情况时，监理人有权要求施工承包人暂停部分或全部工程施工，在施工承包人按照监理人的要求完成了整改并提出复工申请后，承包人接到监理人复工令后方能复工。</w:t>
      </w:r>
    </w:p>
    <w:p>
      <w:pPr>
        <w:ind w:firstLine="420"/>
        <w:rPr>
          <w:rFonts w:cs="宋体"/>
          <w:szCs w:val="24"/>
        </w:rPr>
      </w:pPr>
      <w:r>
        <w:rPr>
          <w:rFonts w:hint="eastAsia" w:cs="宋体"/>
          <w:szCs w:val="24"/>
        </w:rPr>
        <w:t>2）安全控制</w:t>
      </w:r>
    </w:p>
    <w:p>
      <w:pPr>
        <w:ind w:firstLine="420"/>
        <w:rPr>
          <w:rFonts w:cs="宋体"/>
          <w:szCs w:val="24"/>
        </w:rPr>
      </w:pPr>
      <w:r>
        <w:rPr>
          <w:rFonts w:hint="eastAsia" w:cs="宋体"/>
          <w:szCs w:val="24"/>
        </w:rPr>
        <w:t>审查承包人建立和落实安全管理体系，落实承包人的安全生产岗位和职责。</w:t>
      </w:r>
    </w:p>
    <w:p>
      <w:pPr>
        <w:ind w:firstLine="420"/>
        <w:rPr>
          <w:rFonts w:cs="宋体"/>
          <w:szCs w:val="24"/>
        </w:rPr>
      </w:pPr>
      <w:r>
        <w:rPr>
          <w:rFonts w:hint="eastAsia" w:cs="宋体"/>
          <w:szCs w:val="24"/>
        </w:rPr>
        <w:t>负责代表委托人监督、检查承包人安全生产各方面情况；根据委托人与承包人签订的合同及安全责任保证书内容，检查承包人落实情况。</w:t>
      </w:r>
    </w:p>
    <w:p>
      <w:pPr>
        <w:ind w:firstLine="420"/>
        <w:rPr>
          <w:rFonts w:cs="宋体"/>
          <w:szCs w:val="24"/>
        </w:rPr>
      </w:pPr>
      <w:r>
        <w:rPr>
          <w:rFonts w:hint="eastAsia" w:cs="宋体"/>
          <w:szCs w:val="24"/>
        </w:rPr>
        <w:t>审批专项安全技术方案，建立安全监理台帐，建立总监办公室对施工安全生产的监督管理体系，明确各项管理制度和措施,并加以实施。</w:t>
      </w:r>
    </w:p>
    <w:p>
      <w:pPr>
        <w:ind w:firstLine="420"/>
        <w:rPr>
          <w:rFonts w:cs="宋体"/>
          <w:szCs w:val="24"/>
        </w:rPr>
      </w:pPr>
      <w:r>
        <w:rPr>
          <w:rFonts w:hint="eastAsia" w:cs="宋体"/>
          <w:szCs w:val="24"/>
        </w:rPr>
        <w:t>委派安全监理工程师对安全生产进行监督和管理。</w:t>
      </w:r>
    </w:p>
    <w:p>
      <w:pPr>
        <w:ind w:firstLine="420"/>
        <w:rPr>
          <w:rFonts w:cs="宋体"/>
          <w:szCs w:val="24"/>
        </w:rPr>
      </w:pPr>
      <w:r>
        <w:rPr>
          <w:rFonts w:hint="eastAsia" w:cs="宋体"/>
          <w:szCs w:val="24"/>
        </w:rPr>
        <w:t>按照建设工程监理规范、政府、委托人有关施工安全管理规定和工地安全管理的有关规定对施工过程进行安全检查；对承包人的各项安全操作规程、安全生产责任制等进行审定。</w:t>
      </w:r>
    </w:p>
    <w:p>
      <w:pPr>
        <w:ind w:firstLine="420"/>
        <w:rPr>
          <w:rFonts w:cs="宋体"/>
          <w:szCs w:val="24"/>
        </w:rPr>
      </w:pPr>
      <w:r>
        <w:rPr>
          <w:rFonts w:hint="eastAsia" w:cs="宋体"/>
          <w:szCs w:val="24"/>
        </w:rPr>
        <w:t>督促和检查承包人制定安全生产责任制，建立完善的安全生产保证体系。</w:t>
      </w:r>
    </w:p>
    <w:p>
      <w:pPr>
        <w:ind w:firstLine="420"/>
        <w:rPr>
          <w:rFonts w:cs="宋体"/>
          <w:szCs w:val="24"/>
        </w:rPr>
      </w:pPr>
      <w:r>
        <w:rPr>
          <w:rFonts w:hint="eastAsia" w:cs="宋体"/>
          <w:szCs w:val="24"/>
        </w:rPr>
        <w:t>对特殊工种作业人员有效操作证件和主要施工机械质量鉴定证书和安全鉴定证书以及施工机具的安全保护措施进行审核。</w:t>
      </w:r>
    </w:p>
    <w:p>
      <w:pPr>
        <w:ind w:firstLine="420"/>
        <w:rPr>
          <w:rFonts w:cs="宋体"/>
          <w:szCs w:val="24"/>
        </w:rPr>
      </w:pPr>
      <w:r>
        <w:rPr>
          <w:rFonts w:hint="eastAsia" w:cs="宋体"/>
          <w:szCs w:val="24"/>
        </w:rPr>
        <w:t>审查承包人进场的施工机械，定期检定的设备及安全设施的检定情况和报审程序。</w:t>
      </w:r>
    </w:p>
    <w:p>
      <w:pPr>
        <w:ind w:firstLine="420"/>
        <w:rPr>
          <w:rFonts w:cs="宋体"/>
          <w:szCs w:val="24"/>
        </w:rPr>
      </w:pPr>
      <w:r>
        <w:rPr>
          <w:rFonts w:hint="eastAsia" w:cs="宋体"/>
          <w:szCs w:val="24"/>
        </w:rPr>
        <w:t>按规定程序审核安全技术措施及专项施工方案，施工机械及安全设施，安全防护、文明施工措施项目等费用。</w:t>
      </w:r>
    </w:p>
    <w:p>
      <w:pPr>
        <w:ind w:firstLine="420"/>
        <w:rPr>
          <w:rFonts w:cs="宋体"/>
          <w:szCs w:val="24"/>
        </w:rPr>
      </w:pPr>
      <w:r>
        <w:rPr>
          <w:rFonts w:hint="eastAsia" w:cs="宋体"/>
          <w:szCs w:val="24"/>
        </w:rPr>
        <w:t>根据风险源类别等级编制监控管理方案，对风险源实施监控管理，发现异常情况及时报告并采取应急措施，并依照安全生产的法规、规定、标准及监理合同的要求，分析不同的施工阶段和不同的施工工序可能发生的安全隐患，制定相应的安全技术措施，并对措施的实施情况进行监理。</w:t>
      </w:r>
    </w:p>
    <w:p>
      <w:pPr>
        <w:ind w:firstLine="420"/>
        <w:rPr>
          <w:rFonts w:cs="宋体"/>
          <w:szCs w:val="24"/>
        </w:rPr>
      </w:pPr>
      <w:r>
        <w:rPr>
          <w:rFonts w:hint="eastAsia" w:cs="宋体"/>
          <w:szCs w:val="24"/>
        </w:rPr>
        <w:t>及时排查、排除安全隐患，调查、处理工程安全事故。对工程实施过程中发生或发现的安全事故，应按安全事故的严重程度，依据《建设工程安全生产管理条例》，要求承包人提交事故调查报告，提出处理方案和安全生产补救措施，经监理人审核同意后实施，或由监理人签发《工程暂停令》，并及时向委托人及建设行政主管部门报告；</w:t>
      </w:r>
    </w:p>
    <w:p>
      <w:pPr>
        <w:ind w:firstLine="420"/>
        <w:rPr>
          <w:rFonts w:cs="宋体"/>
          <w:szCs w:val="24"/>
        </w:rPr>
      </w:pPr>
      <w:r>
        <w:rPr>
          <w:rFonts w:hint="eastAsia" w:cs="宋体"/>
          <w:szCs w:val="24"/>
        </w:rPr>
        <w:t>有权对承包人不安全行为、不文明施工行为发出《安全监理指令书》、《文明施工监理指令书》；每周组织一次专项安全检查，每月组织一次全面检查，并以书面形式向委托人进行安全生产的专题报告。</w:t>
      </w:r>
    </w:p>
    <w:p>
      <w:pPr>
        <w:ind w:firstLine="420"/>
        <w:rPr>
          <w:rFonts w:cs="宋体"/>
          <w:szCs w:val="24"/>
        </w:rPr>
      </w:pPr>
      <w:r>
        <w:rPr>
          <w:rFonts w:hint="eastAsia" w:cs="宋体"/>
          <w:szCs w:val="24"/>
        </w:rPr>
        <w:t>督促并指导承包人建立完整的安全台帐，并定期进行检查。</w:t>
      </w:r>
    </w:p>
    <w:p>
      <w:pPr>
        <w:ind w:firstLine="420"/>
        <w:rPr>
          <w:rFonts w:cs="宋体"/>
          <w:szCs w:val="24"/>
        </w:rPr>
      </w:pPr>
      <w:r>
        <w:rPr>
          <w:rFonts w:hint="eastAsia" w:cs="宋体"/>
          <w:szCs w:val="24"/>
        </w:rPr>
        <w:t>督促承包人落实安全交底制度。督促承包人对工程参与人员进行安全生产的宣传教育，督促承包人组织工程参与人员学习国家有关部门及公司颁发的关于安全生产的规定、条例和安全生产操作规程，并对安全交底进行书面记录。在施工过程中，应根据现场人员的变化、施工工法和施工工况的变化等实际情况，督促承包人对施工参与人员进行专项的安全交底，进行施工过程中的安全控制。</w:t>
      </w:r>
    </w:p>
    <w:p>
      <w:pPr>
        <w:ind w:firstLine="420"/>
        <w:rPr>
          <w:rFonts w:cs="宋体"/>
          <w:szCs w:val="24"/>
        </w:rPr>
      </w:pPr>
      <w:r>
        <w:rPr>
          <w:rFonts w:hint="eastAsia" w:cs="宋体"/>
          <w:szCs w:val="24"/>
        </w:rPr>
        <w:t>及时发现并制止承包人的各种违章作业，督促其整改；对重大安全问题有权责令承包人停工整改。</w:t>
      </w:r>
    </w:p>
    <w:p>
      <w:pPr>
        <w:ind w:firstLine="420"/>
        <w:rPr>
          <w:rFonts w:cs="宋体"/>
          <w:szCs w:val="24"/>
        </w:rPr>
      </w:pPr>
      <w:r>
        <w:rPr>
          <w:rFonts w:hint="eastAsia" w:cs="宋体"/>
          <w:szCs w:val="24"/>
        </w:rPr>
        <w:t>主持安全生产工作例会，并编写会议纪要。每周组织安全生产施工例会，检查安全生产措施的落实情况，研究施工中存在的安全隐患，及时补充完善安全措施。</w:t>
      </w:r>
    </w:p>
    <w:p>
      <w:pPr>
        <w:ind w:firstLine="420"/>
        <w:rPr>
          <w:rFonts w:cs="宋体"/>
          <w:szCs w:val="24"/>
        </w:rPr>
      </w:pPr>
      <w:r>
        <w:rPr>
          <w:rFonts w:hint="eastAsia" w:cs="宋体"/>
          <w:szCs w:val="24"/>
        </w:rPr>
        <w:t>督促并检查承包人按规定作好施工区域与非施工区域（含交叉作业）之间分隔、路拦、道路警示标志的设置等。</w:t>
      </w:r>
    </w:p>
    <w:p>
      <w:pPr>
        <w:ind w:firstLine="420"/>
        <w:rPr>
          <w:rFonts w:cs="宋体"/>
          <w:szCs w:val="24"/>
        </w:rPr>
      </w:pPr>
      <w:r>
        <w:rPr>
          <w:rFonts w:hint="eastAsia" w:cs="宋体"/>
          <w:szCs w:val="24"/>
        </w:rPr>
        <w:t>3）进度控制</w:t>
      </w:r>
    </w:p>
    <w:p>
      <w:pPr>
        <w:ind w:firstLine="420"/>
        <w:rPr>
          <w:rFonts w:cs="宋体"/>
          <w:szCs w:val="24"/>
        </w:rPr>
      </w:pPr>
      <w:r>
        <w:rPr>
          <w:rFonts w:hint="eastAsia" w:cs="宋体"/>
          <w:szCs w:val="24"/>
        </w:rPr>
        <w:t>协助委托人编制工程控制性进度计划，提出工程控制性进度目标，并以此为基础审查批准承包人提出的施工实施进度计划，检查其实施情况；督促承包人采取切实可行的措施实现合同目标要求；当实施进度发生较大偏差时，及时向委托人提出调整控制性进度计划的建议意见并在委托人批准后调整。</w:t>
      </w:r>
    </w:p>
    <w:p>
      <w:pPr>
        <w:ind w:firstLine="420"/>
        <w:rPr>
          <w:rFonts w:cs="宋体"/>
          <w:szCs w:val="24"/>
        </w:rPr>
      </w:pPr>
      <w:r>
        <w:rPr>
          <w:rFonts w:hint="eastAsia" w:cs="宋体"/>
          <w:szCs w:val="24"/>
        </w:rPr>
        <w:t>（8）根据合同文件和委托人授权，对于施工承包人施工过程中出现的违约行为，要及时签发监理指示并抄报委托人。</w:t>
      </w:r>
    </w:p>
    <w:p>
      <w:pPr>
        <w:ind w:firstLine="420"/>
        <w:rPr>
          <w:rFonts w:cs="宋体"/>
          <w:szCs w:val="24"/>
        </w:rPr>
      </w:pPr>
      <w:r>
        <w:rPr>
          <w:rFonts w:hint="eastAsia" w:cs="宋体"/>
          <w:szCs w:val="24"/>
        </w:rPr>
        <w:t>（9）按国家相关规范标准及委托人要求的检验项目和检验频率、工序对工程质量进行实测实量验收。重点部位要求100%工序、100%检验项目和100%检验频率，即全频率验收，对隐蔽工程进行复验。试验项目和试验频率按委托人要求办理，验收已完合格的工程量；参与工程质量、安全事故的分析及处理，检查计量器具的合格使用期及帐物卡后，应认真填写工序质量验收单及有关记录。</w:t>
      </w:r>
    </w:p>
    <w:p>
      <w:pPr>
        <w:ind w:firstLine="420"/>
        <w:rPr>
          <w:rFonts w:cs="宋体"/>
          <w:szCs w:val="24"/>
        </w:rPr>
      </w:pPr>
      <w:r>
        <w:rPr>
          <w:rFonts w:hint="eastAsia" w:cs="宋体"/>
          <w:szCs w:val="24"/>
        </w:rPr>
        <w:t>（10）按照有关要求负责检查承包人竣工资料的整理与编制，使其达到档案管理部门和委托人要求的竣工文件标准。</w:t>
      </w:r>
    </w:p>
    <w:p>
      <w:pPr>
        <w:ind w:firstLine="420"/>
        <w:rPr>
          <w:rFonts w:cs="宋体"/>
          <w:szCs w:val="24"/>
        </w:rPr>
      </w:pPr>
      <w:r>
        <w:rPr>
          <w:rFonts w:hint="eastAsia" w:cs="宋体"/>
          <w:szCs w:val="24"/>
        </w:rPr>
        <w:t>（11）文明施工、环境保护控制</w:t>
      </w:r>
    </w:p>
    <w:p>
      <w:pPr>
        <w:ind w:firstLine="420"/>
        <w:rPr>
          <w:rFonts w:cs="宋体"/>
          <w:szCs w:val="24"/>
        </w:rPr>
      </w:pPr>
      <w:r>
        <w:rPr>
          <w:rFonts w:hint="eastAsia" w:cs="宋体"/>
          <w:szCs w:val="24"/>
        </w:rPr>
        <w:t>1）督促、检查承包人办理各类政府主管部门许可证及申报。包括但不限于：施工许可证，临时占路许可证，渣土处置证，夜间施工许可证等。</w:t>
      </w:r>
    </w:p>
    <w:p>
      <w:pPr>
        <w:ind w:firstLine="420"/>
        <w:rPr>
          <w:rFonts w:cs="宋体"/>
          <w:szCs w:val="24"/>
        </w:rPr>
      </w:pPr>
      <w:r>
        <w:rPr>
          <w:rFonts w:hint="eastAsia" w:cs="宋体"/>
          <w:szCs w:val="24"/>
        </w:rPr>
        <w:t>2）检查并审核承包人对公用管线的保护措施和应急措施的落实情况。</w:t>
      </w:r>
    </w:p>
    <w:p>
      <w:pPr>
        <w:ind w:firstLine="420"/>
        <w:rPr>
          <w:rFonts w:cs="宋体"/>
          <w:szCs w:val="24"/>
        </w:rPr>
      </w:pPr>
      <w:r>
        <w:rPr>
          <w:rFonts w:hint="eastAsia" w:cs="宋体"/>
          <w:szCs w:val="24"/>
        </w:rPr>
        <w:t>3）检查并督促承包人按规定进行各类材料及土方的堆放，做到整齐有序，不侵占人行道、车行道、消防通道。</w:t>
      </w:r>
    </w:p>
    <w:p>
      <w:pPr>
        <w:ind w:firstLine="420"/>
        <w:rPr>
          <w:rFonts w:cs="宋体"/>
          <w:szCs w:val="24"/>
        </w:rPr>
      </w:pPr>
      <w:r>
        <w:rPr>
          <w:rFonts w:hint="eastAsia" w:cs="宋体"/>
          <w:szCs w:val="24"/>
        </w:rPr>
        <w:t>4）检查并督促承包人采取防止渣土洒落、泥浆废水流溢、扬尘污染治理的施工措施，减少施工对环境和绿化的污染。</w:t>
      </w:r>
    </w:p>
    <w:p>
      <w:pPr>
        <w:ind w:firstLine="420"/>
        <w:rPr>
          <w:rFonts w:cs="宋体"/>
          <w:szCs w:val="24"/>
        </w:rPr>
      </w:pPr>
      <w:r>
        <w:rPr>
          <w:rFonts w:hint="eastAsia" w:cs="宋体"/>
          <w:szCs w:val="24"/>
        </w:rPr>
        <w:t>5）检查污染源的污染物排放情况和污染治理设施运行情况，检查排污许可证和限期治理项目的执行情况，以及检查建设项目“三同时”（防治污染及其他公害的设施与主体工程同时设计、同时施工、同时投产）制度的执行情况。</w:t>
      </w:r>
    </w:p>
    <w:p>
      <w:pPr>
        <w:ind w:firstLine="420"/>
        <w:rPr>
          <w:rFonts w:cs="宋体"/>
          <w:szCs w:val="24"/>
        </w:rPr>
      </w:pPr>
      <w:r>
        <w:rPr>
          <w:rFonts w:hint="eastAsia" w:cs="宋体"/>
          <w:szCs w:val="24"/>
        </w:rPr>
        <w:t>6）协助调查、处理环境污染事故和环境污染纠纷；发现环境污染事故或接受举报后，应根据污染事故报告制度及时向环保行政主管部门报告，实地调查和记录环境污染或事故现场状况，并采取应急措施控制。</w:t>
      </w:r>
    </w:p>
    <w:p>
      <w:pPr>
        <w:ind w:firstLine="420"/>
        <w:rPr>
          <w:rFonts w:cs="宋体"/>
          <w:szCs w:val="24"/>
        </w:rPr>
      </w:pPr>
      <w:r>
        <w:rPr>
          <w:rFonts w:hint="eastAsia" w:cs="宋体"/>
          <w:szCs w:val="24"/>
        </w:rPr>
        <w:t>7）检查并督促承包人严格控制施工噪声。为监控施工现场的噪声，监理单位应配置噪声测试仪器。每月测试二次，并将测试数据列入监理月报中。</w:t>
      </w:r>
    </w:p>
    <w:p>
      <w:pPr>
        <w:ind w:firstLine="420"/>
        <w:rPr>
          <w:rFonts w:cs="宋体"/>
          <w:szCs w:val="24"/>
        </w:rPr>
      </w:pPr>
      <w:r>
        <w:rPr>
          <w:rFonts w:hint="eastAsia" w:cs="宋体"/>
          <w:szCs w:val="24"/>
        </w:rPr>
        <w:t>8）检查并督促承包人按规定建立各项管理制度，落实卫生包干责任制，搞好施工区域和生活区域的环境卫生。</w:t>
      </w:r>
    </w:p>
    <w:p>
      <w:pPr>
        <w:ind w:firstLine="420"/>
        <w:rPr>
          <w:rFonts w:cs="宋体"/>
          <w:szCs w:val="24"/>
        </w:rPr>
      </w:pPr>
      <w:r>
        <w:rPr>
          <w:rFonts w:hint="eastAsia" w:cs="宋体"/>
          <w:szCs w:val="24"/>
        </w:rPr>
        <w:t>9）工程竣工后，检查并督促承包人在规定期限内完成现场的清场工作。</w:t>
      </w:r>
    </w:p>
    <w:p>
      <w:pPr>
        <w:ind w:firstLine="420"/>
        <w:rPr>
          <w:rFonts w:cs="宋体"/>
          <w:szCs w:val="24"/>
        </w:rPr>
      </w:pPr>
      <w:r>
        <w:rPr>
          <w:rFonts w:hint="eastAsia" w:cs="宋体"/>
          <w:szCs w:val="24"/>
        </w:rPr>
        <w:t>10）督促承包人落实防台、防汛、防涝等三防措施，消防措施，减少大气污染的措施等。</w:t>
      </w:r>
    </w:p>
    <w:p>
      <w:pPr>
        <w:ind w:firstLine="420"/>
        <w:rPr>
          <w:rFonts w:cs="宋体"/>
          <w:szCs w:val="24"/>
        </w:rPr>
      </w:pPr>
      <w:r>
        <w:rPr>
          <w:rFonts w:hint="eastAsia" w:cs="宋体"/>
          <w:szCs w:val="24"/>
        </w:rPr>
        <w:t>11）对检查中发现的问题，要以书面形式通知承包人进行整改同时抄送委托人，并将检查整改情况及时向委托人汇报。</w:t>
      </w:r>
    </w:p>
    <w:p>
      <w:pPr>
        <w:ind w:firstLine="420"/>
        <w:rPr>
          <w:rFonts w:cs="宋体"/>
          <w:szCs w:val="24"/>
        </w:rPr>
      </w:pPr>
      <w:r>
        <w:rPr>
          <w:rFonts w:hint="eastAsia" w:cs="宋体"/>
          <w:szCs w:val="24"/>
        </w:rPr>
        <w:t>12）加强文明施工的检查，每月组织文明施工例会，并编写会议纪要。</w:t>
      </w:r>
    </w:p>
    <w:p>
      <w:pPr>
        <w:ind w:firstLine="420"/>
        <w:rPr>
          <w:rFonts w:cs="宋体"/>
          <w:szCs w:val="24"/>
        </w:rPr>
      </w:pPr>
      <w:r>
        <w:rPr>
          <w:rFonts w:hint="eastAsia" w:cs="宋体"/>
          <w:szCs w:val="24"/>
        </w:rPr>
        <w:t>13）检查督促承包人严格执行委托人的有关文明施工、环境保护中的规定。</w:t>
      </w:r>
    </w:p>
    <w:p>
      <w:pPr>
        <w:ind w:firstLine="420"/>
        <w:rPr>
          <w:rFonts w:cs="宋体"/>
          <w:szCs w:val="24"/>
        </w:rPr>
      </w:pPr>
      <w:r>
        <w:rPr>
          <w:rFonts w:hint="eastAsia" w:cs="宋体"/>
          <w:szCs w:val="24"/>
        </w:rPr>
        <w:t>（12）监督施工承包人认真执行缺陷责任期的工作计划，检查和验收剩余工程，对已交工工程中出现的缺陷、病害调查其原因并确定相应责任。</w:t>
      </w:r>
    </w:p>
    <w:p>
      <w:pPr>
        <w:ind w:firstLine="420"/>
        <w:rPr>
          <w:rFonts w:cs="宋体"/>
          <w:szCs w:val="24"/>
        </w:rPr>
      </w:pPr>
      <w:r>
        <w:rPr>
          <w:rFonts w:hint="eastAsia" w:cs="宋体"/>
          <w:szCs w:val="24"/>
        </w:rPr>
        <w:t>（13）配合委托人完成对监理工作的履约检查工作，接受委托人对监理人违约行为的惩罚措施；监理人应当按照投标函承诺及委托人的要求，选派监理人员，及时撤换不称职的监理人员。</w:t>
      </w:r>
    </w:p>
    <w:p>
      <w:pPr>
        <w:ind w:firstLine="420"/>
        <w:rPr>
          <w:rFonts w:cs="宋体"/>
          <w:szCs w:val="24"/>
        </w:rPr>
      </w:pPr>
      <w:r>
        <w:rPr>
          <w:rFonts w:hint="eastAsia" w:cs="宋体"/>
          <w:szCs w:val="24"/>
        </w:rPr>
        <w:t>（14）监理人应配合委托人委托的第三方单位（如第三方监测、质量检测、控制测量等）完成相关的业务工作。</w:t>
      </w:r>
    </w:p>
    <w:p>
      <w:pPr>
        <w:ind w:firstLine="420"/>
        <w:rPr>
          <w:rFonts w:cs="宋体"/>
          <w:szCs w:val="24"/>
        </w:rPr>
      </w:pPr>
      <w:r>
        <w:rPr>
          <w:rFonts w:hint="eastAsia" w:cs="宋体"/>
          <w:szCs w:val="24"/>
        </w:rPr>
        <w:t xml:space="preserve">（15）配合完成暂估价项目的采购。 </w:t>
      </w:r>
    </w:p>
    <w:p>
      <w:pPr>
        <w:ind w:firstLine="420"/>
        <w:rPr>
          <w:rFonts w:cs="宋体"/>
          <w:szCs w:val="24"/>
        </w:rPr>
      </w:pPr>
      <w:r>
        <w:rPr>
          <w:rFonts w:hint="eastAsia" w:cs="宋体"/>
          <w:szCs w:val="24"/>
        </w:rPr>
        <w:t>（16）甲供设备的安装、调试、系统试运行及其他需要承包人完成的工作均在监理人监理范围之内。</w:t>
      </w:r>
    </w:p>
    <w:p>
      <w:pPr>
        <w:ind w:firstLine="420"/>
        <w:rPr>
          <w:rFonts w:cs="宋体"/>
          <w:szCs w:val="24"/>
        </w:rPr>
      </w:pPr>
      <w:r>
        <w:rPr>
          <w:rFonts w:hint="eastAsia" w:cs="宋体"/>
          <w:szCs w:val="24"/>
        </w:rPr>
        <w:t>（17）配合委托人完成本工程造价的审定核价工作。</w:t>
      </w:r>
    </w:p>
    <w:p>
      <w:pPr>
        <w:ind w:firstLine="420"/>
        <w:rPr>
          <w:rFonts w:cs="宋体"/>
          <w:szCs w:val="24"/>
        </w:rPr>
      </w:pPr>
      <w:r>
        <w:rPr>
          <w:rFonts w:hint="eastAsia" w:cs="宋体"/>
          <w:szCs w:val="24"/>
        </w:rPr>
        <w:t>（18）监理人应对工程设计中的技术问题，按照安全和优化的原则，在征得委托人的同意后，可向设计人提出建议；如发现设计工程质量不符合国家规定或合同约定标准时，应当及时报告委托人要求设计人予以更正。</w:t>
      </w:r>
    </w:p>
    <w:p>
      <w:pPr>
        <w:ind w:firstLine="420"/>
        <w:rPr>
          <w:rFonts w:cs="宋体"/>
          <w:szCs w:val="24"/>
        </w:rPr>
      </w:pPr>
      <w:r>
        <w:rPr>
          <w:rFonts w:hint="eastAsia" w:cs="宋体"/>
          <w:szCs w:val="24"/>
        </w:rPr>
        <w:t>（18）监理人应按照监理规范规程审批承包人提交的施工组织设计和技术方案；按照保质量、保工期和降低成本的原则，参与或组织会审施工图设计，并向委托人提出书面报告。</w:t>
      </w:r>
    </w:p>
    <w:p>
      <w:pPr>
        <w:ind w:firstLine="420"/>
        <w:rPr>
          <w:rFonts w:cs="宋体"/>
          <w:szCs w:val="24"/>
        </w:rPr>
      </w:pPr>
      <w:r>
        <w:rPr>
          <w:rFonts w:hint="eastAsia" w:cs="宋体"/>
          <w:szCs w:val="24"/>
        </w:rPr>
        <w:t>（20）监理人负责组织、主持工程建设有关协作单位的协调工作（包括施工接口、设计接口等），重要协调事项应当事先向委托人报告。</w:t>
      </w:r>
    </w:p>
    <w:p>
      <w:pPr>
        <w:ind w:firstLine="420"/>
        <w:rPr>
          <w:rFonts w:cs="宋体"/>
          <w:szCs w:val="24"/>
        </w:rPr>
      </w:pPr>
      <w:r>
        <w:rPr>
          <w:rFonts w:hint="eastAsia" w:cs="宋体"/>
          <w:szCs w:val="24"/>
        </w:rPr>
        <w:t>（21）监理人对于不符合规范标准、设计要求或合同约定的材料、构配件、设备，在征得委托人的同意后，有权勒令承包人停止使用；对于不符合规范和质量标准的工序、分部分项工程和不安全施工作业，在征得委托人的同意后，有权勒令承包人停工整改或返工，承包人得到监理人复工令后方能复工。</w:t>
      </w:r>
    </w:p>
    <w:p>
      <w:pPr>
        <w:ind w:firstLine="420"/>
        <w:rPr>
          <w:rFonts w:cs="宋体"/>
          <w:szCs w:val="24"/>
        </w:rPr>
      </w:pPr>
      <w:r>
        <w:rPr>
          <w:rFonts w:hint="eastAsia" w:cs="宋体"/>
          <w:szCs w:val="24"/>
        </w:rPr>
        <w:t>（22）监理人应对工程施工进度进行检查、监督，并应及时报告委托人。</w:t>
      </w:r>
    </w:p>
    <w:p>
      <w:pPr>
        <w:ind w:firstLine="420"/>
        <w:rPr>
          <w:rFonts w:cs="宋体"/>
          <w:szCs w:val="24"/>
        </w:rPr>
      </w:pPr>
      <w:r>
        <w:rPr>
          <w:rFonts w:hint="eastAsia" w:cs="宋体"/>
          <w:szCs w:val="24"/>
        </w:rPr>
        <w:t>（23）监理人应当依据承包人的任务划分，在双方约定的工程价格范围内，对工程款进行计量、支付与签认，以及工程结算的复核确认或否决。</w:t>
      </w:r>
    </w:p>
    <w:p>
      <w:pPr>
        <w:ind w:firstLine="420"/>
        <w:rPr>
          <w:rFonts w:cs="宋体"/>
          <w:szCs w:val="24"/>
        </w:rPr>
      </w:pPr>
      <w:r>
        <w:rPr>
          <w:rFonts w:hint="eastAsia" w:cs="宋体"/>
          <w:szCs w:val="24"/>
        </w:rPr>
        <w:t>（24）监理人有权对不具备开工条件的分部工程拒绝发布开工令，对不安全行为、不文明施工行为发出《监理通知书》。</w:t>
      </w:r>
    </w:p>
    <w:p>
      <w:pPr>
        <w:ind w:firstLine="420"/>
        <w:rPr>
          <w:rFonts w:cs="宋体"/>
          <w:szCs w:val="24"/>
        </w:rPr>
      </w:pPr>
      <w:r>
        <w:rPr>
          <w:rFonts w:hint="eastAsia" w:cs="宋体"/>
          <w:szCs w:val="24"/>
        </w:rPr>
        <w:t>（25）按委托人要求配合政府审计工作。</w:t>
      </w:r>
    </w:p>
    <w:p>
      <w:pPr>
        <w:ind w:firstLine="420"/>
        <w:rPr>
          <w:rFonts w:cs="宋体"/>
          <w:szCs w:val="24"/>
        </w:rPr>
      </w:pPr>
      <w:r>
        <w:rPr>
          <w:rFonts w:hint="eastAsia" w:cs="宋体"/>
          <w:szCs w:val="24"/>
        </w:rPr>
        <w:t>（26）配合委托人信息化管理工作。</w:t>
      </w:r>
    </w:p>
    <w:p>
      <w:pPr>
        <w:ind w:firstLine="420"/>
        <w:rPr>
          <w:rFonts w:cs="宋体"/>
          <w:szCs w:val="24"/>
        </w:rPr>
      </w:pPr>
      <w:r>
        <w:rPr>
          <w:rFonts w:hint="eastAsia" w:cs="宋体"/>
          <w:szCs w:val="24"/>
        </w:rPr>
        <w:t>（27）委托人委托或应由监理人完成的其它工作。</w:t>
      </w:r>
    </w:p>
    <w:p>
      <w:pPr>
        <w:ind w:firstLine="420"/>
        <w:rPr>
          <w:rFonts w:cs="宋体"/>
          <w:szCs w:val="24"/>
        </w:rPr>
      </w:pPr>
      <w:r>
        <w:rPr>
          <w:rFonts w:hint="eastAsia" w:cs="宋体"/>
          <w:szCs w:val="24"/>
        </w:rPr>
        <w:t>2.1.3 监理期限</w:t>
      </w:r>
    </w:p>
    <w:p>
      <w:pPr>
        <w:ind w:firstLine="420"/>
        <w:rPr>
          <w:rFonts w:cs="宋体"/>
          <w:szCs w:val="24"/>
        </w:rPr>
      </w:pPr>
      <w:r>
        <w:rPr>
          <w:rFonts w:hint="eastAsia" w:cs="宋体"/>
          <w:szCs w:val="24"/>
        </w:rPr>
        <w:t>（1）开始监理服务的时间：自合同签订之日起。</w:t>
      </w:r>
    </w:p>
    <w:p>
      <w:pPr>
        <w:ind w:firstLine="420"/>
        <w:rPr>
          <w:rFonts w:cs="宋体"/>
          <w:szCs w:val="24"/>
        </w:rPr>
      </w:pPr>
      <w:r>
        <w:rPr>
          <w:rFonts w:hint="eastAsia" w:cs="宋体"/>
          <w:szCs w:val="24"/>
        </w:rPr>
        <w:t>（2）完成监理服务的时间：</w:t>
      </w:r>
      <w:r>
        <w:rPr>
          <w:rFonts w:hint="eastAsia" w:cs="宋体"/>
        </w:rPr>
        <w:t>项目缺陷责任期满或至项目审计结束（结束时间以后者发生时间为准）</w:t>
      </w:r>
      <w:r>
        <w:rPr>
          <w:rFonts w:hint="eastAsia" w:cs="宋体"/>
          <w:szCs w:val="24"/>
        </w:rPr>
        <w:t>。</w:t>
      </w:r>
    </w:p>
    <w:p>
      <w:pPr>
        <w:ind w:firstLine="420"/>
        <w:rPr>
          <w:rFonts w:cs="宋体"/>
          <w:szCs w:val="24"/>
        </w:rPr>
      </w:pPr>
      <w:r>
        <w:rPr>
          <w:rFonts w:hint="eastAsia" w:cs="宋体"/>
          <w:szCs w:val="24"/>
        </w:rPr>
        <w:t>（3）退场期限：监理服务完成后，监理人应当书面提出退场申请，并在获得委托人批准后组织退场。</w:t>
      </w:r>
    </w:p>
    <w:p>
      <w:pPr>
        <w:ind w:firstLine="420"/>
        <w:rPr>
          <w:rFonts w:cs="宋体"/>
          <w:szCs w:val="24"/>
        </w:rPr>
      </w:pPr>
      <w:r>
        <w:rPr>
          <w:rFonts w:hint="eastAsia" w:cs="宋体"/>
          <w:szCs w:val="24"/>
        </w:rPr>
        <w:t>2.2 监理与相关服务依据</w:t>
      </w:r>
    </w:p>
    <w:p>
      <w:pPr>
        <w:ind w:firstLine="420"/>
        <w:rPr>
          <w:rFonts w:cs="宋体"/>
          <w:szCs w:val="24"/>
        </w:rPr>
      </w:pPr>
      <w:r>
        <w:rPr>
          <w:rFonts w:hint="eastAsia" w:cs="宋体"/>
          <w:szCs w:val="24"/>
        </w:rPr>
        <w:t>2.2.1 监理依据还包括：</w:t>
      </w:r>
    </w:p>
    <w:p>
      <w:pPr>
        <w:tabs>
          <w:tab w:val="left" w:pos="540"/>
        </w:tabs>
        <w:ind w:firstLine="420"/>
        <w:rPr>
          <w:rFonts w:cs="宋体"/>
          <w:szCs w:val="24"/>
          <w:u w:val="single"/>
        </w:rPr>
      </w:pPr>
      <w:r>
        <w:rPr>
          <w:rFonts w:hint="eastAsia" w:cs="宋体"/>
          <w:szCs w:val="24"/>
          <w:u w:val="single"/>
        </w:rPr>
        <w:t>（1）与本工程设计、施工、安装、检验、验收、结算等有关的现行规范、规程、技术标准、管理部门文件等。当有多种相关的工程质量合格标准时，应以严格的标准为本工程的验收依据。</w:t>
      </w:r>
    </w:p>
    <w:p>
      <w:pPr>
        <w:tabs>
          <w:tab w:val="left" w:pos="540"/>
        </w:tabs>
        <w:ind w:firstLine="420"/>
        <w:rPr>
          <w:rFonts w:cs="宋体"/>
          <w:szCs w:val="24"/>
          <w:u w:val="single"/>
        </w:rPr>
      </w:pPr>
      <w:r>
        <w:rPr>
          <w:rFonts w:hint="eastAsia" w:cs="宋体"/>
          <w:szCs w:val="24"/>
          <w:u w:val="single"/>
        </w:rPr>
        <w:t>（2）委托人提供的与本工程有关的上级行政管理部门文件；</w:t>
      </w:r>
    </w:p>
    <w:p>
      <w:pPr>
        <w:ind w:firstLine="420"/>
        <w:rPr>
          <w:rFonts w:cs="宋体"/>
          <w:szCs w:val="24"/>
          <w:u w:val="single"/>
        </w:rPr>
      </w:pPr>
      <w:r>
        <w:rPr>
          <w:rFonts w:hint="eastAsia" w:cs="宋体"/>
          <w:szCs w:val="24"/>
          <w:u w:val="single"/>
        </w:rPr>
        <w:t>（3）委托人函件、经委托人代表或委托人法定代表人书面签字确认的相关会议纪要；</w:t>
      </w:r>
    </w:p>
    <w:p>
      <w:pPr>
        <w:ind w:firstLine="420"/>
        <w:rPr>
          <w:rFonts w:cs="宋体"/>
          <w:szCs w:val="24"/>
          <w:u w:val="single"/>
        </w:rPr>
      </w:pPr>
      <w:r>
        <w:rPr>
          <w:rFonts w:hint="eastAsia" w:cs="宋体"/>
          <w:szCs w:val="24"/>
          <w:u w:val="single"/>
        </w:rPr>
        <w:t>（4）经审批同意的承包人编制的施工组织设计（项目管理实施规划）；</w:t>
      </w:r>
    </w:p>
    <w:p>
      <w:pPr>
        <w:ind w:firstLine="420"/>
        <w:rPr>
          <w:rFonts w:cs="宋体"/>
          <w:szCs w:val="24"/>
          <w:u w:val="single"/>
        </w:rPr>
      </w:pPr>
      <w:r>
        <w:rPr>
          <w:rFonts w:hint="eastAsia" w:cs="宋体"/>
          <w:szCs w:val="24"/>
          <w:u w:val="single"/>
        </w:rPr>
        <w:t>（5）经委托人认可的监理大纲、监理规划及监理实施细则；</w:t>
      </w:r>
    </w:p>
    <w:p>
      <w:pPr>
        <w:ind w:firstLine="420"/>
        <w:rPr>
          <w:rFonts w:cs="宋体"/>
          <w:szCs w:val="24"/>
          <w:u w:val="single"/>
        </w:rPr>
      </w:pPr>
      <w:r>
        <w:rPr>
          <w:rFonts w:hint="eastAsia" w:cs="宋体"/>
          <w:szCs w:val="24"/>
          <w:u w:val="single"/>
        </w:rPr>
        <w:t>（6）委托人的相关管理办法、制度、规定。</w:t>
      </w:r>
    </w:p>
    <w:p>
      <w:pPr>
        <w:ind w:firstLine="420"/>
        <w:rPr>
          <w:rFonts w:cs="宋体"/>
          <w:szCs w:val="24"/>
        </w:rPr>
      </w:pPr>
      <w:r>
        <w:rPr>
          <w:rFonts w:hint="eastAsia" w:cs="宋体"/>
          <w:szCs w:val="24"/>
        </w:rPr>
        <w:t>2.2.2 相关服务依据包括：</w:t>
      </w:r>
      <w:r>
        <w:rPr>
          <w:rFonts w:hint="eastAsia" w:cs="宋体"/>
          <w:szCs w:val="24"/>
          <w:u w:val="single"/>
        </w:rPr>
        <w:t xml:space="preserve">         /         </w:t>
      </w:r>
      <w:r>
        <w:rPr>
          <w:rFonts w:hint="eastAsia" w:cs="宋体"/>
          <w:szCs w:val="24"/>
        </w:rPr>
        <w:t>。</w:t>
      </w:r>
    </w:p>
    <w:p>
      <w:pPr>
        <w:ind w:firstLine="420"/>
        <w:rPr>
          <w:rFonts w:cs="宋体"/>
          <w:szCs w:val="24"/>
        </w:rPr>
      </w:pPr>
      <w:r>
        <w:rPr>
          <w:rFonts w:hint="eastAsia" w:cs="宋体"/>
          <w:szCs w:val="24"/>
        </w:rPr>
        <w:t>2.3 项目监理机构和人员</w:t>
      </w:r>
    </w:p>
    <w:p>
      <w:pPr>
        <w:ind w:firstLine="420"/>
        <w:rPr>
          <w:rFonts w:cs="宋体"/>
          <w:szCs w:val="24"/>
        </w:rPr>
      </w:pPr>
      <w:r>
        <w:rPr>
          <w:rFonts w:hint="eastAsia" w:cs="宋体"/>
          <w:szCs w:val="24"/>
        </w:rPr>
        <w:t>2.3.1 监理人在接到委托人发出的指令后，应立即按照合同的要求组织人员、建立机构，并按照委托人的要求进驻现场开展工作；除委托人提供的监理工作条件外，监理人应当根据委托人要求和工作需要，按照投标文件中的承诺，自行配置满足监理需求的工作条件，并且不得低于询比文件要求，其相关费用已全部包含在签约酬金中；监理人的设备仪器应在合同履行期间保持状况完好，未经委托人同意，不得随意更改或撤换。</w:t>
      </w:r>
    </w:p>
    <w:p>
      <w:pPr>
        <w:ind w:firstLine="420"/>
        <w:rPr>
          <w:rFonts w:cs="宋体"/>
          <w:szCs w:val="24"/>
        </w:rPr>
      </w:pPr>
      <w:r>
        <w:rPr>
          <w:rFonts w:hint="eastAsia" w:cs="宋体"/>
          <w:szCs w:val="24"/>
        </w:rPr>
        <w:t>监理人在服务现场设置总监办，总监办应按合同约定及现行的法律法规、规范标准等开展工作，总监办自行购置其所需要的生活、办公、交通工具、物品，并设置独立的餐厅、宿舍。</w:t>
      </w:r>
    </w:p>
    <w:p>
      <w:pPr>
        <w:ind w:firstLine="420"/>
        <w:rPr>
          <w:rFonts w:cs="宋体"/>
          <w:szCs w:val="24"/>
        </w:rPr>
      </w:pPr>
      <w:r>
        <w:rPr>
          <w:rFonts w:hint="eastAsia" w:cs="宋体"/>
          <w:szCs w:val="24"/>
        </w:rPr>
        <w:t>监理人应委派总监理工程师，作为监理人的合法代表在服务现场开展工作，并与委托人建立工作联系；监理人应当根据工程情况，配备相应专业的安全人员，实施安全监理工作；辅助工作人员（包括司机、文秘、行政后勤、炊事人员等）由监理人自行聘用，费用自理；监理人员（包括监理人聘用的辅助工作人员）应严格遵守委托人制定的各项规章制度。</w:t>
      </w:r>
    </w:p>
    <w:p>
      <w:pPr>
        <w:ind w:firstLine="420"/>
        <w:rPr>
          <w:rFonts w:cs="宋体"/>
          <w:szCs w:val="24"/>
        </w:rPr>
      </w:pPr>
      <w:r>
        <w:rPr>
          <w:rFonts w:hint="eastAsia" w:cs="宋体"/>
          <w:szCs w:val="24"/>
        </w:rPr>
        <w:t>2.3.2 在合同履行期内，监理人应按投标文件及合同约定任命一名合格称职的总监理工程师进驻现场。总监理工程师应受理与监理人有关的所有通知、指示、同意、批准、证书、决定及其他通讯联络。</w:t>
      </w:r>
    </w:p>
    <w:p>
      <w:pPr>
        <w:ind w:firstLine="420"/>
        <w:rPr>
          <w:rFonts w:cs="宋体"/>
          <w:szCs w:val="24"/>
        </w:rPr>
      </w:pPr>
      <w:r>
        <w:rPr>
          <w:rFonts w:hint="eastAsia" w:cs="宋体"/>
          <w:szCs w:val="24"/>
        </w:rPr>
        <w:t>监理人对总监理工程师的任命应取得委托人的书面批准，监理人应在合同生效后14天内将总监理工程师的姓名及其他详细资料以书面形式通知承包人。</w:t>
      </w:r>
    </w:p>
    <w:p>
      <w:pPr>
        <w:ind w:firstLine="420"/>
        <w:rPr>
          <w:rFonts w:cs="宋体"/>
          <w:szCs w:val="24"/>
        </w:rPr>
      </w:pPr>
      <w:r>
        <w:rPr>
          <w:rFonts w:hint="eastAsia" w:cs="宋体"/>
          <w:szCs w:val="24"/>
        </w:rPr>
        <w:t>对于本合同而言，经监理人任命的并且委托人、承包人已经收到相应通知的总监理工程师，应是监理人唯一的合法代理人。如果总监理工程师将他的任何职责和权利委托给他的代表，此类总监理工程师代表应视为监理人的合法代理人。</w:t>
      </w:r>
    </w:p>
    <w:p>
      <w:pPr>
        <w:ind w:firstLine="420"/>
        <w:rPr>
          <w:rFonts w:cs="宋体"/>
          <w:szCs w:val="24"/>
        </w:rPr>
      </w:pPr>
      <w:r>
        <w:rPr>
          <w:rFonts w:hint="eastAsia" w:cs="宋体"/>
          <w:szCs w:val="24"/>
        </w:rPr>
        <w:t>2.3.3 未经委托人同意不得擅自更换监理人员，因特殊情况需更换监理人员时应事先征得委托人同意。</w:t>
      </w:r>
    </w:p>
    <w:p>
      <w:pPr>
        <w:ind w:firstLine="420"/>
        <w:rPr>
          <w:rFonts w:cs="宋体"/>
          <w:szCs w:val="24"/>
        </w:rPr>
      </w:pPr>
      <w:r>
        <w:rPr>
          <w:rFonts w:hint="eastAsia" w:cs="宋体"/>
          <w:szCs w:val="24"/>
        </w:rPr>
        <w:t>监理人更换项目监理机构总监理工程师及其他监理人员，应以相当资格与能力的人员替换，并应提前7天向委托人书面报告，经委托人书面同意后方可更换。经委托人批准更换总监理工程师的，监理人应书面通知委托人和承包人，同时明确前任到期时间及新任开始时间；在委托人和承包人收到相应通知之前，任何对总监理工程师的任命或更换均不产生合同效力。</w:t>
      </w:r>
    </w:p>
    <w:p>
      <w:pPr>
        <w:ind w:firstLine="420"/>
        <w:rPr>
          <w:rFonts w:cs="宋体"/>
          <w:szCs w:val="24"/>
        </w:rPr>
      </w:pPr>
      <w:r>
        <w:rPr>
          <w:rFonts w:hint="eastAsia" w:cs="宋体"/>
          <w:szCs w:val="24"/>
        </w:rPr>
        <w:t>总监理工程师、总监理工程师代表及其他监理人员必须常驻工地现场，</w:t>
      </w:r>
      <w:r>
        <w:rPr>
          <w:rFonts w:hint="eastAsia" w:cs="宋体"/>
          <w:bCs/>
          <w:szCs w:val="24"/>
        </w:rPr>
        <w:t>驻场</w:t>
      </w:r>
      <w:r>
        <w:rPr>
          <w:rFonts w:hint="eastAsia" w:cs="宋体"/>
          <w:szCs w:val="24"/>
        </w:rPr>
        <w:t>监理人员不得少于5人，其中总监理工程师、总监理工程师代表每周不少于5天且每天工作时间不少于8小时，其他监理人员每周不少于6天且每天工作时间不少于8小时。所有监理人员不得擅自离开工地，需要离开工地时，经委托人书面同意且履行请假手续后才能离开。总监理工程师、总监理工程师代表若需离开现场应指定临时的现场负责人；离开期间，总监理工程师、总监理工程师代表指定的现场负责人应能完全履行其职责；总监理工程师和总监理工程师代表不得同时离开工地。</w:t>
      </w:r>
    </w:p>
    <w:p>
      <w:pPr>
        <w:ind w:firstLine="420"/>
        <w:rPr>
          <w:rFonts w:cs="宋体"/>
          <w:szCs w:val="24"/>
        </w:rPr>
      </w:pPr>
      <w:r>
        <w:rPr>
          <w:rFonts w:hint="eastAsia" w:cs="宋体"/>
          <w:szCs w:val="24"/>
        </w:rPr>
        <w:t>2.3.4 更换监理人员的其他情形：</w:t>
      </w:r>
      <w:r>
        <w:rPr>
          <w:rFonts w:hint="eastAsia" w:cs="宋体"/>
          <w:szCs w:val="24"/>
          <w:u w:val="single"/>
        </w:rPr>
        <w:t xml:space="preserve">/ </w:t>
      </w:r>
      <w:r>
        <w:rPr>
          <w:rFonts w:hint="eastAsia" w:cs="宋体"/>
          <w:szCs w:val="24"/>
        </w:rPr>
        <w:t>。</w:t>
      </w:r>
    </w:p>
    <w:p>
      <w:pPr>
        <w:ind w:firstLine="420"/>
        <w:rPr>
          <w:rFonts w:cs="宋体"/>
          <w:szCs w:val="24"/>
        </w:rPr>
      </w:pPr>
      <w:r>
        <w:rPr>
          <w:rFonts w:hint="eastAsia" w:cs="宋体"/>
          <w:szCs w:val="24"/>
        </w:rPr>
        <w:t>2.4 履行职责</w:t>
      </w:r>
    </w:p>
    <w:p>
      <w:pPr>
        <w:ind w:firstLine="420"/>
        <w:rPr>
          <w:rFonts w:cs="宋体"/>
          <w:b/>
          <w:bCs/>
          <w:szCs w:val="24"/>
        </w:rPr>
      </w:pPr>
      <w:r>
        <w:rPr>
          <w:rFonts w:hint="eastAsia" w:cs="宋体"/>
          <w:szCs w:val="24"/>
        </w:rPr>
        <w:t xml:space="preserve">2.4.3 </w:t>
      </w:r>
      <w:r>
        <w:rPr>
          <w:rFonts w:hint="eastAsia" w:cs="宋体"/>
          <w:bCs/>
          <w:szCs w:val="24"/>
        </w:rPr>
        <w:t>监理人在行使以下权力前须经委托人事先批准：</w:t>
      </w:r>
    </w:p>
    <w:p>
      <w:pPr>
        <w:ind w:firstLine="420"/>
        <w:rPr>
          <w:rFonts w:cs="宋体"/>
          <w:bCs/>
          <w:szCs w:val="24"/>
        </w:rPr>
      </w:pPr>
      <w:r>
        <w:rPr>
          <w:rFonts w:hint="eastAsia" w:cs="宋体"/>
          <w:bCs/>
          <w:szCs w:val="24"/>
        </w:rPr>
        <w:t>1）发布开工令、暂时停工或复工令（如在紧急情况下未能事先报告时，则应在24小时内向委托人作出书面报告。</w:t>
      </w:r>
    </w:p>
    <w:p>
      <w:pPr>
        <w:ind w:firstLine="420"/>
        <w:rPr>
          <w:rFonts w:cs="宋体"/>
          <w:bCs/>
          <w:szCs w:val="24"/>
        </w:rPr>
      </w:pPr>
      <w:r>
        <w:rPr>
          <w:rFonts w:hint="eastAsia" w:cs="宋体"/>
          <w:bCs/>
          <w:szCs w:val="24"/>
        </w:rPr>
        <w:t>2）审查批准技术规范（规格）或设计的变更，并发出实施变更的指示。</w:t>
      </w:r>
    </w:p>
    <w:p>
      <w:pPr>
        <w:ind w:firstLine="420"/>
        <w:rPr>
          <w:rFonts w:cs="宋体"/>
          <w:bCs/>
          <w:szCs w:val="24"/>
        </w:rPr>
      </w:pPr>
      <w:r>
        <w:rPr>
          <w:rFonts w:hint="eastAsia" w:cs="宋体"/>
          <w:bCs/>
          <w:szCs w:val="24"/>
        </w:rPr>
        <w:t>3）在工程施工合同约定的工程价格范围内，对工程款支付的审核及签认。</w:t>
      </w:r>
    </w:p>
    <w:p>
      <w:pPr>
        <w:ind w:firstLine="420"/>
        <w:rPr>
          <w:rFonts w:cs="宋体"/>
          <w:bCs/>
          <w:szCs w:val="24"/>
        </w:rPr>
      </w:pPr>
      <w:r>
        <w:rPr>
          <w:rFonts w:hint="eastAsia" w:cs="宋体"/>
          <w:bCs/>
          <w:szCs w:val="24"/>
        </w:rPr>
        <w:t>4）监理人要求承包人撤换由其派遣或雇佣的不能胜任、或玩忽职守、工作不负责任的人员，上述撤换的人员未经监理人同意不得重新回到本合同工程工作。</w:t>
      </w:r>
    </w:p>
    <w:p>
      <w:pPr>
        <w:ind w:firstLine="420"/>
        <w:rPr>
          <w:rFonts w:cs="宋体"/>
          <w:szCs w:val="24"/>
          <w:u w:val="single"/>
        </w:rPr>
      </w:pPr>
      <w:r>
        <w:rPr>
          <w:rFonts w:hint="eastAsia" w:cs="宋体"/>
          <w:szCs w:val="24"/>
        </w:rPr>
        <w:t xml:space="preserve">2.4.4 监理人有权要求承包人调换其人员的限制条件： </w:t>
      </w:r>
      <w:r>
        <w:rPr>
          <w:rFonts w:hint="eastAsia" w:cs="宋体"/>
          <w:szCs w:val="24"/>
          <w:u w:val="single"/>
        </w:rPr>
        <w:t>实际发生时，与委托人协商解决最终经委托人同意后调换。</w:t>
      </w:r>
    </w:p>
    <w:p>
      <w:pPr>
        <w:ind w:firstLine="420"/>
        <w:rPr>
          <w:rFonts w:cs="宋体"/>
          <w:szCs w:val="24"/>
        </w:rPr>
      </w:pPr>
      <w:r>
        <w:rPr>
          <w:rFonts w:hint="eastAsia" w:cs="宋体"/>
          <w:szCs w:val="24"/>
        </w:rPr>
        <w:t>2.4.5 正常情况下，由监理人发出的任何指示都应是书面的。</w:t>
      </w:r>
    </w:p>
    <w:p>
      <w:pPr>
        <w:ind w:firstLine="420"/>
        <w:rPr>
          <w:rFonts w:cs="宋体"/>
          <w:szCs w:val="24"/>
        </w:rPr>
      </w:pPr>
      <w:r>
        <w:rPr>
          <w:rFonts w:hint="eastAsia" w:cs="宋体"/>
          <w:szCs w:val="24"/>
        </w:rPr>
        <w:t>2.5 提交报告</w:t>
      </w:r>
    </w:p>
    <w:p>
      <w:pPr>
        <w:ind w:firstLine="420"/>
        <w:rPr>
          <w:rFonts w:cs="宋体"/>
          <w:szCs w:val="24"/>
          <w:u w:val="single"/>
        </w:rPr>
      </w:pPr>
      <w:r>
        <w:rPr>
          <w:rFonts w:hint="eastAsia" w:cs="宋体"/>
          <w:szCs w:val="24"/>
        </w:rPr>
        <w:t>监理人应提交报告的种类(包括监理规划、监理月报及约定的专项报告)、时间和份数：</w:t>
      </w:r>
      <w:r>
        <w:rPr>
          <w:rFonts w:hint="eastAsia" w:cs="宋体"/>
          <w:szCs w:val="24"/>
          <w:u w:val="single"/>
        </w:rPr>
        <w:t>监理规划在委托人提供有关资料齐全后15天内提交，监理细则在承包人提供施工组织后15天内提交，监理规划和监理细则各2份；监理月报每月25日提交，专项报告按工程需要及时提交。</w:t>
      </w:r>
    </w:p>
    <w:p>
      <w:pPr>
        <w:ind w:firstLine="420"/>
        <w:rPr>
          <w:rFonts w:cs="宋体"/>
          <w:szCs w:val="24"/>
        </w:rPr>
      </w:pPr>
      <w:r>
        <w:rPr>
          <w:rFonts w:hint="eastAsia" w:cs="宋体"/>
          <w:szCs w:val="24"/>
        </w:rPr>
        <w:t>2.7 监理人有义务妥善使用、保管委托人提供的设施、设备及物品，对于由于监理人的原因造成的非正常损毁与短缺，监理人负有全面的赔偿责任。监理人使用、保管、和移交委托人财产所需的费用，应当包含在监理人的签约酬金中。</w:t>
      </w:r>
    </w:p>
    <w:p>
      <w:pPr>
        <w:ind w:firstLine="420"/>
        <w:rPr>
          <w:rFonts w:cs="宋体"/>
          <w:szCs w:val="24"/>
        </w:rPr>
      </w:pPr>
      <w:r>
        <w:rPr>
          <w:rFonts w:hint="eastAsia" w:cs="宋体"/>
          <w:szCs w:val="24"/>
        </w:rPr>
        <w:t>2.8 监理人应将所有依据合同发出或收到的函件复制给委托人。</w:t>
      </w:r>
    </w:p>
    <w:p>
      <w:pPr>
        <w:ind w:firstLine="422"/>
        <w:rPr>
          <w:rFonts w:cs="宋体"/>
          <w:b/>
          <w:szCs w:val="24"/>
        </w:rPr>
      </w:pPr>
      <w:r>
        <w:rPr>
          <w:rFonts w:hint="eastAsia" w:cs="宋体"/>
          <w:b/>
          <w:szCs w:val="24"/>
        </w:rPr>
        <w:t xml:space="preserve">3. 委托人义务  </w:t>
      </w:r>
    </w:p>
    <w:p>
      <w:pPr>
        <w:ind w:firstLine="420"/>
        <w:rPr>
          <w:rFonts w:cs="宋体"/>
          <w:szCs w:val="24"/>
        </w:rPr>
      </w:pPr>
      <w:r>
        <w:rPr>
          <w:rFonts w:hint="eastAsia" w:cs="宋体"/>
          <w:szCs w:val="24"/>
        </w:rPr>
        <w:t>3.4 委托人代表</w:t>
      </w:r>
    </w:p>
    <w:p>
      <w:pPr>
        <w:ind w:firstLine="420"/>
        <w:rPr>
          <w:rFonts w:cs="宋体"/>
          <w:szCs w:val="24"/>
        </w:rPr>
      </w:pPr>
      <w:r>
        <w:rPr>
          <w:rFonts w:hint="eastAsia" w:cs="宋体"/>
          <w:szCs w:val="24"/>
        </w:rPr>
        <w:t>委托人代表为：</w:t>
      </w:r>
      <w:r>
        <w:rPr>
          <w:rFonts w:hint="eastAsia" w:cs="宋体"/>
          <w:b/>
          <w:szCs w:val="24"/>
          <w:u w:val="single"/>
        </w:rPr>
        <w:t xml:space="preserve">                       </w:t>
      </w:r>
      <w:r>
        <w:rPr>
          <w:rFonts w:hint="eastAsia" w:cs="宋体"/>
          <w:szCs w:val="24"/>
        </w:rPr>
        <w:t>。</w:t>
      </w:r>
    </w:p>
    <w:p>
      <w:pPr>
        <w:ind w:firstLine="420"/>
        <w:rPr>
          <w:rFonts w:cs="宋体"/>
          <w:szCs w:val="24"/>
        </w:rPr>
      </w:pPr>
      <w:r>
        <w:rPr>
          <w:rFonts w:hint="eastAsia" w:cs="宋体"/>
          <w:szCs w:val="24"/>
        </w:rPr>
        <w:t>3.5 委托人意见或要求</w:t>
      </w:r>
    </w:p>
    <w:p>
      <w:pPr>
        <w:ind w:firstLine="420"/>
        <w:rPr>
          <w:rFonts w:cs="宋体"/>
          <w:szCs w:val="24"/>
        </w:rPr>
      </w:pPr>
      <w:r>
        <w:rPr>
          <w:rFonts w:hint="eastAsia" w:cs="宋体"/>
          <w:szCs w:val="24"/>
        </w:rPr>
        <w:t>如情况紧急，委托人可直接向承包人提出意见和要求，同时书面抄送监理人。</w:t>
      </w:r>
    </w:p>
    <w:p>
      <w:pPr>
        <w:ind w:firstLine="420"/>
        <w:rPr>
          <w:rFonts w:cs="宋体"/>
          <w:szCs w:val="24"/>
        </w:rPr>
      </w:pPr>
      <w:r>
        <w:rPr>
          <w:rFonts w:hint="eastAsia" w:cs="宋体"/>
          <w:szCs w:val="24"/>
        </w:rPr>
        <w:t>3.6 答复</w:t>
      </w:r>
    </w:p>
    <w:p>
      <w:pPr>
        <w:ind w:firstLine="420"/>
        <w:rPr>
          <w:rFonts w:cs="宋体"/>
          <w:b/>
          <w:szCs w:val="24"/>
        </w:rPr>
      </w:pPr>
      <w:r>
        <w:rPr>
          <w:rFonts w:hint="eastAsia" w:cs="宋体"/>
          <w:szCs w:val="24"/>
        </w:rPr>
        <w:t>委托人同意在 14 天内，对监理人书面提交并要求做出决定的事宜给予书面答复。若因相关事宜情况复杂无法在14天内作出答复的，经书面通知监理人，委托人可以适当延长答复期限。</w:t>
      </w:r>
    </w:p>
    <w:p>
      <w:pPr>
        <w:ind w:firstLine="420"/>
        <w:rPr>
          <w:rFonts w:cs="宋体"/>
          <w:szCs w:val="24"/>
        </w:rPr>
      </w:pPr>
      <w:r>
        <w:rPr>
          <w:rFonts w:hint="eastAsia" w:cs="宋体"/>
          <w:szCs w:val="24"/>
        </w:rPr>
        <w:t>3.8 委托人有权按照相关考核办法对监理人进行履约检查，如监理人不能满足合同约定，有权责令改进，并有按照相关条款索取违约金、赔偿金的权利。</w:t>
      </w:r>
    </w:p>
    <w:p>
      <w:pPr>
        <w:ind w:firstLine="420"/>
        <w:rPr>
          <w:rFonts w:cs="宋体"/>
          <w:szCs w:val="24"/>
        </w:rPr>
      </w:pPr>
      <w:r>
        <w:rPr>
          <w:rFonts w:hint="eastAsia" w:cs="宋体"/>
          <w:szCs w:val="24"/>
        </w:rPr>
        <w:t>3.9 委托人按照相关考核办法对监理人作业人员的工作能力和业务水平进行考核，对于无法胜任监理任务的作业人员，委托人有权提出更换，监理人必须予以执行。</w:t>
      </w:r>
    </w:p>
    <w:p>
      <w:pPr>
        <w:ind w:firstLine="420"/>
        <w:rPr>
          <w:rFonts w:cs="宋体"/>
          <w:szCs w:val="24"/>
        </w:rPr>
      </w:pPr>
      <w:r>
        <w:rPr>
          <w:rFonts w:hint="eastAsia" w:cs="宋体"/>
          <w:szCs w:val="24"/>
        </w:rPr>
        <w:t>3.10 在履行合同过程中，监理人因自身原因无法继续履行或明确表示不履行或实质上已停止履行监理合同时，委托人有权向监理人发出解除监理合同的通知，本合同解除，监理酬金按照监理人实际完成的工作量进行结算。同时监理人应向委托人支付签约合同价</w:t>
      </w:r>
      <w:r>
        <w:rPr>
          <w:rFonts w:hint="eastAsia" w:cs="宋体"/>
          <w:szCs w:val="24"/>
          <w:u w:val="single"/>
        </w:rPr>
        <w:t>20</w:t>
      </w:r>
      <w:r>
        <w:rPr>
          <w:rFonts w:hint="eastAsia" w:cs="宋体"/>
          <w:szCs w:val="24"/>
        </w:rPr>
        <w:t>%的违约金，因合同解除给委托人造成的损失，监理人应当赔偿。</w:t>
      </w:r>
    </w:p>
    <w:p>
      <w:pPr>
        <w:ind w:firstLine="422"/>
        <w:rPr>
          <w:rFonts w:cs="宋体"/>
          <w:b/>
          <w:szCs w:val="24"/>
        </w:rPr>
      </w:pPr>
      <w:r>
        <w:rPr>
          <w:rFonts w:hint="eastAsia" w:cs="宋体"/>
          <w:b/>
          <w:szCs w:val="24"/>
        </w:rPr>
        <w:t>4. 违约责任</w:t>
      </w:r>
    </w:p>
    <w:p>
      <w:pPr>
        <w:ind w:firstLine="420"/>
        <w:rPr>
          <w:rFonts w:cs="宋体"/>
          <w:szCs w:val="24"/>
        </w:rPr>
      </w:pPr>
      <w:r>
        <w:rPr>
          <w:rFonts w:hint="eastAsia" w:cs="宋体"/>
          <w:szCs w:val="24"/>
        </w:rPr>
        <w:t>4.1 监理人的违约责任</w:t>
      </w:r>
    </w:p>
    <w:p>
      <w:pPr>
        <w:ind w:firstLine="420"/>
        <w:rPr>
          <w:rFonts w:cs="宋体"/>
          <w:szCs w:val="24"/>
        </w:rPr>
      </w:pPr>
      <w:r>
        <w:rPr>
          <w:rFonts w:hint="eastAsia" w:cs="宋体"/>
          <w:szCs w:val="24"/>
        </w:rPr>
        <w:t>4.1.1监理人赔偿金额按下列方法确定：</w:t>
      </w:r>
    </w:p>
    <w:p>
      <w:pPr>
        <w:ind w:firstLine="420"/>
      </w:pPr>
      <w:r>
        <w:rPr>
          <w:rFonts w:hint="eastAsia"/>
        </w:rPr>
        <w:t>1.监理人在责任期内如果因为过失给委托人造成损失的，按以下办法承担责任，赔偿损失</w:t>
      </w:r>
      <w:r>
        <w:t>[累计赔偿额不超过监理报酬总数（扣税）]：赔偿金＝直接经济损失×</w:t>
      </w:r>
      <w:r>
        <w:rPr>
          <w:rFonts w:hint="eastAsia"/>
        </w:rPr>
        <w:t>中标费率</w:t>
      </w:r>
      <w:r>
        <w:t>×</w:t>
      </w:r>
      <w:r>
        <w:rPr>
          <w:rFonts w:hint="eastAsia"/>
        </w:rPr>
        <w:t>2。</w:t>
      </w:r>
    </w:p>
    <w:p>
      <w:pPr>
        <w:ind w:firstLine="420"/>
      </w:pPr>
      <w:r>
        <w:rPr>
          <w:rFonts w:hint="eastAsia"/>
        </w:rPr>
        <w:t>2.监理人未及时响应或未正当履行合同义务和委托人指令，经委托人督促仍不履行，委托人每次应扣除监理人监理费总额的2%，本费用委托人可以从当期监理咨询费中扣除，也可以在最后一次付款中扣除。</w:t>
      </w:r>
    </w:p>
    <w:p>
      <w:pPr>
        <w:ind w:firstLine="420"/>
      </w:pPr>
      <w:r>
        <w:rPr>
          <w:rFonts w:hint="eastAsia"/>
        </w:rPr>
        <w:t>3.因监理工作延误工期的，每延误一个自然日，委托人扣除监理人监理费总额的2%。</w:t>
      </w:r>
    </w:p>
    <w:p>
      <w:pPr>
        <w:ind w:firstLine="420"/>
      </w:pPr>
      <w:r>
        <w:rPr>
          <w:rFonts w:hint="eastAsia"/>
        </w:rPr>
        <w:t>4.监理方处理相关业务时，因其原因造成委托方损失的，委托方有权向乙方要求补偿。</w:t>
      </w:r>
    </w:p>
    <w:p>
      <w:pPr>
        <w:ind w:firstLine="420"/>
      </w:pPr>
      <w:r>
        <w:rPr>
          <w:rFonts w:hint="eastAsia"/>
        </w:rPr>
        <w:t>5.监理人在投标书中拟派项目总监理工程师、总监代表、监理工程师必须到位，未经委托人同意不得更换且不得兼职；未经委托人同意监理人擅自更换监理人员的，应按委托人要求限期整改，委托人有权要求监理人支付违约金：总监理工程师</w:t>
      </w:r>
      <w:r>
        <w:t>5</w:t>
      </w:r>
      <w:r>
        <w:rPr>
          <w:rFonts w:hint="eastAsia"/>
        </w:rPr>
        <w:t>0000元/人·次，总监代表为</w:t>
      </w:r>
      <w:r>
        <w:t>3</w:t>
      </w:r>
      <w:r>
        <w:rPr>
          <w:rFonts w:hint="eastAsia"/>
        </w:rPr>
        <w:t>0000元/人·次。发现总监理工程师或总监代表在其他项目兼职的，一经发现，限期整改，并由监理人承担违约金20000元/人·次。以上违约金自委托人下发相关通知后5个日历日内上交，否则每延迟一天除缴纳违约金外还应按照5</w:t>
      </w:r>
      <w:r>
        <w:t>00</w:t>
      </w:r>
      <w:r>
        <w:rPr>
          <w:rFonts w:hint="eastAsia"/>
        </w:rPr>
        <w:t>元/天缴纳滞纳金。</w:t>
      </w:r>
    </w:p>
    <w:p>
      <w:pPr>
        <w:ind w:firstLine="420"/>
      </w:pPr>
      <w:r>
        <w:rPr>
          <w:rFonts w:hint="eastAsia"/>
        </w:rPr>
        <w:t>6.监理成员根据项目进度必须及时到位，项目总监、总监代表、造价工程师、各专业专监等必须常驻工地现场，离开现场应提前向委托人提交书面申请，经委托人书面同意且履行请假手续后才能离开。总监理工程师(含总监代表)离开现场前需指定临时的现场负责人，离开期间指定的现场负责人应能履行其职责；总监理工程师和总监代表不得同时离开工地。若项目总监、总监代表、造价工程师、各专业专监每月累计请假时间超过5天，每超出一天，监理人需承担违约金1000元/人·天。</w:t>
      </w:r>
    </w:p>
    <w:p>
      <w:pPr>
        <w:ind w:firstLine="420"/>
      </w:pPr>
      <w:r>
        <w:rPr>
          <w:rFonts w:hint="eastAsia"/>
        </w:rPr>
        <w:t>7.常驻现场的监理人员未按委托人要求进场，限期整改，监理人承担违约金每人每天5000元。各监理人员每月工作不得少于22天，如有脱岗行为（即在正常工作日内，没有向业主请假，离开工地4小时以上），专业监理工程师承担违约金500元/人·次；总监理工程师、总监理工程师代表承担违约金1000元/人·次。正常工作作息时间以外以及节假日，工程总承包人正常施工，监理工作应正常进行，监理人不安排相关人员值班的，扣罚监理费5000元/人·次</w:t>
      </w:r>
    </w:p>
    <w:p>
      <w:pPr>
        <w:ind w:firstLine="420"/>
      </w:pPr>
      <w:r>
        <w:rPr>
          <w:rFonts w:hint="eastAsia"/>
        </w:rPr>
        <w:t>8.监理人擅自聘用未经委托人同意的人员从事监理工作，一经发现，限期撤换该人员，并承担违约金5000元/人·次。</w:t>
      </w:r>
    </w:p>
    <w:p>
      <w:pPr>
        <w:ind w:firstLine="420"/>
      </w:pPr>
      <w:r>
        <w:rPr>
          <w:rFonts w:hint="eastAsia"/>
        </w:rPr>
        <w:t>9.监理人需准时参加监理周例会及委托人通知参加的其他会议，有事会前请假并征得同意，否则按缺席、迟到处理，缺席会议承担违约金500元/人次，迟到、早退会议承担违约金100元/人次。会议期间手机必须转成静音，违规一次承担违约金100元/人次。监理例会会前不交监理周报、监理月报的，承担违约金500元/次。</w:t>
      </w:r>
    </w:p>
    <w:p>
      <w:pPr>
        <w:ind w:firstLine="420"/>
      </w:pPr>
      <w:r>
        <w:rPr>
          <w:rFonts w:hint="eastAsia"/>
        </w:rPr>
        <w:t>10.监理人在投标书中承诺的监理设备和仪器必须按时到位，否则每缺少一项承担违约金1000元；未经委托人同意，设备仪器不得随意更改或撤换，并应在合同履行期间保持状况完好。检测仪器及设备等在监理服务期间，不能保持良好运作性能的，应及时更换，否则每件每天需承担违约金1000元。</w:t>
      </w:r>
    </w:p>
    <w:p>
      <w:pPr>
        <w:ind w:firstLine="420"/>
      </w:pPr>
      <w:r>
        <w:rPr>
          <w:rFonts w:hint="eastAsia"/>
        </w:rPr>
        <w:t>11.监理合同签订后，未能在开工前将监理规划和监理实施细则报送委托人的，每延误一天承担违约金1000元。未能在相应工程项目开工前组织施工图会审或审查承包单位报送的施工组织设计（方案）的，承担违约金10000元。</w:t>
      </w:r>
    </w:p>
    <w:p>
      <w:pPr>
        <w:ind w:firstLine="420"/>
      </w:pPr>
      <w:r>
        <w:rPr>
          <w:rFonts w:hint="eastAsia"/>
        </w:rPr>
        <w:t>12.监理人在施工前应认真熟悉施工图纸，并就图纸提出书面建议及意见，如果监理人对图纸的“错、漏、碰、缺”或重大错误等问题，没有提出意见或建议而引起的返工或变更金额超过10000元的，应承担部分责任并进行赔偿。赔偿金额=返工/变更工程量金额</w:t>
      </w:r>
      <w:r>
        <w:t>*</w:t>
      </w:r>
      <w:r>
        <w:rPr>
          <w:rFonts w:hint="eastAsia"/>
        </w:rPr>
        <w:t>2%，触犯国家法律的要承担相应法律责任。</w:t>
      </w:r>
    </w:p>
    <w:p>
      <w:pPr>
        <w:ind w:firstLine="420"/>
      </w:pPr>
      <w:r>
        <w:rPr>
          <w:rFonts w:hint="eastAsia"/>
        </w:rPr>
        <w:t>13.监理人对施工现场违反安全操作规程、不符合国家劳动保护、环保、消防等法规的做法，有权立即于涉并上报建设单位。对玩忽职守或监督不力，造成安全隐患或事故者，监理人需承担违约金1000-5000元/次。若因监理人未按《建设工程安全管理条例》履行安全职责，监理不力，工地发生重大死亡事故，并被安监局、公安、建委等主管部门定性为工地管理责任事故，监理人需承担违约金，额度为监理服务费的20%。</w:t>
      </w:r>
    </w:p>
    <w:p>
      <w:pPr>
        <w:ind w:firstLine="420"/>
      </w:pPr>
      <w:r>
        <w:rPr>
          <w:rFonts w:hint="eastAsia"/>
        </w:rPr>
        <w:t>14.工程总承包人人员违章作业因而引起工程质量得不到保证时，监理人应立即劝阻，若劝阻无效，监理人有权按合同予以罚款、责令停工、撤换不合格的管理人员（包括项目经理及总工）及撤换不合格的施工班组。对不严格执行或监督不力者，监理人需承担违约金1000-5000元/次。</w:t>
      </w:r>
    </w:p>
    <w:p>
      <w:pPr>
        <w:ind w:firstLine="420"/>
      </w:pPr>
      <w:r>
        <w:rPr>
          <w:rFonts w:hint="eastAsia"/>
        </w:rPr>
        <w:t>15.监理人对工程质量通病（缺陷）、安全隐患、不文明施工等现象不能有效控制，在委托人下次检查中重复出现时，监理人承担违约金1000元/次，且委托人有权更换责任监理人员。</w:t>
      </w:r>
    </w:p>
    <w:p>
      <w:pPr>
        <w:ind w:firstLine="420"/>
      </w:pPr>
      <w:r>
        <w:rPr>
          <w:rFonts w:hint="eastAsia"/>
        </w:rPr>
        <w:t>16.监理人对工程总承包人或者材料供应商虚报的工程量，弄虚作假、降低工程质量，将不合格的建设工程、建筑材料、建筑构配件和设备按照合格签字的，需承担违约金每次10000元。因此而造成损失的，监理人需承担违约金，额度为损失额的20%。</w:t>
      </w:r>
    </w:p>
    <w:p>
      <w:pPr>
        <w:ind w:firstLine="420"/>
      </w:pPr>
      <w:r>
        <w:rPr>
          <w:rFonts w:hint="eastAsia"/>
        </w:rPr>
        <w:t>17.监理人利用监理职权谋取任何不正当利益的，每发现一次支付违约金5000元，处理相关人员，涉及刑事犯罪的，移交司法机关。</w:t>
      </w:r>
    </w:p>
    <w:p>
      <w:pPr>
        <w:ind w:firstLine="420"/>
      </w:pPr>
      <w:r>
        <w:rPr>
          <w:rFonts w:hint="eastAsia"/>
        </w:rPr>
        <w:t>18.监理人严重违反本合同约定，或违反约定后拒绝整改，或同类违约行为经整改两次以上仍未达到约定要求的，委托人有权解除本合同。监理人无法继续履行或明确表示不履行或实质上已停止履行监理合同时，委托人可解除合同。</w:t>
      </w:r>
    </w:p>
    <w:p>
      <w:pPr>
        <w:ind w:firstLine="420"/>
      </w:pPr>
      <w:r>
        <w:rPr>
          <w:rFonts w:hint="eastAsia"/>
        </w:rPr>
        <w:t>19.合同履行期内，监理人人需按照委托人要求做好BIM协同管理应用配合服务（含平台审批、数据采集上传等），并可采取专人或兼任的方式配备现场BIM协同管理监理方人员，若未能履行，监理人须向委托人支付处本合同总价20%的违约金。</w:t>
      </w:r>
    </w:p>
    <w:p>
      <w:pPr>
        <w:ind w:firstLine="420"/>
        <w:rPr>
          <w:rFonts w:cs="宋体"/>
          <w:szCs w:val="24"/>
        </w:rPr>
      </w:pPr>
      <w:r>
        <w:rPr>
          <w:rFonts w:hint="eastAsia" w:cs="宋体"/>
          <w:szCs w:val="24"/>
        </w:rPr>
        <w:t>本合同有关监理人违约的约定有重叠、交叉的，委托人有权自由选择对委托人更为有利的约定执行。</w:t>
      </w:r>
    </w:p>
    <w:p>
      <w:pPr>
        <w:ind w:firstLine="420"/>
        <w:rPr>
          <w:rFonts w:cs="宋体"/>
          <w:szCs w:val="24"/>
        </w:rPr>
      </w:pPr>
      <w:r>
        <w:rPr>
          <w:rFonts w:hint="eastAsia" w:cs="宋体"/>
          <w:szCs w:val="24"/>
        </w:rPr>
        <w:t>4.2 委托人的违约责任</w:t>
      </w:r>
    </w:p>
    <w:p>
      <w:pPr>
        <w:ind w:firstLine="420"/>
        <w:rPr>
          <w:rFonts w:cs="宋体"/>
          <w:szCs w:val="24"/>
        </w:rPr>
      </w:pPr>
      <w:r>
        <w:rPr>
          <w:rFonts w:hint="eastAsia" w:cs="宋体"/>
          <w:szCs w:val="24"/>
        </w:rPr>
        <w:t>4.2.3 委托人逾期付款利息按下列方法确定：</w:t>
      </w:r>
    </w:p>
    <w:p>
      <w:pPr>
        <w:ind w:firstLine="420"/>
        <w:rPr>
          <w:rFonts w:cs="宋体"/>
          <w:szCs w:val="24"/>
        </w:rPr>
      </w:pPr>
      <w:r>
        <w:rPr>
          <w:rFonts w:hint="eastAsia" w:cs="宋体"/>
          <w:szCs w:val="24"/>
        </w:rPr>
        <w:t>不计取逾期付款利息。</w:t>
      </w:r>
    </w:p>
    <w:p>
      <w:pPr>
        <w:ind w:firstLine="420"/>
        <w:rPr>
          <w:rFonts w:cs="宋体"/>
          <w:szCs w:val="24"/>
        </w:rPr>
      </w:pPr>
      <w:r>
        <w:rPr>
          <w:rFonts w:hint="eastAsia" w:cs="宋体"/>
          <w:szCs w:val="24"/>
        </w:rPr>
        <w:t>4.3  除外责任</w:t>
      </w:r>
    </w:p>
    <w:p>
      <w:pPr>
        <w:ind w:firstLine="420"/>
        <w:rPr>
          <w:rFonts w:cs="宋体"/>
          <w:szCs w:val="24"/>
        </w:rPr>
      </w:pPr>
      <w:r>
        <w:rPr>
          <w:rFonts w:hint="eastAsia" w:cs="宋体"/>
          <w:szCs w:val="24"/>
        </w:rPr>
        <w:t>如果不可抗力严重影响合同以致无法继续履行，委托人有权通知监理人解除合同。一旦发出此项通知，本合同即告终止，但不损害任何一方对另一方在此以前发生的任何违约所应享有的追责权利。因出现不可抗力致使本合同不能履行或仅能部分履行时，委托人应向监理人支付合同终止之日前的酬金。因不可抗力产生的任何损失、损害或延误等，双方各负其责。</w:t>
      </w:r>
    </w:p>
    <w:p>
      <w:pPr>
        <w:ind w:firstLine="422"/>
        <w:rPr>
          <w:rFonts w:cs="宋体"/>
          <w:b/>
          <w:szCs w:val="24"/>
        </w:rPr>
      </w:pPr>
      <w:r>
        <w:rPr>
          <w:rFonts w:hint="eastAsia" w:cs="宋体"/>
          <w:b/>
          <w:szCs w:val="24"/>
        </w:rPr>
        <w:t>5. 支付</w:t>
      </w:r>
    </w:p>
    <w:p>
      <w:pPr>
        <w:ind w:firstLine="420"/>
        <w:rPr>
          <w:rFonts w:cs="宋体"/>
          <w:szCs w:val="24"/>
        </w:rPr>
      </w:pPr>
      <w:r>
        <w:rPr>
          <w:rFonts w:hint="eastAsia" w:cs="宋体"/>
          <w:szCs w:val="24"/>
        </w:rPr>
        <w:t>5.1 支付货币</w:t>
      </w:r>
    </w:p>
    <w:p>
      <w:pPr>
        <w:ind w:firstLine="420"/>
        <w:rPr>
          <w:rFonts w:cs="宋体"/>
          <w:szCs w:val="24"/>
        </w:rPr>
      </w:pPr>
      <w:r>
        <w:rPr>
          <w:rFonts w:hint="eastAsia" w:cs="宋体"/>
          <w:szCs w:val="24"/>
        </w:rPr>
        <w:t>币种为：</w:t>
      </w:r>
      <w:r>
        <w:rPr>
          <w:rFonts w:hint="eastAsia" w:cs="宋体"/>
          <w:szCs w:val="24"/>
          <w:u w:val="single"/>
        </w:rPr>
        <w:t xml:space="preserve"> 人民币 </w:t>
      </w:r>
      <w:r>
        <w:rPr>
          <w:rFonts w:hint="eastAsia" w:cs="宋体"/>
          <w:szCs w:val="24"/>
        </w:rPr>
        <w:t>，比例为：</w:t>
      </w:r>
      <w:r>
        <w:rPr>
          <w:rFonts w:hint="eastAsia" w:cs="宋体"/>
          <w:szCs w:val="24"/>
          <w:u w:val="single"/>
        </w:rPr>
        <w:t xml:space="preserve">  /  </w:t>
      </w:r>
      <w:r>
        <w:rPr>
          <w:rFonts w:hint="eastAsia" w:cs="宋体"/>
          <w:szCs w:val="24"/>
        </w:rPr>
        <w:t>，汇率为：</w:t>
      </w:r>
      <w:r>
        <w:rPr>
          <w:rFonts w:hint="eastAsia" w:cs="宋体"/>
          <w:szCs w:val="24"/>
          <w:u w:val="single"/>
        </w:rPr>
        <w:t xml:space="preserve">  /  </w:t>
      </w:r>
      <w:r>
        <w:rPr>
          <w:rFonts w:hint="eastAsia" w:cs="宋体"/>
          <w:szCs w:val="24"/>
        </w:rPr>
        <w:t xml:space="preserve">。 </w:t>
      </w:r>
    </w:p>
    <w:p>
      <w:pPr>
        <w:ind w:firstLine="420"/>
        <w:rPr>
          <w:rFonts w:cs="宋体"/>
          <w:szCs w:val="24"/>
        </w:rPr>
      </w:pPr>
      <w:r>
        <w:rPr>
          <w:rFonts w:hint="eastAsia" w:cs="宋体"/>
          <w:szCs w:val="24"/>
        </w:rPr>
        <w:t>5.3 支付酬金</w:t>
      </w:r>
    </w:p>
    <w:p>
      <w:pPr>
        <w:ind w:firstLine="420"/>
      </w:pPr>
      <w:r>
        <w:rPr>
          <w:rFonts w:hint="eastAsia"/>
        </w:rPr>
        <w:t>概算建安工程费=12160.89万元，为监理费计费基数。委托人增加或减少投资，监理总酬金按照委托人最终审计工程决算报告核定的实际投资额的</w:t>
      </w:r>
      <w:r>
        <w:t xml:space="preserve"> </w:t>
      </w:r>
      <w:r>
        <w:rPr>
          <w:u w:val="single"/>
        </w:rPr>
        <w:t xml:space="preserve">    </w:t>
      </w:r>
      <w:r>
        <w:t>%  据实结算</w:t>
      </w:r>
      <w:r>
        <w:rPr>
          <w:rFonts w:hint="eastAsia"/>
        </w:rPr>
        <w:t>（若概算范围内项目调整，概算建安费相应调整）</w:t>
      </w:r>
    </w:p>
    <w:p>
      <w:pPr>
        <w:ind w:firstLine="420"/>
      </w:pPr>
      <w:r>
        <w:rPr>
          <w:rFonts w:hint="eastAsia"/>
        </w:rPr>
        <w:t>（1）合同签订节点。监理合同签定后，监理单位按照监理规范及合同要求，将项目监理机构的组织形式、人员构成经建设单位审核通过进场后进行支付。按概算建安工程费作为计费基数*中标费率*20%</w:t>
      </w:r>
      <w:r>
        <w:t>*90%</w:t>
      </w:r>
      <w:r>
        <w:rPr>
          <w:rFonts w:hint="eastAsia"/>
        </w:rPr>
        <w:t>支付；</w:t>
      </w:r>
    </w:p>
    <w:p>
      <w:pPr>
        <w:ind w:firstLine="420"/>
      </w:pPr>
      <w:r>
        <w:rPr>
          <w:rFonts w:hint="eastAsia"/>
        </w:rPr>
        <w:t>（2）主体工程封顶节点。实训基地A、B栋主体工程全部封顶后进行支付。按概算建安工程费作为计费基数*中标费率*30%</w:t>
      </w:r>
      <w:r>
        <w:t>*90%</w:t>
      </w:r>
      <w:r>
        <w:rPr>
          <w:rFonts w:hint="eastAsia"/>
        </w:rPr>
        <w:t>支付；</w:t>
      </w:r>
    </w:p>
    <w:p>
      <w:pPr>
        <w:ind w:firstLine="420"/>
      </w:pPr>
      <w:r>
        <w:rPr>
          <w:rFonts w:hint="eastAsia"/>
        </w:rPr>
        <w:t>（3）项目完工验收节点。实训基地A、B栋全部完工，经五大责任主体验收合格后支付。按概算建安工程费作为计费基数*中标费率*20%</w:t>
      </w:r>
      <w:r>
        <w:t>*90%</w:t>
      </w:r>
      <w:r>
        <w:rPr>
          <w:rFonts w:hint="eastAsia"/>
        </w:rPr>
        <w:t>支付；</w:t>
      </w:r>
    </w:p>
    <w:p>
      <w:pPr>
        <w:ind w:firstLine="420"/>
      </w:pPr>
      <w:r>
        <w:rPr>
          <w:rFonts w:hint="eastAsia"/>
        </w:rPr>
        <w:t>（4）项目联合验收节点。实训基地A、B栋通过联合验收、管网等配套附属设施通过相关验收后进行支付。按概算建安工程费作为计费基数*中标费率*10%</w:t>
      </w:r>
      <w:r>
        <w:t>*90%</w:t>
      </w:r>
      <w:r>
        <w:rPr>
          <w:rFonts w:hint="eastAsia"/>
        </w:rPr>
        <w:t>支付；</w:t>
      </w:r>
    </w:p>
    <w:p>
      <w:pPr>
        <w:ind w:firstLine="420"/>
      </w:pPr>
      <w:r>
        <w:rPr>
          <w:rFonts w:hint="eastAsia"/>
        </w:rPr>
        <w:t>（5）结算节点。委托人结算完成最终审计报告出具后，按概算建安工程费扣除未发生的暂列金额、专业工程暂估价作为计费基数，按概算建安工程费作为计费基数*中标费率*10%</w:t>
      </w:r>
      <w:r>
        <w:t>*90%</w:t>
      </w:r>
      <w:r>
        <w:rPr>
          <w:rFonts w:hint="eastAsia"/>
        </w:rPr>
        <w:t>支付；</w:t>
      </w:r>
    </w:p>
    <w:p>
      <w:pPr>
        <w:ind w:firstLine="420"/>
      </w:pPr>
      <w:r>
        <w:rPr>
          <w:rFonts w:hint="eastAsia"/>
        </w:rPr>
        <w:t>（6）缺陷责任期满，付清剩余款项。</w:t>
      </w:r>
    </w:p>
    <w:p>
      <w:pPr>
        <w:ind w:firstLine="420"/>
      </w:pPr>
      <w:r>
        <w:rPr>
          <w:rFonts w:hint="eastAsia"/>
        </w:rPr>
        <w:t>在合同履行中不得擅自改变，若必须改变，则需向甲方提供有效法律变更文件，否则甲方有权不予付款。</w:t>
      </w:r>
    </w:p>
    <w:p>
      <w:pPr>
        <w:ind w:firstLine="420"/>
      </w:pPr>
      <w:r>
        <w:rPr>
          <w:rFonts w:hint="eastAsia"/>
        </w:rPr>
        <w:t>由于乙方自身原因造成延迟付款等问题的，一切后果由乙方承担。</w:t>
      </w:r>
    </w:p>
    <w:p>
      <w:pPr>
        <w:ind w:firstLine="420"/>
      </w:pPr>
      <w:r>
        <w:rPr>
          <w:rFonts w:hint="eastAsia"/>
        </w:rPr>
        <w:t>每次付款时甲方有权直接扣除乙方违约金、罚金、损失赔偿金等应扣款项。</w:t>
      </w:r>
    </w:p>
    <w:p>
      <w:pPr>
        <w:ind w:firstLine="422"/>
        <w:rPr>
          <w:rFonts w:cs="宋体"/>
          <w:b/>
          <w:szCs w:val="24"/>
        </w:rPr>
      </w:pPr>
      <w:r>
        <w:rPr>
          <w:rFonts w:hint="eastAsia" w:cs="宋体"/>
          <w:b/>
          <w:szCs w:val="24"/>
        </w:rPr>
        <w:t>6. 合同生效、变更、暂停、解除与终止</w:t>
      </w:r>
    </w:p>
    <w:p>
      <w:pPr>
        <w:ind w:firstLine="420"/>
        <w:rPr>
          <w:rFonts w:cs="宋体"/>
          <w:szCs w:val="24"/>
        </w:rPr>
      </w:pPr>
      <w:r>
        <w:rPr>
          <w:rFonts w:hint="eastAsia" w:cs="宋体"/>
          <w:szCs w:val="24"/>
        </w:rPr>
        <w:t>6.1 生效</w:t>
      </w:r>
    </w:p>
    <w:p>
      <w:pPr>
        <w:ind w:firstLine="420"/>
        <w:rPr>
          <w:rFonts w:cs="宋体"/>
          <w:szCs w:val="24"/>
        </w:rPr>
      </w:pPr>
      <w:r>
        <w:rPr>
          <w:rFonts w:hint="eastAsia" w:cs="宋体"/>
          <w:szCs w:val="24"/>
        </w:rPr>
        <w:t>本合同生效条件：</w:t>
      </w:r>
      <w:r>
        <w:rPr>
          <w:rFonts w:hint="eastAsia" w:cs="宋体"/>
          <w:szCs w:val="24"/>
          <w:u w:val="single"/>
        </w:rPr>
        <w:t xml:space="preserve">   按通用条件执行   </w:t>
      </w:r>
      <w:r>
        <w:rPr>
          <w:rFonts w:hint="eastAsia" w:cs="宋体"/>
          <w:szCs w:val="24"/>
        </w:rPr>
        <w:t>。</w:t>
      </w:r>
    </w:p>
    <w:p>
      <w:pPr>
        <w:ind w:firstLine="420"/>
        <w:rPr>
          <w:rFonts w:cs="宋体"/>
          <w:b/>
          <w:szCs w:val="24"/>
        </w:rPr>
      </w:pPr>
      <w:r>
        <w:rPr>
          <w:rFonts w:hint="eastAsia" w:cs="宋体"/>
          <w:szCs w:val="24"/>
        </w:rPr>
        <w:t>6.2 变更</w:t>
      </w:r>
    </w:p>
    <w:p>
      <w:pPr>
        <w:ind w:firstLine="420"/>
        <w:rPr>
          <w:rFonts w:cs="宋体"/>
          <w:szCs w:val="24"/>
        </w:rPr>
      </w:pPr>
      <w:r>
        <w:rPr>
          <w:rFonts w:hint="eastAsia" w:cs="宋体"/>
          <w:szCs w:val="24"/>
        </w:rPr>
        <w:t>6.2.2监理人承诺，非因监理人原因导致本合同期限延长时，附加工作酬金按下列方法确定：</w:t>
      </w:r>
      <w:r>
        <w:rPr>
          <w:rFonts w:hint="eastAsia" w:cs="宋体"/>
          <w:szCs w:val="24"/>
          <w:u w:val="single"/>
        </w:rPr>
        <w:t>已包含在监理酬金内，不另行增加。</w:t>
      </w:r>
    </w:p>
    <w:p>
      <w:pPr>
        <w:ind w:firstLine="420"/>
        <w:rPr>
          <w:rFonts w:cs="宋体"/>
          <w:szCs w:val="24"/>
        </w:rPr>
      </w:pPr>
      <w:r>
        <w:rPr>
          <w:rFonts w:hint="eastAsia" w:cs="宋体"/>
          <w:szCs w:val="24"/>
        </w:rPr>
        <w:t>除前述约定外，委托人在任何情形下均不向监理人支付附加工作酬金。</w:t>
      </w:r>
    </w:p>
    <w:p>
      <w:pPr>
        <w:ind w:firstLine="420"/>
        <w:rPr>
          <w:rFonts w:cs="宋体"/>
          <w:szCs w:val="24"/>
        </w:rPr>
      </w:pPr>
      <w:r>
        <w:rPr>
          <w:rFonts w:hint="eastAsia" w:cs="宋体"/>
          <w:szCs w:val="24"/>
        </w:rPr>
        <w:t>6.2.3 任何情况下，其善后工作及恢复服务的准备工作不再计取附加工作酬金</w:t>
      </w:r>
    </w:p>
    <w:p>
      <w:pPr>
        <w:ind w:firstLine="420"/>
        <w:rPr>
          <w:rFonts w:cs="宋体"/>
          <w:szCs w:val="24"/>
        </w:rPr>
      </w:pPr>
      <w:r>
        <w:rPr>
          <w:rFonts w:hint="eastAsia" w:cs="宋体"/>
          <w:szCs w:val="24"/>
        </w:rPr>
        <w:t>6.2.5 正常工作酬金按照本合同协议书第五条的约定确定，已包含在监理酬金内，不另行增加。</w:t>
      </w:r>
    </w:p>
    <w:p>
      <w:pPr>
        <w:ind w:firstLine="420"/>
        <w:rPr>
          <w:rFonts w:cs="宋体"/>
          <w:szCs w:val="24"/>
        </w:rPr>
      </w:pPr>
      <w:r>
        <w:rPr>
          <w:rFonts w:hint="eastAsia" w:cs="宋体"/>
          <w:szCs w:val="24"/>
        </w:rPr>
        <w:t xml:space="preserve">6.2.6 </w:t>
      </w:r>
      <w:r>
        <w:t>因</w:t>
      </w:r>
      <w:r>
        <w:rPr>
          <w:spacing w:val="-3"/>
        </w:rPr>
        <w:t>工</w:t>
      </w:r>
      <w:r>
        <w:t>程</w:t>
      </w:r>
      <w:r>
        <w:rPr>
          <w:spacing w:val="-3"/>
        </w:rPr>
        <w:t>规</w:t>
      </w:r>
      <w:r>
        <w:t>模</w:t>
      </w:r>
      <w:r>
        <w:rPr>
          <w:spacing w:val="-3"/>
        </w:rPr>
        <w:t>、</w:t>
      </w:r>
      <w:r>
        <w:rPr>
          <w:rFonts w:hint="eastAsia"/>
        </w:rPr>
        <w:t>监理</w:t>
      </w:r>
      <w:r>
        <w:t>范围</w:t>
      </w:r>
      <w:r>
        <w:rPr>
          <w:spacing w:val="-3"/>
        </w:rPr>
        <w:t>及</w:t>
      </w:r>
      <w:r>
        <w:t>内</w:t>
      </w:r>
      <w:r>
        <w:rPr>
          <w:spacing w:val="-3"/>
        </w:rPr>
        <w:t>容</w:t>
      </w:r>
      <w:r>
        <w:t>的</w:t>
      </w:r>
      <w:r>
        <w:rPr>
          <w:spacing w:val="-3"/>
        </w:rPr>
        <w:t>变</w:t>
      </w:r>
      <w:r>
        <w:t>化</w:t>
      </w:r>
      <w:r>
        <w:rPr>
          <w:spacing w:val="-3"/>
        </w:rPr>
        <w:t>等</w:t>
      </w:r>
      <w:r>
        <w:t>导</w:t>
      </w:r>
      <w:r>
        <w:rPr>
          <w:spacing w:val="-3"/>
        </w:rPr>
        <w:t>致</w:t>
      </w:r>
      <w:r>
        <w:rPr>
          <w:rFonts w:hint="eastAsia"/>
        </w:rPr>
        <w:t>监理</w:t>
      </w:r>
      <w:r>
        <w:rPr>
          <w:spacing w:val="-3"/>
        </w:rPr>
        <w:t>人</w:t>
      </w:r>
      <w:r>
        <w:t>的</w:t>
      </w:r>
      <w:r>
        <w:rPr>
          <w:spacing w:val="-3"/>
        </w:rPr>
        <w:t>工</w:t>
      </w:r>
      <w:r>
        <w:t>作</w:t>
      </w:r>
      <w:r>
        <w:rPr>
          <w:spacing w:val="-3"/>
        </w:rPr>
        <w:t>量</w:t>
      </w:r>
      <w:r>
        <w:t>增</w:t>
      </w:r>
      <w:r>
        <w:rPr>
          <w:spacing w:val="-3"/>
        </w:rPr>
        <w:t>减</w:t>
      </w:r>
      <w:r>
        <w:t>时</w:t>
      </w:r>
      <w:r>
        <w:rPr>
          <w:spacing w:val="-3"/>
        </w:rPr>
        <w:t>，</w:t>
      </w:r>
      <w:r>
        <w:rPr>
          <w:rFonts w:hint="eastAsia"/>
        </w:rPr>
        <w:t>监理</w:t>
      </w:r>
      <w:r>
        <w:rPr>
          <w:spacing w:val="-3"/>
        </w:rPr>
        <w:t>酬</w:t>
      </w:r>
      <w:r>
        <w:t>金</w:t>
      </w:r>
      <w:r>
        <w:rPr>
          <w:spacing w:val="-3"/>
        </w:rPr>
        <w:t>的</w:t>
      </w:r>
      <w:r>
        <w:t>调</w:t>
      </w:r>
      <w:r>
        <w:rPr>
          <w:spacing w:val="-3"/>
        </w:rPr>
        <w:t>整</w:t>
      </w:r>
      <w:r>
        <w:t>方法：</w:t>
      </w:r>
      <w:r>
        <w:rPr>
          <w:rFonts w:hint="eastAsia"/>
          <w:u w:val="single"/>
        </w:rPr>
        <w:t>因工程规模、服务范围及内容的变化导致监理人的工作量减少时，按减少工作量的比例从协议书约定的服务酬金中扣减相同比例的酬金。</w:t>
      </w:r>
    </w:p>
    <w:p>
      <w:pPr>
        <w:ind w:firstLine="420"/>
        <w:rPr>
          <w:rFonts w:cs="宋体"/>
          <w:szCs w:val="24"/>
        </w:rPr>
      </w:pPr>
      <w:r>
        <w:rPr>
          <w:rFonts w:hint="eastAsia" w:cs="宋体"/>
          <w:szCs w:val="24"/>
        </w:rPr>
        <w:t>6.3 暂停与解除</w:t>
      </w:r>
    </w:p>
    <w:p>
      <w:pPr>
        <w:ind w:firstLine="420"/>
        <w:rPr>
          <w:rFonts w:cs="宋体"/>
          <w:szCs w:val="24"/>
        </w:rPr>
      </w:pPr>
      <w:r>
        <w:rPr>
          <w:rFonts w:hint="eastAsia" w:cs="宋体"/>
          <w:szCs w:val="24"/>
        </w:rPr>
        <w:t>6.3.1 因解除本合同或解除监理人的部分义务导致监理人遭受的损失，除依法可以免除责任的情况外，委托人按照监理人实际提供的监理服务支付酬金，且委托人不给予监理人任何补偿或赔偿。</w:t>
      </w:r>
    </w:p>
    <w:p>
      <w:pPr>
        <w:ind w:firstLine="420"/>
        <w:rPr>
          <w:rFonts w:cs="宋体"/>
          <w:szCs w:val="24"/>
        </w:rPr>
      </w:pPr>
      <w:r>
        <w:rPr>
          <w:rFonts w:hint="eastAsia" w:cs="宋体"/>
          <w:szCs w:val="24"/>
        </w:rPr>
        <w:t>6,3.2 除不可抗力外，若本工程因非监理人的原因导致工程施工全部或部分暂停的，经双方书面确认后，可顺延监理工期，并按照专用条件6.2.2的约定执行。</w:t>
      </w:r>
    </w:p>
    <w:p>
      <w:pPr>
        <w:ind w:firstLine="420"/>
        <w:rPr>
          <w:rFonts w:cs="宋体"/>
          <w:szCs w:val="24"/>
        </w:rPr>
      </w:pPr>
      <w:r>
        <w:rPr>
          <w:rFonts w:hint="eastAsia" w:cs="宋体"/>
          <w:szCs w:val="24"/>
        </w:rPr>
        <w:t>6.3.4 监理人在专用条件5.3中约定的支付期限届满之日起28天后仍未收到委托人按本合同约定应付的款项，可向委托人发出催付通知。但在委托人逾期付款期间，监理人承诺不停止监理工作。</w:t>
      </w:r>
    </w:p>
    <w:p>
      <w:pPr>
        <w:ind w:firstLine="420"/>
        <w:rPr>
          <w:rFonts w:cs="宋体"/>
          <w:szCs w:val="24"/>
        </w:rPr>
      </w:pPr>
      <w:r>
        <w:rPr>
          <w:rFonts w:hint="eastAsia" w:cs="宋体"/>
          <w:szCs w:val="24"/>
        </w:rPr>
        <w:t>6.3.</w:t>
      </w:r>
      <w:r>
        <w:rPr>
          <w:rFonts w:cs="宋体"/>
          <w:szCs w:val="24"/>
        </w:rPr>
        <w:t>5</w:t>
      </w:r>
      <w:r>
        <w:rPr>
          <w:rFonts w:hint="eastAsia" w:cs="宋体"/>
          <w:szCs w:val="24"/>
        </w:rPr>
        <w:t xml:space="preserve"> 发现以下情况之一的，委托人有权无条件解除本合同，并向监理人索赔已支付监理费用2</w:t>
      </w:r>
      <w:r>
        <w:rPr>
          <w:rFonts w:cs="宋体"/>
          <w:szCs w:val="24"/>
        </w:rPr>
        <w:t>0%</w:t>
      </w:r>
      <w:r>
        <w:rPr>
          <w:rFonts w:hint="eastAsia" w:cs="宋体"/>
          <w:szCs w:val="24"/>
        </w:rPr>
        <w:t>的违约金：</w:t>
      </w:r>
    </w:p>
    <w:p>
      <w:pPr>
        <w:ind w:firstLine="420"/>
        <w:rPr>
          <w:rFonts w:cs="宋体"/>
          <w:szCs w:val="24"/>
        </w:rPr>
      </w:pPr>
      <w:r>
        <w:rPr>
          <w:rFonts w:hint="eastAsia" w:cs="宋体"/>
          <w:szCs w:val="24"/>
        </w:rPr>
        <w:t>（</w:t>
      </w:r>
      <w:r>
        <w:rPr>
          <w:rFonts w:cs="宋体"/>
          <w:szCs w:val="24"/>
        </w:rPr>
        <w:t>1</w:t>
      </w:r>
      <w:r>
        <w:rPr>
          <w:rFonts w:hint="eastAsia" w:cs="宋体"/>
          <w:szCs w:val="24"/>
        </w:rPr>
        <w:t>）</w:t>
      </w:r>
      <w:r>
        <w:rPr>
          <w:rFonts w:cs="宋体"/>
          <w:szCs w:val="24"/>
        </w:rPr>
        <w:t>监理人及其派出的监理人员不具备相应资质条件的；</w:t>
      </w:r>
    </w:p>
    <w:p>
      <w:pPr>
        <w:ind w:firstLine="420"/>
        <w:rPr>
          <w:rFonts w:cs="宋体"/>
          <w:szCs w:val="24"/>
        </w:rPr>
      </w:pPr>
      <w:r>
        <w:rPr>
          <w:rFonts w:hint="eastAsia" w:cs="宋体"/>
          <w:szCs w:val="24"/>
        </w:rPr>
        <w:t>（</w:t>
      </w:r>
      <w:r>
        <w:rPr>
          <w:rFonts w:cs="宋体"/>
          <w:szCs w:val="24"/>
        </w:rPr>
        <w:t>2</w:t>
      </w:r>
      <w:r>
        <w:rPr>
          <w:rFonts w:hint="eastAsia" w:cs="宋体"/>
          <w:szCs w:val="24"/>
        </w:rPr>
        <w:t>）</w:t>
      </w:r>
      <w:r>
        <w:rPr>
          <w:rFonts w:cs="宋体"/>
          <w:szCs w:val="24"/>
        </w:rPr>
        <w:t>监理人与承包人恶意串通损害委托人利益的；</w:t>
      </w:r>
    </w:p>
    <w:p>
      <w:pPr>
        <w:ind w:firstLine="420"/>
        <w:rPr>
          <w:rFonts w:cs="宋体"/>
          <w:szCs w:val="24"/>
        </w:rPr>
      </w:pPr>
      <w:r>
        <w:rPr>
          <w:rFonts w:hint="eastAsia" w:cs="宋体"/>
          <w:szCs w:val="24"/>
        </w:rPr>
        <w:t>（</w:t>
      </w:r>
      <w:r>
        <w:rPr>
          <w:rFonts w:cs="宋体"/>
          <w:szCs w:val="24"/>
        </w:rPr>
        <w:t>3</w:t>
      </w:r>
      <w:r>
        <w:rPr>
          <w:rFonts w:hint="eastAsia" w:cs="宋体"/>
          <w:szCs w:val="24"/>
        </w:rPr>
        <w:t>）</w:t>
      </w:r>
      <w:r>
        <w:rPr>
          <w:rFonts w:cs="宋体"/>
          <w:szCs w:val="24"/>
        </w:rPr>
        <w:t>监理人转包或分包本合同项下的监理服务</w:t>
      </w:r>
      <w:r>
        <w:rPr>
          <w:rFonts w:hint="eastAsia" w:cs="宋体"/>
          <w:szCs w:val="24"/>
        </w:rPr>
        <w:t>；</w:t>
      </w:r>
    </w:p>
    <w:p>
      <w:pPr>
        <w:ind w:firstLine="420"/>
        <w:rPr>
          <w:rFonts w:cs="宋体"/>
          <w:szCs w:val="24"/>
        </w:rPr>
      </w:pPr>
      <w:r>
        <w:rPr>
          <w:rFonts w:hint="eastAsia" w:cs="宋体"/>
          <w:szCs w:val="24"/>
        </w:rPr>
        <w:t>（4）监理人出现不配合委托人工作的；</w:t>
      </w:r>
    </w:p>
    <w:p>
      <w:pPr>
        <w:ind w:left="399" w:leftChars="190" w:firstLine="0" w:firstLineChars="0"/>
        <w:rPr>
          <w:rFonts w:cs="宋体"/>
          <w:szCs w:val="24"/>
        </w:rPr>
      </w:pPr>
      <w:r>
        <w:rPr>
          <w:rFonts w:hint="eastAsia" w:cs="宋体"/>
          <w:szCs w:val="24"/>
        </w:rPr>
        <w:t>（5）其他由委托人和施工单位共同认定的监理人不能胜任此项工作或损害委托人利益的；</w:t>
      </w:r>
    </w:p>
    <w:p>
      <w:pPr>
        <w:ind w:left="399" w:leftChars="190" w:firstLine="0" w:firstLineChars="0"/>
        <w:rPr>
          <w:rFonts w:cs="宋体"/>
          <w:szCs w:val="24"/>
        </w:rPr>
      </w:pPr>
      <w:r>
        <w:rPr>
          <w:rFonts w:hint="eastAsia" w:cs="宋体"/>
          <w:szCs w:val="24"/>
        </w:rPr>
        <w:t>（6）监理人无正当理由拒绝或拖延在相关文件上签字，超过3个工作日的。</w:t>
      </w:r>
    </w:p>
    <w:p>
      <w:pPr>
        <w:ind w:left="399" w:leftChars="190" w:firstLine="0" w:firstLineChars="0"/>
        <w:rPr>
          <w:rFonts w:cs="宋体"/>
          <w:szCs w:val="24"/>
        </w:rPr>
      </w:pPr>
      <w:r>
        <w:rPr>
          <w:rFonts w:hint="eastAsia" w:cs="宋体"/>
          <w:szCs w:val="24"/>
        </w:rPr>
        <w:t>6.3.6 本合同解除后，除非合同另有约定，委托人按照监理人完成的实际工作量向监理人支付酬金。</w:t>
      </w:r>
    </w:p>
    <w:p>
      <w:pPr>
        <w:ind w:firstLine="422"/>
        <w:rPr>
          <w:rFonts w:cs="宋体"/>
          <w:b/>
          <w:szCs w:val="24"/>
        </w:rPr>
      </w:pPr>
      <w:r>
        <w:rPr>
          <w:rFonts w:hint="eastAsia" w:cs="宋体"/>
          <w:b/>
          <w:szCs w:val="24"/>
        </w:rPr>
        <w:t>7. 争议解决</w:t>
      </w:r>
    </w:p>
    <w:p>
      <w:pPr>
        <w:ind w:firstLine="420"/>
        <w:rPr>
          <w:rFonts w:cs="宋体"/>
          <w:szCs w:val="24"/>
        </w:rPr>
      </w:pPr>
      <w:r>
        <w:rPr>
          <w:rFonts w:hint="eastAsia" w:cs="宋体"/>
          <w:szCs w:val="24"/>
        </w:rPr>
        <w:t>7.1 调解</w:t>
      </w:r>
    </w:p>
    <w:p>
      <w:pPr>
        <w:ind w:firstLine="420"/>
        <w:rPr>
          <w:rFonts w:cs="宋体"/>
          <w:szCs w:val="24"/>
        </w:rPr>
      </w:pPr>
      <w:r>
        <w:rPr>
          <w:rFonts w:hint="eastAsia" w:cs="宋体"/>
          <w:szCs w:val="24"/>
        </w:rPr>
        <w:t>本合同争议进行调解时，可提交</w:t>
      </w:r>
      <w:r>
        <w:rPr>
          <w:rFonts w:hint="eastAsia" w:cs="宋体"/>
          <w:szCs w:val="24"/>
          <w:u w:val="single"/>
        </w:rPr>
        <w:t>工程所在地建设主管部门</w:t>
      </w:r>
      <w:r>
        <w:rPr>
          <w:rFonts w:hint="eastAsia" w:cs="宋体"/>
          <w:szCs w:val="24"/>
        </w:rPr>
        <w:t>进行调解。</w:t>
      </w:r>
    </w:p>
    <w:p>
      <w:pPr>
        <w:ind w:firstLine="420"/>
        <w:rPr>
          <w:rFonts w:cs="宋体"/>
          <w:szCs w:val="24"/>
        </w:rPr>
      </w:pPr>
      <w:r>
        <w:rPr>
          <w:rFonts w:hint="eastAsia" w:cs="宋体"/>
          <w:szCs w:val="24"/>
        </w:rPr>
        <w:t>7.2 仲裁或诉讼</w:t>
      </w:r>
    </w:p>
    <w:p>
      <w:pPr>
        <w:ind w:firstLine="420"/>
        <w:rPr>
          <w:rFonts w:cs="宋体"/>
          <w:szCs w:val="24"/>
        </w:rPr>
      </w:pPr>
      <w:r>
        <w:rPr>
          <w:rFonts w:hint="eastAsia" w:cs="宋体"/>
          <w:szCs w:val="24"/>
        </w:rPr>
        <w:t>合同争议的最终解决方式为下列第（2）种方式：</w:t>
      </w:r>
    </w:p>
    <w:p>
      <w:pPr>
        <w:ind w:firstLine="420"/>
        <w:rPr>
          <w:rFonts w:cs="宋体"/>
          <w:szCs w:val="24"/>
        </w:rPr>
      </w:pPr>
      <w:r>
        <w:rPr>
          <w:rFonts w:hint="eastAsia" w:cs="宋体"/>
          <w:szCs w:val="24"/>
        </w:rPr>
        <w:t>（1）提请</w:t>
      </w:r>
      <w:r>
        <w:rPr>
          <w:rFonts w:hint="eastAsia" w:cs="宋体"/>
          <w:szCs w:val="24"/>
          <w:u w:val="single"/>
        </w:rPr>
        <w:t>／</w:t>
      </w:r>
      <w:r>
        <w:rPr>
          <w:rFonts w:hint="eastAsia" w:cs="宋体"/>
          <w:szCs w:val="24"/>
        </w:rPr>
        <w:t>仲裁委员会进行仲裁。</w:t>
      </w:r>
    </w:p>
    <w:p>
      <w:pPr>
        <w:ind w:firstLine="420"/>
        <w:rPr>
          <w:rFonts w:cs="宋体"/>
          <w:szCs w:val="24"/>
        </w:rPr>
      </w:pPr>
      <w:r>
        <w:rPr>
          <w:rFonts w:hint="eastAsia" w:cs="宋体"/>
          <w:szCs w:val="24"/>
        </w:rPr>
        <w:t>（2）向</w:t>
      </w:r>
      <w:r>
        <w:rPr>
          <w:rFonts w:hint="eastAsia" w:cs="宋体"/>
          <w:szCs w:val="24"/>
          <w:u w:val="single"/>
        </w:rPr>
        <w:t xml:space="preserve"> 工程所在地 </w:t>
      </w:r>
      <w:r>
        <w:rPr>
          <w:rFonts w:hint="eastAsia" w:cs="宋体"/>
          <w:szCs w:val="24"/>
        </w:rPr>
        <w:t>的人民法院提起诉讼。</w:t>
      </w:r>
    </w:p>
    <w:p>
      <w:pPr>
        <w:ind w:firstLine="422"/>
        <w:rPr>
          <w:rFonts w:cs="宋体"/>
          <w:b/>
          <w:szCs w:val="24"/>
        </w:rPr>
      </w:pPr>
      <w:r>
        <w:rPr>
          <w:rFonts w:hint="eastAsia" w:cs="宋体"/>
          <w:b/>
          <w:szCs w:val="24"/>
        </w:rPr>
        <w:t>8. 其他</w:t>
      </w:r>
    </w:p>
    <w:p>
      <w:pPr>
        <w:ind w:firstLine="420"/>
        <w:rPr>
          <w:rFonts w:cs="宋体"/>
          <w:bCs/>
          <w:szCs w:val="24"/>
        </w:rPr>
      </w:pPr>
      <w:r>
        <w:rPr>
          <w:rFonts w:hint="eastAsia" w:cs="宋体"/>
          <w:bCs/>
          <w:szCs w:val="24"/>
        </w:rPr>
        <w:t>8.2 检测费用</w:t>
      </w:r>
    </w:p>
    <w:p>
      <w:pPr>
        <w:ind w:firstLine="420"/>
        <w:rPr>
          <w:rFonts w:cs="宋体"/>
          <w:bCs/>
          <w:szCs w:val="24"/>
        </w:rPr>
      </w:pPr>
      <w:r>
        <w:rPr>
          <w:rFonts w:hint="eastAsia" w:cs="宋体"/>
          <w:szCs w:val="24"/>
        </w:rPr>
        <w:t>委托人应在检测工作完成</w:t>
      </w:r>
      <w:r>
        <w:rPr>
          <w:rFonts w:hint="eastAsia" w:cs="宋体"/>
          <w:szCs w:val="24"/>
          <w:u w:val="single"/>
        </w:rPr>
        <w:t xml:space="preserve"> </w:t>
      </w:r>
      <w:r>
        <w:rPr>
          <w:rFonts w:cs="宋体"/>
          <w:szCs w:val="24"/>
          <w:u w:val="single"/>
        </w:rPr>
        <w:t xml:space="preserve"> </w:t>
      </w:r>
      <w:r>
        <w:rPr>
          <w:rFonts w:hint="eastAsia" w:cs="宋体"/>
          <w:szCs w:val="24"/>
          <w:u w:val="single"/>
        </w:rPr>
        <w:t>/</w:t>
      </w:r>
      <w:r>
        <w:rPr>
          <w:rFonts w:cs="宋体"/>
          <w:szCs w:val="24"/>
          <w:u w:val="single"/>
        </w:rPr>
        <w:t xml:space="preserve"> </w:t>
      </w:r>
      <w:r>
        <w:rPr>
          <w:rFonts w:hint="eastAsia" w:cs="宋体"/>
          <w:szCs w:val="24"/>
        </w:rPr>
        <w:t>天内支付检测费用</w:t>
      </w:r>
      <w:r>
        <w:rPr>
          <w:rFonts w:hint="eastAsia" w:cs="宋体"/>
          <w:bCs/>
          <w:szCs w:val="24"/>
        </w:rPr>
        <w:t>。</w:t>
      </w:r>
    </w:p>
    <w:p>
      <w:pPr>
        <w:ind w:firstLine="420"/>
        <w:rPr>
          <w:rFonts w:cs="宋体"/>
          <w:bCs/>
          <w:szCs w:val="24"/>
        </w:rPr>
      </w:pPr>
      <w:r>
        <w:rPr>
          <w:rFonts w:hint="eastAsia" w:cs="宋体"/>
          <w:bCs/>
          <w:szCs w:val="24"/>
        </w:rPr>
        <w:t>8.3 咨询费用</w:t>
      </w:r>
    </w:p>
    <w:p>
      <w:pPr>
        <w:ind w:firstLine="420"/>
        <w:rPr>
          <w:rFonts w:cs="宋体"/>
          <w:bCs/>
          <w:szCs w:val="24"/>
        </w:rPr>
      </w:pPr>
      <w:r>
        <w:rPr>
          <w:rFonts w:hint="eastAsia" w:cs="宋体"/>
          <w:szCs w:val="24"/>
        </w:rPr>
        <w:t>委托人应在咨询工作完成</w:t>
      </w:r>
      <w:r>
        <w:rPr>
          <w:rFonts w:hint="eastAsia" w:cs="宋体"/>
          <w:szCs w:val="24"/>
          <w:u w:val="single"/>
        </w:rPr>
        <w:t xml:space="preserve"> </w:t>
      </w:r>
      <w:r>
        <w:rPr>
          <w:rFonts w:cs="宋体"/>
          <w:szCs w:val="24"/>
          <w:u w:val="single"/>
        </w:rPr>
        <w:t xml:space="preserve"> </w:t>
      </w:r>
      <w:r>
        <w:rPr>
          <w:rFonts w:hint="eastAsia" w:cs="宋体"/>
          <w:szCs w:val="24"/>
          <w:u w:val="single"/>
        </w:rPr>
        <w:t>/</w:t>
      </w:r>
      <w:r>
        <w:rPr>
          <w:rFonts w:cs="宋体"/>
          <w:szCs w:val="24"/>
          <w:u w:val="single"/>
        </w:rPr>
        <w:t xml:space="preserve"> </w:t>
      </w:r>
      <w:r>
        <w:rPr>
          <w:rFonts w:hint="eastAsia" w:cs="宋体"/>
          <w:szCs w:val="24"/>
        </w:rPr>
        <w:t>天内支付检测费用</w:t>
      </w:r>
      <w:r>
        <w:rPr>
          <w:rFonts w:hint="eastAsia" w:cs="宋体"/>
          <w:bCs/>
          <w:szCs w:val="24"/>
        </w:rPr>
        <w:t>。</w:t>
      </w:r>
    </w:p>
    <w:p>
      <w:pPr>
        <w:ind w:firstLine="420"/>
        <w:rPr>
          <w:rFonts w:cs="宋体"/>
          <w:bCs/>
          <w:szCs w:val="24"/>
        </w:rPr>
      </w:pPr>
      <w:r>
        <w:rPr>
          <w:rFonts w:hint="eastAsia" w:cs="宋体"/>
          <w:bCs/>
          <w:szCs w:val="24"/>
        </w:rPr>
        <w:t>8.5 保密</w:t>
      </w:r>
    </w:p>
    <w:p>
      <w:pPr>
        <w:ind w:firstLine="420"/>
        <w:rPr>
          <w:rFonts w:cs="宋体"/>
          <w:szCs w:val="24"/>
          <w:u w:val="single"/>
        </w:rPr>
      </w:pPr>
      <w:r>
        <w:rPr>
          <w:rFonts w:hint="eastAsia" w:cs="宋体"/>
          <w:szCs w:val="24"/>
        </w:rPr>
        <w:t>委托人申明的保密事项和期限：</w:t>
      </w:r>
      <w:r>
        <w:rPr>
          <w:rFonts w:hint="eastAsia" w:cs="宋体"/>
          <w:szCs w:val="24"/>
          <w:u w:val="single"/>
        </w:rPr>
        <w:t xml:space="preserve">   /           </w:t>
      </w:r>
      <w:r>
        <w:rPr>
          <w:rFonts w:hint="eastAsia" w:cs="宋体"/>
          <w:szCs w:val="24"/>
        </w:rPr>
        <w:t>。</w:t>
      </w:r>
    </w:p>
    <w:p>
      <w:pPr>
        <w:ind w:firstLine="420"/>
        <w:rPr>
          <w:rFonts w:cs="宋体"/>
          <w:szCs w:val="24"/>
          <w:u w:val="single"/>
        </w:rPr>
      </w:pPr>
      <w:r>
        <w:rPr>
          <w:rFonts w:hint="eastAsia" w:cs="宋体"/>
          <w:szCs w:val="24"/>
        </w:rPr>
        <w:t>监理人申明的保密事项和期限：</w:t>
      </w:r>
      <w:r>
        <w:rPr>
          <w:rFonts w:hint="eastAsia" w:cs="宋体"/>
          <w:szCs w:val="24"/>
          <w:u w:val="single"/>
        </w:rPr>
        <w:t xml:space="preserve">   /            </w:t>
      </w:r>
      <w:r>
        <w:rPr>
          <w:rFonts w:hint="eastAsia" w:cs="宋体"/>
          <w:szCs w:val="24"/>
        </w:rPr>
        <w:t>。</w:t>
      </w:r>
    </w:p>
    <w:p>
      <w:pPr>
        <w:ind w:firstLine="420"/>
        <w:rPr>
          <w:rFonts w:cs="宋体"/>
          <w:szCs w:val="24"/>
        </w:rPr>
      </w:pPr>
      <w:r>
        <w:rPr>
          <w:rFonts w:hint="eastAsia" w:cs="宋体"/>
          <w:szCs w:val="24"/>
        </w:rPr>
        <w:t>第三方申明的保密事项和期限：</w:t>
      </w:r>
      <w:r>
        <w:rPr>
          <w:rFonts w:hint="eastAsia" w:cs="宋体"/>
          <w:szCs w:val="24"/>
          <w:u w:val="single"/>
        </w:rPr>
        <w:t xml:space="preserve">   /            </w:t>
      </w:r>
      <w:r>
        <w:rPr>
          <w:rFonts w:hint="eastAsia" w:cs="宋体"/>
          <w:szCs w:val="24"/>
        </w:rPr>
        <w:t>。</w:t>
      </w:r>
    </w:p>
    <w:p>
      <w:pPr>
        <w:ind w:firstLine="420"/>
        <w:rPr>
          <w:rFonts w:cs="宋体"/>
          <w:szCs w:val="24"/>
        </w:rPr>
      </w:pPr>
      <w:r>
        <w:rPr>
          <w:rFonts w:hint="eastAsia" w:cs="宋体"/>
          <w:szCs w:val="24"/>
        </w:rPr>
        <w:t>委托人申明的保密事项和期限： 监理人有技术保密的责任和义务，对于委托人提供的相关图纸、技术资料、检测成果及工程涉及的专利技术，未经委托人书面授权，不得泄露或转让给第三方，如发生此类问题，监理人承担违约责任及相应的经济赔偿及法律责任，不论本合同是否变更、解除或终止，本条款长期有效。</w:t>
      </w:r>
    </w:p>
    <w:p>
      <w:pPr>
        <w:ind w:firstLine="420"/>
        <w:rPr>
          <w:rFonts w:cs="宋体"/>
          <w:szCs w:val="24"/>
        </w:rPr>
      </w:pPr>
      <w:r>
        <w:rPr>
          <w:rFonts w:hint="eastAsia" w:cs="宋体"/>
          <w:szCs w:val="24"/>
        </w:rPr>
        <w:t>8.7著作权</w:t>
      </w:r>
    </w:p>
    <w:p>
      <w:pPr>
        <w:ind w:firstLine="420"/>
        <w:rPr>
          <w:rFonts w:cs="宋体"/>
          <w:szCs w:val="24"/>
        </w:rPr>
      </w:pPr>
      <w:r>
        <w:rPr>
          <w:rFonts w:hint="eastAsia" w:cs="宋体"/>
          <w:szCs w:val="24"/>
        </w:rPr>
        <w:t>监理人在本合同履行期间及本合同终止后两年内出版涉及本工程的有关监理与相关服务的资料的限制条件：</w:t>
      </w:r>
      <w:r>
        <w:rPr>
          <w:rFonts w:hint="eastAsia" w:cs="宋体"/>
          <w:szCs w:val="24"/>
          <w:u w:val="single"/>
        </w:rPr>
        <w:t>应事先征得委托人的书面同意后方可进行。</w:t>
      </w:r>
    </w:p>
    <w:p>
      <w:pPr>
        <w:ind w:firstLine="422"/>
        <w:rPr>
          <w:rFonts w:cs="宋体"/>
          <w:szCs w:val="24"/>
          <w:u w:val="single"/>
        </w:rPr>
      </w:pPr>
      <w:r>
        <w:rPr>
          <w:rFonts w:hint="eastAsia" w:cs="宋体"/>
          <w:b/>
          <w:szCs w:val="24"/>
        </w:rPr>
        <w:t>9. 补充条款</w:t>
      </w:r>
    </w:p>
    <w:p>
      <w:pPr>
        <w:ind w:firstLine="420"/>
        <w:rPr>
          <w:rFonts w:cs="宋体"/>
          <w:szCs w:val="24"/>
        </w:rPr>
      </w:pPr>
      <w:r>
        <w:rPr>
          <w:rFonts w:hint="eastAsia" w:cs="宋体"/>
          <w:szCs w:val="24"/>
        </w:rPr>
        <w:t>9.1履约保证金</w:t>
      </w:r>
    </w:p>
    <w:p>
      <w:pPr>
        <w:ind w:firstLine="420"/>
        <w:rPr>
          <w:rFonts w:cs="宋体"/>
          <w:szCs w:val="24"/>
        </w:rPr>
      </w:pPr>
      <w:r>
        <w:rPr>
          <w:rFonts w:hint="eastAsia" w:cs="宋体"/>
          <w:szCs w:val="24"/>
        </w:rPr>
        <w:t>9.1.1监理人是否提供履约保证金：</w:t>
      </w:r>
      <w:r>
        <w:rPr>
          <w:rFonts w:hint="eastAsia" w:cs="宋体"/>
          <w:szCs w:val="24"/>
          <w:u w:val="single"/>
        </w:rPr>
        <w:t xml:space="preserve">   是   </w:t>
      </w:r>
      <w:r>
        <w:rPr>
          <w:rFonts w:hint="eastAsia" w:cs="宋体"/>
          <w:szCs w:val="24"/>
        </w:rPr>
        <w:t>。</w:t>
      </w:r>
    </w:p>
    <w:p>
      <w:pPr>
        <w:ind w:firstLine="420"/>
        <w:rPr>
          <w:rFonts w:cs="宋体"/>
          <w:szCs w:val="24"/>
          <w:u w:val="single"/>
        </w:rPr>
      </w:pPr>
      <w:r>
        <w:rPr>
          <w:rFonts w:hint="eastAsia" w:cs="宋体"/>
          <w:szCs w:val="24"/>
        </w:rPr>
        <w:t>提供履约保证金的形式、金额及期限：</w:t>
      </w:r>
      <w:r>
        <w:rPr>
          <w:rFonts w:hint="eastAsia" w:cs="宋体"/>
          <w:szCs w:val="24"/>
          <w:u w:val="single"/>
        </w:rPr>
        <w:t xml:space="preserve"> 银行保函或转账，合同价款的</w:t>
      </w:r>
      <w:r>
        <w:rPr>
          <w:rFonts w:cs="宋体"/>
          <w:szCs w:val="24"/>
          <w:u w:val="single"/>
        </w:rPr>
        <w:t>10%</w:t>
      </w:r>
      <w:r>
        <w:rPr>
          <w:rFonts w:hint="eastAsia" w:cs="宋体"/>
          <w:szCs w:val="24"/>
          <w:u w:val="single"/>
        </w:rPr>
        <w:t>，缺陷责任期满退还 。</w:t>
      </w:r>
    </w:p>
    <w:p>
      <w:pPr>
        <w:ind w:firstLine="420"/>
        <w:rPr>
          <w:rFonts w:cs="宋体"/>
          <w:szCs w:val="24"/>
        </w:rPr>
      </w:pPr>
      <w:r>
        <w:rPr>
          <w:rFonts w:hint="eastAsia" w:cs="宋体"/>
          <w:szCs w:val="24"/>
        </w:rPr>
        <w:t>9.1.2 履约保证金的退还：</w:t>
      </w:r>
      <w:r>
        <w:rPr>
          <w:rFonts w:hint="eastAsia" w:cs="宋体"/>
          <w:szCs w:val="24"/>
          <w:u w:val="single"/>
        </w:rPr>
        <w:t>缺陷责任期满（缺陷责任期为2</w:t>
      </w:r>
      <w:r>
        <w:rPr>
          <w:rFonts w:cs="宋体"/>
          <w:szCs w:val="24"/>
          <w:u w:val="single"/>
        </w:rPr>
        <w:t>4</w:t>
      </w:r>
      <w:r>
        <w:rPr>
          <w:rFonts w:hint="eastAsia" w:cs="宋体"/>
          <w:szCs w:val="24"/>
          <w:u w:val="single"/>
        </w:rPr>
        <w:t>个月）</w:t>
      </w:r>
      <w:r>
        <w:rPr>
          <w:rFonts w:hint="eastAsia" w:cs="宋体"/>
          <w:szCs w:val="24"/>
        </w:rPr>
        <w:t>，如监理人无任何违约问题，30个工作日内一次性无息全额退还。监理人应在返还前书面提交返还申请并按委托人规定的付款程序办理。</w:t>
      </w:r>
    </w:p>
    <w:p>
      <w:pPr>
        <w:ind w:firstLine="420"/>
        <w:rPr>
          <w:rFonts w:cs="宋体"/>
          <w:szCs w:val="24"/>
        </w:rPr>
      </w:pPr>
      <w:r>
        <w:rPr>
          <w:rFonts w:hint="eastAsia" w:cs="宋体"/>
          <w:szCs w:val="24"/>
        </w:rPr>
        <w:t>9.2保障及保险</w:t>
      </w:r>
    </w:p>
    <w:p>
      <w:pPr>
        <w:ind w:firstLine="420"/>
        <w:rPr>
          <w:rFonts w:cs="宋体"/>
          <w:szCs w:val="24"/>
        </w:rPr>
      </w:pPr>
      <w:r>
        <w:rPr>
          <w:rFonts w:hint="eastAsia" w:cs="宋体"/>
          <w:szCs w:val="24"/>
        </w:rPr>
        <w:t>9.2.1监理人应保障委托人及其雇员免遭因监理人实施工程监理或工作不当而导致的一切索赔、损害、损失和开支等。</w:t>
      </w:r>
    </w:p>
    <w:p>
      <w:pPr>
        <w:ind w:firstLine="420"/>
        <w:rPr>
          <w:rFonts w:cs="宋体"/>
          <w:szCs w:val="24"/>
        </w:rPr>
      </w:pPr>
      <w:r>
        <w:rPr>
          <w:rFonts w:hint="eastAsia" w:cs="宋体"/>
          <w:szCs w:val="24"/>
        </w:rPr>
        <w:t>9.2.2监理人如因上述保障不力造成委托人及其雇员损失时，委托人有权向监理人索取相应的赔偿金额。</w:t>
      </w:r>
    </w:p>
    <w:p>
      <w:pPr>
        <w:ind w:firstLine="420"/>
        <w:rPr>
          <w:rFonts w:cs="宋体"/>
          <w:szCs w:val="24"/>
        </w:rPr>
      </w:pPr>
      <w:r>
        <w:rPr>
          <w:rFonts w:hint="eastAsia" w:cs="宋体"/>
          <w:szCs w:val="24"/>
        </w:rPr>
        <w:t>9.2.3监理人应在监理服务期内，自费办理派驻到工程所在地的人员人身、自备财产的保险及法律法规要求必须办理的其他保险，保险期间应不低于监理实际服务期限。如果监理人不办理上述保险，有关风险及后果自负其责。</w:t>
      </w:r>
    </w:p>
    <w:p>
      <w:pPr>
        <w:ind w:firstLine="420"/>
        <w:rPr>
          <w:rFonts w:cs="宋体"/>
          <w:szCs w:val="24"/>
        </w:rPr>
      </w:pPr>
      <w:r>
        <w:rPr>
          <w:rFonts w:hint="eastAsia" w:cs="宋体"/>
          <w:szCs w:val="24"/>
        </w:rPr>
        <w:t>9.2.4监理人应根据监理服务工作的需要，结合监理服务工作的范围与期间，自费对监理人的责任、第三人的责任以及委托人为监理服务提供的财产等进行保险。如果监理人不办理上述保险，有关风险及后果自负其责。</w:t>
      </w:r>
    </w:p>
    <w:p>
      <w:pPr>
        <w:ind w:firstLine="420"/>
        <w:rPr>
          <w:rFonts w:cs="宋体"/>
          <w:szCs w:val="24"/>
        </w:rPr>
      </w:pPr>
      <w:r>
        <w:rPr>
          <w:rFonts w:hint="eastAsia" w:cs="宋体"/>
          <w:szCs w:val="24"/>
        </w:rPr>
        <w:t>9.3 例外情况</w:t>
      </w:r>
    </w:p>
    <w:p>
      <w:pPr>
        <w:ind w:firstLine="420"/>
        <w:rPr>
          <w:rFonts w:cs="宋体"/>
          <w:szCs w:val="24"/>
        </w:rPr>
      </w:pPr>
      <w:r>
        <w:rPr>
          <w:rFonts w:hint="eastAsia" w:cs="宋体"/>
          <w:szCs w:val="24"/>
        </w:rPr>
        <w:t>监理人因监理服务的需要，聘用专业技术人员和辅助工作人员不属于分包行为。</w:t>
      </w:r>
    </w:p>
    <w:p>
      <w:pPr>
        <w:ind w:firstLine="420"/>
        <w:rPr>
          <w:rFonts w:cs="宋体"/>
          <w:szCs w:val="24"/>
        </w:rPr>
      </w:pPr>
      <w:r>
        <w:rPr>
          <w:rFonts w:hint="eastAsia" w:cs="宋体"/>
          <w:szCs w:val="24"/>
        </w:rPr>
        <w:t>9.4会议管理</w:t>
      </w:r>
    </w:p>
    <w:p>
      <w:pPr>
        <w:ind w:firstLine="420"/>
        <w:rPr>
          <w:rFonts w:cs="宋体"/>
          <w:szCs w:val="24"/>
        </w:rPr>
      </w:pPr>
      <w:r>
        <w:rPr>
          <w:rFonts w:hint="eastAsia" w:cs="宋体"/>
          <w:szCs w:val="24"/>
        </w:rPr>
        <w:t>9.4.1监理人将主持召开由委托人、承包人、设计人、其他承包人和主要分包人出席的周例会。</w:t>
      </w:r>
    </w:p>
    <w:p>
      <w:pPr>
        <w:ind w:firstLine="420"/>
        <w:rPr>
          <w:rFonts w:cs="宋体"/>
          <w:szCs w:val="24"/>
        </w:rPr>
      </w:pPr>
      <w:r>
        <w:rPr>
          <w:rFonts w:hint="eastAsia" w:cs="宋体"/>
          <w:szCs w:val="24"/>
        </w:rPr>
        <w:t>9.4.2由监理人召集并主持的周例会会议纪要由监理人整理并在相应会议后24小时内分发给出席会议的各方；会议纪要将如实反映会议的内容，包括任何决定、存在的问题、责任方、有关工作的时间目标等。</w:t>
      </w:r>
    </w:p>
    <w:p>
      <w:pPr>
        <w:ind w:firstLine="420"/>
        <w:rPr>
          <w:rFonts w:cs="宋体"/>
          <w:szCs w:val="24"/>
        </w:rPr>
      </w:pPr>
      <w:r>
        <w:rPr>
          <w:rFonts w:hint="eastAsia" w:cs="宋体"/>
          <w:szCs w:val="24"/>
        </w:rPr>
        <w:t>9.5对影像视频资料的管理</w:t>
      </w:r>
    </w:p>
    <w:p>
      <w:pPr>
        <w:ind w:firstLine="420"/>
        <w:rPr>
          <w:rFonts w:cs="宋体"/>
          <w:szCs w:val="24"/>
        </w:rPr>
      </w:pPr>
      <w:r>
        <w:rPr>
          <w:rFonts w:hint="eastAsia" w:cs="宋体"/>
          <w:szCs w:val="24"/>
        </w:rPr>
        <w:t>9.5.1监理项目部必须配备影像记录仪，监理人在进入施工现场时必须佩戴记录仪，对现场情况进行实时记录，项目公司(项目部)项目经理可随时查阅记录仪的记录信息。此影像记录资料保存至缺陷责任期结束。</w:t>
      </w:r>
    </w:p>
    <w:p>
      <w:pPr>
        <w:ind w:firstLine="420"/>
        <w:rPr>
          <w:rFonts w:cs="宋体"/>
          <w:szCs w:val="24"/>
        </w:rPr>
      </w:pPr>
      <w:r>
        <w:rPr>
          <w:rFonts w:hint="eastAsia" w:cs="宋体"/>
          <w:szCs w:val="24"/>
        </w:rPr>
        <w:t>9.5.2监理人必须对材料的检验、工程的隐蔽验收、竣工验收等各个节点的验收工作进行全程影像记录，此影像记录资料保存期为永久。</w:t>
      </w:r>
    </w:p>
    <w:p>
      <w:pPr>
        <w:ind w:firstLine="420"/>
        <w:rPr>
          <w:rFonts w:cs="宋体"/>
          <w:szCs w:val="24"/>
        </w:rPr>
      </w:pPr>
      <w:r>
        <w:rPr>
          <w:rFonts w:hint="eastAsia" w:cs="宋体"/>
          <w:szCs w:val="24"/>
        </w:rPr>
        <w:t>9.5.3监理人必须对现场的变更及签证进行全程影像记录，此影像记录资料保存期为永久。</w:t>
      </w:r>
    </w:p>
    <w:p>
      <w:pPr>
        <w:ind w:firstLine="420"/>
        <w:rPr>
          <w:rFonts w:cs="宋体"/>
          <w:szCs w:val="24"/>
        </w:rPr>
      </w:pPr>
      <w:r>
        <w:rPr>
          <w:rFonts w:hint="eastAsia" w:cs="宋体"/>
          <w:szCs w:val="24"/>
        </w:rPr>
        <w:t>9.5.4监理人必须对施工企业申报的付款资料及监理工程师对其审核资料进行存档，此电子资料保存期为永久。</w:t>
      </w:r>
    </w:p>
    <w:p>
      <w:pPr>
        <w:ind w:firstLine="420"/>
        <w:rPr>
          <w:rFonts w:cs="宋体"/>
          <w:szCs w:val="24"/>
        </w:rPr>
      </w:pPr>
      <w:r>
        <w:rPr>
          <w:rFonts w:hint="eastAsia" w:cs="宋体"/>
          <w:szCs w:val="24"/>
        </w:rPr>
        <w:t>9.5.5本项目建设过程中若委托人需要以上影像资料、电子资料，监理人须及时向委托人进行提供，并保证资料的完整性、真实性。</w:t>
      </w:r>
    </w:p>
    <w:p>
      <w:pPr>
        <w:ind w:firstLine="420"/>
        <w:rPr>
          <w:rFonts w:cs="宋体"/>
          <w:szCs w:val="24"/>
        </w:rPr>
      </w:pPr>
      <w:r>
        <w:rPr>
          <w:rFonts w:hint="eastAsia" w:cs="宋体"/>
          <w:szCs w:val="24"/>
        </w:rPr>
        <w:t>9.5.6本项目竣工验收合格后，监理人须将以上影像资料、电子资料完整移交委托人。</w:t>
      </w:r>
    </w:p>
    <w:p>
      <w:pPr>
        <w:ind w:firstLine="420"/>
        <w:rPr>
          <w:rFonts w:cs="宋体"/>
          <w:szCs w:val="24"/>
        </w:rPr>
      </w:pPr>
      <w:r>
        <w:rPr>
          <w:rFonts w:hint="eastAsia" w:cs="宋体"/>
          <w:szCs w:val="24"/>
        </w:rPr>
        <w:t>9.</w:t>
      </w:r>
      <w:r>
        <w:rPr>
          <w:rFonts w:cs="宋体"/>
          <w:szCs w:val="24"/>
        </w:rPr>
        <w:t>6</w:t>
      </w:r>
      <w:r>
        <w:rPr>
          <w:rFonts w:hint="eastAsia" w:cs="宋体"/>
          <w:szCs w:val="24"/>
        </w:rPr>
        <w:t>本项目为全过程审计项目，监理人必须积极配合全过程审计工作，否则委托人将有权给予相应处罚。</w:t>
      </w:r>
    </w:p>
    <w:p>
      <w:pPr>
        <w:ind w:firstLine="420"/>
        <w:rPr>
          <w:rFonts w:cs="宋体"/>
          <w:szCs w:val="24"/>
          <w:highlight w:val="none"/>
        </w:rPr>
      </w:pPr>
      <w:r>
        <w:rPr>
          <w:rFonts w:hint="eastAsia" w:cs="宋体"/>
          <w:szCs w:val="24"/>
          <w:highlight w:val="none"/>
        </w:rPr>
        <w:t>9</w:t>
      </w:r>
      <w:r>
        <w:rPr>
          <w:rFonts w:cs="宋体"/>
          <w:szCs w:val="24"/>
          <w:highlight w:val="none"/>
        </w:rPr>
        <w:t>.7</w:t>
      </w:r>
      <w:r>
        <w:rPr>
          <w:rFonts w:hint="eastAsia" w:cs="宋体"/>
          <w:szCs w:val="24"/>
          <w:highlight w:val="none"/>
        </w:rPr>
        <w:t>本项目建设过程中，若发生概算范围外需进行监理服务的项目或内容</w:t>
      </w:r>
      <w:r>
        <w:rPr>
          <w:rFonts w:cs="宋体"/>
          <w:szCs w:val="24"/>
          <w:highlight w:val="none"/>
        </w:rPr>
        <w:t>，若项目总金额不大于200万元，委托人若书面委托</w:t>
      </w:r>
      <w:r>
        <w:rPr>
          <w:rFonts w:hint="eastAsia" w:cs="宋体"/>
          <w:szCs w:val="24"/>
          <w:highlight w:val="none"/>
        </w:rPr>
        <w:t>监理</w:t>
      </w:r>
      <w:r>
        <w:rPr>
          <w:rFonts w:cs="宋体"/>
          <w:szCs w:val="24"/>
          <w:highlight w:val="none"/>
        </w:rPr>
        <w:t>人提供</w:t>
      </w:r>
      <w:r>
        <w:rPr>
          <w:rFonts w:hint="eastAsia" w:cs="宋体"/>
          <w:szCs w:val="24"/>
          <w:highlight w:val="none"/>
        </w:rPr>
        <w:t>监理</w:t>
      </w:r>
      <w:r>
        <w:rPr>
          <w:rFonts w:cs="宋体"/>
          <w:szCs w:val="24"/>
          <w:highlight w:val="none"/>
        </w:rPr>
        <w:t>服务时，</w:t>
      </w:r>
      <w:r>
        <w:rPr>
          <w:rFonts w:hint="eastAsia" w:cs="宋体"/>
          <w:szCs w:val="24"/>
          <w:highlight w:val="none"/>
        </w:rPr>
        <w:t>监理</w:t>
      </w:r>
      <w:r>
        <w:rPr>
          <w:rFonts w:cs="宋体"/>
          <w:szCs w:val="24"/>
          <w:highlight w:val="none"/>
        </w:rPr>
        <w:t>人</w:t>
      </w:r>
      <w:r>
        <w:rPr>
          <w:rFonts w:hint="eastAsia" w:cs="宋体"/>
          <w:szCs w:val="24"/>
          <w:highlight w:val="none"/>
        </w:rPr>
        <w:t>须</w:t>
      </w:r>
      <w:r>
        <w:rPr>
          <w:rFonts w:cs="宋体"/>
          <w:szCs w:val="24"/>
          <w:highlight w:val="none"/>
        </w:rPr>
        <w:t>免费为委托人提供</w:t>
      </w:r>
      <w:r>
        <w:rPr>
          <w:rFonts w:hint="eastAsia" w:cs="宋体"/>
          <w:szCs w:val="21"/>
          <w:highlight w:val="none"/>
        </w:rPr>
        <w:t>三项投资额</w:t>
      </w:r>
      <w:r>
        <w:rPr>
          <w:rFonts w:cs="宋体"/>
          <w:szCs w:val="21"/>
          <w:highlight w:val="none"/>
        </w:rPr>
        <w:t>200万元以下的项目监理服务</w:t>
      </w:r>
      <w:r>
        <w:rPr>
          <w:rFonts w:cs="宋体"/>
          <w:szCs w:val="24"/>
          <w:highlight w:val="none"/>
        </w:rPr>
        <w:t>。</w:t>
      </w:r>
    </w:p>
    <w:p>
      <w:pPr>
        <w:ind w:firstLine="420"/>
        <w:rPr>
          <w:rFonts w:cs="宋体"/>
          <w:szCs w:val="24"/>
        </w:rPr>
      </w:pPr>
      <w:r>
        <w:rPr>
          <w:rFonts w:hint="eastAsia" w:cs="宋体"/>
          <w:szCs w:val="24"/>
        </w:rPr>
        <w:t>9</w:t>
      </w:r>
      <w:r>
        <w:rPr>
          <w:rFonts w:cs="宋体"/>
          <w:szCs w:val="24"/>
        </w:rPr>
        <w:t>.8</w:t>
      </w:r>
      <w:r>
        <w:rPr>
          <w:rFonts w:hint="eastAsia" w:cs="宋体"/>
          <w:szCs w:val="24"/>
        </w:rPr>
        <w:t>监理人投标文件中的服务承诺均作为合同文件的组成部分，如本合同中的优惠和服务承诺低于监理人投标文件的服务承诺，以监理人投标文件和有利于委托人的服务承诺为准。</w:t>
      </w:r>
    </w:p>
    <w:p>
      <w:pPr>
        <w:ind w:firstLine="420"/>
        <w:rPr>
          <w:rFonts w:cs="宋体"/>
          <w:szCs w:val="24"/>
        </w:rPr>
      </w:pPr>
      <w:r>
        <w:rPr>
          <w:rFonts w:hint="eastAsia" w:cs="宋体"/>
          <w:szCs w:val="24"/>
        </w:rPr>
        <w:t>9.</w:t>
      </w:r>
      <w:r>
        <w:rPr>
          <w:rFonts w:cs="宋体"/>
          <w:szCs w:val="24"/>
        </w:rPr>
        <w:t>9</w:t>
      </w:r>
      <w:r>
        <w:rPr>
          <w:rFonts w:hint="eastAsia" w:cs="宋体"/>
          <w:szCs w:val="24"/>
        </w:rPr>
        <w:t>为廉洁履行合同，维护双方合法权益，特签订《保廉合同》（详见附录</w:t>
      </w:r>
      <w:r>
        <w:rPr>
          <w:rFonts w:cs="宋体"/>
          <w:szCs w:val="24"/>
        </w:rPr>
        <w:t>C</w:t>
      </w:r>
      <w:r>
        <w:rPr>
          <w:rFonts w:hint="eastAsia" w:cs="宋体"/>
          <w:szCs w:val="24"/>
        </w:rPr>
        <w:t>）。</w:t>
      </w:r>
    </w:p>
    <w:p>
      <w:pPr>
        <w:ind w:firstLine="420"/>
        <w:rPr>
          <w:rFonts w:cs="宋体"/>
          <w:szCs w:val="24"/>
        </w:rPr>
      </w:pPr>
      <w:r>
        <w:rPr>
          <w:rFonts w:hint="eastAsia" w:cs="宋体"/>
          <w:szCs w:val="24"/>
        </w:rPr>
        <w:t>9.</w:t>
      </w:r>
      <w:r>
        <w:rPr>
          <w:rFonts w:cs="宋体"/>
          <w:szCs w:val="24"/>
        </w:rPr>
        <w:t>10</w:t>
      </w:r>
      <w:r>
        <w:rPr>
          <w:rFonts w:hint="eastAsia" w:cs="宋体"/>
          <w:szCs w:val="24"/>
        </w:rPr>
        <w:t>附录作为本合同的重要组成部分，与本合同正文具有同等法律效力。</w:t>
      </w:r>
    </w:p>
    <w:p>
      <w:pPr>
        <w:ind w:firstLine="420"/>
      </w:pPr>
    </w:p>
    <w:p>
      <w:pPr>
        <w:ind w:firstLine="422"/>
        <w:rPr>
          <w:b/>
          <w:bCs/>
        </w:rPr>
      </w:pPr>
      <w:r>
        <w:rPr>
          <w:rFonts w:hint="eastAsia"/>
          <w:b/>
          <w:bCs/>
        </w:rPr>
        <w:t>附录：</w:t>
      </w:r>
    </w:p>
    <w:p>
      <w:pPr>
        <w:ind w:firstLine="422"/>
      </w:pPr>
      <w:r>
        <w:rPr>
          <w:rFonts w:hint="eastAsia"/>
          <w:b/>
          <w:bCs/>
        </w:rPr>
        <w:t>附录</w:t>
      </w:r>
      <w:r>
        <w:rPr>
          <w:b/>
          <w:bCs/>
        </w:rPr>
        <w:t>A</w:t>
      </w:r>
      <w:r>
        <w:rPr>
          <w:rFonts w:hint="eastAsia"/>
          <w:b/>
          <w:bCs/>
        </w:rPr>
        <w:t xml:space="preserve">： </w:t>
      </w:r>
      <w:r>
        <w:rPr>
          <w:rFonts w:hint="eastAsia"/>
        </w:rPr>
        <w:t>相关服务的范围和内容</w:t>
      </w:r>
    </w:p>
    <w:p>
      <w:pPr>
        <w:ind w:firstLine="422"/>
      </w:pPr>
      <w:r>
        <w:rPr>
          <w:rFonts w:hint="eastAsia"/>
          <w:b/>
          <w:bCs/>
        </w:rPr>
        <w:t>附录</w:t>
      </w:r>
      <w:r>
        <w:rPr>
          <w:b/>
          <w:bCs/>
        </w:rPr>
        <w:t>B</w:t>
      </w:r>
      <w:r>
        <w:rPr>
          <w:rFonts w:hint="eastAsia"/>
          <w:b/>
          <w:bCs/>
        </w:rPr>
        <w:t xml:space="preserve">： </w:t>
      </w:r>
      <w:r>
        <w:rPr>
          <w:rFonts w:hint="eastAsia"/>
        </w:rPr>
        <w:t>委托人派遣的人员和提供的房屋、资料、设备</w:t>
      </w:r>
    </w:p>
    <w:p>
      <w:pPr>
        <w:ind w:firstLine="422"/>
        <w:rPr>
          <w:rFonts w:cs="宋体"/>
          <w:b/>
          <w:bCs/>
          <w:szCs w:val="24"/>
        </w:rPr>
      </w:pPr>
      <w:r>
        <w:rPr>
          <w:rFonts w:hint="eastAsia"/>
          <w:b/>
          <w:bCs/>
        </w:rPr>
        <w:t>附录</w:t>
      </w:r>
      <w:r>
        <w:rPr>
          <w:b/>
          <w:bCs/>
        </w:rPr>
        <w:t>C</w:t>
      </w:r>
      <w:r>
        <w:rPr>
          <w:rFonts w:hint="eastAsia"/>
          <w:b/>
          <w:bCs/>
        </w:rPr>
        <w:t xml:space="preserve">： </w:t>
      </w:r>
      <w:r>
        <w:rPr>
          <w:rFonts w:hint="eastAsia"/>
        </w:rPr>
        <w:t>保廉合同</w:t>
      </w:r>
    </w:p>
    <w:p>
      <w:pPr>
        <w:ind w:firstLine="422"/>
        <w:rPr>
          <w:rFonts w:cs="宋体"/>
          <w:b/>
          <w:bCs/>
          <w:szCs w:val="24"/>
        </w:rPr>
      </w:pPr>
      <w:r>
        <w:rPr>
          <w:rFonts w:hint="eastAsia" w:cs="宋体"/>
          <w:b/>
          <w:bCs/>
          <w:szCs w:val="24"/>
        </w:rPr>
        <w:br w:type="page"/>
      </w:r>
    </w:p>
    <w:p>
      <w:pPr>
        <w:ind w:firstLine="422"/>
        <w:rPr>
          <w:rFonts w:cs="宋体"/>
          <w:b/>
          <w:bCs/>
          <w:szCs w:val="24"/>
        </w:rPr>
      </w:pPr>
      <w:r>
        <w:rPr>
          <w:rFonts w:hint="eastAsia" w:cs="宋体"/>
          <w:b/>
          <w:bCs/>
          <w:szCs w:val="24"/>
        </w:rPr>
        <w:t>附录</w:t>
      </w:r>
      <w:r>
        <w:rPr>
          <w:rFonts w:cs="宋体"/>
          <w:b/>
          <w:bCs/>
          <w:szCs w:val="24"/>
        </w:rPr>
        <w:t>A</w:t>
      </w:r>
      <w:r>
        <w:rPr>
          <w:rFonts w:hint="eastAsia" w:cs="宋体"/>
          <w:b/>
          <w:bCs/>
          <w:szCs w:val="24"/>
        </w:rPr>
        <w:t xml:space="preserve">  相关服务的范围和内容</w:t>
      </w:r>
    </w:p>
    <w:p>
      <w:pPr>
        <w:ind w:firstLine="420"/>
        <w:rPr>
          <w:rFonts w:cs="宋体"/>
          <w:szCs w:val="24"/>
        </w:rPr>
      </w:pPr>
      <w:r>
        <w:rPr>
          <w:rFonts w:hint="eastAsia" w:cs="宋体"/>
          <w:kern w:val="0"/>
          <w:szCs w:val="24"/>
        </w:rPr>
        <w:t>1-1 勘察设计阶段：</w:t>
      </w:r>
      <w:r>
        <w:rPr>
          <w:rFonts w:hint="eastAsia" w:cs="宋体"/>
          <w:szCs w:val="24"/>
          <w:u w:val="single"/>
        </w:rPr>
        <w:t xml:space="preserve">   </w:t>
      </w:r>
      <w:r>
        <w:rPr>
          <w:rFonts w:hint="eastAsia" w:cs="宋体"/>
          <w:kern w:val="0"/>
          <w:szCs w:val="24"/>
          <w:u w:val="single"/>
        </w:rPr>
        <w:t xml:space="preserve">     /       </w:t>
      </w:r>
      <w:r>
        <w:rPr>
          <w:rFonts w:hint="eastAsia" w:cs="宋体"/>
          <w:kern w:val="0"/>
          <w:szCs w:val="24"/>
        </w:rPr>
        <w:t>。</w:t>
      </w:r>
    </w:p>
    <w:p>
      <w:pPr>
        <w:ind w:firstLine="420"/>
        <w:rPr>
          <w:rFonts w:cs="宋体"/>
          <w:szCs w:val="24"/>
        </w:rPr>
      </w:pPr>
      <w:r>
        <w:rPr>
          <w:rFonts w:hint="eastAsia" w:cs="宋体"/>
          <w:kern w:val="0"/>
          <w:szCs w:val="24"/>
        </w:rPr>
        <w:t>2-2 施工阶段：</w:t>
      </w:r>
      <w:r>
        <w:rPr>
          <w:rFonts w:hint="eastAsia" w:cs="宋体"/>
          <w:szCs w:val="24"/>
          <w:u w:val="single"/>
        </w:rPr>
        <w:t xml:space="preserve">   </w:t>
      </w:r>
      <w:r>
        <w:rPr>
          <w:rFonts w:hint="eastAsia" w:cs="宋体"/>
          <w:kern w:val="0"/>
          <w:szCs w:val="24"/>
          <w:u w:val="single"/>
        </w:rPr>
        <w:t xml:space="preserve">     /       </w:t>
      </w:r>
      <w:r>
        <w:rPr>
          <w:rFonts w:hint="eastAsia" w:cs="宋体"/>
          <w:kern w:val="0"/>
          <w:szCs w:val="24"/>
        </w:rPr>
        <w:t>。</w:t>
      </w:r>
    </w:p>
    <w:p>
      <w:pPr>
        <w:ind w:firstLine="420"/>
        <w:rPr>
          <w:rFonts w:cs="宋体"/>
          <w:szCs w:val="24"/>
        </w:rPr>
      </w:pPr>
      <w:r>
        <w:rPr>
          <w:rFonts w:hint="eastAsia" w:cs="宋体"/>
          <w:kern w:val="0"/>
          <w:szCs w:val="24"/>
        </w:rPr>
        <w:t>3-3 保修阶段：</w:t>
      </w:r>
      <w:r>
        <w:rPr>
          <w:rFonts w:hint="eastAsia" w:cs="宋体"/>
          <w:szCs w:val="24"/>
          <w:u w:val="single"/>
        </w:rPr>
        <w:t xml:space="preserve">    </w:t>
      </w:r>
      <w:r>
        <w:rPr>
          <w:rFonts w:hint="eastAsia" w:cs="宋体"/>
          <w:kern w:val="0"/>
          <w:szCs w:val="24"/>
          <w:u w:val="single"/>
        </w:rPr>
        <w:t xml:space="preserve">     /       </w:t>
      </w:r>
      <w:r>
        <w:rPr>
          <w:rFonts w:hint="eastAsia" w:cs="宋体"/>
          <w:kern w:val="0"/>
          <w:szCs w:val="24"/>
        </w:rPr>
        <w:t>。</w:t>
      </w:r>
    </w:p>
    <w:p>
      <w:pPr>
        <w:ind w:firstLine="420"/>
        <w:rPr>
          <w:rFonts w:cs="宋体"/>
          <w:szCs w:val="24"/>
        </w:rPr>
      </w:pPr>
      <w:r>
        <w:rPr>
          <w:rFonts w:hint="eastAsia" w:cs="宋体"/>
          <w:kern w:val="0"/>
          <w:szCs w:val="24"/>
        </w:rPr>
        <w:t xml:space="preserve">4-4 </w:t>
      </w:r>
      <w:r>
        <w:rPr>
          <w:rFonts w:hint="eastAsia" w:cs="宋体"/>
          <w:szCs w:val="24"/>
        </w:rPr>
        <w:t>其他（专业技术咨询、外部协调工作等）：</w:t>
      </w:r>
      <w:r>
        <w:rPr>
          <w:rFonts w:hint="eastAsia" w:cs="宋体"/>
          <w:szCs w:val="24"/>
          <w:u w:val="single"/>
        </w:rPr>
        <w:t xml:space="preserve">  / </w:t>
      </w:r>
      <w:r>
        <w:rPr>
          <w:rFonts w:hint="eastAsia" w:cs="宋体"/>
          <w:szCs w:val="24"/>
        </w:rPr>
        <w:t>。</w:t>
      </w:r>
    </w:p>
    <w:p>
      <w:pPr>
        <w:spacing w:before="120" w:beforeLines="50" w:after="120" w:afterLines="50" w:line="360" w:lineRule="auto"/>
        <w:ind w:firstLine="422"/>
        <w:rPr>
          <w:rFonts w:cs="宋体"/>
          <w:b/>
          <w:bCs/>
          <w:szCs w:val="24"/>
        </w:rPr>
      </w:pPr>
    </w:p>
    <w:p>
      <w:pPr>
        <w:spacing w:before="120" w:beforeLines="50" w:after="120" w:afterLines="50" w:line="360" w:lineRule="auto"/>
        <w:ind w:firstLine="422"/>
        <w:rPr>
          <w:rFonts w:cs="宋体"/>
          <w:b/>
          <w:bCs/>
          <w:szCs w:val="24"/>
        </w:rPr>
      </w:pPr>
    </w:p>
    <w:p>
      <w:pPr>
        <w:spacing w:before="120" w:beforeLines="50" w:after="120" w:afterLines="50" w:line="360" w:lineRule="auto"/>
        <w:ind w:firstLine="422"/>
        <w:rPr>
          <w:rFonts w:cs="宋体"/>
          <w:b/>
          <w:bCs/>
          <w:szCs w:val="24"/>
        </w:rPr>
      </w:pPr>
    </w:p>
    <w:p>
      <w:pPr>
        <w:spacing w:before="120" w:beforeLines="50" w:after="120" w:afterLines="50" w:line="360" w:lineRule="auto"/>
        <w:ind w:firstLine="422"/>
        <w:rPr>
          <w:rFonts w:cs="宋体"/>
          <w:b/>
          <w:bCs/>
          <w:szCs w:val="24"/>
        </w:rPr>
      </w:pPr>
    </w:p>
    <w:p>
      <w:pPr>
        <w:ind w:firstLine="422"/>
        <w:rPr>
          <w:rFonts w:cs="宋体"/>
          <w:b/>
          <w:bCs/>
          <w:szCs w:val="24"/>
        </w:rPr>
      </w:pPr>
      <w:r>
        <w:rPr>
          <w:rFonts w:hint="eastAsia" w:cs="宋体"/>
          <w:b/>
          <w:bCs/>
          <w:szCs w:val="24"/>
        </w:rPr>
        <w:br w:type="page"/>
      </w:r>
    </w:p>
    <w:p>
      <w:pPr>
        <w:ind w:firstLine="422"/>
        <w:rPr>
          <w:rFonts w:cs="宋体"/>
          <w:b/>
          <w:bCs/>
          <w:szCs w:val="24"/>
        </w:rPr>
      </w:pPr>
      <w:r>
        <w:rPr>
          <w:rFonts w:hint="eastAsia" w:cs="宋体"/>
          <w:b/>
          <w:bCs/>
          <w:szCs w:val="24"/>
        </w:rPr>
        <w:t>附件B  委托人派遣的人员和提供的房屋、资料、设备</w:t>
      </w:r>
    </w:p>
    <w:p>
      <w:pPr>
        <w:ind w:firstLine="422"/>
        <w:rPr>
          <w:rFonts w:cs="宋体"/>
          <w:b/>
          <w:kern w:val="0"/>
          <w:szCs w:val="24"/>
        </w:rPr>
      </w:pPr>
      <w:r>
        <w:rPr>
          <w:rFonts w:hint="eastAsia" w:cs="宋体"/>
          <w:b/>
          <w:kern w:val="0"/>
          <w:szCs w:val="24"/>
        </w:rPr>
        <w:t>2-1  委托人派遣的人员</w:t>
      </w:r>
    </w:p>
    <w:tbl>
      <w:tblPr>
        <w:tblStyle w:val="2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770"/>
        <w:gridCol w:w="213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hint="eastAsia" w:cs="宋体"/>
                <w:szCs w:val="24"/>
              </w:rPr>
              <w:t>名称</w:t>
            </w:r>
          </w:p>
        </w:tc>
        <w:tc>
          <w:tcPr>
            <w:tcW w:w="177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hint="eastAsia" w:cs="宋体"/>
                <w:szCs w:val="24"/>
              </w:rPr>
              <w:t>数量</w:t>
            </w:r>
          </w:p>
        </w:tc>
        <w:tc>
          <w:tcPr>
            <w:tcW w:w="213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hint="eastAsia" w:cs="宋体"/>
                <w:szCs w:val="24"/>
              </w:rPr>
              <w:t>工作要求</w:t>
            </w:r>
          </w:p>
        </w:tc>
        <w:tc>
          <w:tcPr>
            <w:tcW w:w="204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hint="eastAsia" w:cs="宋体"/>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r>
              <w:rPr>
                <w:rFonts w:hint="eastAsia" w:cs="宋体"/>
                <w:szCs w:val="24"/>
              </w:rPr>
              <w:t>1. 工程技术人员</w:t>
            </w:r>
          </w:p>
        </w:tc>
        <w:tc>
          <w:tcPr>
            <w:tcW w:w="177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p>
        </w:tc>
        <w:tc>
          <w:tcPr>
            <w:tcW w:w="213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p>
        </w:tc>
        <w:tc>
          <w:tcPr>
            <w:tcW w:w="204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r>
              <w:rPr>
                <w:rFonts w:hint="eastAsia" w:cs="宋体"/>
                <w:szCs w:val="24"/>
              </w:rPr>
              <w:t>2. 辅助工作人员</w:t>
            </w:r>
          </w:p>
        </w:tc>
        <w:tc>
          <w:tcPr>
            <w:tcW w:w="177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p>
        </w:tc>
        <w:tc>
          <w:tcPr>
            <w:tcW w:w="213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p>
        </w:tc>
        <w:tc>
          <w:tcPr>
            <w:tcW w:w="204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0"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r>
              <w:rPr>
                <w:rFonts w:hint="eastAsia" w:cs="宋体"/>
                <w:szCs w:val="24"/>
              </w:rPr>
              <w:t>3. 其他人员</w:t>
            </w:r>
          </w:p>
        </w:tc>
        <w:tc>
          <w:tcPr>
            <w:tcW w:w="177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p>
        </w:tc>
        <w:tc>
          <w:tcPr>
            <w:tcW w:w="213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p>
        </w:tc>
        <w:tc>
          <w:tcPr>
            <w:tcW w:w="204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p>
        </w:tc>
      </w:tr>
    </w:tbl>
    <w:p>
      <w:pPr>
        <w:ind w:firstLine="422"/>
        <w:rPr>
          <w:rFonts w:cs="宋体"/>
          <w:b/>
          <w:kern w:val="0"/>
          <w:szCs w:val="24"/>
        </w:rPr>
      </w:pPr>
      <w:r>
        <w:rPr>
          <w:rFonts w:hint="eastAsia" w:cs="宋体"/>
          <w:b/>
          <w:kern w:val="0"/>
          <w:szCs w:val="24"/>
        </w:rPr>
        <w:t>2-2  委托人提供的房屋</w:t>
      </w:r>
    </w:p>
    <w:tbl>
      <w:tblPr>
        <w:tblStyle w:val="22"/>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2"/>
        <w:gridCol w:w="1466"/>
        <w:gridCol w:w="1594"/>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2"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hint="eastAsia" w:cs="宋体"/>
                <w:szCs w:val="24"/>
              </w:rPr>
              <w:t>名称</w:t>
            </w:r>
          </w:p>
        </w:tc>
        <w:tc>
          <w:tcPr>
            <w:tcW w:w="1466"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hint="eastAsia" w:cs="宋体"/>
                <w:szCs w:val="24"/>
              </w:rPr>
              <w:t>数量</w:t>
            </w:r>
          </w:p>
        </w:tc>
        <w:tc>
          <w:tcPr>
            <w:tcW w:w="1594"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hint="eastAsia" w:cs="宋体"/>
                <w:szCs w:val="24"/>
              </w:rPr>
              <w:t>面积</w:t>
            </w:r>
          </w:p>
        </w:tc>
        <w:tc>
          <w:tcPr>
            <w:tcW w:w="2396"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hint="eastAsia" w:cs="宋体"/>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112"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r>
              <w:rPr>
                <w:rFonts w:hint="eastAsia" w:cs="宋体"/>
                <w:szCs w:val="24"/>
              </w:rPr>
              <w:t>1. 办公用房</w:t>
            </w:r>
          </w:p>
        </w:tc>
        <w:tc>
          <w:tcPr>
            <w:tcW w:w="1466"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b/>
                <w:szCs w:val="24"/>
              </w:rPr>
            </w:pPr>
          </w:p>
        </w:tc>
        <w:tc>
          <w:tcPr>
            <w:tcW w:w="1594"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p>
        </w:tc>
        <w:tc>
          <w:tcPr>
            <w:tcW w:w="2396"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2"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r>
              <w:rPr>
                <w:rFonts w:hint="eastAsia" w:cs="宋体"/>
                <w:szCs w:val="24"/>
              </w:rPr>
              <w:t>2. 生活用房</w:t>
            </w:r>
          </w:p>
        </w:tc>
        <w:tc>
          <w:tcPr>
            <w:tcW w:w="146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宋体"/>
                <w:szCs w:val="24"/>
              </w:rPr>
            </w:pPr>
            <w:r>
              <w:rPr>
                <w:rFonts w:cs="宋体"/>
                <w:szCs w:val="24"/>
              </w:rPr>
              <w:t>/</w:t>
            </w:r>
          </w:p>
        </w:tc>
        <w:tc>
          <w:tcPr>
            <w:tcW w:w="159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宋体"/>
                <w:szCs w:val="24"/>
              </w:rPr>
            </w:pPr>
            <w:r>
              <w:rPr>
                <w:rFonts w:cs="宋体"/>
                <w:szCs w:val="24"/>
              </w:rPr>
              <w:t>/</w:t>
            </w:r>
          </w:p>
        </w:tc>
        <w:tc>
          <w:tcPr>
            <w:tcW w:w="2396"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2" w:type="dxa"/>
            <w:tcBorders>
              <w:top w:val="single" w:color="auto" w:sz="4" w:space="0"/>
              <w:left w:val="single" w:color="auto" w:sz="4" w:space="0"/>
              <w:bottom w:val="single" w:color="auto" w:sz="4" w:space="0"/>
              <w:right w:val="single" w:color="auto" w:sz="4" w:space="0"/>
            </w:tcBorders>
          </w:tcPr>
          <w:p>
            <w:pPr>
              <w:ind w:firstLine="0" w:firstLineChars="0"/>
              <w:rPr>
                <w:rFonts w:cs="宋体"/>
                <w:dstrike/>
                <w:szCs w:val="24"/>
              </w:rPr>
            </w:pPr>
            <w:r>
              <w:rPr>
                <w:rFonts w:hint="eastAsia" w:cs="宋体"/>
                <w:szCs w:val="24"/>
              </w:rPr>
              <w:t>3. 试验用房</w:t>
            </w:r>
          </w:p>
        </w:tc>
        <w:tc>
          <w:tcPr>
            <w:tcW w:w="146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宋体"/>
                <w:szCs w:val="24"/>
              </w:rPr>
            </w:pPr>
            <w:r>
              <w:rPr>
                <w:rFonts w:cs="宋体"/>
                <w:szCs w:val="24"/>
              </w:rPr>
              <w:t>/</w:t>
            </w:r>
          </w:p>
        </w:tc>
        <w:tc>
          <w:tcPr>
            <w:tcW w:w="159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宋体"/>
                <w:szCs w:val="24"/>
              </w:rPr>
            </w:pPr>
            <w:r>
              <w:rPr>
                <w:rFonts w:cs="宋体"/>
                <w:szCs w:val="24"/>
              </w:rPr>
              <w:t>/</w:t>
            </w:r>
          </w:p>
        </w:tc>
        <w:tc>
          <w:tcPr>
            <w:tcW w:w="2396"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2"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r>
              <w:rPr>
                <w:rFonts w:hint="eastAsia" w:cs="宋体"/>
                <w:szCs w:val="24"/>
              </w:rPr>
              <w:t>4. 样品用房</w:t>
            </w:r>
          </w:p>
        </w:tc>
        <w:tc>
          <w:tcPr>
            <w:tcW w:w="146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宋体"/>
                <w:szCs w:val="24"/>
              </w:rPr>
            </w:pPr>
            <w:r>
              <w:rPr>
                <w:rFonts w:cs="宋体"/>
                <w:szCs w:val="24"/>
              </w:rPr>
              <w:t>/</w:t>
            </w:r>
          </w:p>
        </w:tc>
        <w:tc>
          <w:tcPr>
            <w:tcW w:w="159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宋体"/>
                <w:szCs w:val="24"/>
              </w:rPr>
            </w:pPr>
            <w:r>
              <w:rPr>
                <w:rFonts w:cs="宋体"/>
                <w:szCs w:val="24"/>
              </w:rPr>
              <w:t>/</w:t>
            </w:r>
          </w:p>
        </w:tc>
        <w:tc>
          <w:tcPr>
            <w:tcW w:w="2396"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2"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r>
              <w:rPr>
                <w:rFonts w:hint="eastAsia" w:cs="宋体"/>
                <w:szCs w:val="24"/>
              </w:rPr>
              <w:t>……</w:t>
            </w:r>
          </w:p>
        </w:tc>
        <w:tc>
          <w:tcPr>
            <w:tcW w:w="1466"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p>
        </w:tc>
        <w:tc>
          <w:tcPr>
            <w:tcW w:w="1594"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p>
        </w:tc>
        <w:tc>
          <w:tcPr>
            <w:tcW w:w="2396"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2"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r>
              <w:rPr>
                <w:rFonts w:hint="eastAsia" w:cs="宋体"/>
                <w:szCs w:val="24"/>
              </w:rPr>
              <w:t>用餐及其他生活条件</w:t>
            </w:r>
          </w:p>
        </w:tc>
        <w:tc>
          <w:tcPr>
            <w:tcW w:w="5456" w:type="dxa"/>
            <w:gridSpan w:val="3"/>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cs="宋体"/>
                <w:szCs w:val="24"/>
              </w:rPr>
              <w:t>/</w:t>
            </w:r>
          </w:p>
        </w:tc>
      </w:tr>
    </w:tbl>
    <w:p>
      <w:pPr>
        <w:ind w:firstLine="422"/>
        <w:rPr>
          <w:rFonts w:cs="宋体"/>
          <w:b/>
          <w:kern w:val="0"/>
          <w:szCs w:val="24"/>
        </w:rPr>
      </w:pPr>
      <w:r>
        <w:rPr>
          <w:rFonts w:hint="eastAsia" w:cs="宋体"/>
          <w:b/>
          <w:kern w:val="0"/>
          <w:szCs w:val="24"/>
        </w:rPr>
        <w:t>2-3  委托人提供的资料</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900"/>
        <w:gridCol w:w="2160"/>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9"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kern w:val="0"/>
                <w:szCs w:val="24"/>
              </w:rPr>
            </w:pPr>
            <w:r>
              <w:rPr>
                <w:rFonts w:hint="eastAsia" w:cs="宋体"/>
                <w:kern w:val="0"/>
                <w:szCs w:val="24"/>
              </w:rPr>
              <w:t>名称</w:t>
            </w:r>
          </w:p>
        </w:tc>
        <w:tc>
          <w:tcPr>
            <w:tcW w:w="90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kern w:val="0"/>
                <w:szCs w:val="24"/>
              </w:rPr>
            </w:pPr>
            <w:r>
              <w:rPr>
                <w:rFonts w:hint="eastAsia" w:cs="宋体"/>
                <w:kern w:val="0"/>
                <w:szCs w:val="24"/>
              </w:rPr>
              <w:t>份数</w:t>
            </w:r>
          </w:p>
        </w:tc>
        <w:tc>
          <w:tcPr>
            <w:tcW w:w="216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kern w:val="0"/>
                <w:szCs w:val="24"/>
              </w:rPr>
            </w:pPr>
            <w:r>
              <w:rPr>
                <w:rFonts w:hint="eastAsia" w:cs="宋体"/>
                <w:kern w:val="0"/>
                <w:szCs w:val="24"/>
              </w:rPr>
              <w:t>提供时间</w:t>
            </w:r>
          </w:p>
        </w:tc>
        <w:tc>
          <w:tcPr>
            <w:tcW w:w="1113"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kern w:val="0"/>
                <w:szCs w:val="24"/>
              </w:rPr>
            </w:pPr>
            <w:r>
              <w:rPr>
                <w:rFonts w:hint="eastAsia" w:cs="宋体"/>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9"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r>
              <w:rPr>
                <w:rFonts w:hint="eastAsia" w:cs="宋体"/>
                <w:kern w:val="0"/>
                <w:szCs w:val="24"/>
              </w:rPr>
              <w:t>1. 工程立项文件</w:t>
            </w:r>
          </w:p>
        </w:tc>
        <w:tc>
          <w:tcPr>
            <w:tcW w:w="90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宋体"/>
                <w:kern w:val="0"/>
                <w:szCs w:val="24"/>
              </w:rPr>
            </w:pPr>
          </w:p>
        </w:tc>
        <w:tc>
          <w:tcPr>
            <w:tcW w:w="2160"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p>
        </w:tc>
        <w:tc>
          <w:tcPr>
            <w:tcW w:w="1113"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9"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r>
              <w:rPr>
                <w:rFonts w:hint="eastAsia" w:cs="宋体"/>
                <w:kern w:val="0"/>
                <w:szCs w:val="24"/>
              </w:rPr>
              <w:t>2. 工程勘察文件</w:t>
            </w:r>
          </w:p>
        </w:tc>
        <w:tc>
          <w:tcPr>
            <w:tcW w:w="90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宋体"/>
                <w:kern w:val="0"/>
                <w:szCs w:val="24"/>
              </w:rPr>
            </w:pPr>
          </w:p>
        </w:tc>
        <w:tc>
          <w:tcPr>
            <w:tcW w:w="2160"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p>
        </w:tc>
        <w:tc>
          <w:tcPr>
            <w:tcW w:w="1113"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9"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r>
              <w:rPr>
                <w:rFonts w:hint="eastAsia" w:cs="宋体"/>
                <w:kern w:val="0"/>
                <w:szCs w:val="24"/>
              </w:rPr>
              <w:t>3. 工程设计及施工图纸</w:t>
            </w:r>
          </w:p>
        </w:tc>
        <w:tc>
          <w:tcPr>
            <w:tcW w:w="90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宋体"/>
                <w:kern w:val="0"/>
                <w:szCs w:val="24"/>
              </w:rPr>
            </w:pPr>
          </w:p>
        </w:tc>
        <w:tc>
          <w:tcPr>
            <w:tcW w:w="2160"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p>
        </w:tc>
        <w:tc>
          <w:tcPr>
            <w:tcW w:w="1113"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9"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r>
              <w:rPr>
                <w:rFonts w:hint="eastAsia" w:cs="宋体"/>
                <w:kern w:val="0"/>
                <w:szCs w:val="24"/>
              </w:rPr>
              <w:t>4. 工程承包合同及其他相关合同</w:t>
            </w:r>
          </w:p>
        </w:tc>
        <w:tc>
          <w:tcPr>
            <w:tcW w:w="90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宋体"/>
                <w:kern w:val="0"/>
                <w:szCs w:val="24"/>
              </w:rPr>
            </w:pPr>
          </w:p>
        </w:tc>
        <w:tc>
          <w:tcPr>
            <w:tcW w:w="2160"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p>
        </w:tc>
        <w:tc>
          <w:tcPr>
            <w:tcW w:w="1113"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9"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r>
              <w:rPr>
                <w:rFonts w:hint="eastAsia" w:cs="宋体"/>
                <w:kern w:val="0"/>
                <w:szCs w:val="24"/>
              </w:rPr>
              <w:t>5. 施工许可文件</w:t>
            </w:r>
          </w:p>
        </w:tc>
        <w:tc>
          <w:tcPr>
            <w:tcW w:w="90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宋体"/>
                <w:kern w:val="0"/>
                <w:szCs w:val="24"/>
              </w:rPr>
            </w:pPr>
          </w:p>
        </w:tc>
        <w:tc>
          <w:tcPr>
            <w:tcW w:w="2160"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p>
        </w:tc>
        <w:tc>
          <w:tcPr>
            <w:tcW w:w="1113"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9"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r>
              <w:rPr>
                <w:rFonts w:hint="eastAsia" w:cs="宋体"/>
                <w:kern w:val="0"/>
                <w:szCs w:val="24"/>
              </w:rPr>
              <w:t>6. 其他文件</w:t>
            </w:r>
          </w:p>
        </w:tc>
        <w:tc>
          <w:tcPr>
            <w:tcW w:w="90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宋体"/>
                <w:kern w:val="0"/>
                <w:szCs w:val="24"/>
              </w:rPr>
            </w:pPr>
          </w:p>
        </w:tc>
        <w:tc>
          <w:tcPr>
            <w:tcW w:w="2160"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p>
        </w:tc>
        <w:tc>
          <w:tcPr>
            <w:tcW w:w="1113" w:type="dxa"/>
            <w:tcBorders>
              <w:top w:val="single" w:color="auto" w:sz="4" w:space="0"/>
              <w:left w:val="single" w:color="auto" w:sz="4" w:space="0"/>
              <w:bottom w:val="single" w:color="auto" w:sz="4" w:space="0"/>
              <w:right w:val="single" w:color="auto" w:sz="4" w:space="0"/>
            </w:tcBorders>
          </w:tcPr>
          <w:p>
            <w:pPr>
              <w:ind w:firstLine="0" w:firstLineChars="0"/>
              <w:rPr>
                <w:rFonts w:cs="宋体"/>
                <w:kern w:val="0"/>
                <w:szCs w:val="24"/>
              </w:rPr>
            </w:pPr>
          </w:p>
        </w:tc>
      </w:tr>
    </w:tbl>
    <w:p>
      <w:pPr>
        <w:ind w:firstLine="422"/>
        <w:rPr>
          <w:rFonts w:cs="宋体"/>
          <w:b/>
          <w:kern w:val="0"/>
          <w:szCs w:val="24"/>
        </w:rPr>
      </w:pPr>
      <w:r>
        <w:rPr>
          <w:rFonts w:hint="eastAsia" w:cs="宋体"/>
          <w:b/>
          <w:kern w:val="0"/>
          <w:szCs w:val="24"/>
        </w:rPr>
        <w:t>2-4 委托人提供的设备</w:t>
      </w:r>
    </w:p>
    <w:tbl>
      <w:tblPr>
        <w:tblStyle w:val="22"/>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hint="eastAsia" w:cs="宋体"/>
                <w:szCs w:val="24"/>
              </w:rPr>
              <w:t>名称</w:t>
            </w:r>
          </w:p>
        </w:tc>
        <w:tc>
          <w:tcPr>
            <w:tcW w:w="159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hint="eastAsia" w:cs="宋体"/>
                <w:szCs w:val="24"/>
              </w:rPr>
              <w:t>数量</w:t>
            </w:r>
          </w:p>
        </w:tc>
        <w:tc>
          <w:tcPr>
            <w:tcW w:w="213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hint="eastAsia" w:cs="宋体"/>
                <w:szCs w:val="24"/>
              </w:rPr>
              <w:t>型号与规格</w:t>
            </w:r>
          </w:p>
        </w:tc>
        <w:tc>
          <w:tcPr>
            <w:tcW w:w="186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hint="eastAsia" w:cs="宋体"/>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r>
              <w:rPr>
                <w:rFonts w:hint="eastAsia" w:cs="宋体"/>
                <w:szCs w:val="24"/>
              </w:rPr>
              <w:t>1. 通讯设备</w:t>
            </w:r>
          </w:p>
        </w:tc>
        <w:tc>
          <w:tcPr>
            <w:tcW w:w="1590" w:type="dxa"/>
            <w:tcBorders>
              <w:top w:val="single" w:color="auto" w:sz="4" w:space="0"/>
              <w:left w:val="single" w:color="auto" w:sz="4" w:space="0"/>
              <w:bottom w:val="single" w:color="auto" w:sz="4" w:space="0"/>
              <w:right w:val="single" w:color="auto" w:sz="4" w:space="0"/>
            </w:tcBorders>
          </w:tcPr>
          <w:p>
            <w:pPr>
              <w:tabs>
                <w:tab w:val="left" w:pos="624"/>
              </w:tabs>
              <w:ind w:firstLine="0" w:firstLineChars="0"/>
              <w:jc w:val="center"/>
              <w:rPr>
                <w:rFonts w:cs="宋体"/>
                <w:szCs w:val="24"/>
              </w:rPr>
            </w:pPr>
            <w:r>
              <w:rPr>
                <w:rFonts w:cs="宋体"/>
                <w:szCs w:val="24"/>
              </w:rPr>
              <w:t>/</w:t>
            </w:r>
          </w:p>
        </w:tc>
        <w:tc>
          <w:tcPr>
            <w:tcW w:w="213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cs="宋体"/>
                <w:szCs w:val="24"/>
              </w:rPr>
              <w:t>/</w:t>
            </w:r>
          </w:p>
        </w:tc>
        <w:tc>
          <w:tcPr>
            <w:tcW w:w="186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r>
              <w:rPr>
                <w:rFonts w:hint="eastAsia" w:cs="宋体"/>
                <w:szCs w:val="24"/>
              </w:rPr>
              <w:t>2. 办公设备</w:t>
            </w:r>
          </w:p>
        </w:tc>
        <w:tc>
          <w:tcPr>
            <w:tcW w:w="159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cs="宋体"/>
                <w:szCs w:val="24"/>
              </w:rPr>
              <w:t>/</w:t>
            </w:r>
          </w:p>
        </w:tc>
        <w:tc>
          <w:tcPr>
            <w:tcW w:w="213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cs="宋体"/>
                <w:szCs w:val="24"/>
              </w:rPr>
              <w:t>/</w:t>
            </w:r>
          </w:p>
        </w:tc>
        <w:tc>
          <w:tcPr>
            <w:tcW w:w="186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r>
              <w:rPr>
                <w:rFonts w:hint="eastAsia" w:cs="宋体"/>
                <w:szCs w:val="24"/>
              </w:rPr>
              <w:t>3. 交通工具</w:t>
            </w:r>
          </w:p>
        </w:tc>
        <w:tc>
          <w:tcPr>
            <w:tcW w:w="159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cs="宋体"/>
                <w:szCs w:val="24"/>
              </w:rPr>
              <w:t>/</w:t>
            </w:r>
          </w:p>
        </w:tc>
        <w:tc>
          <w:tcPr>
            <w:tcW w:w="213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cs="宋体"/>
                <w:szCs w:val="24"/>
              </w:rPr>
              <w:t>/</w:t>
            </w:r>
          </w:p>
        </w:tc>
        <w:tc>
          <w:tcPr>
            <w:tcW w:w="186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r>
              <w:rPr>
                <w:rFonts w:hint="eastAsia" w:cs="宋体"/>
                <w:szCs w:val="24"/>
              </w:rPr>
              <w:t>4. 检测和试验设备</w:t>
            </w:r>
          </w:p>
        </w:tc>
        <w:tc>
          <w:tcPr>
            <w:tcW w:w="159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cs="宋体"/>
                <w:szCs w:val="24"/>
              </w:rPr>
              <w:t>/</w:t>
            </w:r>
          </w:p>
        </w:tc>
        <w:tc>
          <w:tcPr>
            <w:tcW w:w="213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cs="宋体"/>
                <w:szCs w:val="24"/>
              </w:rPr>
              <w:t>/</w:t>
            </w:r>
          </w:p>
        </w:tc>
        <w:tc>
          <w:tcPr>
            <w:tcW w:w="1860" w:type="dxa"/>
            <w:tcBorders>
              <w:top w:val="single" w:color="auto" w:sz="4" w:space="0"/>
              <w:left w:val="single" w:color="auto" w:sz="4" w:space="0"/>
              <w:bottom w:val="single" w:color="auto" w:sz="4" w:space="0"/>
              <w:right w:val="single" w:color="auto" w:sz="4" w:space="0"/>
            </w:tcBorders>
          </w:tcPr>
          <w:p>
            <w:pPr>
              <w:ind w:firstLine="0" w:firstLineChars="0"/>
              <w:jc w:val="center"/>
              <w:rPr>
                <w:rFonts w:cs="宋体"/>
                <w:szCs w:val="24"/>
              </w:rPr>
            </w:pPr>
            <w:r>
              <w:rPr>
                <w:rFonts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r>
              <w:rPr>
                <w:rFonts w:hint="eastAsia" w:cs="宋体"/>
                <w:szCs w:val="24"/>
              </w:rPr>
              <w:t>……</w:t>
            </w:r>
          </w:p>
        </w:tc>
        <w:tc>
          <w:tcPr>
            <w:tcW w:w="1590"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p>
        </w:tc>
        <w:tc>
          <w:tcPr>
            <w:tcW w:w="2130"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p>
        </w:tc>
        <w:tc>
          <w:tcPr>
            <w:tcW w:w="1860" w:type="dxa"/>
            <w:tcBorders>
              <w:top w:val="single" w:color="auto" w:sz="4" w:space="0"/>
              <w:left w:val="single" w:color="auto" w:sz="4" w:space="0"/>
              <w:bottom w:val="single" w:color="auto" w:sz="4" w:space="0"/>
              <w:right w:val="single" w:color="auto" w:sz="4" w:space="0"/>
            </w:tcBorders>
          </w:tcPr>
          <w:p>
            <w:pPr>
              <w:ind w:firstLine="0" w:firstLineChars="0"/>
              <w:rPr>
                <w:rFonts w:cs="宋体"/>
                <w:szCs w:val="24"/>
              </w:rPr>
            </w:pPr>
          </w:p>
        </w:tc>
      </w:tr>
    </w:tbl>
    <w:p>
      <w:pPr>
        <w:ind w:firstLine="422"/>
        <w:rPr>
          <w:rFonts w:cs="宋体"/>
          <w:b/>
          <w:bCs/>
          <w:szCs w:val="24"/>
        </w:rPr>
      </w:pPr>
      <w:r>
        <w:rPr>
          <w:rFonts w:hint="eastAsia" w:cs="宋体"/>
          <w:b/>
          <w:bCs/>
          <w:szCs w:val="24"/>
        </w:rPr>
        <w:br w:type="page"/>
      </w:r>
    </w:p>
    <w:p>
      <w:pPr>
        <w:ind w:firstLine="422"/>
        <w:rPr>
          <w:rFonts w:cs="宋体"/>
          <w:szCs w:val="24"/>
        </w:rPr>
      </w:pPr>
      <w:r>
        <w:rPr>
          <w:rFonts w:hint="eastAsia" w:cs="宋体"/>
          <w:b/>
          <w:bCs/>
          <w:szCs w:val="24"/>
        </w:rPr>
        <w:t>附件C：</w:t>
      </w:r>
    </w:p>
    <w:p>
      <w:pPr>
        <w:ind w:firstLine="562"/>
        <w:jc w:val="center"/>
        <w:rPr>
          <w:rFonts w:cs="宋体"/>
          <w:b/>
          <w:sz w:val="28"/>
          <w:szCs w:val="36"/>
        </w:rPr>
      </w:pPr>
      <w:r>
        <w:rPr>
          <w:rFonts w:hint="eastAsia" w:cs="宋体"/>
          <w:b/>
          <w:sz w:val="28"/>
          <w:szCs w:val="36"/>
        </w:rPr>
        <w:t>保  廉  合  同</w:t>
      </w:r>
    </w:p>
    <w:p>
      <w:pPr>
        <w:ind w:firstLine="420"/>
        <w:rPr>
          <w:rFonts w:cs="宋体"/>
          <w:szCs w:val="24"/>
        </w:rPr>
      </w:pPr>
      <w:r>
        <w:rPr>
          <w:rFonts w:hint="eastAsia" w:cs="宋体"/>
          <w:szCs w:val="24"/>
        </w:rPr>
        <w:t>甲方名称（委托人）：</w:t>
      </w:r>
      <w:r>
        <w:rPr>
          <w:rFonts w:hint="eastAsia" w:cs="宋体"/>
          <w:szCs w:val="24"/>
          <w:u w:val="single"/>
        </w:rPr>
        <w:t xml:space="preserve">                            </w:t>
      </w:r>
    </w:p>
    <w:p>
      <w:pPr>
        <w:ind w:firstLine="420"/>
        <w:rPr>
          <w:rFonts w:cs="宋体"/>
          <w:szCs w:val="24"/>
        </w:rPr>
      </w:pPr>
      <w:r>
        <w:rPr>
          <w:rFonts w:hint="eastAsia" w:cs="宋体"/>
          <w:szCs w:val="24"/>
        </w:rPr>
        <w:t>乙方名称（监理人）：</w:t>
      </w:r>
      <w:r>
        <w:rPr>
          <w:rFonts w:hint="eastAsia" w:cs="宋体"/>
          <w:szCs w:val="24"/>
          <w:u w:val="single"/>
        </w:rPr>
        <w:t xml:space="preserve">                              </w:t>
      </w:r>
    </w:p>
    <w:p>
      <w:pPr>
        <w:ind w:firstLine="420"/>
        <w:rPr>
          <w:rFonts w:cs="宋体"/>
          <w:szCs w:val="24"/>
        </w:rPr>
      </w:pPr>
    </w:p>
    <w:p>
      <w:pPr>
        <w:ind w:firstLine="420"/>
        <w:rPr>
          <w:rFonts w:cs="宋体"/>
          <w:szCs w:val="24"/>
        </w:rPr>
      </w:pPr>
      <w:r>
        <w:rPr>
          <w:rFonts w:hint="eastAsia" w:cs="宋体"/>
          <w:szCs w:val="24"/>
        </w:rPr>
        <w:t>为确保</w:t>
      </w:r>
      <w:r>
        <w:rPr>
          <w:rFonts w:hint="eastAsia" w:cs="宋体"/>
          <w:szCs w:val="24"/>
          <w:u w:val="single"/>
        </w:rPr>
        <w:t xml:space="preserve">                     监理</w:t>
      </w:r>
      <w:r>
        <w:rPr>
          <w:rFonts w:hint="eastAsia" w:cs="宋体"/>
          <w:szCs w:val="24"/>
        </w:rPr>
        <w:t>采购合同（合同编号：</w:t>
      </w:r>
      <w:r>
        <w:rPr>
          <w:rFonts w:hint="eastAsia" w:cs="宋体"/>
          <w:szCs w:val="24"/>
          <w:u w:val="single"/>
        </w:rPr>
        <w:t xml:space="preserve">                    </w:t>
      </w:r>
      <w:r>
        <w:rPr>
          <w:rFonts w:hint="eastAsia" w:cs="宋体"/>
          <w:szCs w:val="24"/>
        </w:rPr>
        <w:t>）双方能够廉洁地履行合同，维护双方合法权益，经双方协商达成一致意见，签订如下协议：</w:t>
      </w:r>
    </w:p>
    <w:p>
      <w:pPr>
        <w:ind w:firstLine="420"/>
        <w:rPr>
          <w:rFonts w:cs="宋体"/>
          <w:szCs w:val="24"/>
        </w:rPr>
      </w:pPr>
      <w:r>
        <w:rPr>
          <w:rFonts w:hint="eastAsia" w:cs="宋体"/>
          <w:szCs w:val="24"/>
        </w:rPr>
        <w:t>第一条 双方的权利和义务</w:t>
      </w:r>
    </w:p>
    <w:p>
      <w:pPr>
        <w:ind w:firstLine="420"/>
        <w:rPr>
          <w:rFonts w:cs="宋体"/>
          <w:szCs w:val="24"/>
        </w:rPr>
      </w:pPr>
      <w:r>
        <w:rPr>
          <w:rFonts w:hint="eastAsia" w:cs="宋体"/>
          <w:szCs w:val="24"/>
        </w:rPr>
        <w:t>1．严格遵守党和国家有关法律法规及党风廉政建设有关规定。</w:t>
      </w:r>
    </w:p>
    <w:p>
      <w:pPr>
        <w:ind w:firstLine="420"/>
        <w:rPr>
          <w:rFonts w:cs="宋体"/>
          <w:szCs w:val="24"/>
        </w:rPr>
      </w:pPr>
      <w:r>
        <w:rPr>
          <w:rFonts w:hint="eastAsia" w:cs="宋体"/>
          <w:szCs w:val="24"/>
        </w:rPr>
        <w:t>2．双方本着公开、公正、诚信的原则，自觉按合同办事，不得损害国家、集体利益以及个人合法权益。</w:t>
      </w:r>
    </w:p>
    <w:p>
      <w:pPr>
        <w:ind w:firstLine="420"/>
        <w:rPr>
          <w:rFonts w:cs="宋体"/>
          <w:szCs w:val="24"/>
        </w:rPr>
      </w:pPr>
      <w:r>
        <w:rPr>
          <w:rFonts w:hint="eastAsia" w:cs="宋体"/>
          <w:szCs w:val="24"/>
        </w:rPr>
        <w:t>3．双方要建立健全廉政制度，经常开展廉政教育，加强对本单位工作人员的监督工作。</w:t>
      </w:r>
    </w:p>
    <w:p>
      <w:pPr>
        <w:ind w:firstLine="420"/>
        <w:rPr>
          <w:rFonts w:cs="宋体"/>
          <w:szCs w:val="24"/>
        </w:rPr>
      </w:pPr>
      <w:r>
        <w:rPr>
          <w:rFonts w:hint="eastAsia" w:cs="宋体"/>
          <w:szCs w:val="24"/>
        </w:rPr>
        <w:t>4．加强相互监督，对违反合同行为及时提醒并予以纠正，对违法违纪行为及时报告有关部门。</w:t>
      </w:r>
    </w:p>
    <w:p>
      <w:pPr>
        <w:ind w:firstLine="420"/>
        <w:rPr>
          <w:rFonts w:cs="宋体"/>
          <w:szCs w:val="24"/>
        </w:rPr>
      </w:pPr>
      <w:r>
        <w:rPr>
          <w:rFonts w:hint="eastAsia" w:cs="宋体"/>
          <w:szCs w:val="24"/>
        </w:rPr>
        <w:t>第二条 甲方责任</w:t>
      </w:r>
    </w:p>
    <w:p>
      <w:pPr>
        <w:ind w:firstLine="420"/>
        <w:rPr>
          <w:rFonts w:cs="宋体"/>
          <w:szCs w:val="24"/>
        </w:rPr>
      </w:pPr>
      <w:r>
        <w:rPr>
          <w:rFonts w:hint="eastAsia" w:cs="宋体"/>
          <w:szCs w:val="24"/>
        </w:rPr>
        <w:t>1．甲方工作人员不得索要或接受乙方提供的礼金、有价证券（卡）和物品；不得在乙方单位报销应由个人支付的各种费用。</w:t>
      </w:r>
    </w:p>
    <w:p>
      <w:pPr>
        <w:ind w:firstLine="420"/>
        <w:rPr>
          <w:rFonts w:cs="宋体"/>
          <w:szCs w:val="24"/>
        </w:rPr>
      </w:pPr>
      <w:r>
        <w:rPr>
          <w:rFonts w:hint="eastAsia" w:cs="宋体"/>
          <w:szCs w:val="24"/>
        </w:rPr>
        <w:t>2．甲方工作人员不得利用职权安排亲友、子女到乙方单位工作或分包工程。</w:t>
      </w:r>
    </w:p>
    <w:p>
      <w:pPr>
        <w:ind w:firstLine="420"/>
        <w:rPr>
          <w:rFonts w:cs="宋体"/>
          <w:szCs w:val="24"/>
        </w:rPr>
      </w:pPr>
      <w:r>
        <w:rPr>
          <w:rFonts w:hint="eastAsia" w:cs="宋体"/>
          <w:szCs w:val="24"/>
        </w:rPr>
        <w:t>3．甲方工作人员不得接受乙方提供的宴请、高消费娱乐活动及国内外观光旅游活动。</w:t>
      </w:r>
    </w:p>
    <w:p>
      <w:pPr>
        <w:ind w:firstLine="420"/>
        <w:rPr>
          <w:rFonts w:cs="宋体"/>
          <w:szCs w:val="24"/>
        </w:rPr>
      </w:pPr>
      <w:r>
        <w:rPr>
          <w:rFonts w:hint="eastAsia" w:cs="宋体"/>
          <w:szCs w:val="24"/>
        </w:rPr>
        <w:t>4．甲方工作人员不得利用计量、结算、支付等职权，收受乙方回扣，谋取私利。</w:t>
      </w:r>
    </w:p>
    <w:p>
      <w:pPr>
        <w:ind w:firstLine="420"/>
        <w:rPr>
          <w:rFonts w:cs="宋体"/>
          <w:szCs w:val="24"/>
        </w:rPr>
      </w:pPr>
      <w:r>
        <w:rPr>
          <w:rFonts w:hint="eastAsia" w:cs="宋体"/>
          <w:szCs w:val="24"/>
        </w:rPr>
        <w:t>第三条 乙方责任</w:t>
      </w:r>
    </w:p>
    <w:p>
      <w:pPr>
        <w:ind w:firstLine="420"/>
        <w:rPr>
          <w:rFonts w:cs="宋体"/>
          <w:szCs w:val="24"/>
        </w:rPr>
      </w:pPr>
      <w:r>
        <w:rPr>
          <w:rFonts w:hint="eastAsia" w:cs="宋体"/>
          <w:szCs w:val="24"/>
        </w:rPr>
        <w:t>1．乙方工作人员不得以任何理由向甲方工作人员赠送现金、礼品或有价证券（卡）。</w:t>
      </w:r>
    </w:p>
    <w:p>
      <w:pPr>
        <w:ind w:firstLine="420"/>
        <w:rPr>
          <w:rFonts w:cs="宋体"/>
          <w:szCs w:val="24"/>
        </w:rPr>
      </w:pPr>
      <w:r>
        <w:rPr>
          <w:rFonts w:hint="eastAsia" w:cs="宋体"/>
          <w:szCs w:val="24"/>
        </w:rPr>
        <w:t>2．乙方工作人员不得为甲方工作人员报销应由甲方单位或个人支付的任何费用。</w:t>
      </w:r>
    </w:p>
    <w:p>
      <w:pPr>
        <w:ind w:firstLine="420"/>
        <w:rPr>
          <w:rFonts w:cs="宋体"/>
          <w:szCs w:val="24"/>
        </w:rPr>
      </w:pPr>
      <w:r>
        <w:rPr>
          <w:rFonts w:hint="eastAsia" w:cs="宋体"/>
          <w:szCs w:val="24"/>
        </w:rPr>
        <w:t>3．乙方工作人员不得邀请和资助甲方工作人员及家属外出旅游、参观、学习。</w:t>
      </w:r>
    </w:p>
    <w:p>
      <w:pPr>
        <w:ind w:firstLine="420"/>
        <w:rPr>
          <w:rFonts w:cs="宋体"/>
          <w:szCs w:val="24"/>
        </w:rPr>
      </w:pPr>
      <w:r>
        <w:rPr>
          <w:rFonts w:hint="eastAsia" w:cs="宋体"/>
          <w:szCs w:val="24"/>
        </w:rPr>
        <w:t>4．乙方工作人员不得利用黄、赌、贿等各种手段拉拢腐蚀甲方工作人员。</w:t>
      </w:r>
    </w:p>
    <w:p>
      <w:pPr>
        <w:ind w:firstLine="420"/>
        <w:rPr>
          <w:rFonts w:cs="宋体"/>
          <w:szCs w:val="24"/>
        </w:rPr>
      </w:pPr>
      <w:r>
        <w:rPr>
          <w:rFonts w:hint="eastAsia" w:cs="宋体"/>
          <w:szCs w:val="24"/>
        </w:rPr>
        <w:t>第四条 违约责任</w:t>
      </w:r>
    </w:p>
    <w:p>
      <w:pPr>
        <w:ind w:firstLine="420"/>
        <w:rPr>
          <w:rFonts w:cs="宋体"/>
          <w:szCs w:val="24"/>
        </w:rPr>
      </w:pPr>
      <w:r>
        <w:rPr>
          <w:rFonts w:hint="eastAsia" w:cs="宋体"/>
          <w:szCs w:val="24"/>
        </w:rPr>
        <w:t>1．甲方工作人员有违反本合同规定的行为，由甲方按照干部管理权限，并视情节轻重，给予责任人相应的组织处理、党纪政务处分；构成犯罪的，将责任人移交司法机关追究其刑事责任。</w:t>
      </w:r>
    </w:p>
    <w:p>
      <w:pPr>
        <w:ind w:firstLine="420"/>
        <w:rPr>
          <w:rFonts w:cs="宋体"/>
          <w:szCs w:val="24"/>
        </w:rPr>
      </w:pPr>
      <w:r>
        <w:rPr>
          <w:rFonts w:hint="eastAsia" w:cs="宋体"/>
          <w:szCs w:val="24"/>
        </w:rPr>
        <w:t>2．乙方单位或个人有违反合同约定的行为，情节轻微的，收缴乙方交纳的部分保证金；情节较重并给甲方造成损失的，乙方自愿接受甲方相关部门给予的处理，并依法承担责任。</w:t>
      </w:r>
    </w:p>
    <w:p>
      <w:pPr>
        <w:ind w:firstLine="420"/>
        <w:rPr>
          <w:rFonts w:cs="宋体"/>
          <w:szCs w:val="24"/>
        </w:rPr>
      </w:pPr>
      <w:r>
        <w:rPr>
          <w:rFonts w:hint="eastAsia" w:cs="宋体"/>
          <w:szCs w:val="24"/>
        </w:rPr>
        <w:t>第五条 本合同作为</w:t>
      </w:r>
      <w:r>
        <w:rPr>
          <w:rFonts w:hint="eastAsia" w:cs="宋体"/>
          <w:szCs w:val="24"/>
          <w:u w:val="single"/>
        </w:rPr>
        <w:t xml:space="preserve">                       </w:t>
      </w:r>
      <w:r>
        <w:rPr>
          <w:rFonts w:hint="eastAsia" w:cs="宋体"/>
          <w:szCs w:val="24"/>
        </w:rPr>
        <w:t>合同的一部分，双方签字盖章后即生效。</w:t>
      </w:r>
    </w:p>
    <w:p>
      <w:pPr>
        <w:ind w:firstLine="420"/>
        <w:rPr>
          <w:rFonts w:cs="宋体"/>
          <w:szCs w:val="24"/>
        </w:rPr>
      </w:pPr>
      <w:r>
        <w:rPr>
          <w:rFonts w:hint="eastAsia" w:cs="宋体"/>
          <w:szCs w:val="24"/>
        </w:rPr>
        <w:t>第六条 本合同正本二份，副本二份，甲乙双方各执正本副本各一份。</w:t>
      </w:r>
    </w:p>
    <w:p>
      <w:pPr>
        <w:pStyle w:val="26"/>
        <w:rPr>
          <w:rFonts w:ascii="宋体" w:cs="宋体"/>
          <w:szCs w:val="24"/>
        </w:rPr>
      </w:pPr>
    </w:p>
    <w:p>
      <w:pPr>
        <w:ind w:firstLine="420"/>
      </w:pPr>
    </w:p>
    <w:p>
      <w:pPr>
        <w:ind w:firstLine="420"/>
        <w:rPr>
          <w:rFonts w:cs="宋体"/>
          <w:szCs w:val="24"/>
        </w:rPr>
      </w:pPr>
    </w:p>
    <w:p>
      <w:pPr>
        <w:pStyle w:val="26"/>
      </w:pPr>
    </w:p>
    <w:tbl>
      <w:tblPr>
        <w:tblStyle w:val="23"/>
        <w:tblW w:w="85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2"/>
        <w:gridCol w:w="4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2" w:type="dxa"/>
            <w:tcBorders>
              <w:tl2br w:val="nil"/>
              <w:tr2bl w:val="nil"/>
            </w:tcBorders>
          </w:tcPr>
          <w:p>
            <w:pPr>
              <w:ind w:firstLine="0" w:firstLineChars="0"/>
              <w:jc w:val="both"/>
              <w:rPr>
                <w:rFonts w:cs="宋体"/>
                <w:szCs w:val="24"/>
              </w:rPr>
            </w:pPr>
            <w:r>
              <w:rPr>
                <w:rFonts w:hint="eastAsia" w:cs="宋体"/>
                <w:szCs w:val="24"/>
              </w:rPr>
              <w:t>甲方（盖章）:</w:t>
            </w:r>
          </w:p>
        </w:tc>
        <w:tc>
          <w:tcPr>
            <w:tcW w:w="4252" w:type="dxa"/>
            <w:tcBorders>
              <w:tl2br w:val="nil"/>
              <w:tr2bl w:val="nil"/>
            </w:tcBorders>
          </w:tcPr>
          <w:p>
            <w:pPr>
              <w:ind w:firstLine="0" w:firstLineChars="0"/>
              <w:jc w:val="both"/>
              <w:rPr>
                <w:rFonts w:cs="宋体"/>
                <w:szCs w:val="24"/>
              </w:rPr>
            </w:pPr>
            <w:r>
              <w:rPr>
                <w:rFonts w:hint="eastAsia" w:cs="宋体"/>
                <w:szCs w:val="24"/>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2" w:type="dxa"/>
            <w:tcBorders>
              <w:tl2br w:val="nil"/>
              <w:tr2bl w:val="nil"/>
            </w:tcBorders>
          </w:tcPr>
          <w:p>
            <w:pPr>
              <w:ind w:firstLine="0" w:firstLineChars="0"/>
              <w:jc w:val="both"/>
              <w:rPr>
                <w:rFonts w:cs="宋体"/>
                <w:szCs w:val="24"/>
              </w:rPr>
            </w:pPr>
            <w:r>
              <w:rPr>
                <w:rFonts w:hint="eastAsia" w:cs="宋体"/>
                <w:szCs w:val="24"/>
              </w:rPr>
              <w:t>代表（签字）:</w:t>
            </w:r>
          </w:p>
        </w:tc>
        <w:tc>
          <w:tcPr>
            <w:tcW w:w="4252" w:type="dxa"/>
            <w:tcBorders>
              <w:tl2br w:val="nil"/>
              <w:tr2bl w:val="nil"/>
            </w:tcBorders>
          </w:tcPr>
          <w:p>
            <w:pPr>
              <w:ind w:firstLine="0" w:firstLineChars="0"/>
              <w:jc w:val="both"/>
              <w:rPr>
                <w:rFonts w:cs="宋体"/>
                <w:szCs w:val="24"/>
              </w:rPr>
            </w:pPr>
            <w:r>
              <w:rPr>
                <w:rFonts w:hint="eastAsia" w:cs="宋体"/>
                <w:szCs w:val="24"/>
              </w:rPr>
              <w:t>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52" w:type="dxa"/>
            <w:tcBorders>
              <w:tl2br w:val="nil"/>
              <w:tr2bl w:val="nil"/>
            </w:tcBorders>
          </w:tcPr>
          <w:p>
            <w:pPr>
              <w:ind w:firstLine="0" w:firstLineChars="0"/>
              <w:jc w:val="both"/>
              <w:rPr>
                <w:rFonts w:cs="宋体"/>
                <w:szCs w:val="24"/>
              </w:rPr>
            </w:pPr>
            <w:r>
              <w:rPr>
                <w:rFonts w:hint="eastAsia" w:cs="宋体"/>
                <w:szCs w:val="24"/>
              </w:rPr>
              <w:t>日期：</w:t>
            </w:r>
          </w:p>
        </w:tc>
        <w:tc>
          <w:tcPr>
            <w:tcW w:w="4252" w:type="dxa"/>
            <w:tcBorders>
              <w:tl2br w:val="nil"/>
              <w:tr2bl w:val="nil"/>
            </w:tcBorders>
          </w:tcPr>
          <w:p>
            <w:pPr>
              <w:ind w:firstLine="0" w:firstLineChars="0"/>
              <w:jc w:val="both"/>
              <w:rPr>
                <w:rFonts w:cs="宋体"/>
                <w:szCs w:val="24"/>
              </w:rPr>
            </w:pPr>
            <w:r>
              <w:rPr>
                <w:rFonts w:hint="eastAsia" w:cs="宋体"/>
                <w:szCs w:val="24"/>
              </w:rPr>
              <w:t>日期：</w:t>
            </w:r>
          </w:p>
        </w:tc>
      </w:tr>
    </w:tbl>
    <w:p>
      <w:pPr>
        <w:ind w:firstLine="420"/>
        <w:rPr>
          <w:rFonts w:cs="宋体"/>
          <w:szCs w:val="24"/>
        </w:rPr>
      </w:pPr>
    </w:p>
    <w:p>
      <w:pPr>
        <w:pStyle w:val="29"/>
        <w:spacing w:line="360" w:lineRule="auto"/>
        <w:jc w:val="both"/>
        <w:rPr>
          <w:b/>
          <w:bCs/>
          <w:color w:val="auto"/>
          <w:kern w:val="2"/>
        </w:rPr>
      </w:pPr>
    </w:p>
    <w:p>
      <w:pPr>
        <w:pStyle w:val="29"/>
        <w:spacing w:line="360" w:lineRule="auto"/>
        <w:jc w:val="both"/>
        <w:rPr>
          <w:b/>
          <w:bCs/>
          <w:color w:val="auto"/>
          <w:kern w:val="2"/>
        </w:rPr>
      </w:pPr>
    </w:p>
    <w:p>
      <w:pPr>
        <w:pStyle w:val="29"/>
        <w:spacing w:line="360" w:lineRule="auto"/>
        <w:jc w:val="both"/>
        <w:rPr>
          <w:b/>
          <w:bCs/>
          <w:color w:val="auto"/>
          <w:kern w:val="2"/>
        </w:rPr>
      </w:pPr>
    </w:p>
    <w:p>
      <w:pPr>
        <w:pStyle w:val="29"/>
        <w:spacing w:line="360" w:lineRule="auto"/>
        <w:jc w:val="both"/>
        <w:rPr>
          <w:b/>
          <w:bCs/>
          <w:color w:val="auto"/>
          <w:kern w:val="2"/>
        </w:rPr>
      </w:pPr>
    </w:p>
    <w:p>
      <w:pPr>
        <w:pStyle w:val="29"/>
        <w:spacing w:line="360" w:lineRule="auto"/>
        <w:jc w:val="both"/>
        <w:rPr>
          <w:b/>
          <w:bCs/>
          <w:color w:val="auto"/>
          <w:kern w:val="2"/>
        </w:rPr>
      </w:pPr>
    </w:p>
    <w:p>
      <w:pPr>
        <w:pStyle w:val="29"/>
        <w:spacing w:line="360" w:lineRule="auto"/>
        <w:jc w:val="both"/>
        <w:rPr>
          <w:b/>
          <w:bCs/>
          <w:color w:val="auto"/>
          <w:kern w:val="2"/>
        </w:rPr>
      </w:pPr>
    </w:p>
    <w:p>
      <w:pPr>
        <w:pStyle w:val="2"/>
      </w:pPr>
      <w:r>
        <w:rPr>
          <w:rFonts w:hint="eastAsia" w:cs="宋体"/>
          <w:b/>
          <w:bCs/>
          <w:sz w:val="24"/>
          <w:szCs w:val="24"/>
        </w:rPr>
        <w:br w:type="page"/>
      </w:r>
      <w:r>
        <w:rPr>
          <w:rFonts w:hint="eastAsia"/>
        </w:rPr>
        <w:t>第五章 委托人要求</w:t>
      </w:r>
      <w:bookmarkEnd w:id="409"/>
      <w:bookmarkEnd w:id="410"/>
    </w:p>
    <w:p>
      <w:pPr>
        <w:autoSpaceDE/>
        <w:autoSpaceDN/>
        <w:spacing w:line="520" w:lineRule="exact"/>
        <w:ind w:firstLine="0" w:firstLineChars="0"/>
        <w:rPr>
          <w:rFonts w:cs="宋体"/>
          <w:b/>
          <w:bCs/>
        </w:rPr>
      </w:pPr>
      <w:r>
        <w:rPr>
          <w:rFonts w:hint="eastAsia" w:cs="宋体"/>
          <w:b/>
          <w:bCs/>
        </w:rPr>
        <w:t>一、适用规范标准</w:t>
      </w:r>
    </w:p>
    <w:p>
      <w:pPr>
        <w:ind w:firstLine="420"/>
      </w:pPr>
      <w:r>
        <w:rPr>
          <w:rFonts w:hint="eastAsia"/>
        </w:rPr>
        <w:t>1、本工程适用现行国家、行业和地方规范、标准和规程。构成合同文件的任何内容与适用的规范、标准和规程之间出现矛盾，监理人应书面要求委托人予以澄清，除委托人有特别指示外，监理人应按照最严格的标准执行。</w:t>
      </w:r>
    </w:p>
    <w:p>
      <w:pPr>
        <w:ind w:firstLine="420"/>
      </w:pPr>
      <w:r>
        <w:rPr>
          <w:rFonts w:hint="eastAsia"/>
        </w:rPr>
        <w:t>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w:t>
      </w:r>
    </w:p>
    <w:p>
      <w:pPr>
        <w:autoSpaceDE/>
        <w:autoSpaceDN/>
        <w:spacing w:line="520" w:lineRule="exact"/>
        <w:ind w:firstLine="0" w:firstLineChars="0"/>
        <w:rPr>
          <w:rFonts w:cs="宋体"/>
          <w:b/>
          <w:bCs/>
        </w:rPr>
      </w:pPr>
      <w:r>
        <w:rPr>
          <w:rFonts w:hint="eastAsia" w:cs="宋体"/>
          <w:b/>
          <w:bCs/>
        </w:rPr>
        <w:t>二、成果文件要求</w:t>
      </w:r>
    </w:p>
    <w:p>
      <w:pPr>
        <w:ind w:firstLine="420"/>
      </w:pPr>
      <w:r>
        <w:rPr>
          <w:rFonts w:hint="eastAsia"/>
        </w:rPr>
        <w:t>1.成果文件的组成：监理大纲及实施细则，监理记录及变更签证等。</w:t>
      </w:r>
    </w:p>
    <w:p>
      <w:pPr>
        <w:ind w:firstLine="420"/>
      </w:pPr>
      <w:r>
        <w:rPr>
          <w:rFonts w:hint="eastAsia"/>
        </w:rPr>
        <w:t>2.成果文件的深度：满足《建设工程监理规范》要求及招标人存档备案要求。</w:t>
      </w:r>
    </w:p>
    <w:p>
      <w:pPr>
        <w:ind w:firstLine="420"/>
      </w:pPr>
      <w:r>
        <w:rPr>
          <w:rFonts w:hint="eastAsia"/>
        </w:rPr>
        <w:t>3.成果文件的份数要求：根据监理合同要求。</w:t>
      </w:r>
    </w:p>
    <w:p>
      <w:pPr>
        <w:ind w:firstLine="420"/>
      </w:pPr>
      <w:r>
        <w:rPr>
          <w:rFonts w:hint="eastAsia"/>
        </w:rPr>
        <w:t>4.成果文件的载体要求：</w:t>
      </w:r>
    </w:p>
    <w:p>
      <w:pPr>
        <w:ind w:firstLine="420"/>
      </w:pPr>
      <w:r>
        <w:rPr>
          <w:rFonts w:hint="eastAsia"/>
        </w:rPr>
        <w:t>（1）纸质版的要求：左侧胶装。</w:t>
      </w:r>
    </w:p>
    <w:p>
      <w:pPr>
        <w:ind w:firstLine="420"/>
      </w:pPr>
      <w:r>
        <w:rPr>
          <w:rFonts w:hint="eastAsia"/>
        </w:rPr>
        <w:t>（2）电子版的要求：可有效查询。</w:t>
      </w:r>
    </w:p>
    <w:p>
      <w:pPr>
        <w:ind w:firstLine="420"/>
      </w:pPr>
      <w:r>
        <w:rPr>
          <w:rFonts w:hint="eastAsia"/>
        </w:rPr>
        <w:t>（3）其他要求：无。</w:t>
      </w:r>
    </w:p>
    <w:p>
      <w:pPr>
        <w:ind w:firstLine="420"/>
      </w:pPr>
      <w:r>
        <w:rPr>
          <w:rFonts w:hint="eastAsia"/>
        </w:rPr>
        <w:t>5.成果文件的其他要求：随时配合委托人进行资料查阅。</w:t>
      </w:r>
    </w:p>
    <w:p>
      <w:pPr>
        <w:ind w:firstLine="420"/>
      </w:pPr>
      <w:bookmarkStart w:id="417" w:name="_Toc22234"/>
      <w:r>
        <w:rPr>
          <w:rFonts w:hint="eastAsia"/>
        </w:rPr>
        <w:br w:type="page"/>
      </w:r>
    </w:p>
    <w:p>
      <w:pPr>
        <w:pStyle w:val="2"/>
        <w:autoSpaceDE/>
        <w:autoSpaceDN/>
        <w:rPr>
          <w:rFonts w:cs="宋体"/>
          <w:kern w:val="0"/>
          <w:sz w:val="48"/>
          <w:szCs w:val="48"/>
        </w:rPr>
      </w:pPr>
      <w:bookmarkStart w:id="418" w:name="_Toc152663964"/>
      <w:r>
        <w:rPr>
          <w:rFonts w:hint="eastAsia"/>
        </w:rPr>
        <w:t>第六章 投标文件格式</w:t>
      </w:r>
      <w:bookmarkEnd w:id="417"/>
      <w:bookmarkEnd w:id="418"/>
    </w:p>
    <w:p>
      <w:pPr>
        <w:adjustRightInd w:val="0"/>
        <w:spacing w:before="10" w:line="130" w:lineRule="exact"/>
        <w:ind w:firstLine="260"/>
        <w:rPr>
          <w:rFonts w:cs="宋体"/>
          <w:kern w:val="0"/>
          <w:sz w:val="13"/>
          <w:szCs w:val="13"/>
        </w:rPr>
      </w:pPr>
    </w:p>
    <w:p>
      <w:pPr>
        <w:adjustRightInd w:val="0"/>
        <w:spacing w:line="200" w:lineRule="exact"/>
        <w:ind w:firstLine="400"/>
        <w:rPr>
          <w:rFonts w:cs="宋体"/>
          <w:kern w:val="0"/>
          <w:sz w:val="20"/>
          <w:szCs w:val="20"/>
        </w:rPr>
      </w:pPr>
    </w:p>
    <w:p>
      <w:pPr>
        <w:pStyle w:val="26"/>
      </w:pPr>
    </w:p>
    <w:p>
      <w:pPr>
        <w:adjustRightInd w:val="0"/>
        <w:ind w:firstLine="400"/>
        <w:rPr>
          <w:rFonts w:cs="宋体"/>
          <w:kern w:val="0"/>
          <w:sz w:val="20"/>
          <w:szCs w:val="20"/>
        </w:rPr>
      </w:pPr>
    </w:p>
    <w:p>
      <w:pPr>
        <w:adjustRightInd w:val="0"/>
        <w:ind w:firstLine="400"/>
        <w:rPr>
          <w:rFonts w:cs="宋体"/>
          <w:kern w:val="0"/>
          <w:sz w:val="20"/>
          <w:szCs w:val="20"/>
        </w:rPr>
      </w:pPr>
    </w:p>
    <w:p>
      <w:pPr>
        <w:tabs>
          <w:tab w:val="left" w:pos="3280"/>
        </w:tabs>
        <w:adjustRightInd w:val="0"/>
        <w:ind w:firstLine="0" w:firstLineChars="0"/>
        <w:jc w:val="center"/>
        <w:rPr>
          <w:rFonts w:cs="宋体"/>
          <w:kern w:val="0"/>
          <w:sz w:val="32"/>
          <w:szCs w:val="32"/>
          <w:u w:val="single"/>
        </w:rPr>
      </w:pPr>
      <w:bookmarkStart w:id="419" w:name="_Toc7451"/>
      <w:r>
        <w:rPr>
          <w:rFonts w:hint="eastAsia" w:cs="宋体"/>
          <w:kern w:val="0"/>
          <w:position w:val="-3"/>
          <w:sz w:val="32"/>
          <w:szCs w:val="32"/>
          <w:u w:val="single"/>
        </w:rPr>
        <w:t>（项目</w:t>
      </w:r>
      <w:r>
        <w:rPr>
          <w:rFonts w:hint="eastAsia" w:cs="宋体"/>
          <w:spacing w:val="-3"/>
          <w:kern w:val="0"/>
          <w:position w:val="-3"/>
          <w:sz w:val="32"/>
          <w:szCs w:val="32"/>
          <w:u w:val="single"/>
        </w:rPr>
        <w:t>名</w:t>
      </w:r>
      <w:r>
        <w:rPr>
          <w:rFonts w:hint="eastAsia" w:cs="宋体"/>
          <w:kern w:val="0"/>
          <w:position w:val="-3"/>
          <w:sz w:val="32"/>
          <w:szCs w:val="32"/>
          <w:u w:val="single"/>
        </w:rPr>
        <w:t>称）</w:t>
      </w:r>
      <w:bookmarkEnd w:id="419"/>
    </w:p>
    <w:p>
      <w:pPr>
        <w:adjustRightInd w:val="0"/>
        <w:ind w:firstLine="200"/>
        <w:rPr>
          <w:rFonts w:cs="宋体"/>
          <w:kern w:val="0"/>
          <w:sz w:val="10"/>
          <w:szCs w:val="10"/>
        </w:rPr>
      </w:pPr>
    </w:p>
    <w:p>
      <w:pPr>
        <w:adjustRightInd w:val="0"/>
        <w:ind w:firstLine="400"/>
        <w:rPr>
          <w:rFonts w:cs="宋体"/>
          <w:kern w:val="0"/>
          <w:sz w:val="20"/>
          <w:szCs w:val="20"/>
        </w:rPr>
      </w:pPr>
    </w:p>
    <w:p>
      <w:pPr>
        <w:adjustRightInd w:val="0"/>
        <w:ind w:firstLine="400"/>
        <w:rPr>
          <w:rFonts w:cs="宋体"/>
          <w:kern w:val="0"/>
          <w:sz w:val="20"/>
          <w:szCs w:val="20"/>
        </w:rPr>
      </w:pPr>
    </w:p>
    <w:p>
      <w:pPr>
        <w:tabs>
          <w:tab w:val="left" w:pos="3280"/>
        </w:tabs>
        <w:adjustRightInd w:val="0"/>
        <w:ind w:left="2161" w:right="-20" w:firstLine="945"/>
        <w:rPr>
          <w:rFonts w:cs="宋体"/>
          <w:w w:val="169"/>
          <w:kern w:val="0"/>
          <w:position w:val="-3"/>
          <w:sz w:val="28"/>
          <w:szCs w:val="28"/>
        </w:rPr>
      </w:pPr>
    </w:p>
    <w:p>
      <w:pPr>
        <w:spacing w:line="240" w:lineRule="auto"/>
        <w:ind w:firstLine="0" w:firstLineChars="0"/>
        <w:jc w:val="center"/>
        <w:rPr>
          <w:rFonts w:cs="宋体"/>
          <w:sz w:val="72"/>
          <w:szCs w:val="72"/>
        </w:rPr>
      </w:pPr>
      <w:bookmarkStart w:id="420" w:name="_Toc26027"/>
      <w:r>
        <w:rPr>
          <w:rFonts w:hint="eastAsia" w:cs="宋体"/>
          <w:sz w:val="72"/>
          <w:szCs w:val="72"/>
        </w:rPr>
        <w:t>投 标 文 件</w:t>
      </w:r>
      <w:bookmarkEnd w:id="420"/>
    </w:p>
    <w:p>
      <w:pPr>
        <w:adjustRightInd w:val="0"/>
        <w:ind w:firstLine="400"/>
        <w:rPr>
          <w:rFonts w:cs="宋体"/>
          <w:kern w:val="0"/>
          <w:sz w:val="20"/>
          <w:szCs w:val="20"/>
        </w:rPr>
      </w:pPr>
    </w:p>
    <w:p>
      <w:pPr>
        <w:adjustRightInd w:val="0"/>
        <w:ind w:firstLine="400"/>
        <w:rPr>
          <w:rFonts w:cs="宋体"/>
          <w:kern w:val="0"/>
          <w:sz w:val="20"/>
          <w:szCs w:val="20"/>
        </w:rPr>
      </w:pPr>
    </w:p>
    <w:p>
      <w:pPr>
        <w:adjustRightInd w:val="0"/>
        <w:ind w:firstLine="400"/>
        <w:rPr>
          <w:rFonts w:cs="宋体"/>
          <w:kern w:val="0"/>
          <w:sz w:val="20"/>
          <w:szCs w:val="20"/>
        </w:rPr>
      </w:pPr>
    </w:p>
    <w:p>
      <w:pPr>
        <w:adjustRightInd w:val="0"/>
        <w:ind w:firstLine="400"/>
        <w:rPr>
          <w:rFonts w:cs="宋体"/>
          <w:kern w:val="0"/>
          <w:sz w:val="20"/>
          <w:szCs w:val="20"/>
        </w:rPr>
      </w:pPr>
    </w:p>
    <w:p>
      <w:pPr>
        <w:adjustRightInd w:val="0"/>
        <w:ind w:firstLine="400"/>
        <w:rPr>
          <w:rFonts w:cs="宋体"/>
          <w:kern w:val="0"/>
          <w:sz w:val="20"/>
          <w:szCs w:val="20"/>
        </w:rPr>
      </w:pPr>
    </w:p>
    <w:p>
      <w:pPr>
        <w:adjustRightInd w:val="0"/>
        <w:ind w:firstLine="400"/>
        <w:rPr>
          <w:rFonts w:cs="宋体"/>
          <w:kern w:val="0"/>
          <w:sz w:val="20"/>
          <w:szCs w:val="20"/>
        </w:rPr>
      </w:pPr>
    </w:p>
    <w:p>
      <w:pPr>
        <w:adjustRightInd w:val="0"/>
        <w:ind w:firstLine="400"/>
        <w:rPr>
          <w:rFonts w:cs="宋体"/>
          <w:kern w:val="0"/>
          <w:sz w:val="20"/>
          <w:szCs w:val="20"/>
        </w:rPr>
      </w:pPr>
    </w:p>
    <w:p>
      <w:pPr>
        <w:adjustRightInd w:val="0"/>
        <w:ind w:firstLine="560"/>
        <w:rPr>
          <w:rFonts w:cs="宋体"/>
          <w:kern w:val="0"/>
          <w:sz w:val="28"/>
          <w:szCs w:val="28"/>
        </w:rPr>
      </w:pPr>
    </w:p>
    <w:p>
      <w:pPr>
        <w:pStyle w:val="20"/>
        <w:ind w:left="63" w:right="63" w:firstLine="560"/>
        <w:rPr>
          <w:rFonts w:eastAsia="宋体" w:cs="宋体"/>
          <w:sz w:val="28"/>
          <w:szCs w:val="28"/>
        </w:rPr>
      </w:pPr>
    </w:p>
    <w:p>
      <w:pPr>
        <w:ind w:firstLine="420"/>
      </w:pPr>
    </w:p>
    <w:p>
      <w:pPr>
        <w:ind w:firstLine="420"/>
        <w:rPr>
          <w:rFonts w:cs="宋体"/>
          <w:szCs w:val="21"/>
        </w:rPr>
      </w:pPr>
    </w:p>
    <w:p>
      <w:pPr>
        <w:spacing w:line="360" w:lineRule="auto"/>
        <w:ind w:firstLine="1680" w:firstLineChars="600"/>
        <w:jc w:val="both"/>
        <w:rPr>
          <w:rFonts w:cs="宋体"/>
          <w:sz w:val="28"/>
          <w:szCs w:val="28"/>
        </w:rPr>
      </w:pPr>
      <w:r>
        <w:rPr>
          <w:rFonts w:hint="eastAsia" w:cs="宋体"/>
          <w:sz w:val="28"/>
          <w:szCs w:val="28"/>
        </w:rPr>
        <w:t>投标人：</w:t>
      </w:r>
      <w:r>
        <w:rPr>
          <w:rFonts w:hint="eastAsia" w:cs="宋体"/>
          <w:sz w:val="28"/>
          <w:szCs w:val="28"/>
          <w:u w:val="single"/>
        </w:rPr>
        <w:t xml:space="preserve">                         </w:t>
      </w:r>
      <w:r>
        <w:rPr>
          <w:rFonts w:hint="eastAsia" w:cs="宋体"/>
          <w:sz w:val="28"/>
          <w:szCs w:val="28"/>
        </w:rPr>
        <w:t>（盖单位章）</w:t>
      </w:r>
    </w:p>
    <w:p>
      <w:pPr>
        <w:spacing w:line="360" w:lineRule="auto"/>
        <w:ind w:firstLine="1680" w:firstLineChars="600"/>
        <w:jc w:val="both"/>
        <w:rPr>
          <w:rFonts w:cs="宋体"/>
          <w:sz w:val="28"/>
          <w:szCs w:val="28"/>
        </w:rPr>
      </w:pPr>
      <w:r>
        <w:rPr>
          <w:rFonts w:hint="eastAsia" w:cs="宋体"/>
          <w:sz w:val="28"/>
          <w:szCs w:val="28"/>
        </w:rPr>
        <w:t>法定代表人或其委托代理人：</w:t>
      </w:r>
      <w:r>
        <w:rPr>
          <w:rFonts w:hint="eastAsia" w:cs="宋体"/>
          <w:sz w:val="28"/>
          <w:szCs w:val="28"/>
          <w:u w:val="single"/>
        </w:rPr>
        <w:t xml:space="preserve">      </w:t>
      </w:r>
      <w:r>
        <w:rPr>
          <w:rFonts w:hint="eastAsia" w:cs="宋体"/>
          <w:sz w:val="28"/>
          <w:szCs w:val="28"/>
        </w:rPr>
        <w:t>（签字或盖章）</w:t>
      </w:r>
    </w:p>
    <w:p>
      <w:pPr>
        <w:ind w:firstLine="1680" w:firstLineChars="600"/>
        <w:jc w:val="both"/>
        <w:rPr>
          <w:rFonts w:cs="宋体"/>
          <w:sz w:val="28"/>
          <w:szCs w:val="28"/>
        </w:rPr>
      </w:pPr>
      <w:bookmarkStart w:id="421" w:name="_Toc7713"/>
      <w:r>
        <w:rPr>
          <w:rFonts w:hint="eastAsia" w:cs="宋体"/>
          <w:sz w:val="28"/>
          <w:szCs w:val="28"/>
        </w:rPr>
        <w:t>日期：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bookmarkEnd w:id="421"/>
    </w:p>
    <w:p>
      <w:pPr>
        <w:ind w:firstLine="560"/>
        <w:rPr>
          <w:rFonts w:cs="宋体"/>
          <w:sz w:val="28"/>
          <w:szCs w:val="28"/>
        </w:rPr>
      </w:pPr>
      <w:r>
        <w:rPr>
          <w:rFonts w:hint="eastAsia" w:cs="宋体"/>
          <w:sz w:val="28"/>
          <w:szCs w:val="28"/>
        </w:rPr>
        <w:br w:type="page"/>
      </w:r>
    </w:p>
    <w:p>
      <w:pPr>
        <w:ind w:firstLine="0" w:firstLineChars="0"/>
        <w:jc w:val="center"/>
      </w:pPr>
      <w:bookmarkStart w:id="422" w:name="_Toc4319"/>
      <w:bookmarkStart w:id="423" w:name="_Toc5569"/>
      <w:bookmarkStart w:id="424" w:name="_Toc22372"/>
      <w:r>
        <w:rPr>
          <w:rFonts w:hint="eastAsia"/>
        </w:rPr>
        <w:t>目   录</w:t>
      </w:r>
      <w:bookmarkEnd w:id="422"/>
      <w:bookmarkEnd w:id="423"/>
      <w:bookmarkEnd w:id="424"/>
    </w:p>
    <w:p>
      <w:pPr>
        <w:ind w:firstLine="420"/>
      </w:pPr>
      <w:bookmarkStart w:id="425" w:name="_Toc28230"/>
      <w:r>
        <w:rPr>
          <w:rFonts w:hint="eastAsia"/>
        </w:rPr>
        <w:t>一、投标函及投标函附录</w:t>
      </w:r>
      <w:bookmarkEnd w:id="425"/>
    </w:p>
    <w:p>
      <w:pPr>
        <w:ind w:firstLine="420"/>
      </w:pPr>
      <w:bookmarkStart w:id="426" w:name="_Toc4313"/>
      <w:r>
        <w:rPr>
          <w:rFonts w:hint="eastAsia"/>
        </w:rPr>
        <w:t>二、法定代表人身份证明</w:t>
      </w:r>
      <w:bookmarkEnd w:id="426"/>
      <w:bookmarkStart w:id="427" w:name="_Toc9662"/>
    </w:p>
    <w:p>
      <w:pPr>
        <w:ind w:firstLine="420"/>
      </w:pPr>
      <w:r>
        <w:rPr>
          <w:rFonts w:hint="eastAsia"/>
        </w:rPr>
        <w:t>三、授权委托书</w:t>
      </w:r>
      <w:bookmarkEnd w:id="427"/>
    </w:p>
    <w:p>
      <w:pPr>
        <w:ind w:firstLine="420"/>
      </w:pPr>
      <w:bookmarkStart w:id="428" w:name="_Toc26312"/>
      <w:r>
        <w:rPr>
          <w:rFonts w:hint="eastAsia"/>
        </w:rPr>
        <w:t>四、</w:t>
      </w:r>
      <w:bookmarkEnd w:id="428"/>
      <w:r>
        <w:rPr>
          <w:rFonts w:hint="eastAsia"/>
        </w:rPr>
        <w:t>资格审查资料</w:t>
      </w:r>
    </w:p>
    <w:p>
      <w:pPr>
        <w:ind w:firstLine="420"/>
      </w:pPr>
      <w:bookmarkStart w:id="429" w:name="_Toc21817"/>
      <w:r>
        <w:rPr>
          <w:rFonts w:hint="eastAsia"/>
        </w:rPr>
        <w:t>五、</w:t>
      </w:r>
      <w:bookmarkEnd w:id="429"/>
      <w:r>
        <w:rPr>
          <w:rFonts w:hint="eastAsia"/>
        </w:rPr>
        <w:t>监理大纲</w:t>
      </w:r>
    </w:p>
    <w:p>
      <w:pPr>
        <w:ind w:firstLine="420"/>
      </w:pPr>
      <w:bookmarkStart w:id="430" w:name="_Toc22317"/>
      <w:r>
        <w:rPr>
          <w:rFonts w:hint="eastAsia"/>
        </w:rPr>
        <w:t>六、</w:t>
      </w:r>
      <w:bookmarkEnd w:id="430"/>
      <w:r>
        <w:rPr>
          <w:rFonts w:hint="eastAsia"/>
        </w:rPr>
        <w:t>拟投入现场监理人员配置</w:t>
      </w:r>
    </w:p>
    <w:p>
      <w:pPr>
        <w:ind w:firstLine="420"/>
      </w:pPr>
      <w:bookmarkStart w:id="431" w:name="_Toc423"/>
      <w:r>
        <w:rPr>
          <w:rFonts w:hint="eastAsia"/>
        </w:rPr>
        <w:t>七、</w:t>
      </w:r>
      <w:bookmarkEnd w:id="431"/>
      <w:r>
        <w:rPr>
          <w:rFonts w:hint="eastAsia"/>
        </w:rPr>
        <w:t>其他资料</w:t>
      </w:r>
    </w:p>
    <w:p>
      <w:pPr>
        <w:ind w:firstLine="560"/>
        <w:rPr>
          <w:rFonts w:cs="宋体"/>
          <w:sz w:val="28"/>
          <w:szCs w:val="28"/>
        </w:rPr>
      </w:pPr>
      <w:bookmarkStart w:id="432" w:name="_Toc12529"/>
      <w:r>
        <w:rPr>
          <w:rFonts w:hint="eastAsia" w:cs="宋体"/>
          <w:sz w:val="28"/>
          <w:szCs w:val="28"/>
        </w:rPr>
        <w:br w:type="page"/>
      </w:r>
    </w:p>
    <w:p>
      <w:pPr>
        <w:pStyle w:val="3"/>
        <w:jc w:val="center"/>
      </w:pPr>
      <w:bookmarkStart w:id="433" w:name="_Toc152663965"/>
      <w:r>
        <w:rPr>
          <w:rFonts w:hint="eastAsia"/>
        </w:rPr>
        <w:t>一、投标函及投标函附录</w:t>
      </w:r>
      <w:bookmarkEnd w:id="432"/>
      <w:bookmarkEnd w:id="433"/>
      <w:bookmarkStart w:id="434" w:name="_bookmark177"/>
      <w:bookmarkEnd w:id="434"/>
    </w:p>
    <w:p>
      <w:pPr>
        <w:spacing w:before="120" w:beforeLines="50" w:after="120" w:afterLines="50"/>
        <w:ind w:firstLine="0" w:firstLineChars="0"/>
        <w:jc w:val="center"/>
        <w:rPr>
          <w:b/>
          <w:bCs/>
          <w:sz w:val="24"/>
          <w:szCs w:val="28"/>
        </w:rPr>
      </w:pPr>
      <w:bookmarkStart w:id="435" w:name="_Toc4753"/>
      <w:bookmarkStart w:id="436" w:name="_Toc9388"/>
      <w:bookmarkStart w:id="437" w:name="_Toc4386"/>
      <w:bookmarkStart w:id="438" w:name="_Toc4011"/>
      <w:bookmarkStart w:id="439" w:name="_Toc30302"/>
      <w:bookmarkStart w:id="440" w:name="_Toc24391"/>
      <w:bookmarkStart w:id="441" w:name="_Toc31883"/>
      <w:r>
        <w:rPr>
          <w:rFonts w:hint="eastAsia"/>
          <w:b/>
          <w:bCs/>
          <w:sz w:val="24"/>
          <w:szCs w:val="28"/>
        </w:rPr>
        <w:t>（一）投标函</w:t>
      </w:r>
      <w:bookmarkEnd w:id="435"/>
      <w:bookmarkEnd w:id="436"/>
      <w:bookmarkEnd w:id="437"/>
      <w:bookmarkEnd w:id="438"/>
      <w:bookmarkEnd w:id="439"/>
      <w:bookmarkEnd w:id="440"/>
      <w:bookmarkEnd w:id="441"/>
    </w:p>
    <w:p>
      <w:pPr>
        <w:ind w:firstLine="0" w:firstLineChars="0"/>
      </w:pPr>
      <w:bookmarkStart w:id="442" w:name="_bookmark178"/>
      <w:bookmarkEnd w:id="442"/>
      <w:bookmarkStart w:id="443" w:name="_Toc25830"/>
      <w:bookmarkStart w:id="444" w:name="_Toc27289"/>
      <w:bookmarkStart w:id="445" w:name="_Toc16266"/>
      <w:bookmarkStart w:id="446" w:name="_Toc9620"/>
      <w:r>
        <w:rPr>
          <w:rFonts w:hint="eastAsia"/>
        </w:rPr>
        <w:t>致：</w:t>
      </w:r>
      <w:r>
        <w:rPr>
          <w:rFonts w:hint="eastAsia"/>
          <w:u w:val="single"/>
        </w:rPr>
        <w:t xml:space="preserve">    （招标人名称）    </w:t>
      </w:r>
    </w:p>
    <w:p>
      <w:pPr>
        <w:spacing w:line="500" w:lineRule="exact"/>
        <w:ind w:firstLine="420"/>
        <w:rPr>
          <w:bCs/>
          <w:szCs w:val="20"/>
        </w:rPr>
      </w:pPr>
      <w:r>
        <w:rPr>
          <w:bCs/>
          <w:szCs w:val="20"/>
        </w:rPr>
        <w:t>1、我方已仔细研究了</w:t>
      </w:r>
      <w:r>
        <w:rPr>
          <w:rFonts w:hint="eastAsia" w:cs="宋体"/>
          <w:szCs w:val="20"/>
          <w:u w:val="single"/>
        </w:rPr>
        <w:t xml:space="preserve">    （项目名称）    </w:t>
      </w:r>
      <w:r>
        <w:rPr>
          <w:rFonts w:hint="eastAsia"/>
          <w:bCs/>
          <w:szCs w:val="20"/>
        </w:rPr>
        <w:t>招标文件的全部内容，愿按照招标文件中规定的条款和要求完成本项目。</w:t>
      </w:r>
      <w:r>
        <w:rPr>
          <w:bCs/>
          <w:szCs w:val="20"/>
        </w:rPr>
        <w:t>投标总报价为（大写）</w:t>
      </w:r>
      <w:r>
        <w:rPr>
          <w:rFonts w:hint="eastAsia" w:cs="宋体"/>
          <w:szCs w:val="20"/>
          <w:u w:val="single"/>
        </w:rPr>
        <w:t xml:space="preserve">百分之      </w:t>
      </w:r>
      <w:r>
        <w:rPr>
          <w:rFonts w:hint="eastAsia"/>
          <w:bCs/>
          <w:szCs w:val="20"/>
        </w:rPr>
        <w:t>（</w:t>
      </w:r>
      <w:r>
        <w:rPr>
          <w:rFonts w:hint="eastAsia" w:cs="宋体"/>
          <w:szCs w:val="20"/>
          <w:u w:val="single"/>
        </w:rPr>
        <w:t xml:space="preserve">       % </w:t>
      </w:r>
      <w:r>
        <w:rPr>
          <w:rFonts w:hint="eastAsia"/>
          <w:bCs/>
          <w:szCs w:val="20"/>
        </w:rPr>
        <w:t>），监理服务期限为</w:t>
      </w:r>
      <w:r>
        <w:rPr>
          <w:rFonts w:hint="eastAsia" w:cs="宋体"/>
          <w:szCs w:val="20"/>
          <w:u w:val="single"/>
        </w:rPr>
        <w:t xml:space="preserve">         </w:t>
      </w:r>
      <w:r>
        <w:rPr>
          <w:rFonts w:hint="eastAsia"/>
          <w:bCs/>
          <w:szCs w:val="20"/>
        </w:rPr>
        <w:t>，质量控制目标</w:t>
      </w:r>
      <w:r>
        <w:rPr>
          <w:rFonts w:hint="eastAsia" w:cs="宋体"/>
          <w:szCs w:val="20"/>
          <w:u w:val="single"/>
        </w:rPr>
        <w:t xml:space="preserve">         </w:t>
      </w:r>
      <w:r>
        <w:rPr>
          <w:rFonts w:hint="eastAsia"/>
          <w:bCs/>
          <w:szCs w:val="20"/>
        </w:rPr>
        <w:t>，</w:t>
      </w:r>
      <w:r>
        <w:rPr>
          <w:rFonts w:hint="eastAsia"/>
        </w:rPr>
        <w:t>安全控制目标</w:t>
      </w:r>
      <w:r>
        <w:rPr>
          <w:rFonts w:hint="eastAsia" w:cs="宋体"/>
          <w:szCs w:val="20"/>
          <w:u w:val="single"/>
        </w:rPr>
        <w:t xml:space="preserve">         </w:t>
      </w:r>
      <w:r>
        <w:rPr>
          <w:rFonts w:hint="eastAsia"/>
          <w:bCs/>
          <w:szCs w:val="20"/>
        </w:rPr>
        <w:t>，总监理工程师</w:t>
      </w:r>
      <w:r>
        <w:rPr>
          <w:rFonts w:hint="eastAsia" w:cs="宋体"/>
          <w:szCs w:val="20"/>
          <w:u w:val="single"/>
        </w:rPr>
        <w:t xml:space="preserve">         </w:t>
      </w:r>
      <w:r>
        <w:rPr>
          <w:rFonts w:hint="eastAsia"/>
          <w:bCs/>
          <w:szCs w:val="20"/>
        </w:rPr>
        <w:t>。</w:t>
      </w:r>
    </w:p>
    <w:p>
      <w:pPr>
        <w:ind w:firstLine="420"/>
      </w:pPr>
      <w:r>
        <w:t>2、我方承诺在投标有效期内不修改、撤销投标文件。</w:t>
      </w:r>
    </w:p>
    <w:p>
      <w:pPr>
        <w:ind w:firstLine="420"/>
      </w:pPr>
      <w:r>
        <w:rPr>
          <w:rFonts w:hint="eastAsia"/>
        </w:rPr>
        <w:t>3</w:t>
      </w:r>
      <w:r>
        <w:t>、如我方中标：</w:t>
      </w:r>
    </w:p>
    <w:p>
      <w:pPr>
        <w:ind w:firstLine="420"/>
      </w:pPr>
      <w:r>
        <w:rPr>
          <w:rFonts w:hint="eastAsia"/>
        </w:rPr>
        <w:t>（</w:t>
      </w:r>
      <w:r>
        <w:t>1）我方承诺在收到中标通知书后，在中标通知书规定的期限内与你方签订合同。</w:t>
      </w:r>
    </w:p>
    <w:p>
      <w:pPr>
        <w:ind w:firstLine="420"/>
      </w:pPr>
      <w:r>
        <w:rPr>
          <w:rFonts w:hint="eastAsia"/>
        </w:rPr>
        <w:t>（</w:t>
      </w:r>
      <w:r>
        <w:t>2）随同本投标函递交的投标函附录属于合同文件的组成部分。</w:t>
      </w:r>
    </w:p>
    <w:p>
      <w:pPr>
        <w:ind w:firstLine="420"/>
      </w:pPr>
      <w:r>
        <w:rPr>
          <w:rFonts w:hint="eastAsia"/>
        </w:rPr>
        <w:t>（</w:t>
      </w:r>
      <w:r>
        <w:t>3）我方承诺按照招标文件规定向你方递交</w:t>
      </w:r>
      <w:r>
        <w:rPr>
          <w:rFonts w:hint="eastAsia"/>
        </w:rPr>
        <w:t>履约保证金</w:t>
      </w:r>
      <w:r>
        <w:t>。</w:t>
      </w:r>
    </w:p>
    <w:p>
      <w:pPr>
        <w:ind w:firstLine="420"/>
      </w:pPr>
      <w:r>
        <w:rPr>
          <w:rFonts w:hint="eastAsia"/>
        </w:rPr>
        <w:t>（</w:t>
      </w:r>
      <w:r>
        <w:t>4）我方承诺在合同约定的期限内完成本项目。</w:t>
      </w:r>
    </w:p>
    <w:p>
      <w:pPr>
        <w:ind w:firstLine="420"/>
      </w:pPr>
      <w:r>
        <w:rPr>
          <w:rFonts w:hint="eastAsia"/>
        </w:rPr>
        <w:t>4</w:t>
      </w:r>
      <w:r>
        <w:t>、我方在此声明，所递交的投标文件及有关资料内容完整、真实和准确</w:t>
      </w:r>
      <w:r>
        <w:rPr>
          <w:rFonts w:hint="eastAsia"/>
        </w:rPr>
        <w:t>，且不存在第二章“投标人须知”第 1.4.3 项规定的任何一种情形。</w:t>
      </w:r>
    </w:p>
    <w:p>
      <w:pPr>
        <w:ind w:firstLine="420"/>
      </w:pPr>
      <w:r>
        <w:rPr>
          <w:rFonts w:hint="eastAsia"/>
        </w:rPr>
        <w:t>5</w:t>
      </w:r>
      <w:r>
        <w:t>、</w:t>
      </w:r>
      <w:r>
        <w:rPr>
          <w:rFonts w:hint="eastAsia"/>
        </w:rPr>
        <w:t>（其他补充说明）。</w:t>
      </w:r>
    </w:p>
    <w:p>
      <w:pPr>
        <w:ind w:firstLine="3578" w:firstLineChars="1704"/>
      </w:pPr>
    </w:p>
    <w:p>
      <w:pPr>
        <w:ind w:firstLine="3578" w:firstLineChars="1704"/>
      </w:pPr>
    </w:p>
    <w:p>
      <w:pPr>
        <w:ind w:firstLine="3578" w:firstLineChars="1704"/>
      </w:pPr>
    </w:p>
    <w:p>
      <w:pPr>
        <w:ind w:firstLine="3578" w:firstLineChars="1704"/>
      </w:pPr>
      <w:r>
        <w:rPr>
          <w:rFonts w:hint="eastAsia"/>
        </w:rPr>
        <w:t>投 标 人：</w:t>
      </w:r>
      <w:r>
        <w:rPr>
          <w:rFonts w:hint="eastAsia"/>
          <w:u w:val="single"/>
        </w:rPr>
        <w:t xml:space="preserve">                               </w:t>
      </w:r>
      <w:r>
        <w:rPr>
          <w:rFonts w:hint="eastAsia"/>
        </w:rPr>
        <w:t>（盖单位章）</w:t>
      </w:r>
    </w:p>
    <w:p>
      <w:pPr>
        <w:ind w:firstLine="3578" w:firstLineChars="1704"/>
      </w:pPr>
      <w:r>
        <w:rPr>
          <w:rFonts w:hint="eastAsia"/>
        </w:rPr>
        <w:t>法定代表人或其委托代理人：</w:t>
      </w:r>
      <w:r>
        <w:rPr>
          <w:rFonts w:hint="eastAsia"/>
          <w:u w:val="single"/>
        </w:rPr>
        <w:t xml:space="preserve">              </w:t>
      </w:r>
      <w:r>
        <w:rPr>
          <w:rFonts w:hint="eastAsia"/>
        </w:rPr>
        <w:t>（签字或盖章）</w:t>
      </w:r>
    </w:p>
    <w:p>
      <w:pPr>
        <w:ind w:firstLine="3578" w:firstLineChars="1704"/>
      </w:pPr>
      <w:r>
        <w:rPr>
          <w:rFonts w:hint="eastAsia"/>
        </w:rPr>
        <w:t>地址：</w:t>
      </w:r>
      <w:r>
        <w:rPr>
          <w:rFonts w:hint="eastAsia"/>
          <w:u w:val="single"/>
        </w:rPr>
        <w:t xml:space="preserve">                                </w:t>
      </w:r>
    </w:p>
    <w:p>
      <w:pPr>
        <w:ind w:firstLine="3578" w:firstLineChars="1704"/>
      </w:pPr>
      <w:r>
        <w:rPr>
          <w:rFonts w:hint="eastAsia"/>
        </w:rPr>
        <w:t>电话：</w:t>
      </w:r>
      <w:r>
        <w:rPr>
          <w:rFonts w:hint="eastAsia"/>
          <w:u w:val="single"/>
        </w:rPr>
        <w:t xml:space="preserve">                                </w:t>
      </w:r>
    </w:p>
    <w:p>
      <w:pPr>
        <w:ind w:firstLine="3578" w:firstLineChars="1704"/>
      </w:pPr>
      <w:r>
        <w:rPr>
          <w:rFonts w:hint="eastAsia"/>
        </w:rPr>
        <w:t>邮政编码：</w:t>
      </w:r>
      <w:r>
        <w:rPr>
          <w:rFonts w:hint="eastAsia"/>
          <w:u w:val="single"/>
        </w:rPr>
        <w:t xml:space="preserve">                           </w:t>
      </w:r>
    </w:p>
    <w:p>
      <w:pPr>
        <w:ind w:firstLine="3578" w:firstLineChars="1704"/>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ind w:firstLine="422"/>
        <w:rPr>
          <w:b/>
          <w:bCs/>
        </w:rPr>
      </w:pPr>
      <w:r>
        <w:rPr>
          <w:rFonts w:hint="eastAsia"/>
          <w:b/>
          <w:bCs/>
        </w:rPr>
        <w:br w:type="page"/>
      </w:r>
    </w:p>
    <w:p>
      <w:pPr>
        <w:spacing w:before="120" w:beforeLines="50" w:after="120" w:afterLines="50"/>
        <w:ind w:firstLine="0" w:firstLineChars="0"/>
        <w:jc w:val="center"/>
        <w:rPr>
          <w:b/>
          <w:bCs/>
          <w:sz w:val="24"/>
          <w:szCs w:val="28"/>
        </w:rPr>
      </w:pPr>
      <w:bookmarkStart w:id="447" w:name="_Toc14865"/>
      <w:r>
        <w:rPr>
          <w:rFonts w:hint="eastAsia"/>
          <w:b/>
          <w:bCs/>
          <w:sz w:val="24"/>
          <w:szCs w:val="28"/>
        </w:rPr>
        <w:t>（二）投标函附录</w:t>
      </w:r>
      <w:bookmarkEnd w:id="443"/>
      <w:bookmarkEnd w:id="444"/>
      <w:bookmarkEnd w:id="445"/>
      <w:bookmarkEnd w:id="446"/>
      <w:bookmarkEnd w:id="447"/>
    </w:p>
    <w:tbl>
      <w:tblPr>
        <w:tblStyle w:val="22"/>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5"/>
        <w:gridCol w:w="1143"/>
        <w:gridCol w:w="1650"/>
        <w:gridCol w:w="1187"/>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项目名称</w:t>
            </w:r>
          </w:p>
        </w:tc>
        <w:tc>
          <w:tcPr>
            <w:tcW w:w="635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投标人</w:t>
            </w:r>
          </w:p>
        </w:tc>
        <w:tc>
          <w:tcPr>
            <w:tcW w:w="635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投标范围</w:t>
            </w:r>
          </w:p>
        </w:tc>
        <w:tc>
          <w:tcPr>
            <w:tcW w:w="635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3005" w:type="dxa"/>
            <w:tcBorders>
              <w:top w:val="single" w:color="auto" w:sz="4" w:space="0"/>
              <w:left w:val="single" w:color="auto" w:sz="4" w:space="0"/>
              <w:right w:val="single" w:color="auto" w:sz="4" w:space="0"/>
            </w:tcBorders>
            <w:vAlign w:val="center"/>
          </w:tcPr>
          <w:p>
            <w:pPr>
              <w:ind w:firstLine="0" w:firstLineChars="0"/>
              <w:jc w:val="center"/>
            </w:pPr>
            <w:r>
              <w:rPr>
                <w:rFonts w:hint="eastAsia"/>
              </w:rPr>
              <w:t>投标报价（元）</w:t>
            </w:r>
          </w:p>
        </w:tc>
        <w:tc>
          <w:tcPr>
            <w:tcW w:w="6354" w:type="dxa"/>
            <w:gridSpan w:val="4"/>
            <w:tcBorders>
              <w:top w:val="single" w:color="auto" w:sz="4" w:space="0"/>
              <w:left w:val="single" w:color="auto" w:sz="4" w:space="0"/>
              <w:right w:val="single" w:color="auto" w:sz="4" w:space="0"/>
            </w:tcBorders>
            <w:vAlign w:val="center"/>
          </w:tcPr>
          <w:p>
            <w:pPr>
              <w:ind w:firstLine="0" w:firstLineChars="0"/>
            </w:pPr>
            <w:r>
              <w:rPr>
                <w:rFonts w:hint="eastAsia"/>
              </w:rPr>
              <w:t>大写：百分之</w:t>
            </w:r>
            <w:r>
              <w:rPr>
                <w:rFonts w:hint="eastAsia"/>
                <w:u w:val="single"/>
              </w:rPr>
              <w:t xml:space="preserve">    </w:t>
            </w:r>
          </w:p>
          <w:p>
            <w:pPr>
              <w:ind w:firstLine="0" w:firstLineChars="0"/>
            </w:pPr>
            <w:r>
              <w:rPr>
                <w:rFonts w:hint="eastAsia"/>
              </w:rPr>
              <w:t>小写：</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监理服务期限</w:t>
            </w:r>
          </w:p>
        </w:tc>
        <w:tc>
          <w:tcPr>
            <w:tcW w:w="635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质量控制目标</w:t>
            </w:r>
          </w:p>
        </w:tc>
        <w:tc>
          <w:tcPr>
            <w:tcW w:w="635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安全控制目标</w:t>
            </w:r>
          </w:p>
        </w:tc>
        <w:tc>
          <w:tcPr>
            <w:tcW w:w="635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投标有效期</w:t>
            </w:r>
          </w:p>
        </w:tc>
        <w:tc>
          <w:tcPr>
            <w:tcW w:w="635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权利义务</w:t>
            </w:r>
          </w:p>
        </w:tc>
        <w:tc>
          <w:tcPr>
            <w:tcW w:w="635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pPr>
            <w:r>
              <w:rPr>
                <w:rFonts w:hint="eastAsia"/>
              </w:rPr>
              <w:t>我方完全响应“投标人须知”第1.12.1项规定和第四章“合同条款及格式”中的实质性要求和条件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005" w:type="dxa"/>
            <w:vMerge w:val="restart"/>
            <w:tcBorders>
              <w:top w:val="single" w:color="auto" w:sz="4" w:space="0"/>
              <w:left w:val="single" w:color="auto" w:sz="4" w:space="0"/>
              <w:right w:val="single" w:color="auto" w:sz="4" w:space="0"/>
            </w:tcBorders>
            <w:vAlign w:val="center"/>
          </w:tcPr>
          <w:p>
            <w:pPr>
              <w:ind w:firstLine="0" w:firstLineChars="0"/>
              <w:jc w:val="center"/>
            </w:pPr>
            <w:r>
              <w:rPr>
                <w:rFonts w:hint="eastAsia"/>
              </w:rPr>
              <w:t>总监理工程师</w:t>
            </w:r>
          </w:p>
        </w:tc>
        <w:tc>
          <w:tcPr>
            <w:tcW w:w="1143" w:type="dxa"/>
            <w:tcBorders>
              <w:top w:val="single" w:color="auto" w:sz="4" w:space="0"/>
              <w:left w:val="single" w:color="auto" w:sz="4" w:space="0"/>
              <w:bottom w:val="single" w:color="auto" w:sz="4" w:space="0"/>
              <w:right w:val="single" w:color="auto" w:sz="4" w:space="0"/>
            </w:tcBorders>
            <w:vAlign w:val="center"/>
          </w:tcPr>
          <w:p>
            <w:pPr>
              <w:ind w:firstLine="0" w:firstLineChars="0"/>
            </w:pPr>
            <w:r>
              <w:rPr>
                <w:rFonts w:hint="eastAsia"/>
              </w:rPr>
              <w:t>姓名</w:t>
            </w:r>
          </w:p>
        </w:tc>
        <w:tc>
          <w:tcPr>
            <w:tcW w:w="1650" w:type="dxa"/>
            <w:tcBorders>
              <w:top w:val="single" w:color="auto" w:sz="4" w:space="0"/>
              <w:left w:val="single" w:color="auto" w:sz="4" w:space="0"/>
              <w:bottom w:val="single" w:color="auto" w:sz="4" w:space="0"/>
              <w:right w:val="single" w:color="auto" w:sz="4" w:space="0"/>
            </w:tcBorders>
            <w:vAlign w:val="center"/>
          </w:tcPr>
          <w:p>
            <w:pPr>
              <w:ind w:firstLine="0" w:firstLineChars="0"/>
            </w:pPr>
          </w:p>
        </w:tc>
        <w:tc>
          <w:tcPr>
            <w:tcW w:w="1187" w:type="dxa"/>
            <w:tcBorders>
              <w:top w:val="single" w:color="auto" w:sz="4" w:space="0"/>
              <w:left w:val="single" w:color="auto" w:sz="4" w:space="0"/>
              <w:bottom w:val="single" w:color="auto" w:sz="4" w:space="0"/>
              <w:right w:val="single" w:color="auto" w:sz="4" w:space="0"/>
            </w:tcBorders>
            <w:vAlign w:val="center"/>
          </w:tcPr>
          <w:p>
            <w:pPr>
              <w:ind w:firstLine="0" w:firstLineChars="0"/>
            </w:pPr>
            <w:r>
              <w:rPr>
                <w:rFonts w:hint="eastAsia"/>
              </w:rPr>
              <w:t>职称及证书编号</w:t>
            </w:r>
          </w:p>
        </w:tc>
        <w:tc>
          <w:tcPr>
            <w:tcW w:w="2374" w:type="dxa"/>
            <w:tcBorders>
              <w:top w:val="single" w:color="auto" w:sz="4" w:space="0"/>
              <w:left w:val="single" w:color="auto" w:sz="4" w:space="0"/>
              <w:bottom w:val="single" w:color="auto" w:sz="4" w:space="0"/>
              <w:right w:val="single" w:color="auto" w:sz="4" w:space="0"/>
            </w:tcBorders>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005" w:type="dxa"/>
            <w:vMerge w:val="continue"/>
            <w:tcBorders>
              <w:left w:val="single" w:color="auto" w:sz="4" w:space="0"/>
              <w:bottom w:val="single" w:color="auto" w:sz="4" w:space="0"/>
              <w:right w:val="single" w:color="auto" w:sz="4" w:space="0"/>
            </w:tcBorders>
            <w:vAlign w:val="center"/>
          </w:tcPr>
          <w:p>
            <w:pPr>
              <w:ind w:firstLine="0" w:firstLineChars="0"/>
              <w:jc w:val="center"/>
            </w:pPr>
          </w:p>
        </w:tc>
        <w:tc>
          <w:tcPr>
            <w:tcW w:w="1143" w:type="dxa"/>
            <w:tcBorders>
              <w:top w:val="single" w:color="auto" w:sz="4" w:space="0"/>
              <w:left w:val="single" w:color="auto" w:sz="4" w:space="0"/>
              <w:bottom w:val="single" w:color="auto" w:sz="4" w:space="0"/>
              <w:right w:val="single" w:color="auto" w:sz="4" w:space="0"/>
            </w:tcBorders>
            <w:vAlign w:val="center"/>
          </w:tcPr>
          <w:p>
            <w:pPr>
              <w:ind w:firstLine="0" w:firstLineChars="0"/>
            </w:pPr>
            <w:r>
              <w:rPr>
                <w:rFonts w:hint="eastAsia"/>
              </w:rPr>
              <w:t>证书级别</w:t>
            </w:r>
          </w:p>
        </w:tc>
        <w:tc>
          <w:tcPr>
            <w:tcW w:w="1650" w:type="dxa"/>
            <w:tcBorders>
              <w:top w:val="single" w:color="auto" w:sz="4" w:space="0"/>
              <w:left w:val="single" w:color="auto" w:sz="4" w:space="0"/>
              <w:bottom w:val="single" w:color="auto" w:sz="4" w:space="0"/>
              <w:right w:val="single" w:color="auto" w:sz="4" w:space="0"/>
            </w:tcBorders>
            <w:vAlign w:val="center"/>
          </w:tcPr>
          <w:p>
            <w:pPr>
              <w:ind w:firstLine="0" w:firstLineChars="0"/>
            </w:pPr>
          </w:p>
        </w:tc>
        <w:tc>
          <w:tcPr>
            <w:tcW w:w="1187" w:type="dxa"/>
            <w:tcBorders>
              <w:top w:val="single" w:color="auto" w:sz="4" w:space="0"/>
              <w:left w:val="single" w:color="auto" w:sz="4" w:space="0"/>
              <w:bottom w:val="single" w:color="auto" w:sz="4" w:space="0"/>
              <w:right w:val="single" w:color="auto" w:sz="4" w:space="0"/>
            </w:tcBorders>
            <w:vAlign w:val="center"/>
          </w:tcPr>
          <w:p>
            <w:pPr>
              <w:ind w:firstLine="0" w:firstLineChars="0"/>
            </w:pPr>
            <w:r>
              <w:rPr>
                <w:rFonts w:hint="eastAsia"/>
              </w:rPr>
              <w:t>注册编号</w:t>
            </w:r>
          </w:p>
        </w:tc>
        <w:tc>
          <w:tcPr>
            <w:tcW w:w="2374" w:type="dxa"/>
            <w:tcBorders>
              <w:top w:val="single" w:color="auto" w:sz="4" w:space="0"/>
              <w:left w:val="single" w:color="auto" w:sz="4" w:space="0"/>
              <w:bottom w:val="single" w:color="auto" w:sz="4" w:space="0"/>
              <w:right w:val="single" w:color="auto" w:sz="4" w:space="0"/>
            </w:tcBorders>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hint="eastAsia"/>
              </w:rPr>
              <w:t>备注</w:t>
            </w:r>
          </w:p>
        </w:tc>
        <w:tc>
          <w:tcPr>
            <w:tcW w:w="6354" w:type="dxa"/>
            <w:gridSpan w:val="4"/>
            <w:tcBorders>
              <w:top w:val="single" w:color="auto" w:sz="4" w:space="0"/>
              <w:left w:val="single" w:color="auto" w:sz="4" w:space="0"/>
              <w:bottom w:val="single" w:color="auto" w:sz="4" w:space="0"/>
              <w:right w:val="single" w:color="auto" w:sz="4" w:space="0"/>
            </w:tcBorders>
            <w:vAlign w:val="center"/>
          </w:tcPr>
          <w:p>
            <w:pPr>
              <w:ind w:firstLine="0" w:firstLineChars="0"/>
            </w:pPr>
            <w:r>
              <w:rPr>
                <w:rFonts w:hint="eastAsia"/>
              </w:rPr>
              <w:t>（1）我方在此声明，我方不存在第二章“投标人须知”第1.4.3规定的任何一种情形。</w:t>
            </w:r>
          </w:p>
          <w:p>
            <w:pPr>
              <w:ind w:firstLine="0" w:firstLineChars="0"/>
            </w:pPr>
            <w:r>
              <w:rPr>
                <w:rFonts w:hint="eastAsia"/>
              </w:rPr>
              <w:t>（2）我方承诺：如我方中标后，将按照招标文件规定的标准，向招标代理机构支付招标代理服务费。</w:t>
            </w:r>
          </w:p>
        </w:tc>
      </w:tr>
    </w:tbl>
    <w:p>
      <w:pPr>
        <w:pStyle w:val="8"/>
        <w:ind w:left="63" w:right="63" w:firstLine="400"/>
      </w:pPr>
    </w:p>
    <w:p>
      <w:pPr>
        <w:ind w:firstLine="3578" w:firstLineChars="1704"/>
      </w:pPr>
      <w:r>
        <w:rPr>
          <w:rFonts w:hint="eastAsia"/>
        </w:rPr>
        <w:t>投 标 人：</w:t>
      </w:r>
      <w:r>
        <w:rPr>
          <w:rFonts w:hint="eastAsia"/>
          <w:u w:val="single"/>
        </w:rPr>
        <w:t xml:space="preserve">                          </w:t>
      </w:r>
      <w:r>
        <w:rPr>
          <w:rFonts w:hint="eastAsia"/>
        </w:rPr>
        <w:t>（盖单位章）</w:t>
      </w:r>
    </w:p>
    <w:p>
      <w:pPr>
        <w:ind w:firstLine="3578" w:firstLineChars="1704"/>
      </w:pPr>
      <w:r>
        <w:rPr>
          <w:rFonts w:hint="eastAsia"/>
        </w:rPr>
        <w:t>法定代表人或其委托代理人：</w:t>
      </w:r>
      <w:r>
        <w:rPr>
          <w:rFonts w:hint="eastAsia"/>
          <w:u w:val="single"/>
        </w:rPr>
        <w:t xml:space="preserve">           </w:t>
      </w:r>
      <w:r>
        <w:rPr>
          <w:rFonts w:hint="eastAsia"/>
        </w:rPr>
        <w:t>（签字或盖章）</w:t>
      </w:r>
    </w:p>
    <w:p>
      <w:pPr>
        <w:ind w:firstLine="3578" w:firstLineChars="1704"/>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26"/>
      </w:pPr>
    </w:p>
    <w:p>
      <w:pPr>
        <w:ind w:firstLine="420"/>
        <w:rPr>
          <w:rFonts w:cs="宋体"/>
        </w:rPr>
      </w:pPr>
      <w:bookmarkStart w:id="448" w:name="_bookmark181"/>
      <w:bookmarkEnd w:id="448"/>
      <w:bookmarkStart w:id="449" w:name="_bookmark182"/>
      <w:bookmarkEnd w:id="449"/>
      <w:bookmarkStart w:id="450" w:name="_Toc11868"/>
      <w:r>
        <w:rPr>
          <w:rFonts w:hint="eastAsia" w:cs="宋体"/>
        </w:rPr>
        <w:br w:type="page"/>
      </w:r>
    </w:p>
    <w:p>
      <w:pPr>
        <w:pStyle w:val="3"/>
        <w:jc w:val="center"/>
      </w:pPr>
      <w:bookmarkStart w:id="451" w:name="_Toc152663966"/>
      <w:r>
        <w:rPr>
          <w:rFonts w:hint="eastAsia"/>
        </w:rPr>
        <w:t>二、法定代表人身份证明</w:t>
      </w:r>
      <w:bookmarkEnd w:id="450"/>
      <w:bookmarkEnd w:id="451"/>
    </w:p>
    <w:p>
      <w:pPr>
        <w:adjustRightInd w:val="0"/>
        <w:ind w:firstLine="420"/>
        <w:rPr>
          <w:rFonts w:cs="宋体"/>
          <w:kern w:val="0"/>
          <w:szCs w:val="21"/>
        </w:rPr>
      </w:pPr>
    </w:p>
    <w:p>
      <w:pPr>
        <w:ind w:firstLine="420"/>
      </w:pPr>
      <w:r>
        <w:rPr>
          <w:rFonts w:hint="eastAsia"/>
        </w:rPr>
        <w:t>投标人名称：</w:t>
      </w:r>
      <w:r>
        <w:rPr>
          <w:rFonts w:hint="eastAsia"/>
          <w:u w:val="single"/>
        </w:rPr>
        <w:t xml:space="preserve">                </w:t>
      </w:r>
    </w:p>
    <w:p>
      <w:pPr>
        <w:ind w:firstLine="420"/>
      </w:pPr>
      <w:r>
        <w:rPr>
          <w:rFonts w:hint="eastAsia"/>
        </w:rPr>
        <w:t>姓名：</w:t>
      </w:r>
      <w:r>
        <w:rPr>
          <w:rFonts w:hint="eastAsia"/>
          <w:u w:val="single"/>
        </w:rPr>
        <w:t xml:space="preserve">        </w:t>
      </w:r>
      <w:r>
        <w:rPr>
          <w:rFonts w:hint="eastAsia"/>
        </w:rPr>
        <w:t xml:space="preserve"> 性别：</w:t>
      </w:r>
      <w:r>
        <w:rPr>
          <w:rFonts w:hint="eastAsia"/>
          <w:u w:val="single"/>
        </w:rPr>
        <w:t xml:space="preserve">        </w:t>
      </w:r>
      <w:r>
        <w:rPr>
          <w:rFonts w:hint="eastAsia"/>
        </w:rPr>
        <w:t xml:space="preserve"> 年龄：</w:t>
      </w:r>
      <w:r>
        <w:rPr>
          <w:rFonts w:hint="eastAsia"/>
          <w:u w:val="single"/>
        </w:rPr>
        <w:t xml:space="preserve">        </w:t>
      </w:r>
      <w:r>
        <w:rPr>
          <w:rFonts w:hint="eastAsia"/>
        </w:rPr>
        <w:t xml:space="preserve"> 职务：</w:t>
      </w:r>
      <w:r>
        <w:rPr>
          <w:rFonts w:hint="eastAsia"/>
          <w:u w:val="single"/>
        </w:rPr>
        <w:t xml:space="preserve">        </w:t>
      </w:r>
      <w:r>
        <w:rPr>
          <w:rFonts w:hint="eastAsia"/>
        </w:rPr>
        <w:t xml:space="preserve"> </w:t>
      </w:r>
    </w:p>
    <w:p>
      <w:pPr>
        <w:ind w:firstLine="420"/>
      </w:pPr>
      <w:r>
        <w:rPr>
          <w:rFonts w:hint="eastAsia"/>
        </w:rPr>
        <w:t>系</w:t>
      </w:r>
      <w:r>
        <w:rPr>
          <w:rFonts w:hint="eastAsia"/>
          <w:u w:val="single"/>
        </w:rPr>
        <w:t xml:space="preserve">                        </w:t>
      </w:r>
      <w:r>
        <w:rPr>
          <w:rFonts w:hint="eastAsia"/>
        </w:rPr>
        <w:t>（投标人名称）的法定代表人。</w:t>
      </w:r>
    </w:p>
    <w:p>
      <w:pPr>
        <w:ind w:firstLine="420"/>
      </w:pPr>
      <w:r>
        <w:rPr>
          <w:rFonts w:hint="eastAsia"/>
        </w:rPr>
        <w:t>特此证明。</w:t>
      </w:r>
    </w:p>
    <w:p>
      <w:pPr>
        <w:ind w:firstLine="420"/>
      </w:pPr>
      <w:r>
        <w:rPr>
          <w:rFonts w:hint="eastAsia"/>
        </w:rPr>
        <w:t>附：法定代表人身份证扫描件（正反面）</w:t>
      </w:r>
    </w:p>
    <w:p>
      <w:pPr>
        <w:adjustRightInd w:val="0"/>
        <w:ind w:firstLine="420"/>
        <w:rPr>
          <w:rFonts w:cs="宋体"/>
          <w:kern w:val="0"/>
          <w:szCs w:val="21"/>
        </w:rPr>
      </w:pPr>
    </w:p>
    <w:p>
      <w:pPr>
        <w:adjustRightInd w:val="0"/>
        <w:ind w:firstLine="420"/>
        <w:rPr>
          <w:rFonts w:cs="宋体"/>
          <w:kern w:val="0"/>
          <w:szCs w:val="21"/>
        </w:rPr>
      </w:pPr>
    </w:p>
    <w:p>
      <w:pPr>
        <w:adjustRightInd w:val="0"/>
        <w:ind w:firstLine="420"/>
        <w:rPr>
          <w:rFonts w:cs="宋体"/>
          <w:kern w:val="0"/>
          <w:szCs w:val="21"/>
        </w:rPr>
      </w:pPr>
    </w:p>
    <w:p>
      <w:pPr>
        <w:adjustRightInd w:val="0"/>
        <w:ind w:firstLine="420"/>
        <w:rPr>
          <w:rFonts w:cs="宋体"/>
          <w:kern w:val="0"/>
          <w:szCs w:val="21"/>
        </w:rPr>
      </w:pPr>
    </w:p>
    <w:p>
      <w:pPr>
        <w:adjustRightInd w:val="0"/>
        <w:ind w:firstLine="420"/>
        <w:rPr>
          <w:rFonts w:cs="宋体"/>
          <w:kern w:val="0"/>
          <w:szCs w:val="21"/>
        </w:rPr>
      </w:pPr>
    </w:p>
    <w:p>
      <w:pPr>
        <w:ind w:firstLine="3578" w:firstLineChars="1704"/>
      </w:pPr>
      <w:r>
        <w:rPr>
          <w:rFonts w:hint="eastAsia"/>
        </w:rPr>
        <w:t>投 标 人：</w:t>
      </w:r>
      <w:r>
        <w:rPr>
          <w:rFonts w:hint="eastAsia"/>
          <w:u w:val="single"/>
        </w:rPr>
        <w:t xml:space="preserve">                          </w:t>
      </w:r>
      <w:r>
        <w:rPr>
          <w:rFonts w:hint="eastAsia"/>
        </w:rPr>
        <w:t>（盖单位章）</w:t>
      </w:r>
    </w:p>
    <w:p>
      <w:pPr>
        <w:ind w:firstLine="3578" w:firstLineChars="1704"/>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tabs>
          <w:tab w:val="left" w:pos="5380"/>
          <w:tab w:val="left" w:pos="6520"/>
          <w:tab w:val="left" w:pos="7680"/>
        </w:tabs>
        <w:adjustRightInd w:val="0"/>
        <w:ind w:left="4435" w:right="-20" w:firstLine="1050" w:firstLineChars="500"/>
        <w:rPr>
          <w:rFonts w:cs="宋体"/>
          <w:kern w:val="0"/>
          <w:szCs w:val="21"/>
        </w:rPr>
      </w:pPr>
    </w:p>
    <w:p>
      <w:pPr>
        <w:tabs>
          <w:tab w:val="left" w:pos="5340"/>
          <w:tab w:val="left" w:pos="6180"/>
          <w:tab w:val="left" w:pos="7020"/>
        </w:tabs>
        <w:adjustRightInd w:val="0"/>
        <w:ind w:left="4721" w:right="-20" w:firstLine="420"/>
        <w:rPr>
          <w:rFonts w:cs="宋体"/>
          <w:kern w:val="0"/>
          <w:szCs w:val="21"/>
        </w:rPr>
      </w:pPr>
    </w:p>
    <w:p>
      <w:pPr>
        <w:tabs>
          <w:tab w:val="left" w:pos="5340"/>
          <w:tab w:val="left" w:pos="6180"/>
          <w:tab w:val="left" w:pos="7020"/>
        </w:tabs>
        <w:adjustRightInd w:val="0"/>
        <w:ind w:left="4721" w:right="-20" w:firstLine="420"/>
        <w:rPr>
          <w:rFonts w:cs="宋体"/>
          <w:kern w:val="0"/>
          <w:szCs w:val="21"/>
        </w:rPr>
      </w:pPr>
    </w:p>
    <w:p>
      <w:pPr>
        <w:ind w:firstLine="420"/>
        <w:rPr>
          <w:rFonts w:cs="宋体"/>
        </w:rPr>
      </w:pPr>
      <w:bookmarkStart w:id="452" w:name="_Toc4447"/>
      <w:bookmarkStart w:id="453" w:name="_Toc9190"/>
      <w:r>
        <w:rPr>
          <w:rFonts w:hint="eastAsia" w:cs="宋体"/>
        </w:rPr>
        <w:br w:type="page"/>
      </w:r>
    </w:p>
    <w:p>
      <w:pPr>
        <w:pStyle w:val="3"/>
        <w:jc w:val="center"/>
      </w:pPr>
      <w:bookmarkStart w:id="454" w:name="_Toc152663967"/>
      <w:r>
        <w:rPr>
          <w:rFonts w:hint="eastAsia"/>
        </w:rPr>
        <w:t>三、授权委托书</w:t>
      </w:r>
      <w:bookmarkEnd w:id="452"/>
      <w:bookmarkEnd w:id="453"/>
      <w:bookmarkEnd w:id="454"/>
    </w:p>
    <w:p>
      <w:pPr>
        <w:adjustRightInd w:val="0"/>
        <w:spacing w:line="200" w:lineRule="exact"/>
        <w:ind w:firstLine="400"/>
        <w:rPr>
          <w:rFonts w:cs="宋体"/>
          <w:kern w:val="0"/>
          <w:sz w:val="20"/>
          <w:szCs w:val="20"/>
        </w:rPr>
      </w:pPr>
    </w:p>
    <w:p>
      <w:pPr>
        <w:adjustRightInd w:val="0"/>
        <w:spacing w:line="200" w:lineRule="exact"/>
        <w:ind w:firstLine="400"/>
        <w:rPr>
          <w:rFonts w:cs="宋体"/>
          <w:kern w:val="0"/>
          <w:sz w:val="20"/>
          <w:szCs w:val="20"/>
        </w:rPr>
      </w:pPr>
    </w:p>
    <w:p>
      <w:pPr>
        <w:ind w:firstLine="420"/>
      </w:pPr>
      <w:r>
        <w:rPr>
          <w:rFonts w:hint="eastAsia"/>
        </w:rPr>
        <w:t>本人</w:t>
      </w:r>
      <w:r>
        <w:rPr>
          <w:rFonts w:hint="eastAsia"/>
          <w:u w:val="single"/>
        </w:rPr>
        <w:t xml:space="preserve">          </w:t>
      </w:r>
      <w:r>
        <w:rPr>
          <w:rFonts w:hint="eastAsia"/>
        </w:rPr>
        <w:t>（姓名）系</w:t>
      </w:r>
      <w:r>
        <w:rPr>
          <w:rFonts w:hint="eastAsia"/>
          <w:u w:val="single"/>
        </w:rPr>
        <w:t xml:space="preserve">                    </w:t>
      </w:r>
      <w:r>
        <w:rPr>
          <w:rFonts w:hint="eastAsia"/>
        </w:rPr>
        <w:t>（投标人名称）的法定代表人，现委托</w:t>
      </w:r>
      <w:r>
        <w:rPr>
          <w:rFonts w:hint="eastAsia"/>
          <w:u w:val="single"/>
        </w:rPr>
        <w:t xml:space="preserve">          </w:t>
      </w:r>
      <w:r>
        <w:rPr>
          <w:rFonts w:hint="eastAsia"/>
        </w:rPr>
        <w:t>（姓名）为我方代理人。代理人根据授权，以我方名义签署、澄清确认、递交、撤回、修改</w:t>
      </w:r>
      <w:r>
        <w:rPr>
          <w:rFonts w:hint="eastAsia"/>
          <w:u w:val="single"/>
        </w:rPr>
        <w:t xml:space="preserve">    </w:t>
      </w:r>
      <w:r>
        <w:rPr>
          <w:rFonts w:hint="eastAsia"/>
        </w:rPr>
        <w:t>招标项目投标文件、签订合同和处理有关事宜，其法律后果由我方承担。</w:t>
      </w:r>
    </w:p>
    <w:p>
      <w:pPr>
        <w:ind w:firstLine="420"/>
      </w:pPr>
      <w:r>
        <w:rPr>
          <w:rFonts w:hint="eastAsia"/>
        </w:rPr>
        <w:t>委托期限：</w:t>
      </w:r>
      <w:r>
        <w:rPr>
          <w:rFonts w:hint="eastAsia"/>
          <w:u w:val="single"/>
        </w:rPr>
        <w:t xml:space="preserve">                    </w:t>
      </w:r>
      <w:r>
        <w:rPr>
          <w:rFonts w:hint="eastAsia"/>
        </w:rPr>
        <w:t>。</w:t>
      </w:r>
    </w:p>
    <w:p>
      <w:pPr>
        <w:ind w:firstLine="420"/>
      </w:pPr>
      <w:r>
        <w:rPr>
          <w:rFonts w:hint="eastAsia"/>
        </w:rPr>
        <w:t>代理人无转委托权。</w:t>
      </w:r>
    </w:p>
    <w:p>
      <w:pPr>
        <w:adjustRightInd w:val="0"/>
        <w:ind w:firstLine="420"/>
        <w:jc w:val="both"/>
        <w:rPr>
          <w:rFonts w:cs="宋体"/>
          <w:kern w:val="0"/>
          <w:szCs w:val="21"/>
        </w:rPr>
      </w:pPr>
    </w:p>
    <w:p>
      <w:pPr>
        <w:adjustRightInd w:val="0"/>
        <w:ind w:left="100" w:right="1117" w:firstLine="420"/>
        <w:jc w:val="both"/>
        <w:rPr>
          <w:rFonts w:cs="宋体"/>
          <w:kern w:val="0"/>
          <w:szCs w:val="21"/>
        </w:rPr>
      </w:pPr>
      <w:r>
        <w:rPr>
          <w:rFonts w:hint="eastAsia" w:cs="宋体"/>
          <w:kern w:val="0"/>
          <w:szCs w:val="21"/>
        </w:rPr>
        <w:t>附：</w:t>
      </w:r>
      <w:r>
        <w:rPr>
          <w:rFonts w:hint="eastAsia" w:cs="宋体"/>
          <w:spacing w:val="-2"/>
          <w:kern w:val="0"/>
          <w:szCs w:val="21"/>
        </w:rPr>
        <w:t>法</w:t>
      </w:r>
      <w:r>
        <w:rPr>
          <w:rFonts w:hint="eastAsia" w:cs="宋体"/>
          <w:kern w:val="0"/>
          <w:szCs w:val="21"/>
        </w:rPr>
        <w:t>定</w:t>
      </w:r>
      <w:r>
        <w:rPr>
          <w:rFonts w:hint="eastAsia" w:cs="宋体"/>
          <w:spacing w:val="-2"/>
          <w:kern w:val="0"/>
          <w:szCs w:val="21"/>
        </w:rPr>
        <w:t>代</w:t>
      </w:r>
      <w:r>
        <w:rPr>
          <w:rFonts w:hint="eastAsia" w:cs="宋体"/>
          <w:kern w:val="0"/>
          <w:szCs w:val="21"/>
        </w:rPr>
        <w:t>表</w:t>
      </w:r>
      <w:r>
        <w:rPr>
          <w:rFonts w:hint="eastAsia" w:cs="宋体"/>
          <w:spacing w:val="-2"/>
          <w:kern w:val="0"/>
          <w:szCs w:val="21"/>
        </w:rPr>
        <w:t>人</w:t>
      </w:r>
      <w:r>
        <w:rPr>
          <w:rFonts w:hint="eastAsia" w:cs="宋体"/>
          <w:kern w:val="0"/>
          <w:szCs w:val="21"/>
        </w:rPr>
        <w:t>身</w:t>
      </w:r>
      <w:r>
        <w:rPr>
          <w:rFonts w:hint="eastAsia" w:cs="宋体"/>
          <w:spacing w:val="-2"/>
          <w:kern w:val="0"/>
          <w:szCs w:val="21"/>
        </w:rPr>
        <w:t>份</w:t>
      </w:r>
      <w:r>
        <w:rPr>
          <w:rFonts w:hint="eastAsia" w:cs="宋体"/>
          <w:kern w:val="0"/>
          <w:szCs w:val="21"/>
        </w:rPr>
        <w:t>证</w:t>
      </w:r>
      <w:r>
        <w:rPr>
          <w:rFonts w:hint="eastAsia" w:cs="宋体"/>
          <w:spacing w:val="-2"/>
          <w:kern w:val="0"/>
          <w:szCs w:val="21"/>
        </w:rPr>
        <w:t>及</w:t>
      </w:r>
      <w:r>
        <w:rPr>
          <w:rFonts w:hint="eastAsia" w:cs="宋体"/>
          <w:kern w:val="0"/>
          <w:szCs w:val="21"/>
        </w:rPr>
        <w:t>委</w:t>
      </w:r>
      <w:r>
        <w:rPr>
          <w:rFonts w:hint="eastAsia" w:cs="宋体"/>
          <w:spacing w:val="-2"/>
          <w:kern w:val="0"/>
          <w:szCs w:val="21"/>
        </w:rPr>
        <w:t>托</w:t>
      </w:r>
      <w:r>
        <w:rPr>
          <w:rFonts w:hint="eastAsia" w:cs="宋体"/>
          <w:kern w:val="0"/>
          <w:szCs w:val="21"/>
        </w:rPr>
        <w:t>代</w:t>
      </w:r>
      <w:r>
        <w:rPr>
          <w:rFonts w:hint="eastAsia" w:cs="宋体"/>
          <w:spacing w:val="-2"/>
          <w:kern w:val="0"/>
          <w:szCs w:val="21"/>
        </w:rPr>
        <w:t>理</w:t>
      </w:r>
      <w:r>
        <w:rPr>
          <w:rFonts w:hint="eastAsia" w:cs="宋体"/>
          <w:kern w:val="0"/>
          <w:szCs w:val="21"/>
        </w:rPr>
        <w:t>人</w:t>
      </w:r>
      <w:r>
        <w:rPr>
          <w:rFonts w:hint="eastAsia" w:cs="宋体"/>
          <w:spacing w:val="-2"/>
          <w:kern w:val="0"/>
          <w:szCs w:val="21"/>
        </w:rPr>
        <w:t>身</w:t>
      </w:r>
      <w:r>
        <w:rPr>
          <w:rFonts w:hint="eastAsia" w:cs="宋体"/>
          <w:kern w:val="0"/>
          <w:szCs w:val="21"/>
        </w:rPr>
        <w:t>份</w:t>
      </w:r>
      <w:r>
        <w:rPr>
          <w:rFonts w:hint="eastAsia" w:cs="宋体"/>
          <w:spacing w:val="-2"/>
          <w:kern w:val="0"/>
          <w:szCs w:val="21"/>
        </w:rPr>
        <w:t>证</w:t>
      </w:r>
      <w:r>
        <w:rPr>
          <w:rFonts w:hint="eastAsia" w:hAnsi="Times New Roman"/>
          <w:szCs w:val="21"/>
        </w:rPr>
        <w:t>（正反面）</w:t>
      </w:r>
    </w:p>
    <w:p>
      <w:pPr>
        <w:adjustRightInd w:val="0"/>
        <w:ind w:left="100" w:right="1117" w:firstLine="420"/>
        <w:jc w:val="both"/>
        <w:rPr>
          <w:rFonts w:cs="宋体"/>
          <w:kern w:val="0"/>
          <w:szCs w:val="21"/>
        </w:rPr>
      </w:pPr>
    </w:p>
    <w:p>
      <w:pPr>
        <w:adjustRightInd w:val="0"/>
        <w:ind w:left="100" w:right="1117" w:firstLine="420"/>
        <w:rPr>
          <w:rFonts w:cs="宋体"/>
          <w:kern w:val="0"/>
          <w:szCs w:val="21"/>
        </w:rPr>
      </w:pPr>
    </w:p>
    <w:p>
      <w:pPr>
        <w:adjustRightInd w:val="0"/>
        <w:ind w:left="100" w:right="1117" w:firstLine="420"/>
        <w:rPr>
          <w:rFonts w:cs="宋体"/>
          <w:kern w:val="0"/>
          <w:szCs w:val="21"/>
        </w:rPr>
      </w:pPr>
    </w:p>
    <w:p>
      <w:pPr>
        <w:adjustRightInd w:val="0"/>
        <w:ind w:left="100" w:right="1117" w:firstLine="420"/>
        <w:rPr>
          <w:rFonts w:cs="宋体"/>
          <w:kern w:val="0"/>
          <w:szCs w:val="21"/>
        </w:rPr>
      </w:pPr>
    </w:p>
    <w:p>
      <w:pPr>
        <w:adjustRightInd w:val="0"/>
        <w:ind w:right="1117" w:firstLine="420"/>
        <w:rPr>
          <w:rFonts w:cs="宋体"/>
          <w:kern w:val="0"/>
          <w:szCs w:val="21"/>
        </w:rPr>
      </w:pPr>
    </w:p>
    <w:p>
      <w:pPr>
        <w:adjustRightInd w:val="0"/>
        <w:ind w:firstLine="420"/>
        <w:rPr>
          <w:rFonts w:cs="宋体"/>
          <w:kern w:val="0"/>
          <w:szCs w:val="21"/>
        </w:rPr>
      </w:pPr>
    </w:p>
    <w:p>
      <w:pPr>
        <w:ind w:firstLine="3360" w:firstLineChars="1600"/>
      </w:pPr>
      <w:r>
        <w:rPr>
          <w:rFonts w:hint="eastAsia"/>
        </w:rPr>
        <w:t>投标人：</w:t>
      </w:r>
      <w:r>
        <w:rPr>
          <w:rFonts w:hint="eastAsia"/>
          <w:u w:val="single"/>
        </w:rPr>
        <w:t xml:space="preserve">                          </w:t>
      </w:r>
      <w:r>
        <w:rPr>
          <w:u w:val="single"/>
        </w:rPr>
        <w:t xml:space="preserve"> </w:t>
      </w:r>
      <w:r>
        <w:t>(</w:t>
      </w:r>
      <w:r>
        <w:rPr>
          <w:rFonts w:hint="eastAsia"/>
        </w:rPr>
        <w:t>盖单位公章</w:t>
      </w:r>
      <w:r>
        <w:t>)</w:t>
      </w:r>
    </w:p>
    <w:p>
      <w:pPr>
        <w:ind w:firstLine="3360" w:firstLineChars="1600"/>
      </w:pPr>
      <w:r>
        <w:rPr>
          <w:rFonts w:hint="eastAsia"/>
        </w:rPr>
        <w:t>法定代表人：</w:t>
      </w:r>
      <w:r>
        <w:rPr>
          <w:rFonts w:hint="eastAsia"/>
          <w:u w:val="single"/>
        </w:rPr>
        <w:t xml:space="preserve">                      </w:t>
      </w:r>
      <w:r>
        <w:rPr>
          <w:u w:val="single"/>
        </w:rPr>
        <w:t xml:space="preserve"> </w:t>
      </w:r>
      <w:r>
        <w:rPr>
          <w:rFonts w:hint="eastAsia"/>
        </w:rPr>
        <w:t>（签字或盖章）</w:t>
      </w:r>
    </w:p>
    <w:p>
      <w:pPr>
        <w:ind w:firstLine="3360" w:firstLineChars="1600"/>
      </w:pPr>
      <w:r>
        <w:rPr>
          <w:rFonts w:hint="eastAsia"/>
        </w:rPr>
        <w:t>身份证号码：</w:t>
      </w:r>
      <w:r>
        <w:rPr>
          <w:rFonts w:hint="eastAsia"/>
          <w:u w:val="single"/>
        </w:rPr>
        <w:t xml:space="preserve">                      </w:t>
      </w:r>
      <w:r>
        <w:rPr>
          <w:u w:val="single"/>
        </w:rPr>
        <w:t xml:space="preserve"> </w:t>
      </w:r>
    </w:p>
    <w:p>
      <w:pPr>
        <w:ind w:firstLine="3360" w:firstLineChars="1600"/>
      </w:pPr>
      <w:r>
        <w:rPr>
          <w:rFonts w:hint="eastAsia"/>
        </w:rPr>
        <w:t>委托代理人：</w:t>
      </w:r>
      <w:r>
        <w:rPr>
          <w:rFonts w:hint="eastAsia"/>
          <w:u w:val="single"/>
        </w:rPr>
        <w:t xml:space="preserve">                   </w:t>
      </w:r>
      <w:r>
        <w:rPr>
          <w:u w:val="single"/>
        </w:rPr>
        <w:t xml:space="preserve"> </w:t>
      </w:r>
      <w:r>
        <w:rPr>
          <w:rFonts w:hint="eastAsia"/>
          <w:u w:val="single"/>
        </w:rPr>
        <w:t xml:space="preserve">   </w:t>
      </w:r>
      <w:r>
        <w:rPr>
          <w:rFonts w:hint="eastAsia"/>
        </w:rPr>
        <w:t>（签字或盖章）</w:t>
      </w:r>
    </w:p>
    <w:p>
      <w:pPr>
        <w:ind w:firstLine="3360" w:firstLineChars="1600"/>
      </w:pPr>
      <w:r>
        <w:rPr>
          <w:rFonts w:hint="eastAsia"/>
        </w:rPr>
        <w:t>身份证号码：</w:t>
      </w:r>
      <w:r>
        <w:rPr>
          <w:rFonts w:hint="eastAsia"/>
          <w:u w:val="single"/>
        </w:rPr>
        <w:t xml:space="preserve">                   </w:t>
      </w:r>
      <w:r>
        <w:rPr>
          <w:u w:val="single"/>
        </w:rPr>
        <w:t xml:space="preserve"> </w:t>
      </w:r>
      <w:r>
        <w:rPr>
          <w:rFonts w:hint="eastAsia"/>
          <w:u w:val="single"/>
        </w:rPr>
        <w:t xml:space="preserve">   </w:t>
      </w:r>
    </w:p>
    <w:p>
      <w:pPr>
        <w:ind w:firstLine="3360" w:firstLineChars="1600"/>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26"/>
        <w:rPr>
          <w:rFonts w:ascii="宋体" w:hAnsi="宋体" w:cs="宋体"/>
          <w:kern w:val="0"/>
          <w:szCs w:val="21"/>
        </w:rPr>
      </w:pPr>
    </w:p>
    <w:p>
      <w:pPr>
        <w:ind w:firstLine="420"/>
        <w:rPr>
          <w:rFonts w:cs="宋体"/>
        </w:rPr>
      </w:pPr>
      <w:bookmarkStart w:id="455" w:name="_Toc18523"/>
      <w:r>
        <w:rPr>
          <w:rFonts w:hint="eastAsia" w:cs="宋体"/>
        </w:rPr>
        <w:br w:type="page"/>
      </w:r>
    </w:p>
    <w:bookmarkEnd w:id="455"/>
    <w:p>
      <w:pPr>
        <w:pStyle w:val="3"/>
        <w:jc w:val="center"/>
      </w:pPr>
      <w:bookmarkStart w:id="456" w:name="_bookmark184"/>
      <w:bookmarkEnd w:id="456"/>
      <w:bookmarkStart w:id="457" w:name="_Toc21592"/>
      <w:bookmarkStart w:id="458" w:name="_Toc152663968"/>
      <w:r>
        <w:rPr>
          <w:rFonts w:hint="eastAsia"/>
        </w:rPr>
        <w:t>四、资格审查资料</w:t>
      </w:r>
      <w:bookmarkEnd w:id="457"/>
      <w:bookmarkEnd w:id="458"/>
      <w:bookmarkStart w:id="459" w:name="_bookmark185"/>
      <w:bookmarkEnd w:id="459"/>
      <w:bookmarkStart w:id="460" w:name="_Toc8765"/>
      <w:bookmarkStart w:id="461" w:name="_Toc7533"/>
      <w:bookmarkStart w:id="462" w:name="_Toc29751"/>
      <w:bookmarkStart w:id="463" w:name="_Toc9368"/>
    </w:p>
    <w:p>
      <w:pPr>
        <w:spacing w:before="120" w:beforeLines="50" w:after="120" w:afterLines="50"/>
        <w:ind w:firstLine="0" w:firstLineChars="0"/>
        <w:jc w:val="center"/>
        <w:rPr>
          <w:rFonts w:cs="宋体"/>
          <w:kern w:val="0"/>
          <w:sz w:val="20"/>
          <w:szCs w:val="20"/>
        </w:rPr>
      </w:pPr>
      <w:bookmarkStart w:id="464" w:name="_Toc27163"/>
      <w:bookmarkStart w:id="465" w:name="_Toc17968"/>
      <w:bookmarkStart w:id="466" w:name="_Toc5577"/>
      <w:r>
        <w:rPr>
          <w:rFonts w:hint="eastAsia"/>
          <w:b/>
          <w:bCs/>
          <w:sz w:val="24"/>
          <w:szCs w:val="28"/>
        </w:rPr>
        <w:t>（一）基本情况表</w:t>
      </w:r>
      <w:bookmarkEnd w:id="460"/>
      <w:bookmarkEnd w:id="461"/>
      <w:bookmarkEnd w:id="462"/>
      <w:bookmarkEnd w:id="463"/>
      <w:bookmarkEnd w:id="464"/>
      <w:bookmarkEnd w:id="465"/>
      <w:bookmarkEnd w:id="466"/>
      <w:bookmarkStart w:id="467" w:name="_bookmark186"/>
      <w:bookmarkEnd w:id="467"/>
      <w:bookmarkStart w:id="468" w:name="_Toc5187"/>
      <w:bookmarkStart w:id="469" w:name="_Toc22505"/>
      <w:bookmarkStart w:id="470" w:name="_Toc13372"/>
      <w:bookmarkStart w:id="471" w:name="_Toc5211"/>
      <w:bookmarkStart w:id="472" w:name="_Toc20127"/>
    </w:p>
    <w:tbl>
      <w:tblPr>
        <w:tblStyle w:val="22"/>
        <w:tblW w:w="9082" w:type="dxa"/>
        <w:jc w:val="center"/>
        <w:tblLayout w:type="fixed"/>
        <w:tblCellMar>
          <w:top w:w="0" w:type="dxa"/>
          <w:left w:w="0" w:type="dxa"/>
          <w:bottom w:w="0" w:type="dxa"/>
          <w:right w:w="0" w:type="dxa"/>
        </w:tblCellMar>
      </w:tblPr>
      <w:tblGrid>
        <w:gridCol w:w="2090"/>
        <w:gridCol w:w="918"/>
        <w:gridCol w:w="1051"/>
        <w:gridCol w:w="1313"/>
        <w:gridCol w:w="425"/>
        <w:gridCol w:w="891"/>
        <w:gridCol w:w="845"/>
        <w:gridCol w:w="292"/>
        <w:gridCol w:w="1257"/>
      </w:tblGrid>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投标人名称</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注册地址</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邮政编码</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567" w:hRule="atLeast"/>
          <w:jc w:val="center"/>
        </w:trPr>
        <w:tc>
          <w:tcPr>
            <w:tcW w:w="2090" w:type="dxa"/>
            <w:vMerge w:val="restar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联系方式</w:t>
            </w:r>
          </w:p>
        </w:tc>
        <w:tc>
          <w:tcPr>
            <w:tcW w:w="918"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联系人</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电 话</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567" w:hRule="atLeast"/>
          <w:jc w:val="center"/>
        </w:trPr>
        <w:tc>
          <w:tcPr>
            <w:tcW w:w="2090" w:type="dxa"/>
            <w:vMerge w:val="continue"/>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c>
          <w:tcPr>
            <w:tcW w:w="918"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传</w:t>
            </w:r>
            <w:r>
              <w:rPr>
                <w:rFonts w:hint="eastAsia"/>
              </w:rPr>
              <w:tab/>
            </w:r>
            <w:r>
              <w:rPr>
                <w:rFonts w:hint="eastAsia"/>
              </w:rPr>
              <w:t>真</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网 址</w:t>
            </w:r>
          </w:p>
        </w:tc>
        <w:tc>
          <w:tcPr>
            <w:tcW w:w="2394" w:type="dxa"/>
            <w:gridSpan w:val="3"/>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法定代表人</w:t>
            </w:r>
          </w:p>
        </w:tc>
        <w:tc>
          <w:tcPr>
            <w:tcW w:w="918"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c>
          <w:tcPr>
            <w:tcW w:w="1313"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技术职称</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c>
          <w:tcPr>
            <w:tcW w:w="1137"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电话</w:t>
            </w:r>
          </w:p>
        </w:tc>
        <w:tc>
          <w:tcPr>
            <w:tcW w:w="125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技术负责人</w:t>
            </w:r>
          </w:p>
        </w:tc>
        <w:tc>
          <w:tcPr>
            <w:tcW w:w="918"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姓名</w:t>
            </w:r>
          </w:p>
        </w:tc>
        <w:tc>
          <w:tcPr>
            <w:tcW w:w="1051"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c>
          <w:tcPr>
            <w:tcW w:w="1313"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技术职称</w:t>
            </w:r>
          </w:p>
        </w:tc>
        <w:tc>
          <w:tcPr>
            <w:tcW w:w="1316"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c>
          <w:tcPr>
            <w:tcW w:w="1137"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电话</w:t>
            </w:r>
          </w:p>
        </w:tc>
        <w:tc>
          <w:tcPr>
            <w:tcW w:w="125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营业执照号</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c>
          <w:tcPr>
            <w:tcW w:w="3710" w:type="dxa"/>
            <w:gridSpan w:val="5"/>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员工总人数：</w:t>
            </w: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注册资本</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其中</w:t>
            </w: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高级职称人员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成立日期</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中级职称人员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基本账户开户银行</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技术人员数量</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基本账户银行账号</w:t>
            </w:r>
          </w:p>
        </w:tc>
        <w:tc>
          <w:tcPr>
            <w:tcW w:w="3282" w:type="dxa"/>
            <w:gridSpan w:val="3"/>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各类注册人员</w:t>
            </w:r>
          </w:p>
        </w:tc>
        <w:tc>
          <w:tcPr>
            <w:tcW w:w="1549" w:type="dxa"/>
            <w:gridSpan w:val="2"/>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经营范围</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投标人关联企业情况（包括但不限于与投标人法定代表人为同一人或者存在控股、管理关系的不同单位）</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567" w:hRule="atLeast"/>
          <w:jc w:val="center"/>
        </w:trPr>
        <w:tc>
          <w:tcPr>
            <w:tcW w:w="2090"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备注</w:t>
            </w:r>
          </w:p>
        </w:tc>
        <w:tc>
          <w:tcPr>
            <w:tcW w:w="6992" w:type="dxa"/>
            <w:gridSpan w:val="8"/>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bl>
    <w:p>
      <w:pPr>
        <w:adjustRightInd w:val="0"/>
        <w:ind w:left="240" w:right="162" w:firstLine="420"/>
        <w:rPr>
          <w:rFonts w:cs="宋体"/>
          <w:kern w:val="0"/>
          <w:szCs w:val="21"/>
        </w:rPr>
      </w:pPr>
      <w:r>
        <w:rPr>
          <w:rFonts w:hint="eastAsia" w:cs="宋体"/>
          <w:kern w:val="0"/>
          <w:szCs w:val="21"/>
        </w:rPr>
        <w:t>注</w:t>
      </w:r>
      <w:r>
        <w:rPr>
          <w:rFonts w:hint="eastAsia" w:cs="宋体"/>
          <w:spacing w:val="-38"/>
          <w:kern w:val="0"/>
          <w:szCs w:val="21"/>
        </w:rPr>
        <w:t>：</w:t>
      </w:r>
      <w:r>
        <w:rPr>
          <w:rFonts w:hint="eastAsia" w:cs="宋体"/>
          <w:kern w:val="0"/>
          <w:szCs w:val="21"/>
        </w:rPr>
        <w:t>投标人应根据投标人须知第 3.5.1 项(“投标人基本情况表”应附投标人营业执照、投标人资质证书等材料。)的要求在本表后附相关证明材料</w:t>
      </w:r>
      <w:r>
        <w:rPr>
          <w:rFonts w:hint="eastAsia" w:cs="宋体"/>
          <w:spacing w:val="-38"/>
          <w:kern w:val="0"/>
          <w:szCs w:val="21"/>
        </w:rPr>
        <w:t>。</w:t>
      </w:r>
    </w:p>
    <w:p>
      <w:pPr>
        <w:adjustRightInd w:val="0"/>
        <w:ind w:left="240" w:right="162" w:firstLine="420"/>
        <w:rPr>
          <w:rFonts w:cs="宋体"/>
          <w:kern w:val="0"/>
          <w:szCs w:val="21"/>
        </w:rPr>
      </w:pPr>
    </w:p>
    <w:p>
      <w:pPr>
        <w:ind w:firstLine="480"/>
        <w:rPr>
          <w:sz w:val="24"/>
          <w:szCs w:val="24"/>
        </w:rPr>
      </w:pPr>
      <w:bookmarkStart w:id="473" w:name="_Toc6619"/>
      <w:bookmarkStart w:id="474" w:name="_Toc15828"/>
      <w:r>
        <w:rPr>
          <w:rFonts w:hint="eastAsia"/>
          <w:sz w:val="24"/>
          <w:szCs w:val="24"/>
        </w:rPr>
        <w:br w:type="page"/>
      </w:r>
    </w:p>
    <w:p>
      <w:pPr>
        <w:spacing w:before="120" w:beforeLines="50" w:after="120" w:afterLines="50"/>
        <w:ind w:firstLine="0" w:firstLineChars="0"/>
        <w:jc w:val="center"/>
        <w:rPr>
          <w:b/>
          <w:bCs/>
          <w:sz w:val="24"/>
          <w:szCs w:val="28"/>
        </w:rPr>
      </w:pPr>
      <w:r>
        <w:rPr>
          <w:rFonts w:hint="eastAsia"/>
          <w:b/>
          <w:bCs/>
          <w:sz w:val="24"/>
          <w:szCs w:val="28"/>
        </w:rPr>
        <w:t>（二）近年财务状况表</w:t>
      </w:r>
      <w:bookmarkEnd w:id="468"/>
      <w:bookmarkEnd w:id="469"/>
      <w:bookmarkEnd w:id="470"/>
      <w:bookmarkEnd w:id="471"/>
      <w:bookmarkEnd w:id="472"/>
      <w:bookmarkEnd w:id="473"/>
      <w:bookmarkEnd w:id="474"/>
    </w:p>
    <w:p>
      <w:pPr>
        <w:ind w:firstLine="420"/>
      </w:pPr>
      <w:bookmarkStart w:id="475" w:name="_bookmark189"/>
      <w:bookmarkEnd w:id="475"/>
      <w:bookmarkStart w:id="476" w:name="_bookmark187"/>
      <w:bookmarkEnd w:id="476"/>
      <w:bookmarkStart w:id="477" w:name="_Toc8729"/>
      <w:bookmarkStart w:id="478" w:name="_Toc10707"/>
      <w:bookmarkStart w:id="479" w:name="_Toc2168"/>
      <w:bookmarkStart w:id="480" w:name="_Toc29944"/>
      <w:r>
        <w:rPr>
          <w:rFonts w:hint="eastAsia"/>
        </w:rPr>
        <w:t>投标人应根据投标人须知第 3.5.2 项(3.5.2 “近年财务状况表”应附经会计师事务所或审计机构审计的财务会计报告，包括资产负债表、现金流量表、利润表和财务情况说明书或附注，具体年份要求见投标人须知前附表。投标人的成立时间少于投标人须知前附表规定年份的，应提供成立以来的财务状况表)的要求在本表后附相关证明材料。</w:t>
      </w:r>
    </w:p>
    <w:p>
      <w:pPr>
        <w:ind w:firstLine="420"/>
      </w:pPr>
    </w:p>
    <w:p>
      <w:pPr>
        <w:ind w:firstLine="420"/>
        <w:rPr>
          <w:rFonts w:cs="宋体"/>
        </w:rPr>
      </w:pPr>
      <w:r>
        <w:rPr>
          <w:rFonts w:hint="eastAsia" w:cs="宋体"/>
        </w:rPr>
        <w:br w:type="page"/>
      </w:r>
    </w:p>
    <w:p>
      <w:pPr>
        <w:spacing w:before="120" w:beforeLines="50" w:after="120" w:afterLines="50"/>
        <w:ind w:firstLine="0" w:firstLineChars="0"/>
        <w:jc w:val="center"/>
        <w:rPr>
          <w:b/>
          <w:bCs/>
          <w:sz w:val="24"/>
          <w:szCs w:val="28"/>
        </w:rPr>
      </w:pPr>
      <w:r>
        <w:rPr>
          <w:rFonts w:hint="eastAsia"/>
          <w:b/>
          <w:bCs/>
          <w:sz w:val="24"/>
          <w:szCs w:val="28"/>
        </w:rPr>
        <w:t>（三）近年完成的类似项目情况表</w:t>
      </w:r>
      <w:bookmarkEnd w:id="477"/>
      <w:bookmarkEnd w:id="478"/>
      <w:bookmarkEnd w:id="479"/>
      <w:bookmarkEnd w:id="480"/>
      <w:r>
        <w:rPr>
          <w:rFonts w:hint="eastAsia"/>
          <w:b/>
          <w:bCs/>
          <w:sz w:val="24"/>
          <w:szCs w:val="28"/>
        </w:rPr>
        <w:t>（资格项）</w:t>
      </w:r>
    </w:p>
    <w:tbl>
      <w:tblPr>
        <w:tblStyle w:val="22"/>
        <w:tblW w:w="9082" w:type="dxa"/>
        <w:jc w:val="center"/>
        <w:tblLayout w:type="fixed"/>
        <w:tblCellMar>
          <w:top w:w="0" w:type="dxa"/>
          <w:left w:w="0" w:type="dxa"/>
          <w:bottom w:w="0" w:type="dxa"/>
          <w:right w:w="0" w:type="dxa"/>
        </w:tblCellMar>
      </w:tblPr>
      <w:tblGrid>
        <w:gridCol w:w="2417"/>
        <w:gridCol w:w="6665"/>
      </w:tblGrid>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项目名称</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项目所在地</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委托人名称</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委托人地址</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委托人电话</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签约合同价</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监理服务期限</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监理内容</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总监理工程师</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项目描述</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备注</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bl>
    <w:p>
      <w:pPr>
        <w:adjustRightInd w:val="0"/>
        <w:spacing w:line="110" w:lineRule="exact"/>
        <w:ind w:firstLine="220"/>
        <w:rPr>
          <w:rFonts w:cs="宋体"/>
          <w:kern w:val="0"/>
          <w:sz w:val="11"/>
          <w:szCs w:val="11"/>
        </w:rPr>
      </w:pPr>
    </w:p>
    <w:p>
      <w:pPr>
        <w:ind w:firstLine="420"/>
      </w:pPr>
      <w:r>
        <w:rPr>
          <w:rFonts w:hint="eastAsia"/>
        </w:rPr>
        <w:t>注：投标人应根据投标人须知第 3.5.3 项（3.5.3 “近年完成的类似监理项目情况表”应附中标通知书、合同协议书；具体时间要求见投标人须知前附表，每张表格只填写一个项目，并标明序号）的要求在本表后附相关证明材料。</w:t>
      </w:r>
    </w:p>
    <w:p>
      <w:pPr>
        <w:ind w:firstLine="420"/>
      </w:pPr>
    </w:p>
    <w:p>
      <w:pPr>
        <w:ind w:firstLine="420"/>
      </w:pPr>
      <w:bookmarkStart w:id="481" w:name="_Toc16773"/>
      <w:bookmarkStart w:id="482" w:name="_Toc12688"/>
      <w:bookmarkStart w:id="483" w:name="_Toc4882"/>
      <w:bookmarkStart w:id="484" w:name="_Toc32585"/>
    </w:p>
    <w:p>
      <w:pPr>
        <w:ind w:firstLine="420"/>
        <w:rPr>
          <w:rFonts w:cs="宋体"/>
        </w:rPr>
      </w:pPr>
      <w:r>
        <w:rPr>
          <w:rFonts w:hint="eastAsia" w:cs="宋体"/>
        </w:rPr>
        <w:br w:type="page"/>
      </w:r>
    </w:p>
    <w:bookmarkEnd w:id="481"/>
    <w:bookmarkEnd w:id="482"/>
    <w:bookmarkEnd w:id="483"/>
    <w:bookmarkEnd w:id="484"/>
    <w:p>
      <w:pPr>
        <w:spacing w:before="120" w:beforeLines="50" w:after="120" w:afterLines="50"/>
        <w:ind w:firstLine="0" w:firstLineChars="0"/>
        <w:jc w:val="center"/>
        <w:rPr>
          <w:b/>
          <w:bCs/>
          <w:sz w:val="24"/>
          <w:szCs w:val="28"/>
        </w:rPr>
      </w:pPr>
      <w:r>
        <w:rPr>
          <w:rFonts w:hint="eastAsia"/>
          <w:b/>
          <w:bCs/>
          <w:sz w:val="24"/>
          <w:szCs w:val="28"/>
        </w:rPr>
        <w:t>（四）总监理工程师简历表</w:t>
      </w:r>
    </w:p>
    <w:tbl>
      <w:tblPr>
        <w:tblStyle w:val="22"/>
        <w:tblW w:w="908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63"/>
        <w:gridCol w:w="382"/>
        <w:gridCol w:w="737"/>
        <w:gridCol w:w="1020"/>
        <w:gridCol w:w="1136"/>
        <w:gridCol w:w="753"/>
        <w:gridCol w:w="1343"/>
        <w:gridCol w:w="427"/>
        <w:gridCol w:w="20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exact"/>
          <w:jc w:val="center"/>
        </w:trPr>
        <w:tc>
          <w:tcPr>
            <w:tcW w:w="1263" w:type="dxa"/>
            <w:tcBorders>
              <w:tl2br w:val="nil"/>
              <w:tr2bl w:val="nil"/>
            </w:tcBorders>
            <w:vAlign w:val="center"/>
          </w:tcPr>
          <w:p>
            <w:pPr>
              <w:ind w:firstLine="0" w:firstLineChars="0"/>
              <w:jc w:val="center"/>
            </w:pPr>
            <w:r>
              <w:rPr>
                <w:rFonts w:hint="eastAsia"/>
              </w:rPr>
              <w:t>姓名</w:t>
            </w:r>
          </w:p>
        </w:tc>
        <w:tc>
          <w:tcPr>
            <w:tcW w:w="1119" w:type="dxa"/>
            <w:gridSpan w:val="2"/>
            <w:tcBorders>
              <w:tl2br w:val="nil"/>
              <w:tr2bl w:val="nil"/>
            </w:tcBorders>
            <w:vAlign w:val="center"/>
          </w:tcPr>
          <w:p>
            <w:pPr>
              <w:ind w:firstLine="0" w:firstLineChars="0"/>
              <w:jc w:val="center"/>
            </w:pPr>
          </w:p>
        </w:tc>
        <w:tc>
          <w:tcPr>
            <w:tcW w:w="1020" w:type="dxa"/>
            <w:tcBorders>
              <w:tl2br w:val="nil"/>
              <w:tr2bl w:val="nil"/>
            </w:tcBorders>
            <w:vAlign w:val="center"/>
          </w:tcPr>
          <w:p>
            <w:pPr>
              <w:ind w:firstLine="0" w:firstLineChars="0"/>
              <w:jc w:val="center"/>
            </w:pPr>
            <w:r>
              <w:rPr>
                <w:rFonts w:hint="eastAsia"/>
              </w:rPr>
              <w:t>年龄</w:t>
            </w:r>
          </w:p>
        </w:tc>
        <w:tc>
          <w:tcPr>
            <w:tcW w:w="1136" w:type="dxa"/>
            <w:tcBorders>
              <w:tl2br w:val="nil"/>
              <w:tr2bl w:val="nil"/>
            </w:tcBorders>
            <w:vAlign w:val="center"/>
          </w:tcPr>
          <w:p>
            <w:pPr>
              <w:ind w:firstLine="0" w:firstLineChars="0"/>
              <w:jc w:val="center"/>
            </w:pPr>
          </w:p>
        </w:tc>
        <w:tc>
          <w:tcPr>
            <w:tcW w:w="2523" w:type="dxa"/>
            <w:gridSpan w:val="3"/>
            <w:tcBorders>
              <w:tl2br w:val="nil"/>
              <w:tr2bl w:val="nil"/>
            </w:tcBorders>
            <w:vAlign w:val="center"/>
          </w:tcPr>
          <w:p>
            <w:pPr>
              <w:ind w:firstLine="0" w:firstLineChars="0"/>
              <w:jc w:val="center"/>
            </w:pPr>
            <w:r>
              <w:rPr>
                <w:rFonts w:hint="eastAsia"/>
              </w:rPr>
              <w:t>证书名称</w:t>
            </w:r>
          </w:p>
        </w:tc>
        <w:tc>
          <w:tcPr>
            <w:tcW w:w="2021" w:type="dxa"/>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exact"/>
          <w:jc w:val="center"/>
        </w:trPr>
        <w:tc>
          <w:tcPr>
            <w:tcW w:w="1263" w:type="dxa"/>
            <w:tcBorders>
              <w:tl2br w:val="nil"/>
              <w:tr2bl w:val="nil"/>
            </w:tcBorders>
            <w:vAlign w:val="center"/>
          </w:tcPr>
          <w:p>
            <w:pPr>
              <w:ind w:firstLine="0" w:firstLineChars="0"/>
              <w:jc w:val="center"/>
            </w:pPr>
            <w:r>
              <w:rPr>
                <w:rFonts w:hint="eastAsia"/>
              </w:rPr>
              <w:t>职称</w:t>
            </w:r>
          </w:p>
        </w:tc>
        <w:tc>
          <w:tcPr>
            <w:tcW w:w="1119" w:type="dxa"/>
            <w:gridSpan w:val="2"/>
            <w:tcBorders>
              <w:tl2br w:val="nil"/>
              <w:tr2bl w:val="nil"/>
            </w:tcBorders>
            <w:vAlign w:val="center"/>
          </w:tcPr>
          <w:p>
            <w:pPr>
              <w:ind w:firstLine="0" w:firstLineChars="0"/>
              <w:jc w:val="center"/>
            </w:pPr>
          </w:p>
        </w:tc>
        <w:tc>
          <w:tcPr>
            <w:tcW w:w="1020" w:type="dxa"/>
            <w:tcBorders>
              <w:tl2br w:val="nil"/>
              <w:tr2bl w:val="nil"/>
            </w:tcBorders>
            <w:vAlign w:val="center"/>
          </w:tcPr>
          <w:p>
            <w:pPr>
              <w:ind w:firstLine="0" w:firstLineChars="0"/>
              <w:jc w:val="center"/>
            </w:pPr>
            <w:r>
              <w:rPr>
                <w:rFonts w:hint="eastAsia"/>
              </w:rPr>
              <w:t>学历</w:t>
            </w:r>
          </w:p>
        </w:tc>
        <w:tc>
          <w:tcPr>
            <w:tcW w:w="1136" w:type="dxa"/>
            <w:tcBorders>
              <w:tl2br w:val="nil"/>
              <w:tr2bl w:val="nil"/>
            </w:tcBorders>
            <w:vAlign w:val="center"/>
          </w:tcPr>
          <w:p>
            <w:pPr>
              <w:ind w:firstLine="0" w:firstLineChars="0"/>
              <w:jc w:val="center"/>
            </w:pPr>
          </w:p>
        </w:tc>
        <w:tc>
          <w:tcPr>
            <w:tcW w:w="2523" w:type="dxa"/>
            <w:gridSpan w:val="3"/>
            <w:tcBorders>
              <w:tl2br w:val="nil"/>
              <w:tr2bl w:val="nil"/>
            </w:tcBorders>
            <w:vAlign w:val="center"/>
          </w:tcPr>
          <w:p>
            <w:pPr>
              <w:ind w:firstLine="0" w:firstLineChars="0"/>
              <w:jc w:val="center"/>
            </w:pPr>
            <w:r>
              <w:rPr>
                <w:rFonts w:hint="eastAsia"/>
              </w:rPr>
              <w:t>拟在本项目任职</w:t>
            </w:r>
          </w:p>
        </w:tc>
        <w:tc>
          <w:tcPr>
            <w:tcW w:w="2021" w:type="dxa"/>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263" w:type="dxa"/>
            <w:tcBorders>
              <w:tl2br w:val="nil"/>
              <w:tr2bl w:val="nil"/>
            </w:tcBorders>
            <w:vAlign w:val="center"/>
          </w:tcPr>
          <w:p>
            <w:pPr>
              <w:ind w:firstLine="0" w:firstLineChars="0"/>
              <w:jc w:val="center"/>
            </w:pPr>
            <w:r>
              <w:rPr>
                <w:rFonts w:hint="eastAsia"/>
              </w:rPr>
              <w:t>工作年限</w:t>
            </w:r>
          </w:p>
        </w:tc>
        <w:tc>
          <w:tcPr>
            <w:tcW w:w="3275" w:type="dxa"/>
            <w:gridSpan w:val="4"/>
            <w:tcBorders>
              <w:tl2br w:val="nil"/>
              <w:tr2bl w:val="nil"/>
            </w:tcBorders>
            <w:vAlign w:val="center"/>
          </w:tcPr>
          <w:p>
            <w:pPr>
              <w:ind w:firstLine="0" w:firstLineChars="0"/>
              <w:jc w:val="center"/>
            </w:pPr>
          </w:p>
        </w:tc>
        <w:tc>
          <w:tcPr>
            <w:tcW w:w="2523" w:type="dxa"/>
            <w:gridSpan w:val="3"/>
            <w:tcBorders>
              <w:tl2br w:val="nil"/>
              <w:tr2bl w:val="nil"/>
            </w:tcBorders>
            <w:vAlign w:val="center"/>
          </w:tcPr>
          <w:p>
            <w:pPr>
              <w:ind w:firstLine="0" w:firstLineChars="0"/>
              <w:jc w:val="center"/>
            </w:pPr>
            <w:r>
              <w:rPr>
                <w:rFonts w:hint="eastAsia"/>
              </w:rPr>
              <w:t>从事监理工作年限</w:t>
            </w:r>
          </w:p>
        </w:tc>
        <w:tc>
          <w:tcPr>
            <w:tcW w:w="2021" w:type="dxa"/>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0" w:hRule="exact"/>
          <w:jc w:val="center"/>
        </w:trPr>
        <w:tc>
          <w:tcPr>
            <w:tcW w:w="1263" w:type="dxa"/>
            <w:tcBorders>
              <w:tl2br w:val="nil"/>
              <w:tr2bl w:val="nil"/>
            </w:tcBorders>
            <w:vAlign w:val="center"/>
          </w:tcPr>
          <w:p>
            <w:pPr>
              <w:ind w:firstLine="0" w:firstLineChars="0"/>
              <w:jc w:val="center"/>
            </w:pPr>
            <w:r>
              <w:rPr>
                <w:rFonts w:hint="eastAsia"/>
              </w:rPr>
              <w:t>毕业学校</w:t>
            </w:r>
          </w:p>
        </w:tc>
        <w:tc>
          <w:tcPr>
            <w:tcW w:w="7819" w:type="dxa"/>
            <w:gridSpan w:val="8"/>
            <w:tcBorders>
              <w:tl2br w:val="nil"/>
              <w:tr2bl w:val="nil"/>
            </w:tcBorders>
            <w:vAlign w:val="center"/>
          </w:tcPr>
          <w:p>
            <w:pPr>
              <w:ind w:firstLine="0" w:firstLineChars="0"/>
              <w:jc w:val="center"/>
            </w:pPr>
            <w:r>
              <w:rPr>
                <w:rFonts w:hint="eastAsia"/>
              </w:rPr>
              <w:t>年毕业于</w:t>
            </w:r>
            <w:r>
              <w:tab/>
            </w:r>
            <w:r>
              <w:rPr>
                <w:rFonts w:hint="eastAsia"/>
              </w:rPr>
              <w:t>学校</w:t>
            </w:r>
            <w:r>
              <w:tab/>
            </w:r>
            <w:r>
              <w:rPr>
                <w:rFonts w:hint="eastAsia"/>
              </w:rPr>
              <w:t>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4" w:hRule="exact"/>
          <w:jc w:val="center"/>
        </w:trPr>
        <w:tc>
          <w:tcPr>
            <w:tcW w:w="9082" w:type="dxa"/>
            <w:gridSpan w:val="9"/>
            <w:tcBorders>
              <w:tl2br w:val="nil"/>
              <w:tr2bl w:val="nil"/>
            </w:tcBorders>
            <w:vAlign w:val="center"/>
          </w:tcPr>
          <w:p>
            <w:pPr>
              <w:ind w:firstLine="0" w:firstLineChars="0"/>
              <w:jc w:val="center"/>
            </w:pPr>
            <w:r>
              <w:rPr>
                <w:rFonts w:hint="eastAsia"/>
              </w:rPr>
              <w:t>主要工作经历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exact"/>
          <w:jc w:val="center"/>
        </w:trPr>
        <w:tc>
          <w:tcPr>
            <w:tcW w:w="1645" w:type="dxa"/>
            <w:gridSpan w:val="2"/>
            <w:tcBorders>
              <w:tl2br w:val="nil"/>
              <w:tr2bl w:val="nil"/>
            </w:tcBorders>
            <w:vAlign w:val="center"/>
          </w:tcPr>
          <w:p>
            <w:pPr>
              <w:ind w:firstLine="0" w:firstLineChars="0"/>
              <w:jc w:val="center"/>
            </w:pPr>
            <w:r>
              <w:rPr>
                <w:rFonts w:hint="eastAsia"/>
              </w:rPr>
              <w:t>时</w:t>
            </w:r>
            <w:r>
              <w:tab/>
            </w:r>
            <w:r>
              <w:rPr>
                <w:rFonts w:hint="eastAsia"/>
              </w:rPr>
              <w:t>间</w:t>
            </w:r>
          </w:p>
        </w:tc>
        <w:tc>
          <w:tcPr>
            <w:tcW w:w="3646" w:type="dxa"/>
            <w:gridSpan w:val="4"/>
            <w:tcBorders>
              <w:tl2br w:val="nil"/>
              <w:tr2bl w:val="nil"/>
            </w:tcBorders>
            <w:vAlign w:val="center"/>
          </w:tcPr>
          <w:p>
            <w:pPr>
              <w:ind w:firstLine="0" w:firstLineChars="0"/>
              <w:jc w:val="center"/>
            </w:pPr>
            <w:r>
              <w:rPr>
                <w:rFonts w:hint="eastAsia"/>
              </w:rPr>
              <w:t>参加过的类似项目</w:t>
            </w:r>
          </w:p>
        </w:tc>
        <w:tc>
          <w:tcPr>
            <w:tcW w:w="1343" w:type="dxa"/>
            <w:tcBorders>
              <w:tl2br w:val="nil"/>
              <w:tr2bl w:val="nil"/>
            </w:tcBorders>
            <w:vAlign w:val="center"/>
          </w:tcPr>
          <w:p>
            <w:pPr>
              <w:ind w:firstLine="0" w:firstLineChars="0"/>
              <w:jc w:val="center"/>
            </w:pPr>
            <w:r>
              <w:rPr>
                <w:rFonts w:hint="eastAsia"/>
              </w:rPr>
              <w:t>担任职务</w:t>
            </w:r>
          </w:p>
        </w:tc>
        <w:tc>
          <w:tcPr>
            <w:tcW w:w="2448" w:type="dxa"/>
            <w:gridSpan w:val="2"/>
            <w:tcBorders>
              <w:tl2br w:val="nil"/>
              <w:tr2bl w:val="nil"/>
            </w:tcBorders>
            <w:vAlign w:val="center"/>
          </w:tcPr>
          <w:p>
            <w:pPr>
              <w:ind w:firstLine="0" w:firstLineChars="0"/>
              <w:jc w:val="center"/>
            </w:pPr>
            <w:r>
              <w:rPr>
                <w:rFonts w:hint="eastAsia"/>
              </w:rPr>
              <w:t>委托人及联系电话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645" w:type="dxa"/>
            <w:gridSpan w:val="2"/>
            <w:tcBorders>
              <w:tl2br w:val="nil"/>
              <w:tr2bl w:val="nil"/>
            </w:tcBorders>
            <w:vAlign w:val="center"/>
          </w:tcPr>
          <w:p>
            <w:pPr>
              <w:ind w:firstLine="0" w:firstLineChars="0"/>
              <w:jc w:val="center"/>
            </w:pPr>
          </w:p>
        </w:tc>
        <w:tc>
          <w:tcPr>
            <w:tcW w:w="3646" w:type="dxa"/>
            <w:gridSpan w:val="4"/>
            <w:tcBorders>
              <w:tl2br w:val="nil"/>
              <w:tr2bl w:val="nil"/>
            </w:tcBorders>
            <w:vAlign w:val="center"/>
          </w:tcPr>
          <w:p>
            <w:pPr>
              <w:ind w:firstLine="0" w:firstLineChars="0"/>
              <w:jc w:val="center"/>
            </w:pPr>
          </w:p>
        </w:tc>
        <w:tc>
          <w:tcPr>
            <w:tcW w:w="1343" w:type="dxa"/>
            <w:tcBorders>
              <w:tl2br w:val="nil"/>
              <w:tr2bl w:val="nil"/>
            </w:tcBorders>
            <w:vAlign w:val="center"/>
          </w:tcPr>
          <w:p>
            <w:pPr>
              <w:ind w:firstLine="0" w:firstLineChars="0"/>
              <w:jc w:val="center"/>
            </w:pPr>
          </w:p>
        </w:tc>
        <w:tc>
          <w:tcPr>
            <w:tcW w:w="2448"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exact"/>
          <w:jc w:val="center"/>
        </w:trPr>
        <w:tc>
          <w:tcPr>
            <w:tcW w:w="1645" w:type="dxa"/>
            <w:gridSpan w:val="2"/>
            <w:tcBorders>
              <w:tl2br w:val="nil"/>
              <w:tr2bl w:val="nil"/>
            </w:tcBorders>
            <w:vAlign w:val="center"/>
          </w:tcPr>
          <w:p>
            <w:pPr>
              <w:ind w:firstLine="0" w:firstLineChars="0"/>
              <w:jc w:val="center"/>
            </w:pPr>
          </w:p>
        </w:tc>
        <w:tc>
          <w:tcPr>
            <w:tcW w:w="3646" w:type="dxa"/>
            <w:gridSpan w:val="4"/>
            <w:tcBorders>
              <w:tl2br w:val="nil"/>
              <w:tr2bl w:val="nil"/>
            </w:tcBorders>
            <w:vAlign w:val="center"/>
          </w:tcPr>
          <w:p>
            <w:pPr>
              <w:ind w:firstLine="0" w:firstLineChars="0"/>
              <w:jc w:val="center"/>
            </w:pPr>
          </w:p>
        </w:tc>
        <w:tc>
          <w:tcPr>
            <w:tcW w:w="1343" w:type="dxa"/>
            <w:tcBorders>
              <w:tl2br w:val="nil"/>
              <w:tr2bl w:val="nil"/>
            </w:tcBorders>
            <w:vAlign w:val="center"/>
          </w:tcPr>
          <w:p>
            <w:pPr>
              <w:ind w:firstLine="0" w:firstLineChars="0"/>
              <w:jc w:val="center"/>
            </w:pPr>
          </w:p>
        </w:tc>
        <w:tc>
          <w:tcPr>
            <w:tcW w:w="2448"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645" w:type="dxa"/>
            <w:gridSpan w:val="2"/>
            <w:tcBorders>
              <w:tl2br w:val="nil"/>
              <w:tr2bl w:val="nil"/>
            </w:tcBorders>
            <w:vAlign w:val="center"/>
          </w:tcPr>
          <w:p>
            <w:pPr>
              <w:ind w:firstLine="0" w:firstLineChars="0"/>
              <w:jc w:val="center"/>
            </w:pPr>
          </w:p>
        </w:tc>
        <w:tc>
          <w:tcPr>
            <w:tcW w:w="3646" w:type="dxa"/>
            <w:gridSpan w:val="4"/>
            <w:tcBorders>
              <w:tl2br w:val="nil"/>
              <w:tr2bl w:val="nil"/>
            </w:tcBorders>
            <w:vAlign w:val="center"/>
          </w:tcPr>
          <w:p>
            <w:pPr>
              <w:ind w:firstLine="0" w:firstLineChars="0"/>
              <w:jc w:val="center"/>
            </w:pPr>
          </w:p>
        </w:tc>
        <w:tc>
          <w:tcPr>
            <w:tcW w:w="1343" w:type="dxa"/>
            <w:tcBorders>
              <w:tl2br w:val="nil"/>
              <w:tr2bl w:val="nil"/>
            </w:tcBorders>
            <w:vAlign w:val="center"/>
          </w:tcPr>
          <w:p>
            <w:pPr>
              <w:ind w:firstLine="0" w:firstLineChars="0"/>
              <w:jc w:val="center"/>
            </w:pPr>
          </w:p>
        </w:tc>
        <w:tc>
          <w:tcPr>
            <w:tcW w:w="2448"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645" w:type="dxa"/>
            <w:gridSpan w:val="2"/>
            <w:tcBorders>
              <w:tl2br w:val="nil"/>
              <w:tr2bl w:val="nil"/>
            </w:tcBorders>
            <w:vAlign w:val="center"/>
          </w:tcPr>
          <w:p>
            <w:pPr>
              <w:ind w:firstLine="0" w:firstLineChars="0"/>
              <w:jc w:val="center"/>
            </w:pPr>
          </w:p>
        </w:tc>
        <w:tc>
          <w:tcPr>
            <w:tcW w:w="3646" w:type="dxa"/>
            <w:gridSpan w:val="4"/>
            <w:tcBorders>
              <w:tl2br w:val="nil"/>
              <w:tr2bl w:val="nil"/>
            </w:tcBorders>
            <w:vAlign w:val="center"/>
          </w:tcPr>
          <w:p>
            <w:pPr>
              <w:ind w:firstLine="0" w:firstLineChars="0"/>
              <w:jc w:val="center"/>
            </w:pPr>
          </w:p>
        </w:tc>
        <w:tc>
          <w:tcPr>
            <w:tcW w:w="1343" w:type="dxa"/>
            <w:tcBorders>
              <w:tl2br w:val="nil"/>
              <w:tr2bl w:val="nil"/>
            </w:tcBorders>
            <w:vAlign w:val="center"/>
          </w:tcPr>
          <w:p>
            <w:pPr>
              <w:ind w:firstLine="0" w:firstLineChars="0"/>
              <w:jc w:val="center"/>
            </w:pPr>
          </w:p>
        </w:tc>
        <w:tc>
          <w:tcPr>
            <w:tcW w:w="2448"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9" w:hRule="exact"/>
          <w:jc w:val="center"/>
        </w:trPr>
        <w:tc>
          <w:tcPr>
            <w:tcW w:w="1645" w:type="dxa"/>
            <w:gridSpan w:val="2"/>
            <w:tcBorders>
              <w:tl2br w:val="nil"/>
              <w:tr2bl w:val="nil"/>
            </w:tcBorders>
            <w:vAlign w:val="center"/>
          </w:tcPr>
          <w:p>
            <w:pPr>
              <w:ind w:firstLine="0" w:firstLineChars="0"/>
              <w:jc w:val="center"/>
            </w:pPr>
          </w:p>
        </w:tc>
        <w:tc>
          <w:tcPr>
            <w:tcW w:w="3646" w:type="dxa"/>
            <w:gridSpan w:val="4"/>
            <w:tcBorders>
              <w:tl2br w:val="nil"/>
              <w:tr2bl w:val="nil"/>
            </w:tcBorders>
            <w:vAlign w:val="center"/>
          </w:tcPr>
          <w:p>
            <w:pPr>
              <w:ind w:firstLine="0" w:firstLineChars="0"/>
              <w:jc w:val="center"/>
            </w:pPr>
          </w:p>
        </w:tc>
        <w:tc>
          <w:tcPr>
            <w:tcW w:w="1343" w:type="dxa"/>
            <w:tcBorders>
              <w:tl2br w:val="nil"/>
              <w:tr2bl w:val="nil"/>
            </w:tcBorders>
            <w:vAlign w:val="center"/>
          </w:tcPr>
          <w:p>
            <w:pPr>
              <w:ind w:firstLine="0" w:firstLineChars="0"/>
              <w:jc w:val="center"/>
            </w:pPr>
          </w:p>
        </w:tc>
        <w:tc>
          <w:tcPr>
            <w:tcW w:w="2448"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645" w:type="dxa"/>
            <w:gridSpan w:val="2"/>
            <w:tcBorders>
              <w:tl2br w:val="nil"/>
              <w:tr2bl w:val="nil"/>
            </w:tcBorders>
            <w:vAlign w:val="center"/>
          </w:tcPr>
          <w:p>
            <w:pPr>
              <w:ind w:firstLine="0" w:firstLineChars="0"/>
              <w:jc w:val="center"/>
            </w:pPr>
          </w:p>
        </w:tc>
        <w:tc>
          <w:tcPr>
            <w:tcW w:w="3646" w:type="dxa"/>
            <w:gridSpan w:val="4"/>
            <w:tcBorders>
              <w:tl2br w:val="nil"/>
              <w:tr2bl w:val="nil"/>
            </w:tcBorders>
            <w:vAlign w:val="center"/>
          </w:tcPr>
          <w:p>
            <w:pPr>
              <w:ind w:firstLine="0" w:firstLineChars="0"/>
              <w:jc w:val="center"/>
            </w:pPr>
          </w:p>
        </w:tc>
        <w:tc>
          <w:tcPr>
            <w:tcW w:w="1343" w:type="dxa"/>
            <w:tcBorders>
              <w:tl2br w:val="nil"/>
              <w:tr2bl w:val="nil"/>
            </w:tcBorders>
            <w:vAlign w:val="center"/>
          </w:tcPr>
          <w:p>
            <w:pPr>
              <w:ind w:firstLine="0" w:firstLineChars="0"/>
              <w:jc w:val="center"/>
            </w:pPr>
          </w:p>
        </w:tc>
        <w:tc>
          <w:tcPr>
            <w:tcW w:w="2448"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645" w:type="dxa"/>
            <w:gridSpan w:val="2"/>
            <w:tcBorders>
              <w:tl2br w:val="nil"/>
              <w:tr2bl w:val="nil"/>
            </w:tcBorders>
            <w:vAlign w:val="center"/>
          </w:tcPr>
          <w:p>
            <w:pPr>
              <w:ind w:firstLine="0" w:firstLineChars="0"/>
              <w:jc w:val="center"/>
            </w:pPr>
          </w:p>
        </w:tc>
        <w:tc>
          <w:tcPr>
            <w:tcW w:w="3646" w:type="dxa"/>
            <w:gridSpan w:val="4"/>
            <w:tcBorders>
              <w:tl2br w:val="nil"/>
              <w:tr2bl w:val="nil"/>
            </w:tcBorders>
            <w:vAlign w:val="center"/>
          </w:tcPr>
          <w:p>
            <w:pPr>
              <w:ind w:firstLine="0" w:firstLineChars="0"/>
              <w:jc w:val="center"/>
            </w:pPr>
          </w:p>
        </w:tc>
        <w:tc>
          <w:tcPr>
            <w:tcW w:w="1343" w:type="dxa"/>
            <w:tcBorders>
              <w:tl2br w:val="nil"/>
              <w:tr2bl w:val="nil"/>
            </w:tcBorders>
            <w:vAlign w:val="center"/>
          </w:tcPr>
          <w:p>
            <w:pPr>
              <w:ind w:firstLine="0" w:firstLineChars="0"/>
              <w:jc w:val="center"/>
            </w:pPr>
          </w:p>
        </w:tc>
        <w:tc>
          <w:tcPr>
            <w:tcW w:w="2448" w:type="dxa"/>
            <w:gridSpan w:val="2"/>
            <w:tcBorders>
              <w:tl2br w:val="nil"/>
              <w:tr2bl w:val="nil"/>
            </w:tcBorders>
            <w:vAlign w:val="center"/>
          </w:tcPr>
          <w:p>
            <w:pPr>
              <w:ind w:firstLine="0" w:firstLineChars="0"/>
              <w:jc w:val="center"/>
            </w:pPr>
          </w:p>
        </w:tc>
      </w:tr>
    </w:tbl>
    <w:p>
      <w:pPr>
        <w:ind w:firstLine="420"/>
      </w:pPr>
    </w:p>
    <w:p>
      <w:pPr>
        <w:ind w:firstLine="420"/>
      </w:pPr>
      <w:r>
        <w:rPr>
          <w:rFonts w:hint="eastAsia"/>
        </w:rPr>
        <w:t>注：投标人应根据投标人须知第 3.5.4 项（3.5.4 “总监理工程师简历表”应填报满足本章第 1.4.1 项规定的总监理工程师的相关信息。应附身份证、学历证、职称证、注册监理工程师执业证书和社保缴费证明，管理过的项目业绩须附中标通知书、合同协议书）的要求在本表后附相关证明材料。</w:t>
      </w:r>
    </w:p>
    <w:p>
      <w:pPr>
        <w:ind w:firstLine="420"/>
      </w:pPr>
    </w:p>
    <w:p>
      <w:pPr>
        <w:ind w:firstLine="482"/>
        <w:rPr>
          <w:b/>
          <w:bCs/>
          <w:sz w:val="24"/>
          <w:szCs w:val="24"/>
        </w:rPr>
      </w:pPr>
      <w:bookmarkStart w:id="485" w:name="_bookmark190"/>
      <w:bookmarkEnd w:id="485"/>
      <w:r>
        <w:rPr>
          <w:rFonts w:hint="eastAsia"/>
          <w:b/>
          <w:bCs/>
          <w:sz w:val="24"/>
          <w:szCs w:val="24"/>
        </w:rPr>
        <w:br w:type="page"/>
      </w:r>
    </w:p>
    <w:p>
      <w:pPr>
        <w:spacing w:before="120" w:beforeLines="50" w:after="120" w:afterLines="50"/>
        <w:ind w:firstLine="0" w:firstLineChars="0"/>
        <w:jc w:val="center"/>
        <w:rPr>
          <w:b/>
          <w:bCs/>
          <w:sz w:val="24"/>
          <w:szCs w:val="28"/>
        </w:rPr>
      </w:pPr>
      <w:r>
        <w:rPr>
          <w:rFonts w:hint="eastAsia"/>
          <w:b/>
          <w:bCs/>
          <w:sz w:val="24"/>
          <w:szCs w:val="28"/>
        </w:rPr>
        <w:t>（五）信誉要求</w:t>
      </w:r>
    </w:p>
    <w:p>
      <w:pPr>
        <w:ind w:firstLine="420"/>
      </w:pPr>
      <w:r>
        <w:t>投标人及其</w:t>
      </w:r>
      <w:r>
        <w:rPr>
          <w:rFonts w:hint="eastAsia"/>
        </w:rPr>
        <w:t>法定代表人、</w:t>
      </w:r>
      <w:r>
        <w:t>拟派</w:t>
      </w:r>
      <w:r>
        <w:rPr>
          <w:rFonts w:hint="eastAsia"/>
        </w:rPr>
        <w:t>总监理工程师</w:t>
      </w:r>
      <w:r>
        <w:t>未被</w:t>
      </w:r>
      <w:r>
        <w:rPr>
          <w:rFonts w:hint="eastAsia"/>
        </w:rPr>
        <w:t>“中国执行信息公开网”（</w:t>
      </w:r>
      <w:r>
        <w:t>http://zxgk.court.gov.cn/shixin/）列入</w:t>
      </w:r>
      <w:r>
        <w:rPr>
          <w:rFonts w:hint="eastAsia"/>
        </w:rPr>
        <w:t>“失信被执行人”相关查询结果（投标人须提供网站查询结果截图，需包括查询日期，查询日期为公告发布之日之后。）</w:t>
      </w:r>
    </w:p>
    <w:p>
      <w:pPr>
        <w:pStyle w:val="26"/>
      </w:pPr>
    </w:p>
    <w:p>
      <w:pPr>
        <w:ind w:firstLine="482"/>
        <w:rPr>
          <w:b/>
          <w:bCs/>
          <w:sz w:val="24"/>
          <w:szCs w:val="24"/>
        </w:rPr>
      </w:pPr>
      <w:bookmarkStart w:id="486" w:name="_bookmark191"/>
      <w:bookmarkEnd w:id="486"/>
      <w:r>
        <w:rPr>
          <w:rFonts w:hint="eastAsia"/>
          <w:b/>
          <w:bCs/>
          <w:sz w:val="24"/>
          <w:szCs w:val="24"/>
        </w:rPr>
        <w:br w:type="page"/>
      </w:r>
    </w:p>
    <w:p>
      <w:pPr>
        <w:spacing w:before="120" w:beforeLines="50" w:after="120" w:afterLines="50"/>
        <w:ind w:firstLine="0" w:firstLineChars="0"/>
        <w:jc w:val="center"/>
        <w:rPr>
          <w:b/>
          <w:bCs/>
          <w:sz w:val="24"/>
          <w:szCs w:val="28"/>
        </w:rPr>
      </w:pPr>
      <w:r>
        <w:rPr>
          <w:rFonts w:hint="eastAsia"/>
          <w:b/>
          <w:bCs/>
          <w:sz w:val="24"/>
          <w:szCs w:val="28"/>
        </w:rPr>
        <w:t>（六）其他要求</w:t>
      </w:r>
    </w:p>
    <w:p>
      <w:pPr>
        <w:ind w:firstLine="420"/>
      </w:pPr>
      <w:r>
        <w:rPr>
          <w:rFonts w:hint="eastAsia"/>
        </w:rPr>
        <w:t>提供在“全国企业信用信息公示系统”中查询打印的相关证明材料（需包含公司基本信息、股东信息及股权变更信息）</w:t>
      </w:r>
    </w:p>
    <w:p>
      <w:pPr>
        <w:pStyle w:val="7"/>
        <w:ind w:firstLine="420"/>
      </w:pPr>
    </w:p>
    <w:p>
      <w:pPr>
        <w:ind w:firstLine="482"/>
        <w:rPr>
          <w:b/>
          <w:bCs/>
          <w:sz w:val="24"/>
          <w:szCs w:val="24"/>
        </w:rPr>
      </w:pPr>
      <w:bookmarkStart w:id="487" w:name="_bookmark192"/>
      <w:bookmarkEnd w:id="487"/>
      <w:r>
        <w:rPr>
          <w:rFonts w:hint="eastAsia"/>
          <w:b/>
          <w:bCs/>
          <w:sz w:val="24"/>
          <w:szCs w:val="24"/>
        </w:rPr>
        <w:br w:type="page"/>
      </w:r>
    </w:p>
    <w:p>
      <w:pPr>
        <w:pStyle w:val="3"/>
        <w:jc w:val="center"/>
      </w:pPr>
      <w:bookmarkStart w:id="488" w:name="_bookmark193"/>
      <w:bookmarkEnd w:id="488"/>
      <w:bookmarkStart w:id="489" w:name="_Toc152663969"/>
      <w:bookmarkStart w:id="490" w:name="_Toc24936"/>
      <w:r>
        <w:rPr>
          <w:rFonts w:hint="eastAsia"/>
        </w:rPr>
        <w:t>五、监理大纲</w:t>
      </w:r>
      <w:bookmarkEnd w:id="489"/>
      <w:bookmarkEnd w:id="490"/>
    </w:p>
    <w:p>
      <w:pPr>
        <w:ind w:firstLine="420"/>
      </w:pPr>
      <w:r>
        <w:rPr>
          <w:rFonts w:hint="eastAsia"/>
        </w:rPr>
        <w:t>附投标人依据招标文件要求及有关附件自行编制的技术标，应包含但不限于以下内容：</w:t>
      </w:r>
    </w:p>
    <w:p>
      <w:pPr>
        <w:ind w:firstLine="420"/>
      </w:pPr>
      <w:r>
        <w:rPr>
          <w:rFonts w:hint="eastAsia"/>
        </w:rPr>
        <w:t>（1）组织机构；</w:t>
      </w:r>
    </w:p>
    <w:p>
      <w:pPr>
        <w:ind w:firstLine="420"/>
      </w:pPr>
      <w:r>
        <w:rPr>
          <w:rFonts w:hint="eastAsia"/>
        </w:rPr>
        <w:t>（2）进度控制措施；</w:t>
      </w:r>
    </w:p>
    <w:p>
      <w:pPr>
        <w:ind w:firstLine="420"/>
      </w:pPr>
      <w:r>
        <w:rPr>
          <w:rFonts w:hint="eastAsia"/>
        </w:rPr>
        <w:t>（3）质量控制措施；</w:t>
      </w:r>
    </w:p>
    <w:p>
      <w:pPr>
        <w:ind w:firstLine="420"/>
      </w:pPr>
      <w:r>
        <w:rPr>
          <w:rFonts w:hint="eastAsia"/>
        </w:rPr>
        <w:t>（4）投资控制；</w:t>
      </w:r>
    </w:p>
    <w:p>
      <w:pPr>
        <w:ind w:firstLine="420"/>
      </w:pPr>
      <w:r>
        <w:rPr>
          <w:rFonts w:hint="eastAsia"/>
        </w:rPr>
        <w:t>（5）履行安全生产、环境保护监理法定职责；</w:t>
      </w:r>
    </w:p>
    <w:p>
      <w:pPr>
        <w:ind w:firstLine="420"/>
      </w:pPr>
      <w:r>
        <w:rPr>
          <w:rFonts w:hint="eastAsia"/>
        </w:rPr>
        <w:t>（6）合同管理、信息管理；</w:t>
      </w:r>
    </w:p>
    <w:p>
      <w:pPr>
        <w:ind w:firstLine="420"/>
      </w:pPr>
      <w:r>
        <w:rPr>
          <w:rFonts w:hint="eastAsia"/>
        </w:rPr>
        <w:t>（7）协调工程建设相关方关系；</w:t>
      </w:r>
    </w:p>
    <w:p>
      <w:pPr>
        <w:ind w:firstLine="420"/>
      </w:pPr>
      <w:r>
        <w:rPr>
          <w:rFonts w:hint="eastAsia"/>
        </w:rPr>
        <w:t>（8）工程验收实施方案；</w:t>
      </w:r>
    </w:p>
    <w:p>
      <w:pPr>
        <w:ind w:firstLine="420"/>
      </w:pPr>
      <w:r>
        <w:rPr>
          <w:rFonts w:hint="eastAsia"/>
        </w:rPr>
        <w:t>（9）竣工资料收集与整理；</w:t>
      </w:r>
    </w:p>
    <w:p>
      <w:pPr>
        <w:ind w:firstLine="420"/>
      </w:pPr>
      <w:r>
        <w:rPr>
          <w:rFonts w:hint="eastAsia"/>
        </w:rPr>
        <w:t>（10）</w:t>
      </w:r>
      <w:r>
        <w:rPr>
          <w:rFonts w:hint="eastAsia" w:cs="宋体"/>
          <w:kern w:val="0"/>
          <w:szCs w:val="21"/>
        </w:rPr>
        <w:t>缺陷责任</w:t>
      </w:r>
      <w:r>
        <w:rPr>
          <w:rFonts w:hint="eastAsia"/>
        </w:rPr>
        <w:t>期内工程质量缺陷管理；</w:t>
      </w:r>
    </w:p>
    <w:p>
      <w:pPr>
        <w:ind w:firstLine="420"/>
      </w:pPr>
      <w:r>
        <w:rPr>
          <w:rFonts w:hint="eastAsia"/>
        </w:rPr>
        <w:t>（11）其他需要补充的说明。</w:t>
      </w:r>
    </w:p>
    <w:p>
      <w:pPr>
        <w:ind w:firstLine="560"/>
        <w:rPr>
          <w:rFonts w:cs="宋体"/>
          <w:sz w:val="28"/>
          <w:szCs w:val="28"/>
        </w:rPr>
      </w:pPr>
      <w:bookmarkStart w:id="491" w:name="_bookmark194"/>
      <w:bookmarkEnd w:id="491"/>
      <w:bookmarkStart w:id="492" w:name="_Toc4839"/>
      <w:r>
        <w:rPr>
          <w:rFonts w:hint="eastAsia" w:cs="宋体"/>
          <w:sz w:val="28"/>
          <w:szCs w:val="28"/>
        </w:rPr>
        <w:br w:type="page"/>
      </w:r>
    </w:p>
    <w:p>
      <w:pPr>
        <w:pStyle w:val="3"/>
        <w:jc w:val="center"/>
      </w:pPr>
      <w:bookmarkStart w:id="493" w:name="_Toc146200574"/>
      <w:bookmarkStart w:id="494" w:name="_Toc152663970"/>
      <w:r>
        <w:rPr>
          <w:rFonts w:hint="eastAsia"/>
        </w:rPr>
        <w:t>六、拟投入现场监理人员配置</w:t>
      </w:r>
      <w:bookmarkEnd w:id="493"/>
      <w:bookmarkEnd w:id="494"/>
    </w:p>
    <w:p>
      <w:pPr>
        <w:spacing w:before="120" w:beforeLines="50" w:after="120" w:afterLines="50"/>
        <w:ind w:firstLine="0" w:firstLineChars="0"/>
        <w:jc w:val="center"/>
        <w:rPr>
          <w:b/>
          <w:bCs/>
          <w:sz w:val="24"/>
          <w:szCs w:val="28"/>
        </w:rPr>
      </w:pPr>
      <w:r>
        <w:rPr>
          <w:rFonts w:hint="eastAsia"/>
          <w:b/>
          <w:bCs/>
          <w:sz w:val="24"/>
          <w:szCs w:val="28"/>
        </w:rPr>
        <w:t>（一）监理团队组成表</w:t>
      </w:r>
    </w:p>
    <w:tbl>
      <w:tblPr>
        <w:tblStyle w:val="22"/>
        <w:tblW w:w="879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5"/>
        <w:gridCol w:w="1785"/>
        <w:gridCol w:w="1417"/>
        <w:gridCol w:w="1985"/>
        <w:gridCol w:w="1417"/>
        <w:gridCol w:w="13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875" w:type="dxa"/>
            <w:tcBorders>
              <w:tl2br w:val="nil"/>
              <w:tr2bl w:val="nil"/>
            </w:tcBorders>
            <w:vAlign w:val="center"/>
          </w:tcPr>
          <w:p>
            <w:pPr>
              <w:ind w:firstLine="0" w:firstLineChars="0"/>
              <w:jc w:val="center"/>
            </w:pPr>
            <w:r>
              <w:rPr>
                <w:rFonts w:hint="eastAsia"/>
              </w:rPr>
              <w:t>序号</w:t>
            </w:r>
          </w:p>
        </w:tc>
        <w:tc>
          <w:tcPr>
            <w:tcW w:w="1785" w:type="dxa"/>
            <w:tcBorders>
              <w:tl2br w:val="nil"/>
              <w:tr2bl w:val="nil"/>
            </w:tcBorders>
            <w:vAlign w:val="center"/>
          </w:tcPr>
          <w:p>
            <w:pPr>
              <w:ind w:firstLine="0" w:firstLineChars="0"/>
              <w:jc w:val="center"/>
            </w:pPr>
            <w:r>
              <w:rPr>
                <w:rFonts w:hint="eastAsia"/>
              </w:rPr>
              <w:t>本项目任职</w:t>
            </w:r>
          </w:p>
        </w:tc>
        <w:tc>
          <w:tcPr>
            <w:tcW w:w="1417" w:type="dxa"/>
            <w:tcBorders>
              <w:tl2br w:val="nil"/>
              <w:tr2bl w:val="nil"/>
            </w:tcBorders>
            <w:vAlign w:val="center"/>
          </w:tcPr>
          <w:p>
            <w:pPr>
              <w:ind w:firstLine="0" w:firstLineChars="0"/>
              <w:jc w:val="center"/>
            </w:pPr>
            <w:r>
              <w:rPr>
                <w:rFonts w:hint="eastAsia"/>
              </w:rPr>
              <w:t>姓名</w:t>
            </w:r>
          </w:p>
        </w:tc>
        <w:tc>
          <w:tcPr>
            <w:tcW w:w="1985" w:type="dxa"/>
            <w:tcBorders>
              <w:tl2br w:val="nil"/>
              <w:tr2bl w:val="nil"/>
            </w:tcBorders>
            <w:vAlign w:val="center"/>
          </w:tcPr>
          <w:p>
            <w:pPr>
              <w:ind w:firstLine="0" w:firstLineChars="0"/>
              <w:jc w:val="center"/>
            </w:pPr>
            <w:r>
              <w:rPr>
                <w:rFonts w:hint="eastAsia"/>
              </w:rPr>
              <w:t>证书名称</w:t>
            </w:r>
          </w:p>
        </w:tc>
        <w:tc>
          <w:tcPr>
            <w:tcW w:w="1417" w:type="dxa"/>
            <w:tcBorders>
              <w:tl2br w:val="nil"/>
              <w:tr2bl w:val="nil"/>
            </w:tcBorders>
            <w:vAlign w:val="center"/>
          </w:tcPr>
          <w:p>
            <w:pPr>
              <w:ind w:firstLine="0" w:firstLineChars="0"/>
              <w:jc w:val="center"/>
            </w:pPr>
            <w:r>
              <w:rPr>
                <w:rFonts w:hint="eastAsia"/>
              </w:rPr>
              <w:t>专业</w:t>
            </w:r>
          </w:p>
        </w:tc>
        <w:tc>
          <w:tcPr>
            <w:tcW w:w="1317" w:type="dxa"/>
            <w:tcBorders>
              <w:tl2br w:val="nil"/>
              <w:tr2bl w:val="nil"/>
            </w:tcBorders>
            <w:vAlign w:val="center"/>
          </w:tcPr>
          <w:p>
            <w:pPr>
              <w:ind w:firstLine="0" w:firstLineChars="0"/>
              <w:jc w:val="center"/>
            </w:pPr>
            <w:r>
              <w:rPr>
                <w:rFonts w:hint="eastAsia"/>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875" w:type="dxa"/>
            <w:tcBorders>
              <w:tl2br w:val="nil"/>
              <w:tr2bl w:val="nil"/>
            </w:tcBorders>
            <w:vAlign w:val="center"/>
          </w:tcPr>
          <w:p>
            <w:pPr>
              <w:ind w:firstLine="0" w:firstLineChars="0"/>
              <w:jc w:val="center"/>
            </w:pPr>
          </w:p>
        </w:tc>
        <w:tc>
          <w:tcPr>
            <w:tcW w:w="17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9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317" w:type="dxa"/>
            <w:tcBorders>
              <w:tl2br w:val="nil"/>
              <w:tr2bl w:val="nil"/>
            </w:tcBorders>
            <w:vAlign w:val="center"/>
          </w:tcPr>
          <w:p>
            <w:pPr>
              <w:ind w:firstLine="0" w:firstLineChars="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875" w:type="dxa"/>
            <w:tcBorders>
              <w:tl2br w:val="nil"/>
              <w:tr2bl w:val="nil"/>
            </w:tcBorders>
            <w:vAlign w:val="center"/>
          </w:tcPr>
          <w:p>
            <w:pPr>
              <w:ind w:firstLine="0" w:firstLineChars="0"/>
              <w:jc w:val="center"/>
            </w:pPr>
          </w:p>
        </w:tc>
        <w:tc>
          <w:tcPr>
            <w:tcW w:w="17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9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317" w:type="dxa"/>
            <w:tcBorders>
              <w:tl2br w:val="nil"/>
              <w:tr2bl w:val="nil"/>
            </w:tcBorders>
            <w:vAlign w:val="center"/>
          </w:tcPr>
          <w:p>
            <w:pPr>
              <w:ind w:firstLine="0" w:firstLineChars="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875" w:type="dxa"/>
            <w:tcBorders>
              <w:tl2br w:val="nil"/>
              <w:tr2bl w:val="nil"/>
            </w:tcBorders>
            <w:vAlign w:val="center"/>
          </w:tcPr>
          <w:p>
            <w:pPr>
              <w:ind w:firstLine="0" w:firstLineChars="0"/>
              <w:jc w:val="center"/>
            </w:pPr>
          </w:p>
        </w:tc>
        <w:tc>
          <w:tcPr>
            <w:tcW w:w="17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9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317" w:type="dxa"/>
            <w:tcBorders>
              <w:tl2br w:val="nil"/>
              <w:tr2bl w:val="nil"/>
            </w:tcBorders>
            <w:vAlign w:val="center"/>
          </w:tcPr>
          <w:p>
            <w:pPr>
              <w:ind w:firstLine="0" w:firstLineChars="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875" w:type="dxa"/>
            <w:tcBorders>
              <w:tl2br w:val="nil"/>
              <w:tr2bl w:val="nil"/>
            </w:tcBorders>
            <w:vAlign w:val="center"/>
          </w:tcPr>
          <w:p>
            <w:pPr>
              <w:ind w:firstLine="0" w:firstLineChars="0"/>
              <w:jc w:val="center"/>
            </w:pPr>
          </w:p>
        </w:tc>
        <w:tc>
          <w:tcPr>
            <w:tcW w:w="17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9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317" w:type="dxa"/>
            <w:tcBorders>
              <w:tl2br w:val="nil"/>
              <w:tr2bl w:val="nil"/>
            </w:tcBorders>
            <w:vAlign w:val="center"/>
          </w:tcPr>
          <w:p>
            <w:pPr>
              <w:ind w:firstLine="0" w:firstLineChars="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875" w:type="dxa"/>
            <w:tcBorders>
              <w:tl2br w:val="nil"/>
              <w:tr2bl w:val="nil"/>
            </w:tcBorders>
            <w:vAlign w:val="center"/>
          </w:tcPr>
          <w:p>
            <w:pPr>
              <w:ind w:firstLine="0" w:firstLineChars="0"/>
              <w:jc w:val="center"/>
            </w:pPr>
          </w:p>
        </w:tc>
        <w:tc>
          <w:tcPr>
            <w:tcW w:w="17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9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317" w:type="dxa"/>
            <w:tcBorders>
              <w:tl2br w:val="nil"/>
              <w:tr2bl w:val="nil"/>
            </w:tcBorders>
            <w:vAlign w:val="center"/>
          </w:tcPr>
          <w:p>
            <w:pPr>
              <w:ind w:firstLine="0" w:firstLineChars="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875" w:type="dxa"/>
            <w:tcBorders>
              <w:tl2br w:val="nil"/>
              <w:tr2bl w:val="nil"/>
            </w:tcBorders>
            <w:vAlign w:val="center"/>
          </w:tcPr>
          <w:p>
            <w:pPr>
              <w:ind w:firstLine="0" w:firstLineChars="0"/>
              <w:jc w:val="center"/>
            </w:pPr>
          </w:p>
        </w:tc>
        <w:tc>
          <w:tcPr>
            <w:tcW w:w="17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9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317" w:type="dxa"/>
            <w:tcBorders>
              <w:tl2br w:val="nil"/>
              <w:tr2bl w:val="nil"/>
            </w:tcBorders>
            <w:vAlign w:val="center"/>
          </w:tcPr>
          <w:p>
            <w:pPr>
              <w:ind w:firstLine="0" w:firstLineChars="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875" w:type="dxa"/>
            <w:tcBorders>
              <w:tl2br w:val="nil"/>
              <w:tr2bl w:val="nil"/>
            </w:tcBorders>
            <w:vAlign w:val="center"/>
          </w:tcPr>
          <w:p>
            <w:pPr>
              <w:ind w:firstLine="0" w:firstLineChars="0"/>
              <w:jc w:val="center"/>
            </w:pPr>
          </w:p>
        </w:tc>
        <w:tc>
          <w:tcPr>
            <w:tcW w:w="17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9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317" w:type="dxa"/>
            <w:tcBorders>
              <w:tl2br w:val="nil"/>
              <w:tr2bl w:val="nil"/>
            </w:tcBorders>
            <w:vAlign w:val="center"/>
          </w:tcPr>
          <w:p>
            <w:pPr>
              <w:ind w:firstLine="0" w:firstLineChars="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875" w:type="dxa"/>
            <w:tcBorders>
              <w:tl2br w:val="nil"/>
              <w:tr2bl w:val="nil"/>
            </w:tcBorders>
            <w:vAlign w:val="center"/>
          </w:tcPr>
          <w:p>
            <w:pPr>
              <w:ind w:firstLine="0" w:firstLineChars="0"/>
              <w:jc w:val="center"/>
            </w:pPr>
          </w:p>
        </w:tc>
        <w:tc>
          <w:tcPr>
            <w:tcW w:w="17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9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317" w:type="dxa"/>
            <w:tcBorders>
              <w:tl2br w:val="nil"/>
              <w:tr2bl w:val="nil"/>
            </w:tcBorders>
            <w:vAlign w:val="center"/>
          </w:tcPr>
          <w:p>
            <w:pPr>
              <w:ind w:firstLine="0" w:firstLineChars="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875" w:type="dxa"/>
            <w:tcBorders>
              <w:tl2br w:val="nil"/>
              <w:tr2bl w:val="nil"/>
            </w:tcBorders>
            <w:vAlign w:val="center"/>
          </w:tcPr>
          <w:p>
            <w:pPr>
              <w:ind w:firstLine="0" w:firstLineChars="0"/>
              <w:jc w:val="center"/>
            </w:pPr>
          </w:p>
        </w:tc>
        <w:tc>
          <w:tcPr>
            <w:tcW w:w="17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9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317" w:type="dxa"/>
            <w:tcBorders>
              <w:tl2br w:val="nil"/>
              <w:tr2bl w:val="nil"/>
            </w:tcBorders>
            <w:vAlign w:val="center"/>
          </w:tcPr>
          <w:p>
            <w:pPr>
              <w:ind w:firstLine="0" w:firstLineChars="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875" w:type="dxa"/>
            <w:tcBorders>
              <w:tl2br w:val="nil"/>
              <w:tr2bl w:val="nil"/>
            </w:tcBorders>
            <w:vAlign w:val="center"/>
          </w:tcPr>
          <w:p>
            <w:pPr>
              <w:ind w:firstLine="0" w:firstLineChars="0"/>
              <w:jc w:val="center"/>
            </w:pPr>
          </w:p>
        </w:tc>
        <w:tc>
          <w:tcPr>
            <w:tcW w:w="17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9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317" w:type="dxa"/>
            <w:tcBorders>
              <w:tl2br w:val="nil"/>
              <w:tr2bl w:val="nil"/>
            </w:tcBorders>
            <w:vAlign w:val="center"/>
          </w:tcPr>
          <w:p>
            <w:pPr>
              <w:ind w:firstLine="0" w:firstLineChars="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875" w:type="dxa"/>
            <w:tcBorders>
              <w:tl2br w:val="nil"/>
              <w:tr2bl w:val="nil"/>
            </w:tcBorders>
            <w:vAlign w:val="center"/>
          </w:tcPr>
          <w:p>
            <w:pPr>
              <w:ind w:firstLine="0" w:firstLineChars="0"/>
              <w:jc w:val="center"/>
            </w:pPr>
          </w:p>
        </w:tc>
        <w:tc>
          <w:tcPr>
            <w:tcW w:w="17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9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317" w:type="dxa"/>
            <w:tcBorders>
              <w:tl2br w:val="nil"/>
              <w:tr2bl w:val="nil"/>
            </w:tcBorders>
            <w:vAlign w:val="center"/>
          </w:tcPr>
          <w:p>
            <w:pPr>
              <w:ind w:firstLine="0" w:firstLineChars="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875" w:type="dxa"/>
            <w:tcBorders>
              <w:tl2br w:val="nil"/>
              <w:tr2bl w:val="nil"/>
            </w:tcBorders>
            <w:vAlign w:val="center"/>
          </w:tcPr>
          <w:p>
            <w:pPr>
              <w:ind w:firstLine="0" w:firstLineChars="0"/>
              <w:jc w:val="center"/>
            </w:pPr>
          </w:p>
        </w:tc>
        <w:tc>
          <w:tcPr>
            <w:tcW w:w="17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9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317" w:type="dxa"/>
            <w:tcBorders>
              <w:tl2br w:val="nil"/>
              <w:tr2bl w:val="nil"/>
            </w:tcBorders>
            <w:vAlign w:val="center"/>
          </w:tcPr>
          <w:p>
            <w:pPr>
              <w:ind w:firstLine="0" w:firstLineChars="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875" w:type="dxa"/>
            <w:tcBorders>
              <w:tl2br w:val="nil"/>
              <w:tr2bl w:val="nil"/>
            </w:tcBorders>
            <w:vAlign w:val="center"/>
          </w:tcPr>
          <w:p>
            <w:pPr>
              <w:ind w:firstLine="0" w:firstLineChars="0"/>
              <w:jc w:val="center"/>
            </w:pPr>
          </w:p>
        </w:tc>
        <w:tc>
          <w:tcPr>
            <w:tcW w:w="17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985" w:type="dxa"/>
            <w:tcBorders>
              <w:tl2br w:val="nil"/>
              <w:tr2bl w:val="nil"/>
            </w:tcBorders>
            <w:vAlign w:val="center"/>
          </w:tcPr>
          <w:p>
            <w:pPr>
              <w:ind w:firstLine="0" w:firstLineChars="0"/>
              <w:jc w:val="center"/>
            </w:pPr>
          </w:p>
        </w:tc>
        <w:tc>
          <w:tcPr>
            <w:tcW w:w="1417" w:type="dxa"/>
            <w:tcBorders>
              <w:tl2br w:val="nil"/>
              <w:tr2bl w:val="nil"/>
            </w:tcBorders>
            <w:vAlign w:val="center"/>
          </w:tcPr>
          <w:p>
            <w:pPr>
              <w:ind w:firstLine="0" w:firstLineChars="0"/>
              <w:jc w:val="center"/>
            </w:pPr>
          </w:p>
        </w:tc>
        <w:tc>
          <w:tcPr>
            <w:tcW w:w="1317" w:type="dxa"/>
            <w:tcBorders>
              <w:tl2br w:val="nil"/>
              <w:tr2bl w:val="nil"/>
            </w:tcBorders>
            <w:vAlign w:val="center"/>
          </w:tcPr>
          <w:p>
            <w:pPr>
              <w:ind w:firstLine="0" w:firstLineChars="0"/>
              <w:jc w:val="center"/>
            </w:pPr>
          </w:p>
        </w:tc>
      </w:tr>
    </w:tbl>
    <w:p>
      <w:pPr>
        <w:spacing w:line="360" w:lineRule="auto"/>
        <w:ind w:firstLine="420"/>
        <w:rPr>
          <w:rFonts w:hAnsi="Times New Roman"/>
          <w:szCs w:val="20"/>
        </w:rPr>
      </w:pPr>
    </w:p>
    <w:p>
      <w:pPr>
        <w:spacing w:line="360" w:lineRule="auto"/>
        <w:ind w:firstLine="422"/>
        <w:outlineLvl w:val="2"/>
        <w:rPr>
          <w:b/>
          <w:szCs w:val="20"/>
        </w:rPr>
      </w:pPr>
    </w:p>
    <w:p>
      <w:pPr>
        <w:spacing w:before="120" w:beforeLines="50" w:after="120" w:afterLines="50"/>
        <w:ind w:firstLine="0" w:firstLineChars="0"/>
        <w:jc w:val="center"/>
        <w:rPr>
          <w:rFonts w:hAnsi="Times New Roman"/>
          <w:b/>
          <w:sz w:val="24"/>
          <w:szCs w:val="24"/>
        </w:rPr>
      </w:pPr>
      <w:r>
        <w:rPr>
          <w:b/>
          <w:szCs w:val="20"/>
        </w:rPr>
        <w:br w:type="page"/>
      </w:r>
      <w:r>
        <w:rPr>
          <w:rFonts w:hint="eastAsia"/>
          <w:b/>
          <w:bCs/>
          <w:sz w:val="24"/>
          <w:szCs w:val="28"/>
        </w:rPr>
        <w:t>（二）总监理工程师简历表</w:t>
      </w:r>
    </w:p>
    <w:tbl>
      <w:tblPr>
        <w:tblStyle w:val="22"/>
        <w:tblW w:w="908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63"/>
        <w:gridCol w:w="382"/>
        <w:gridCol w:w="737"/>
        <w:gridCol w:w="1020"/>
        <w:gridCol w:w="1136"/>
        <w:gridCol w:w="753"/>
        <w:gridCol w:w="1343"/>
        <w:gridCol w:w="427"/>
        <w:gridCol w:w="20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exact"/>
          <w:jc w:val="center"/>
        </w:trPr>
        <w:tc>
          <w:tcPr>
            <w:tcW w:w="1263" w:type="dxa"/>
            <w:tcBorders>
              <w:tl2br w:val="nil"/>
              <w:tr2bl w:val="nil"/>
            </w:tcBorders>
            <w:vAlign w:val="center"/>
          </w:tcPr>
          <w:p>
            <w:pPr>
              <w:ind w:firstLine="0" w:firstLineChars="0"/>
              <w:jc w:val="center"/>
            </w:pPr>
            <w:r>
              <w:rPr>
                <w:rFonts w:hint="eastAsia"/>
              </w:rPr>
              <w:t>姓名</w:t>
            </w:r>
          </w:p>
        </w:tc>
        <w:tc>
          <w:tcPr>
            <w:tcW w:w="1119" w:type="dxa"/>
            <w:gridSpan w:val="2"/>
            <w:tcBorders>
              <w:tl2br w:val="nil"/>
              <w:tr2bl w:val="nil"/>
            </w:tcBorders>
            <w:vAlign w:val="center"/>
          </w:tcPr>
          <w:p>
            <w:pPr>
              <w:ind w:firstLine="0" w:firstLineChars="0"/>
              <w:jc w:val="center"/>
            </w:pPr>
          </w:p>
        </w:tc>
        <w:tc>
          <w:tcPr>
            <w:tcW w:w="1020" w:type="dxa"/>
            <w:tcBorders>
              <w:tl2br w:val="nil"/>
              <w:tr2bl w:val="nil"/>
            </w:tcBorders>
            <w:vAlign w:val="center"/>
          </w:tcPr>
          <w:p>
            <w:pPr>
              <w:ind w:firstLine="0" w:firstLineChars="0"/>
              <w:jc w:val="center"/>
            </w:pPr>
            <w:r>
              <w:rPr>
                <w:rFonts w:hint="eastAsia"/>
              </w:rPr>
              <w:t>年龄</w:t>
            </w:r>
          </w:p>
        </w:tc>
        <w:tc>
          <w:tcPr>
            <w:tcW w:w="1136" w:type="dxa"/>
            <w:tcBorders>
              <w:tl2br w:val="nil"/>
              <w:tr2bl w:val="nil"/>
            </w:tcBorders>
            <w:vAlign w:val="center"/>
          </w:tcPr>
          <w:p>
            <w:pPr>
              <w:ind w:firstLine="0" w:firstLineChars="0"/>
              <w:jc w:val="center"/>
            </w:pPr>
          </w:p>
        </w:tc>
        <w:tc>
          <w:tcPr>
            <w:tcW w:w="2523" w:type="dxa"/>
            <w:gridSpan w:val="3"/>
            <w:tcBorders>
              <w:tl2br w:val="nil"/>
              <w:tr2bl w:val="nil"/>
            </w:tcBorders>
            <w:vAlign w:val="center"/>
          </w:tcPr>
          <w:p>
            <w:pPr>
              <w:ind w:firstLine="0" w:firstLineChars="0"/>
              <w:jc w:val="center"/>
            </w:pPr>
            <w:r>
              <w:rPr>
                <w:rFonts w:hint="eastAsia"/>
              </w:rPr>
              <w:t>证书名称</w:t>
            </w:r>
          </w:p>
        </w:tc>
        <w:tc>
          <w:tcPr>
            <w:tcW w:w="2021" w:type="dxa"/>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exact"/>
          <w:jc w:val="center"/>
        </w:trPr>
        <w:tc>
          <w:tcPr>
            <w:tcW w:w="1263" w:type="dxa"/>
            <w:tcBorders>
              <w:tl2br w:val="nil"/>
              <w:tr2bl w:val="nil"/>
            </w:tcBorders>
            <w:vAlign w:val="center"/>
          </w:tcPr>
          <w:p>
            <w:pPr>
              <w:ind w:firstLine="0" w:firstLineChars="0"/>
              <w:jc w:val="center"/>
            </w:pPr>
            <w:r>
              <w:rPr>
                <w:rFonts w:hint="eastAsia"/>
              </w:rPr>
              <w:t>职称</w:t>
            </w:r>
          </w:p>
        </w:tc>
        <w:tc>
          <w:tcPr>
            <w:tcW w:w="1119" w:type="dxa"/>
            <w:gridSpan w:val="2"/>
            <w:tcBorders>
              <w:tl2br w:val="nil"/>
              <w:tr2bl w:val="nil"/>
            </w:tcBorders>
            <w:vAlign w:val="center"/>
          </w:tcPr>
          <w:p>
            <w:pPr>
              <w:ind w:firstLine="0" w:firstLineChars="0"/>
              <w:jc w:val="center"/>
            </w:pPr>
          </w:p>
        </w:tc>
        <w:tc>
          <w:tcPr>
            <w:tcW w:w="1020" w:type="dxa"/>
            <w:tcBorders>
              <w:tl2br w:val="nil"/>
              <w:tr2bl w:val="nil"/>
            </w:tcBorders>
            <w:vAlign w:val="center"/>
          </w:tcPr>
          <w:p>
            <w:pPr>
              <w:ind w:firstLine="0" w:firstLineChars="0"/>
              <w:jc w:val="center"/>
            </w:pPr>
            <w:r>
              <w:rPr>
                <w:rFonts w:hint="eastAsia"/>
              </w:rPr>
              <w:t>学历</w:t>
            </w:r>
          </w:p>
        </w:tc>
        <w:tc>
          <w:tcPr>
            <w:tcW w:w="1136" w:type="dxa"/>
            <w:tcBorders>
              <w:tl2br w:val="nil"/>
              <w:tr2bl w:val="nil"/>
            </w:tcBorders>
            <w:vAlign w:val="center"/>
          </w:tcPr>
          <w:p>
            <w:pPr>
              <w:ind w:firstLine="0" w:firstLineChars="0"/>
              <w:jc w:val="center"/>
            </w:pPr>
          </w:p>
        </w:tc>
        <w:tc>
          <w:tcPr>
            <w:tcW w:w="2523" w:type="dxa"/>
            <w:gridSpan w:val="3"/>
            <w:tcBorders>
              <w:tl2br w:val="nil"/>
              <w:tr2bl w:val="nil"/>
            </w:tcBorders>
            <w:vAlign w:val="center"/>
          </w:tcPr>
          <w:p>
            <w:pPr>
              <w:ind w:firstLine="0" w:firstLineChars="0"/>
              <w:jc w:val="center"/>
            </w:pPr>
            <w:r>
              <w:rPr>
                <w:rFonts w:hint="eastAsia"/>
              </w:rPr>
              <w:t>拟在本项目任职</w:t>
            </w:r>
          </w:p>
        </w:tc>
        <w:tc>
          <w:tcPr>
            <w:tcW w:w="2021" w:type="dxa"/>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263" w:type="dxa"/>
            <w:tcBorders>
              <w:tl2br w:val="nil"/>
              <w:tr2bl w:val="nil"/>
            </w:tcBorders>
            <w:vAlign w:val="center"/>
          </w:tcPr>
          <w:p>
            <w:pPr>
              <w:ind w:firstLine="0" w:firstLineChars="0"/>
              <w:jc w:val="center"/>
            </w:pPr>
            <w:r>
              <w:rPr>
                <w:rFonts w:hint="eastAsia"/>
              </w:rPr>
              <w:t>工作年限</w:t>
            </w:r>
          </w:p>
        </w:tc>
        <w:tc>
          <w:tcPr>
            <w:tcW w:w="3275" w:type="dxa"/>
            <w:gridSpan w:val="4"/>
            <w:tcBorders>
              <w:tl2br w:val="nil"/>
              <w:tr2bl w:val="nil"/>
            </w:tcBorders>
            <w:vAlign w:val="center"/>
          </w:tcPr>
          <w:p>
            <w:pPr>
              <w:ind w:firstLine="0" w:firstLineChars="0"/>
              <w:jc w:val="center"/>
            </w:pPr>
          </w:p>
        </w:tc>
        <w:tc>
          <w:tcPr>
            <w:tcW w:w="2523" w:type="dxa"/>
            <w:gridSpan w:val="3"/>
            <w:tcBorders>
              <w:tl2br w:val="nil"/>
              <w:tr2bl w:val="nil"/>
            </w:tcBorders>
            <w:vAlign w:val="center"/>
          </w:tcPr>
          <w:p>
            <w:pPr>
              <w:ind w:firstLine="0" w:firstLineChars="0"/>
              <w:jc w:val="center"/>
            </w:pPr>
            <w:r>
              <w:rPr>
                <w:rFonts w:hint="eastAsia"/>
              </w:rPr>
              <w:t>从事监理工作年限</w:t>
            </w:r>
          </w:p>
        </w:tc>
        <w:tc>
          <w:tcPr>
            <w:tcW w:w="2021" w:type="dxa"/>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0" w:hRule="exact"/>
          <w:jc w:val="center"/>
        </w:trPr>
        <w:tc>
          <w:tcPr>
            <w:tcW w:w="1263" w:type="dxa"/>
            <w:tcBorders>
              <w:tl2br w:val="nil"/>
              <w:tr2bl w:val="nil"/>
            </w:tcBorders>
            <w:vAlign w:val="center"/>
          </w:tcPr>
          <w:p>
            <w:pPr>
              <w:ind w:firstLine="0" w:firstLineChars="0"/>
              <w:jc w:val="center"/>
            </w:pPr>
            <w:r>
              <w:rPr>
                <w:rFonts w:hint="eastAsia"/>
              </w:rPr>
              <w:t>毕业学校</w:t>
            </w:r>
          </w:p>
        </w:tc>
        <w:tc>
          <w:tcPr>
            <w:tcW w:w="7819" w:type="dxa"/>
            <w:gridSpan w:val="8"/>
            <w:tcBorders>
              <w:tl2br w:val="nil"/>
              <w:tr2bl w:val="nil"/>
            </w:tcBorders>
            <w:vAlign w:val="center"/>
          </w:tcPr>
          <w:p>
            <w:pPr>
              <w:ind w:firstLine="0" w:firstLineChars="0"/>
              <w:jc w:val="center"/>
            </w:pPr>
            <w:r>
              <w:rPr>
                <w:rFonts w:hint="eastAsia"/>
              </w:rPr>
              <w:t>年毕业于</w:t>
            </w:r>
            <w:r>
              <w:tab/>
            </w:r>
            <w:r>
              <w:rPr>
                <w:rFonts w:hint="eastAsia"/>
              </w:rPr>
              <w:t>学校</w:t>
            </w:r>
            <w:r>
              <w:tab/>
            </w:r>
            <w:r>
              <w:rPr>
                <w:rFonts w:hint="eastAsia"/>
              </w:rPr>
              <w:t>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4" w:hRule="exact"/>
          <w:jc w:val="center"/>
        </w:trPr>
        <w:tc>
          <w:tcPr>
            <w:tcW w:w="9082" w:type="dxa"/>
            <w:gridSpan w:val="9"/>
            <w:tcBorders>
              <w:tl2br w:val="nil"/>
              <w:tr2bl w:val="nil"/>
            </w:tcBorders>
            <w:vAlign w:val="center"/>
          </w:tcPr>
          <w:p>
            <w:pPr>
              <w:ind w:firstLine="0" w:firstLineChars="0"/>
              <w:jc w:val="center"/>
            </w:pPr>
            <w:r>
              <w:rPr>
                <w:rFonts w:hint="eastAsia"/>
              </w:rPr>
              <w:t>主要工作经历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exact"/>
          <w:jc w:val="center"/>
        </w:trPr>
        <w:tc>
          <w:tcPr>
            <w:tcW w:w="1645" w:type="dxa"/>
            <w:gridSpan w:val="2"/>
            <w:tcBorders>
              <w:tl2br w:val="nil"/>
              <w:tr2bl w:val="nil"/>
            </w:tcBorders>
            <w:vAlign w:val="center"/>
          </w:tcPr>
          <w:p>
            <w:pPr>
              <w:ind w:firstLine="0" w:firstLineChars="0"/>
              <w:jc w:val="center"/>
            </w:pPr>
            <w:r>
              <w:rPr>
                <w:rFonts w:hint="eastAsia"/>
              </w:rPr>
              <w:t>时</w:t>
            </w:r>
            <w:r>
              <w:tab/>
            </w:r>
            <w:r>
              <w:rPr>
                <w:rFonts w:hint="eastAsia"/>
              </w:rPr>
              <w:t>间</w:t>
            </w:r>
          </w:p>
        </w:tc>
        <w:tc>
          <w:tcPr>
            <w:tcW w:w="3646" w:type="dxa"/>
            <w:gridSpan w:val="4"/>
            <w:tcBorders>
              <w:tl2br w:val="nil"/>
              <w:tr2bl w:val="nil"/>
            </w:tcBorders>
            <w:vAlign w:val="center"/>
          </w:tcPr>
          <w:p>
            <w:pPr>
              <w:ind w:firstLine="0" w:firstLineChars="0"/>
              <w:jc w:val="center"/>
            </w:pPr>
            <w:r>
              <w:rPr>
                <w:rFonts w:hint="eastAsia"/>
              </w:rPr>
              <w:t>参加过的类似项目</w:t>
            </w:r>
          </w:p>
        </w:tc>
        <w:tc>
          <w:tcPr>
            <w:tcW w:w="1343" w:type="dxa"/>
            <w:tcBorders>
              <w:tl2br w:val="nil"/>
              <w:tr2bl w:val="nil"/>
            </w:tcBorders>
            <w:vAlign w:val="center"/>
          </w:tcPr>
          <w:p>
            <w:pPr>
              <w:ind w:firstLine="0" w:firstLineChars="0"/>
              <w:jc w:val="center"/>
            </w:pPr>
            <w:r>
              <w:rPr>
                <w:rFonts w:hint="eastAsia"/>
              </w:rPr>
              <w:t>担任职务</w:t>
            </w:r>
          </w:p>
        </w:tc>
        <w:tc>
          <w:tcPr>
            <w:tcW w:w="2448" w:type="dxa"/>
            <w:gridSpan w:val="2"/>
            <w:tcBorders>
              <w:tl2br w:val="nil"/>
              <w:tr2bl w:val="nil"/>
            </w:tcBorders>
            <w:vAlign w:val="center"/>
          </w:tcPr>
          <w:p>
            <w:pPr>
              <w:ind w:firstLine="0" w:firstLineChars="0"/>
              <w:jc w:val="center"/>
            </w:pPr>
            <w:r>
              <w:rPr>
                <w:rFonts w:hint="eastAsia"/>
              </w:rPr>
              <w:t>委托人及联系电话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645" w:type="dxa"/>
            <w:gridSpan w:val="2"/>
            <w:tcBorders>
              <w:tl2br w:val="nil"/>
              <w:tr2bl w:val="nil"/>
            </w:tcBorders>
            <w:vAlign w:val="center"/>
          </w:tcPr>
          <w:p>
            <w:pPr>
              <w:ind w:firstLine="0" w:firstLineChars="0"/>
              <w:jc w:val="center"/>
            </w:pPr>
          </w:p>
        </w:tc>
        <w:tc>
          <w:tcPr>
            <w:tcW w:w="3646" w:type="dxa"/>
            <w:gridSpan w:val="4"/>
            <w:tcBorders>
              <w:tl2br w:val="nil"/>
              <w:tr2bl w:val="nil"/>
            </w:tcBorders>
            <w:vAlign w:val="center"/>
          </w:tcPr>
          <w:p>
            <w:pPr>
              <w:ind w:firstLine="0" w:firstLineChars="0"/>
              <w:jc w:val="center"/>
            </w:pPr>
          </w:p>
        </w:tc>
        <w:tc>
          <w:tcPr>
            <w:tcW w:w="1343" w:type="dxa"/>
            <w:tcBorders>
              <w:tl2br w:val="nil"/>
              <w:tr2bl w:val="nil"/>
            </w:tcBorders>
            <w:vAlign w:val="center"/>
          </w:tcPr>
          <w:p>
            <w:pPr>
              <w:ind w:firstLine="0" w:firstLineChars="0"/>
              <w:jc w:val="center"/>
            </w:pPr>
          </w:p>
        </w:tc>
        <w:tc>
          <w:tcPr>
            <w:tcW w:w="2448"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exact"/>
          <w:jc w:val="center"/>
        </w:trPr>
        <w:tc>
          <w:tcPr>
            <w:tcW w:w="1645" w:type="dxa"/>
            <w:gridSpan w:val="2"/>
            <w:tcBorders>
              <w:tl2br w:val="nil"/>
              <w:tr2bl w:val="nil"/>
            </w:tcBorders>
            <w:vAlign w:val="center"/>
          </w:tcPr>
          <w:p>
            <w:pPr>
              <w:ind w:firstLine="0" w:firstLineChars="0"/>
              <w:jc w:val="center"/>
            </w:pPr>
          </w:p>
        </w:tc>
        <w:tc>
          <w:tcPr>
            <w:tcW w:w="3646" w:type="dxa"/>
            <w:gridSpan w:val="4"/>
            <w:tcBorders>
              <w:tl2br w:val="nil"/>
              <w:tr2bl w:val="nil"/>
            </w:tcBorders>
            <w:vAlign w:val="center"/>
          </w:tcPr>
          <w:p>
            <w:pPr>
              <w:ind w:firstLine="0" w:firstLineChars="0"/>
              <w:jc w:val="center"/>
            </w:pPr>
          </w:p>
        </w:tc>
        <w:tc>
          <w:tcPr>
            <w:tcW w:w="1343" w:type="dxa"/>
            <w:tcBorders>
              <w:tl2br w:val="nil"/>
              <w:tr2bl w:val="nil"/>
            </w:tcBorders>
            <w:vAlign w:val="center"/>
          </w:tcPr>
          <w:p>
            <w:pPr>
              <w:ind w:firstLine="0" w:firstLineChars="0"/>
              <w:jc w:val="center"/>
            </w:pPr>
          </w:p>
        </w:tc>
        <w:tc>
          <w:tcPr>
            <w:tcW w:w="2448"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645" w:type="dxa"/>
            <w:gridSpan w:val="2"/>
            <w:tcBorders>
              <w:tl2br w:val="nil"/>
              <w:tr2bl w:val="nil"/>
            </w:tcBorders>
            <w:vAlign w:val="center"/>
          </w:tcPr>
          <w:p>
            <w:pPr>
              <w:ind w:firstLine="0" w:firstLineChars="0"/>
              <w:jc w:val="center"/>
            </w:pPr>
          </w:p>
        </w:tc>
        <w:tc>
          <w:tcPr>
            <w:tcW w:w="3646" w:type="dxa"/>
            <w:gridSpan w:val="4"/>
            <w:tcBorders>
              <w:tl2br w:val="nil"/>
              <w:tr2bl w:val="nil"/>
            </w:tcBorders>
            <w:vAlign w:val="center"/>
          </w:tcPr>
          <w:p>
            <w:pPr>
              <w:ind w:firstLine="0" w:firstLineChars="0"/>
              <w:jc w:val="center"/>
            </w:pPr>
          </w:p>
        </w:tc>
        <w:tc>
          <w:tcPr>
            <w:tcW w:w="1343" w:type="dxa"/>
            <w:tcBorders>
              <w:tl2br w:val="nil"/>
              <w:tr2bl w:val="nil"/>
            </w:tcBorders>
            <w:vAlign w:val="center"/>
          </w:tcPr>
          <w:p>
            <w:pPr>
              <w:ind w:firstLine="0" w:firstLineChars="0"/>
              <w:jc w:val="center"/>
            </w:pPr>
          </w:p>
        </w:tc>
        <w:tc>
          <w:tcPr>
            <w:tcW w:w="2448"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645" w:type="dxa"/>
            <w:gridSpan w:val="2"/>
            <w:tcBorders>
              <w:tl2br w:val="nil"/>
              <w:tr2bl w:val="nil"/>
            </w:tcBorders>
            <w:vAlign w:val="center"/>
          </w:tcPr>
          <w:p>
            <w:pPr>
              <w:ind w:firstLine="0" w:firstLineChars="0"/>
              <w:jc w:val="center"/>
            </w:pPr>
          </w:p>
        </w:tc>
        <w:tc>
          <w:tcPr>
            <w:tcW w:w="3646" w:type="dxa"/>
            <w:gridSpan w:val="4"/>
            <w:tcBorders>
              <w:tl2br w:val="nil"/>
              <w:tr2bl w:val="nil"/>
            </w:tcBorders>
            <w:vAlign w:val="center"/>
          </w:tcPr>
          <w:p>
            <w:pPr>
              <w:ind w:firstLine="0" w:firstLineChars="0"/>
              <w:jc w:val="center"/>
            </w:pPr>
          </w:p>
        </w:tc>
        <w:tc>
          <w:tcPr>
            <w:tcW w:w="1343" w:type="dxa"/>
            <w:tcBorders>
              <w:tl2br w:val="nil"/>
              <w:tr2bl w:val="nil"/>
            </w:tcBorders>
            <w:vAlign w:val="center"/>
          </w:tcPr>
          <w:p>
            <w:pPr>
              <w:ind w:firstLine="0" w:firstLineChars="0"/>
              <w:jc w:val="center"/>
            </w:pPr>
          </w:p>
        </w:tc>
        <w:tc>
          <w:tcPr>
            <w:tcW w:w="2448"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9" w:hRule="exact"/>
          <w:jc w:val="center"/>
        </w:trPr>
        <w:tc>
          <w:tcPr>
            <w:tcW w:w="1645" w:type="dxa"/>
            <w:gridSpan w:val="2"/>
            <w:tcBorders>
              <w:tl2br w:val="nil"/>
              <w:tr2bl w:val="nil"/>
            </w:tcBorders>
            <w:vAlign w:val="center"/>
          </w:tcPr>
          <w:p>
            <w:pPr>
              <w:ind w:firstLine="0" w:firstLineChars="0"/>
              <w:jc w:val="center"/>
            </w:pPr>
          </w:p>
        </w:tc>
        <w:tc>
          <w:tcPr>
            <w:tcW w:w="3646" w:type="dxa"/>
            <w:gridSpan w:val="4"/>
            <w:tcBorders>
              <w:tl2br w:val="nil"/>
              <w:tr2bl w:val="nil"/>
            </w:tcBorders>
            <w:vAlign w:val="center"/>
          </w:tcPr>
          <w:p>
            <w:pPr>
              <w:ind w:firstLine="0" w:firstLineChars="0"/>
              <w:jc w:val="center"/>
            </w:pPr>
          </w:p>
        </w:tc>
        <w:tc>
          <w:tcPr>
            <w:tcW w:w="1343" w:type="dxa"/>
            <w:tcBorders>
              <w:tl2br w:val="nil"/>
              <w:tr2bl w:val="nil"/>
            </w:tcBorders>
            <w:vAlign w:val="center"/>
          </w:tcPr>
          <w:p>
            <w:pPr>
              <w:ind w:firstLine="0" w:firstLineChars="0"/>
              <w:jc w:val="center"/>
            </w:pPr>
          </w:p>
        </w:tc>
        <w:tc>
          <w:tcPr>
            <w:tcW w:w="2448"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645" w:type="dxa"/>
            <w:gridSpan w:val="2"/>
            <w:tcBorders>
              <w:tl2br w:val="nil"/>
              <w:tr2bl w:val="nil"/>
            </w:tcBorders>
            <w:vAlign w:val="center"/>
          </w:tcPr>
          <w:p>
            <w:pPr>
              <w:ind w:firstLine="0" w:firstLineChars="0"/>
              <w:jc w:val="center"/>
            </w:pPr>
          </w:p>
        </w:tc>
        <w:tc>
          <w:tcPr>
            <w:tcW w:w="3646" w:type="dxa"/>
            <w:gridSpan w:val="4"/>
            <w:tcBorders>
              <w:tl2br w:val="nil"/>
              <w:tr2bl w:val="nil"/>
            </w:tcBorders>
            <w:vAlign w:val="center"/>
          </w:tcPr>
          <w:p>
            <w:pPr>
              <w:ind w:firstLine="0" w:firstLineChars="0"/>
              <w:jc w:val="center"/>
            </w:pPr>
          </w:p>
        </w:tc>
        <w:tc>
          <w:tcPr>
            <w:tcW w:w="1343" w:type="dxa"/>
            <w:tcBorders>
              <w:tl2br w:val="nil"/>
              <w:tr2bl w:val="nil"/>
            </w:tcBorders>
            <w:vAlign w:val="center"/>
          </w:tcPr>
          <w:p>
            <w:pPr>
              <w:ind w:firstLine="0" w:firstLineChars="0"/>
              <w:jc w:val="center"/>
            </w:pPr>
          </w:p>
        </w:tc>
        <w:tc>
          <w:tcPr>
            <w:tcW w:w="2448"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645" w:type="dxa"/>
            <w:gridSpan w:val="2"/>
            <w:tcBorders>
              <w:tl2br w:val="nil"/>
              <w:tr2bl w:val="nil"/>
            </w:tcBorders>
            <w:vAlign w:val="center"/>
          </w:tcPr>
          <w:p>
            <w:pPr>
              <w:ind w:firstLine="0" w:firstLineChars="0"/>
              <w:jc w:val="center"/>
            </w:pPr>
          </w:p>
        </w:tc>
        <w:tc>
          <w:tcPr>
            <w:tcW w:w="3646" w:type="dxa"/>
            <w:gridSpan w:val="4"/>
            <w:tcBorders>
              <w:tl2br w:val="nil"/>
              <w:tr2bl w:val="nil"/>
            </w:tcBorders>
            <w:vAlign w:val="center"/>
          </w:tcPr>
          <w:p>
            <w:pPr>
              <w:ind w:firstLine="0" w:firstLineChars="0"/>
              <w:jc w:val="center"/>
            </w:pPr>
          </w:p>
        </w:tc>
        <w:tc>
          <w:tcPr>
            <w:tcW w:w="1343" w:type="dxa"/>
            <w:tcBorders>
              <w:tl2br w:val="nil"/>
              <w:tr2bl w:val="nil"/>
            </w:tcBorders>
            <w:vAlign w:val="center"/>
          </w:tcPr>
          <w:p>
            <w:pPr>
              <w:ind w:firstLine="0" w:firstLineChars="0"/>
              <w:jc w:val="center"/>
            </w:pPr>
          </w:p>
        </w:tc>
        <w:tc>
          <w:tcPr>
            <w:tcW w:w="2448" w:type="dxa"/>
            <w:gridSpan w:val="2"/>
            <w:tcBorders>
              <w:tl2br w:val="nil"/>
              <w:tr2bl w:val="nil"/>
            </w:tcBorders>
            <w:vAlign w:val="center"/>
          </w:tcPr>
          <w:p>
            <w:pPr>
              <w:ind w:firstLine="0" w:firstLineChars="0"/>
              <w:jc w:val="center"/>
            </w:pPr>
          </w:p>
        </w:tc>
      </w:tr>
    </w:tbl>
    <w:p>
      <w:pPr>
        <w:ind w:firstLine="420"/>
      </w:pPr>
    </w:p>
    <w:p>
      <w:pPr>
        <w:ind w:firstLine="420"/>
      </w:pPr>
      <w:r>
        <w:rPr>
          <w:rFonts w:hint="eastAsia"/>
        </w:rPr>
        <w:t>注：应附身份证、学历证、职称证、注册监理工程师执业证书和社保缴费证明，管理过的项目业绩须附中标通知书、合同协议书。</w:t>
      </w:r>
    </w:p>
    <w:p>
      <w:pPr>
        <w:ind w:firstLine="0" w:firstLineChars="0"/>
        <w:rPr>
          <w:rFonts w:cs="宋体"/>
          <w:sz w:val="28"/>
          <w:szCs w:val="28"/>
        </w:rPr>
      </w:pPr>
    </w:p>
    <w:p>
      <w:pPr>
        <w:widowControl/>
        <w:spacing w:before="120" w:beforeLines="50" w:after="120" w:afterLines="50"/>
        <w:ind w:firstLine="0" w:firstLineChars="0"/>
        <w:jc w:val="center"/>
        <w:rPr>
          <w:b/>
          <w:sz w:val="24"/>
          <w:szCs w:val="24"/>
        </w:rPr>
      </w:pPr>
      <w:r>
        <w:rPr>
          <w:rFonts w:hint="eastAsia" w:cs="宋体"/>
          <w:sz w:val="28"/>
          <w:szCs w:val="28"/>
        </w:rPr>
        <w:br w:type="page"/>
      </w:r>
      <w:r>
        <w:rPr>
          <w:rFonts w:hint="eastAsia"/>
          <w:b/>
          <w:bCs/>
          <w:sz w:val="24"/>
          <w:szCs w:val="28"/>
        </w:rPr>
        <w:t>（三）其他监理人员简历表</w:t>
      </w:r>
    </w:p>
    <w:tbl>
      <w:tblPr>
        <w:tblStyle w:val="22"/>
        <w:tblW w:w="908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58"/>
        <w:gridCol w:w="381"/>
        <w:gridCol w:w="735"/>
        <w:gridCol w:w="1017"/>
        <w:gridCol w:w="1132"/>
        <w:gridCol w:w="750"/>
        <w:gridCol w:w="1339"/>
        <w:gridCol w:w="426"/>
        <w:gridCol w:w="20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exact"/>
          <w:jc w:val="center"/>
        </w:trPr>
        <w:tc>
          <w:tcPr>
            <w:tcW w:w="1258" w:type="dxa"/>
            <w:tcBorders>
              <w:tl2br w:val="nil"/>
              <w:tr2bl w:val="nil"/>
            </w:tcBorders>
            <w:vAlign w:val="center"/>
          </w:tcPr>
          <w:p>
            <w:pPr>
              <w:ind w:firstLine="0" w:firstLineChars="0"/>
              <w:jc w:val="center"/>
            </w:pPr>
            <w:r>
              <w:rPr>
                <w:rFonts w:hint="eastAsia"/>
              </w:rPr>
              <w:t>姓名</w:t>
            </w:r>
          </w:p>
        </w:tc>
        <w:tc>
          <w:tcPr>
            <w:tcW w:w="1116" w:type="dxa"/>
            <w:gridSpan w:val="2"/>
            <w:tcBorders>
              <w:tl2br w:val="nil"/>
              <w:tr2bl w:val="nil"/>
            </w:tcBorders>
            <w:vAlign w:val="center"/>
          </w:tcPr>
          <w:p>
            <w:pPr>
              <w:ind w:firstLine="0" w:firstLineChars="0"/>
              <w:jc w:val="center"/>
            </w:pPr>
          </w:p>
        </w:tc>
        <w:tc>
          <w:tcPr>
            <w:tcW w:w="1017" w:type="dxa"/>
            <w:tcBorders>
              <w:tl2br w:val="nil"/>
              <w:tr2bl w:val="nil"/>
            </w:tcBorders>
            <w:vAlign w:val="center"/>
          </w:tcPr>
          <w:p>
            <w:pPr>
              <w:ind w:firstLine="0" w:firstLineChars="0"/>
              <w:jc w:val="center"/>
            </w:pPr>
            <w:r>
              <w:rPr>
                <w:rFonts w:hint="eastAsia"/>
              </w:rPr>
              <w:t>年龄</w:t>
            </w:r>
          </w:p>
        </w:tc>
        <w:tc>
          <w:tcPr>
            <w:tcW w:w="1132" w:type="dxa"/>
            <w:tcBorders>
              <w:tl2br w:val="nil"/>
              <w:tr2bl w:val="nil"/>
            </w:tcBorders>
            <w:vAlign w:val="center"/>
          </w:tcPr>
          <w:p>
            <w:pPr>
              <w:ind w:firstLine="0" w:firstLineChars="0"/>
              <w:jc w:val="center"/>
            </w:pPr>
          </w:p>
        </w:tc>
        <w:tc>
          <w:tcPr>
            <w:tcW w:w="2515" w:type="dxa"/>
            <w:gridSpan w:val="3"/>
            <w:tcBorders>
              <w:tl2br w:val="nil"/>
              <w:tr2bl w:val="nil"/>
            </w:tcBorders>
            <w:vAlign w:val="center"/>
          </w:tcPr>
          <w:p>
            <w:pPr>
              <w:ind w:firstLine="0" w:firstLineChars="0"/>
              <w:jc w:val="center"/>
            </w:pPr>
            <w:r>
              <w:rPr>
                <w:rFonts w:hint="eastAsia"/>
              </w:rPr>
              <w:t>证书名称</w:t>
            </w:r>
          </w:p>
        </w:tc>
        <w:tc>
          <w:tcPr>
            <w:tcW w:w="2044" w:type="dxa"/>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exact"/>
          <w:jc w:val="center"/>
        </w:trPr>
        <w:tc>
          <w:tcPr>
            <w:tcW w:w="1258" w:type="dxa"/>
            <w:tcBorders>
              <w:tl2br w:val="nil"/>
              <w:tr2bl w:val="nil"/>
            </w:tcBorders>
            <w:vAlign w:val="center"/>
          </w:tcPr>
          <w:p>
            <w:pPr>
              <w:ind w:firstLine="0" w:firstLineChars="0"/>
              <w:jc w:val="center"/>
            </w:pPr>
            <w:r>
              <w:rPr>
                <w:rFonts w:hint="eastAsia"/>
              </w:rPr>
              <w:t>职称</w:t>
            </w:r>
          </w:p>
        </w:tc>
        <w:tc>
          <w:tcPr>
            <w:tcW w:w="1116" w:type="dxa"/>
            <w:gridSpan w:val="2"/>
            <w:tcBorders>
              <w:tl2br w:val="nil"/>
              <w:tr2bl w:val="nil"/>
            </w:tcBorders>
            <w:vAlign w:val="center"/>
          </w:tcPr>
          <w:p>
            <w:pPr>
              <w:ind w:firstLine="0" w:firstLineChars="0"/>
              <w:jc w:val="center"/>
            </w:pPr>
          </w:p>
        </w:tc>
        <w:tc>
          <w:tcPr>
            <w:tcW w:w="1017" w:type="dxa"/>
            <w:tcBorders>
              <w:tl2br w:val="nil"/>
              <w:tr2bl w:val="nil"/>
            </w:tcBorders>
            <w:vAlign w:val="center"/>
          </w:tcPr>
          <w:p>
            <w:pPr>
              <w:ind w:firstLine="0" w:firstLineChars="0"/>
              <w:jc w:val="center"/>
            </w:pPr>
            <w:r>
              <w:rPr>
                <w:rFonts w:hint="eastAsia"/>
              </w:rPr>
              <w:t>学历</w:t>
            </w:r>
          </w:p>
        </w:tc>
        <w:tc>
          <w:tcPr>
            <w:tcW w:w="1132" w:type="dxa"/>
            <w:tcBorders>
              <w:tl2br w:val="nil"/>
              <w:tr2bl w:val="nil"/>
            </w:tcBorders>
            <w:vAlign w:val="center"/>
          </w:tcPr>
          <w:p>
            <w:pPr>
              <w:ind w:firstLine="0" w:firstLineChars="0"/>
              <w:jc w:val="center"/>
            </w:pPr>
          </w:p>
        </w:tc>
        <w:tc>
          <w:tcPr>
            <w:tcW w:w="2515" w:type="dxa"/>
            <w:gridSpan w:val="3"/>
            <w:tcBorders>
              <w:tl2br w:val="nil"/>
              <w:tr2bl w:val="nil"/>
            </w:tcBorders>
            <w:vAlign w:val="center"/>
          </w:tcPr>
          <w:p>
            <w:pPr>
              <w:ind w:firstLine="0" w:firstLineChars="0"/>
              <w:jc w:val="center"/>
            </w:pPr>
            <w:r>
              <w:rPr>
                <w:rFonts w:hint="eastAsia"/>
              </w:rPr>
              <w:t>拟在本项目任职</w:t>
            </w:r>
          </w:p>
        </w:tc>
        <w:tc>
          <w:tcPr>
            <w:tcW w:w="2044" w:type="dxa"/>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258" w:type="dxa"/>
            <w:tcBorders>
              <w:tl2br w:val="nil"/>
              <w:tr2bl w:val="nil"/>
            </w:tcBorders>
            <w:vAlign w:val="center"/>
          </w:tcPr>
          <w:p>
            <w:pPr>
              <w:ind w:firstLine="0" w:firstLineChars="0"/>
              <w:jc w:val="center"/>
            </w:pPr>
            <w:r>
              <w:rPr>
                <w:rFonts w:hint="eastAsia"/>
              </w:rPr>
              <w:t>工作年限</w:t>
            </w:r>
          </w:p>
        </w:tc>
        <w:tc>
          <w:tcPr>
            <w:tcW w:w="3265" w:type="dxa"/>
            <w:gridSpan w:val="4"/>
            <w:tcBorders>
              <w:tl2br w:val="nil"/>
              <w:tr2bl w:val="nil"/>
            </w:tcBorders>
            <w:vAlign w:val="center"/>
          </w:tcPr>
          <w:p>
            <w:pPr>
              <w:ind w:firstLine="0" w:firstLineChars="0"/>
              <w:jc w:val="center"/>
            </w:pPr>
          </w:p>
        </w:tc>
        <w:tc>
          <w:tcPr>
            <w:tcW w:w="2515" w:type="dxa"/>
            <w:gridSpan w:val="3"/>
            <w:tcBorders>
              <w:tl2br w:val="nil"/>
              <w:tr2bl w:val="nil"/>
            </w:tcBorders>
            <w:vAlign w:val="center"/>
          </w:tcPr>
          <w:p>
            <w:pPr>
              <w:ind w:firstLine="0" w:firstLineChars="0"/>
              <w:jc w:val="center"/>
            </w:pPr>
            <w:r>
              <w:rPr>
                <w:rFonts w:hint="eastAsia"/>
              </w:rPr>
              <w:t>从事监理工作年限</w:t>
            </w:r>
          </w:p>
        </w:tc>
        <w:tc>
          <w:tcPr>
            <w:tcW w:w="2044" w:type="dxa"/>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0" w:hRule="exact"/>
          <w:jc w:val="center"/>
        </w:trPr>
        <w:tc>
          <w:tcPr>
            <w:tcW w:w="1258" w:type="dxa"/>
            <w:tcBorders>
              <w:tl2br w:val="nil"/>
              <w:tr2bl w:val="nil"/>
            </w:tcBorders>
            <w:vAlign w:val="center"/>
          </w:tcPr>
          <w:p>
            <w:pPr>
              <w:ind w:firstLine="0" w:firstLineChars="0"/>
              <w:jc w:val="center"/>
            </w:pPr>
            <w:r>
              <w:rPr>
                <w:rFonts w:hint="eastAsia"/>
              </w:rPr>
              <w:t>毕业学校</w:t>
            </w:r>
          </w:p>
        </w:tc>
        <w:tc>
          <w:tcPr>
            <w:tcW w:w="7824" w:type="dxa"/>
            <w:gridSpan w:val="8"/>
            <w:tcBorders>
              <w:tl2br w:val="nil"/>
              <w:tr2bl w:val="nil"/>
            </w:tcBorders>
            <w:vAlign w:val="center"/>
          </w:tcPr>
          <w:p>
            <w:pPr>
              <w:ind w:firstLine="0" w:firstLineChars="0"/>
              <w:jc w:val="center"/>
            </w:pPr>
            <w:r>
              <w:rPr>
                <w:rFonts w:hint="eastAsia"/>
              </w:rPr>
              <w:t>年毕业于</w:t>
            </w:r>
            <w:r>
              <w:tab/>
            </w:r>
            <w:r>
              <w:rPr>
                <w:rFonts w:hint="eastAsia"/>
              </w:rPr>
              <w:t>学校</w:t>
            </w:r>
            <w:r>
              <w:tab/>
            </w:r>
            <w:r>
              <w:rPr>
                <w:rFonts w:hint="eastAsia"/>
              </w:rPr>
              <w:t>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4" w:hRule="exact"/>
          <w:jc w:val="center"/>
        </w:trPr>
        <w:tc>
          <w:tcPr>
            <w:tcW w:w="9082" w:type="dxa"/>
            <w:gridSpan w:val="9"/>
            <w:tcBorders>
              <w:tl2br w:val="nil"/>
              <w:tr2bl w:val="nil"/>
            </w:tcBorders>
            <w:vAlign w:val="center"/>
          </w:tcPr>
          <w:p>
            <w:pPr>
              <w:ind w:firstLine="0" w:firstLineChars="0"/>
              <w:jc w:val="center"/>
            </w:pPr>
            <w:r>
              <w:rPr>
                <w:rFonts w:hint="eastAsia"/>
              </w:rPr>
              <w:t>主要工作经历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exact"/>
          <w:jc w:val="center"/>
        </w:trPr>
        <w:tc>
          <w:tcPr>
            <w:tcW w:w="1639" w:type="dxa"/>
            <w:gridSpan w:val="2"/>
            <w:tcBorders>
              <w:tl2br w:val="nil"/>
              <w:tr2bl w:val="nil"/>
            </w:tcBorders>
            <w:vAlign w:val="center"/>
          </w:tcPr>
          <w:p>
            <w:pPr>
              <w:ind w:firstLine="0" w:firstLineChars="0"/>
              <w:jc w:val="center"/>
            </w:pPr>
            <w:r>
              <w:rPr>
                <w:rFonts w:hint="eastAsia"/>
              </w:rPr>
              <w:t>时</w:t>
            </w:r>
            <w:r>
              <w:tab/>
            </w:r>
            <w:r>
              <w:rPr>
                <w:rFonts w:hint="eastAsia"/>
              </w:rPr>
              <w:t>间</w:t>
            </w:r>
          </w:p>
        </w:tc>
        <w:tc>
          <w:tcPr>
            <w:tcW w:w="3634" w:type="dxa"/>
            <w:gridSpan w:val="4"/>
            <w:tcBorders>
              <w:tl2br w:val="nil"/>
              <w:tr2bl w:val="nil"/>
            </w:tcBorders>
            <w:vAlign w:val="center"/>
          </w:tcPr>
          <w:p>
            <w:pPr>
              <w:ind w:firstLine="0" w:firstLineChars="0"/>
              <w:jc w:val="center"/>
            </w:pPr>
            <w:r>
              <w:rPr>
                <w:rFonts w:hint="eastAsia"/>
              </w:rPr>
              <w:t>参加过的类似项目</w:t>
            </w:r>
          </w:p>
        </w:tc>
        <w:tc>
          <w:tcPr>
            <w:tcW w:w="1339" w:type="dxa"/>
            <w:tcBorders>
              <w:tl2br w:val="nil"/>
              <w:tr2bl w:val="nil"/>
            </w:tcBorders>
            <w:vAlign w:val="center"/>
          </w:tcPr>
          <w:p>
            <w:pPr>
              <w:ind w:firstLine="0" w:firstLineChars="0"/>
              <w:jc w:val="center"/>
            </w:pPr>
            <w:r>
              <w:rPr>
                <w:rFonts w:hint="eastAsia"/>
              </w:rPr>
              <w:t>担任职务</w:t>
            </w:r>
          </w:p>
        </w:tc>
        <w:tc>
          <w:tcPr>
            <w:tcW w:w="2470" w:type="dxa"/>
            <w:gridSpan w:val="2"/>
            <w:tcBorders>
              <w:tl2br w:val="nil"/>
              <w:tr2bl w:val="nil"/>
            </w:tcBorders>
            <w:vAlign w:val="center"/>
          </w:tcPr>
          <w:p>
            <w:pPr>
              <w:ind w:firstLine="0" w:firstLineChars="0"/>
              <w:jc w:val="center"/>
            </w:pPr>
            <w:r>
              <w:rPr>
                <w:rFonts w:hint="eastAsia"/>
              </w:rPr>
              <w:t>委托人及联系电话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639" w:type="dxa"/>
            <w:gridSpan w:val="2"/>
            <w:tcBorders>
              <w:tl2br w:val="nil"/>
              <w:tr2bl w:val="nil"/>
            </w:tcBorders>
            <w:vAlign w:val="center"/>
          </w:tcPr>
          <w:p>
            <w:pPr>
              <w:ind w:firstLine="0" w:firstLineChars="0"/>
              <w:jc w:val="center"/>
            </w:pPr>
          </w:p>
        </w:tc>
        <w:tc>
          <w:tcPr>
            <w:tcW w:w="3634" w:type="dxa"/>
            <w:gridSpan w:val="4"/>
            <w:tcBorders>
              <w:tl2br w:val="nil"/>
              <w:tr2bl w:val="nil"/>
            </w:tcBorders>
            <w:vAlign w:val="center"/>
          </w:tcPr>
          <w:p>
            <w:pPr>
              <w:ind w:firstLine="0" w:firstLineChars="0"/>
              <w:jc w:val="center"/>
            </w:pPr>
          </w:p>
        </w:tc>
        <w:tc>
          <w:tcPr>
            <w:tcW w:w="1339" w:type="dxa"/>
            <w:tcBorders>
              <w:tl2br w:val="nil"/>
              <w:tr2bl w:val="nil"/>
            </w:tcBorders>
            <w:vAlign w:val="center"/>
          </w:tcPr>
          <w:p>
            <w:pPr>
              <w:ind w:firstLine="0" w:firstLineChars="0"/>
              <w:jc w:val="center"/>
            </w:pPr>
          </w:p>
        </w:tc>
        <w:tc>
          <w:tcPr>
            <w:tcW w:w="2470"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exact"/>
          <w:jc w:val="center"/>
        </w:trPr>
        <w:tc>
          <w:tcPr>
            <w:tcW w:w="1639" w:type="dxa"/>
            <w:gridSpan w:val="2"/>
            <w:tcBorders>
              <w:tl2br w:val="nil"/>
              <w:tr2bl w:val="nil"/>
            </w:tcBorders>
            <w:vAlign w:val="center"/>
          </w:tcPr>
          <w:p>
            <w:pPr>
              <w:ind w:firstLine="0" w:firstLineChars="0"/>
              <w:jc w:val="center"/>
            </w:pPr>
          </w:p>
        </w:tc>
        <w:tc>
          <w:tcPr>
            <w:tcW w:w="3634" w:type="dxa"/>
            <w:gridSpan w:val="4"/>
            <w:tcBorders>
              <w:tl2br w:val="nil"/>
              <w:tr2bl w:val="nil"/>
            </w:tcBorders>
            <w:vAlign w:val="center"/>
          </w:tcPr>
          <w:p>
            <w:pPr>
              <w:ind w:firstLine="0" w:firstLineChars="0"/>
              <w:jc w:val="center"/>
            </w:pPr>
          </w:p>
        </w:tc>
        <w:tc>
          <w:tcPr>
            <w:tcW w:w="1339" w:type="dxa"/>
            <w:tcBorders>
              <w:tl2br w:val="nil"/>
              <w:tr2bl w:val="nil"/>
            </w:tcBorders>
            <w:vAlign w:val="center"/>
          </w:tcPr>
          <w:p>
            <w:pPr>
              <w:ind w:firstLine="0" w:firstLineChars="0"/>
              <w:jc w:val="center"/>
            </w:pPr>
          </w:p>
        </w:tc>
        <w:tc>
          <w:tcPr>
            <w:tcW w:w="2470"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639" w:type="dxa"/>
            <w:gridSpan w:val="2"/>
            <w:tcBorders>
              <w:tl2br w:val="nil"/>
              <w:tr2bl w:val="nil"/>
            </w:tcBorders>
            <w:vAlign w:val="center"/>
          </w:tcPr>
          <w:p>
            <w:pPr>
              <w:ind w:firstLine="0" w:firstLineChars="0"/>
              <w:jc w:val="center"/>
            </w:pPr>
          </w:p>
        </w:tc>
        <w:tc>
          <w:tcPr>
            <w:tcW w:w="3634" w:type="dxa"/>
            <w:gridSpan w:val="4"/>
            <w:tcBorders>
              <w:tl2br w:val="nil"/>
              <w:tr2bl w:val="nil"/>
            </w:tcBorders>
            <w:vAlign w:val="center"/>
          </w:tcPr>
          <w:p>
            <w:pPr>
              <w:ind w:firstLine="0" w:firstLineChars="0"/>
              <w:jc w:val="center"/>
            </w:pPr>
          </w:p>
        </w:tc>
        <w:tc>
          <w:tcPr>
            <w:tcW w:w="1339" w:type="dxa"/>
            <w:tcBorders>
              <w:tl2br w:val="nil"/>
              <w:tr2bl w:val="nil"/>
            </w:tcBorders>
            <w:vAlign w:val="center"/>
          </w:tcPr>
          <w:p>
            <w:pPr>
              <w:ind w:firstLine="0" w:firstLineChars="0"/>
              <w:jc w:val="center"/>
            </w:pPr>
          </w:p>
        </w:tc>
        <w:tc>
          <w:tcPr>
            <w:tcW w:w="2470"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639" w:type="dxa"/>
            <w:gridSpan w:val="2"/>
            <w:tcBorders>
              <w:tl2br w:val="nil"/>
              <w:tr2bl w:val="nil"/>
            </w:tcBorders>
            <w:vAlign w:val="center"/>
          </w:tcPr>
          <w:p>
            <w:pPr>
              <w:ind w:firstLine="0" w:firstLineChars="0"/>
              <w:jc w:val="center"/>
            </w:pPr>
          </w:p>
        </w:tc>
        <w:tc>
          <w:tcPr>
            <w:tcW w:w="3634" w:type="dxa"/>
            <w:gridSpan w:val="4"/>
            <w:tcBorders>
              <w:tl2br w:val="nil"/>
              <w:tr2bl w:val="nil"/>
            </w:tcBorders>
            <w:vAlign w:val="center"/>
          </w:tcPr>
          <w:p>
            <w:pPr>
              <w:ind w:firstLine="0" w:firstLineChars="0"/>
              <w:jc w:val="center"/>
            </w:pPr>
          </w:p>
        </w:tc>
        <w:tc>
          <w:tcPr>
            <w:tcW w:w="1339" w:type="dxa"/>
            <w:tcBorders>
              <w:tl2br w:val="nil"/>
              <w:tr2bl w:val="nil"/>
            </w:tcBorders>
            <w:vAlign w:val="center"/>
          </w:tcPr>
          <w:p>
            <w:pPr>
              <w:ind w:firstLine="0" w:firstLineChars="0"/>
              <w:jc w:val="center"/>
            </w:pPr>
          </w:p>
        </w:tc>
        <w:tc>
          <w:tcPr>
            <w:tcW w:w="2470"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9" w:hRule="exact"/>
          <w:jc w:val="center"/>
        </w:trPr>
        <w:tc>
          <w:tcPr>
            <w:tcW w:w="1639" w:type="dxa"/>
            <w:gridSpan w:val="2"/>
            <w:tcBorders>
              <w:tl2br w:val="nil"/>
              <w:tr2bl w:val="nil"/>
            </w:tcBorders>
            <w:vAlign w:val="center"/>
          </w:tcPr>
          <w:p>
            <w:pPr>
              <w:ind w:firstLine="0" w:firstLineChars="0"/>
              <w:jc w:val="center"/>
            </w:pPr>
          </w:p>
        </w:tc>
        <w:tc>
          <w:tcPr>
            <w:tcW w:w="3634" w:type="dxa"/>
            <w:gridSpan w:val="4"/>
            <w:tcBorders>
              <w:tl2br w:val="nil"/>
              <w:tr2bl w:val="nil"/>
            </w:tcBorders>
            <w:vAlign w:val="center"/>
          </w:tcPr>
          <w:p>
            <w:pPr>
              <w:ind w:firstLine="0" w:firstLineChars="0"/>
              <w:jc w:val="center"/>
            </w:pPr>
          </w:p>
        </w:tc>
        <w:tc>
          <w:tcPr>
            <w:tcW w:w="1339" w:type="dxa"/>
            <w:tcBorders>
              <w:tl2br w:val="nil"/>
              <w:tr2bl w:val="nil"/>
            </w:tcBorders>
            <w:vAlign w:val="center"/>
          </w:tcPr>
          <w:p>
            <w:pPr>
              <w:ind w:firstLine="0" w:firstLineChars="0"/>
              <w:jc w:val="center"/>
            </w:pPr>
          </w:p>
        </w:tc>
        <w:tc>
          <w:tcPr>
            <w:tcW w:w="2470"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639" w:type="dxa"/>
            <w:gridSpan w:val="2"/>
            <w:tcBorders>
              <w:tl2br w:val="nil"/>
              <w:tr2bl w:val="nil"/>
            </w:tcBorders>
            <w:vAlign w:val="center"/>
          </w:tcPr>
          <w:p>
            <w:pPr>
              <w:ind w:firstLine="0" w:firstLineChars="0"/>
              <w:jc w:val="center"/>
            </w:pPr>
          </w:p>
        </w:tc>
        <w:tc>
          <w:tcPr>
            <w:tcW w:w="3634" w:type="dxa"/>
            <w:gridSpan w:val="4"/>
            <w:tcBorders>
              <w:tl2br w:val="nil"/>
              <w:tr2bl w:val="nil"/>
            </w:tcBorders>
            <w:vAlign w:val="center"/>
          </w:tcPr>
          <w:p>
            <w:pPr>
              <w:ind w:firstLine="0" w:firstLineChars="0"/>
              <w:jc w:val="center"/>
            </w:pPr>
          </w:p>
        </w:tc>
        <w:tc>
          <w:tcPr>
            <w:tcW w:w="1339" w:type="dxa"/>
            <w:tcBorders>
              <w:tl2br w:val="nil"/>
              <w:tr2bl w:val="nil"/>
            </w:tcBorders>
            <w:vAlign w:val="center"/>
          </w:tcPr>
          <w:p>
            <w:pPr>
              <w:ind w:firstLine="0" w:firstLineChars="0"/>
              <w:jc w:val="center"/>
            </w:pPr>
          </w:p>
        </w:tc>
        <w:tc>
          <w:tcPr>
            <w:tcW w:w="2470" w:type="dxa"/>
            <w:gridSpan w:val="2"/>
            <w:tcBorders>
              <w:tl2br w:val="nil"/>
              <w:tr2bl w:val="nil"/>
            </w:tcBorders>
            <w:vAlign w:val="center"/>
          </w:tcPr>
          <w:p>
            <w:pPr>
              <w:ind w:firstLine="0" w:firstLineChars="0"/>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exact"/>
          <w:jc w:val="center"/>
        </w:trPr>
        <w:tc>
          <w:tcPr>
            <w:tcW w:w="1639" w:type="dxa"/>
            <w:gridSpan w:val="2"/>
            <w:tcBorders>
              <w:tl2br w:val="nil"/>
              <w:tr2bl w:val="nil"/>
            </w:tcBorders>
            <w:vAlign w:val="center"/>
          </w:tcPr>
          <w:p>
            <w:pPr>
              <w:ind w:firstLine="0" w:firstLineChars="0"/>
              <w:jc w:val="center"/>
            </w:pPr>
          </w:p>
        </w:tc>
        <w:tc>
          <w:tcPr>
            <w:tcW w:w="3634" w:type="dxa"/>
            <w:gridSpan w:val="4"/>
            <w:tcBorders>
              <w:tl2br w:val="nil"/>
              <w:tr2bl w:val="nil"/>
            </w:tcBorders>
            <w:vAlign w:val="center"/>
          </w:tcPr>
          <w:p>
            <w:pPr>
              <w:ind w:firstLine="0" w:firstLineChars="0"/>
              <w:jc w:val="center"/>
            </w:pPr>
          </w:p>
        </w:tc>
        <w:tc>
          <w:tcPr>
            <w:tcW w:w="1339" w:type="dxa"/>
            <w:tcBorders>
              <w:tl2br w:val="nil"/>
              <w:tr2bl w:val="nil"/>
            </w:tcBorders>
            <w:vAlign w:val="center"/>
          </w:tcPr>
          <w:p>
            <w:pPr>
              <w:ind w:firstLine="0" w:firstLineChars="0"/>
              <w:jc w:val="center"/>
            </w:pPr>
          </w:p>
        </w:tc>
        <w:tc>
          <w:tcPr>
            <w:tcW w:w="2470" w:type="dxa"/>
            <w:gridSpan w:val="2"/>
            <w:tcBorders>
              <w:tl2br w:val="nil"/>
              <w:tr2bl w:val="nil"/>
            </w:tcBorders>
            <w:vAlign w:val="center"/>
          </w:tcPr>
          <w:p>
            <w:pPr>
              <w:ind w:firstLine="0" w:firstLineChars="0"/>
              <w:jc w:val="center"/>
            </w:pPr>
          </w:p>
        </w:tc>
      </w:tr>
    </w:tbl>
    <w:p>
      <w:pPr>
        <w:spacing w:line="360" w:lineRule="auto"/>
        <w:ind w:firstLine="422"/>
        <w:outlineLvl w:val="2"/>
        <w:rPr>
          <w:b/>
          <w:szCs w:val="20"/>
        </w:rPr>
      </w:pPr>
    </w:p>
    <w:p>
      <w:pPr>
        <w:spacing w:line="360" w:lineRule="auto"/>
        <w:ind w:firstLine="630" w:firstLineChars="300"/>
        <w:rPr>
          <w:szCs w:val="21"/>
        </w:rPr>
      </w:pPr>
      <w:r>
        <w:rPr>
          <w:rFonts w:hint="eastAsia"/>
          <w:szCs w:val="21"/>
        </w:rPr>
        <w:t>注：应附身份证、</w:t>
      </w:r>
      <w:r>
        <w:rPr>
          <w:rFonts w:hint="eastAsia" w:cs="宋体"/>
        </w:rPr>
        <w:t>职称证（如有）、</w:t>
      </w:r>
      <w:r>
        <w:rPr>
          <w:rFonts w:hint="eastAsia"/>
          <w:szCs w:val="21"/>
        </w:rPr>
        <w:t>相关执业证书和</w:t>
      </w:r>
      <w:r>
        <w:rPr>
          <w:rFonts w:hint="eastAsia" w:cs="宋体"/>
        </w:rPr>
        <w:t>社保缴费证明</w:t>
      </w:r>
      <w:r>
        <w:rPr>
          <w:rFonts w:hint="eastAsia"/>
          <w:szCs w:val="21"/>
        </w:rPr>
        <w:t>。</w:t>
      </w:r>
    </w:p>
    <w:p>
      <w:pPr>
        <w:spacing w:line="360" w:lineRule="auto"/>
        <w:ind w:firstLine="482"/>
        <w:jc w:val="center"/>
        <w:outlineLvl w:val="2"/>
        <w:rPr>
          <w:b/>
          <w:sz w:val="24"/>
          <w:szCs w:val="24"/>
        </w:rPr>
      </w:pPr>
    </w:p>
    <w:p>
      <w:pPr>
        <w:ind w:firstLine="560"/>
        <w:rPr>
          <w:rFonts w:cs="宋体"/>
          <w:sz w:val="28"/>
          <w:szCs w:val="28"/>
        </w:rPr>
      </w:pPr>
    </w:p>
    <w:p>
      <w:pPr>
        <w:ind w:firstLine="560"/>
        <w:rPr>
          <w:rFonts w:cs="宋体"/>
          <w:sz w:val="28"/>
          <w:szCs w:val="28"/>
        </w:rPr>
      </w:pPr>
      <w:r>
        <w:rPr>
          <w:rFonts w:hint="eastAsia" w:cs="宋体"/>
          <w:sz w:val="28"/>
          <w:szCs w:val="28"/>
        </w:rPr>
        <w:br w:type="page"/>
      </w:r>
    </w:p>
    <w:p>
      <w:pPr>
        <w:pStyle w:val="3"/>
        <w:jc w:val="center"/>
      </w:pPr>
      <w:bookmarkStart w:id="495" w:name="_Toc152663971"/>
      <w:r>
        <w:rPr>
          <w:rFonts w:hint="eastAsia"/>
        </w:rPr>
        <w:t>七、其他资料</w:t>
      </w:r>
      <w:bookmarkEnd w:id="492"/>
      <w:bookmarkEnd w:id="495"/>
    </w:p>
    <w:p>
      <w:pPr>
        <w:pStyle w:val="29"/>
        <w:rPr>
          <w:rFonts w:hAnsi="宋体"/>
          <w:color w:val="auto"/>
          <w:sz w:val="21"/>
          <w:szCs w:val="21"/>
        </w:rPr>
      </w:pPr>
    </w:p>
    <w:p>
      <w:pPr>
        <w:spacing w:before="120" w:beforeLines="50" w:after="120" w:afterLines="50"/>
        <w:ind w:firstLine="0" w:firstLineChars="0"/>
        <w:jc w:val="center"/>
        <w:rPr>
          <w:b/>
          <w:bCs/>
          <w:sz w:val="24"/>
          <w:szCs w:val="28"/>
        </w:rPr>
      </w:pPr>
      <w:r>
        <w:rPr>
          <w:rFonts w:hint="eastAsia"/>
          <w:b/>
          <w:bCs/>
          <w:sz w:val="24"/>
          <w:szCs w:val="28"/>
        </w:rPr>
        <w:t>（一）企业实力</w:t>
      </w:r>
    </w:p>
    <w:p>
      <w:pPr>
        <w:ind w:firstLine="420"/>
      </w:pPr>
      <w:r>
        <w:rPr>
          <w:rFonts w:hint="eastAsia"/>
        </w:rPr>
        <w:t>附：招标文件第三章“评标办法前附表”</w:t>
      </w:r>
      <w:r>
        <w:t xml:space="preserve"> 第2.2.4</w:t>
      </w:r>
      <w:r>
        <w:rPr>
          <w:rFonts w:hint="eastAsia"/>
        </w:rPr>
        <w:t>（</w:t>
      </w:r>
      <w:r>
        <w:t>3）</w:t>
      </w:r>
      <w:r>
        <w:rPr>
          <w:rFonts w:hint="eastAsia"/>
        </w:rPr>
        <w:t xml:space="preserve"> “企业实力”要求的证书电子文档。</w:t>
      </w:r>
    </w:p>
    <w:p>
      <w:pPr>
        <w:ind w:firstLine="420"/>
      </w:pPr>
      <w:r>
        <w:rPr>
          <w:rFonts w:hint="eastAsia"/>
        </w:rPr>
        <w:br w:type="page"/>
      </w:r>
    </w:p>
    <w:p>
      <w:pPr>
        <w:spacing w:before="120" w:beforeLines="50" w:after="120" w:afterLines="50"/>
        <w:ind w:firstLine="0" w:firstLineChars="0"/>
        <w:jc w:val="center"/>
        <w:rPr>
          <w:b/>
          <w:bCs/>
          <w:sz w:val="24"/>
          <w:szCs w:val="28"/>
        </w:rPr>
      </w:pPr>
      <w:r>
        <w:rPr>
          <w:rFonts w:hint="eastAsia"/>
          <w:b/>
          <w:bCs/>
          <w:sz w:val="24"/>
          <w:szCs w:val="28"/>
        </w:rPr>
        <w:t>（二）企业业绩（评分项）</w:t>
      </w:r>
    </w:p>
    <w:tbl>
      <w:tblPr>
        <w:tblStyle w:val="22"/>
        <w:tblW w:w="9082" w:type="dxa"/>
        <w:jc w:val="center"/>
        <w:tblLayout w:type="fixed"/>
        <w:tblCellMar>
          <w:top w:w="0" w:type="dxa"/>
          <w:left w:w="0" w:type="dxa"/>
          <w:bottom w:w="0" w:type="dxa"/>
          <w:right w:w="0" w:type="dxa"/>
        </w:tblCellMar>
      </w:tblPr>
      <w:tblGrid>
        <w:gridCol w:w="2417"/>
        <w:gridCol w:w="6665"/>
      </w:tblGrid>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项目名称</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项目所在地</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委托人名称</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委托人地址</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委托人电话</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签约合同价</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监理服务期限</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监理内容</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总监理工程师</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项目描述</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r>
        <w:tblPrEx>
          <w:tblCellMar>
            <w:top w:w="0" w:type="dxa"/>
            <w:left w:w="0" w:type="dxa"/>
            <w:bottom w:w="0" w:type="dxa"/>
            <w:right w:w="0" w:type="dxa"/>
          </w:tblCellMar>
        </w:tblPrEx>
        <w:trPr>
          <w:trHeight w:val="737" w:hRule="atLeast"/>
          <w:jc w:val="center"/>
        </w:trPr>
        <w:tc>
          <w:tcPr>
            <w:tcW w:w="241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r>
              <w:rPr>
                <w:rFonts w:hint="eastAsia"/>
              </w:rPr>
              <w:t>备注</w:t>
            </w:r>
          </w:p>
        </w:tc>
        <w:tc>
          <w:tcPr>
            <w:tcW w:w="6665"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pPr>
          </w:p>
        </w:tc>
      </w:tr>
    </w:tbl>
    <w:p>
      <w:pPr>
        <w:ind w:firstLine="420"/>
      </w:pPr>
    </w:p>
    <w:p>
      <w:pPr>
        <w:ind w:firstLine="420"/>
      </w:pPr>
      <w:r>
        <w:rPr>
          <w:rFonts w:hint="eastAsia" w:ascii="Times New Roman" w:hAnsi="Times New Roman"/>
          <w:szCs w:val="20"/>
        </w:rPr>
        <w:t>附：招标文件第三章“评标办法前附表”</w:t>
      </w:r>
      <w:r>
        <w:rPr>
          <w:szCs w:val="20"/>
        </w:rPr>
        <w:t xml:space="preserve"> 第2.2.4</w:t>
      </w:r>
      <w:r>
        <w:rPr>
          <w:rFonts w:hint="eastAsia"/>
          <w:szCs w:val="20"/>
        </w:rPr>
        <w:t>（</w:t>
      </w:r>
      <w:r>
        <w:rPr>
          <w:szCs w:val="20"/>
        </w:rPr>
        <w:t>3）</w:t>
      </w:r>
      <w:r>
        <w:rPr>
          <w:rFonts w:hint="eastAsia"/>
          <w:szCs w:val="20"/>
        </w:rPr>
        <w:t xml:space="preserve"> “</w:t>
      </w:r>
      <w:r>
        <w:rPr>
          <w:rFonts w:hint="eastAsia" w:cs="宋体"/>
          <w:szCs w:val="21"/>
        </w:rPr>
        <w:t>企业业绩</w:t>
      </w:r>
      <w:r>
        <w:rPr>
          <w:rFonts w:hint="eastAsia"/>
          <w:szCs w:val="20"/>
        </w:rPr>
        <w:t>”要求的证书</w:t>
      </w:r>
      <w:r>
        <w:rPr>
          <w:rFonts w:hint="eastAsia" w:ascii="Times New Roman" w:hAnsi="Times New Roman"/>
          <w:szCs w:val="20"/>
        </w:rPr>
        <w:t>电子文档。</w:t>
      </w:r>
    </w:p>
    <w:p>
      <w:pPr>
        <w:ind w:firstLine="420"/>
      </w:pPr>
      <w:r>
        <w:rPr>
          <w:rFonts w:hint="eastAsia"/>
        </w:rPr>
        <w:br w:type="page"/>
      </w:r>
    </w:p>
    <w:p>
      <w:pPr>
        <w:spacing w:before="120" w:beforeLines="50" w:after="120" w:afterLines="50"/>
        <w:ind w:firstLine="0" w:firstLineChars="0"/>
        <w:jc w:val="center"/>
        <w:rPr>
          <w:b/>
          <w:bCs/>
          <w:sz w:val="24"/>
          <w:szCs w:val="28"/>
        </w:rPr>
      </w:pPr>
      <w:r>
        <w:rPr>
          <w:rFonts w:hint="eastAsia"/>
          <w:b/>
          <w:bCs/>
          <w:sz w:val="24"/>
          <w:szCs w:val="28"/>
        </w:rPr>
        <w:t>（三）服务承诺</w:t>
      </w:r>
    </w:p>
    <w:p>
      <w:pPr>
        <w:ind w:firstLine="420"/>
      </w:pPr>
    </w:p>
    <w:p>
      <w:pPr>
        <w:ind w:firstLine="420"/>
      </w:pPr>
      <w:r>
        <w:br w:type="page"/>
      </w:r>
    </w:p>
    <w:p>
      <w:pPr>
        <w:spacing w:before="120" w:beforeLines="50" w:after="120" w:afterLines="50"/>
        <w:ind w:firstLine="0" w:firstLineChars="0"/>
        <w:jc w:val="center"/>
        <w:outlineLvl w:val="2"/>
        <w:rPr>
          <w:rFonts w:hAnsi="Times New Roman"/>
          <w:b/>
          <w:sz w:val="24"/>
          <w:szCs w:val="24"/>
        </w:rPr>
      </w:pPr>
      <w:bookmarkStart w:id="496" w:name="_Toc57232515"/>
      <w:bookmarkStart w:id="497" w:name="_Toc146200581"/>
      <w:r>
        <w:rPr>
          <w:rFonts w:hint="eastAsia"/>
          <w:b/>
          <w:bCs/>
          <w:sz w:val="24"/>
          <w:szCs w:val="28"/>
        </w:rPr>
        <w:t>（四）其它相关承诺</w:t>
      </w:r>
    </w:p>
    <w:p>
      <w:pPr>
        <w:ind w:firstLine="0" w:firstLineChars="0"/>
        <w:jc w:val="center"/>
        <w:rPr>
          <w:b/>
          <w:bCs/>
          <w:sz w:val="32"/>
          <w:szCs w:val="32"/>
        </w:rPr>
      </w:pPr>
      <w:r>
        <w:rPr>
          <w:rFonts w:hint="eastAsia"/>
          <w:b/>
          <w:bCs/>
          <w:sz w:val="32"/>
          <w:szCs w:val="32"/>
        </w:rPr>
        <w:t>监理服务质量考核承诺书</w:t>
      </w:r>
    </w:p>
    <w:p>
      <w:pPr>
        <w:ind w:firstLine="0" w:firstLineChars="0"/>
      </w:pPr>
      <w:r>
        <w:rPr>
          <w:rFonts w:hint="eastAsia"/>
          <w:u w:val="single"/>
        </w:rPr>
        <w:t xml:space="preserve">              </w:t>
      </w:r>
      <w:r>
        <w:rPr>
          <w:rFonts w:hint="eastAsia"/>
        </w:rPr>
        <w:t>(招标人名称)：</w:t>
      </w:r>
    </w:p>
    <w:p>
      <w:pPr>
        <w:ind w:firstLine="420"/>
      </w:pPr>
      <w:r>
        <w:rPr>
          <w:rFonts w:hint="eastAsia"/>
        </w:rPr>
        <w:t>我方在此声明，若我方中标，我方将按照以下规定执行监理服务质量考核金制度：</w:t>
      </w:r>
    </w:p>
    <w:p>
      <w:pPr>
        <w:ind w:firstLine="420"/>
      </w:pPr>
      <w:r>
        <w:rPr>
          <w:rFonts w:hint="eastAsia"/>
        </w:rPr>
        <w:t>本项目合同总额=概算建安费*中标费率。从本项目合同总额中拿出10%作为监理服务质量考核金，本考核金在最后一次支付时计算。考核分基本合格、合格、良好、优秀4个档次。考核金分别发放</w:t>
      </w:r>
      <w:r>
        <w:t>20%-40%</w:t>
      </w:r>
      <w:r>
        <w:rPr>
          <w:rFonts w:hint="eastAsia"/>
        </w:rPr>
        <w:t>、4</w:t>
      </w:r>
      <w:r>
        <w:t>1</w:t>
      </w:r>
      <w:r>
        <w:rPr>
          <w:rFonts w:hint="eastAsia"/>
        </w:rPr>
        <w:t>%</w:t>
      </w:r>
      <w:r>
        <w:t>-60%</w:t>
      </w:r>
      <w:r>
        <w:rPr>
          <w:rFonts w:hint="eastAsia"/>
        </w:rPr>
        <w:t>、6</w:t>
      </w:r>
      <w:r>
        <w:t>1%-</w:t>
      </w:r>
      <w:r>
        <w:rPr>
          <w:rFonts w:hint="eastAsia"/>
        </w:rPr>
        <w:t>80%、8</w:t>
      </w:r>
      <w:r>
        <w:t>1%-</w:t>
      </w:r>
      <w:r>
        <w:rPr>
          <w:rFonts w:hint="eastAsia"/>
        </w:rPr>
        <w:t>100%。考核标准由招标人制定，我方无条件服从。在项目实施过程中如不服从本规定，我方自愿放弃未付部分监理咨询服务费。</w:t>
      </w:r>
    </w:p>
    <w:p>
      <w:pPr>
        <w:ind w:firstLine="420"/>
      </w:pPr>
      <w:r>
        <w:rPr>
          <w:rFonts w:hint="eastAsia"/>
        </w:rPr>
        <w:t>特此承诺！</w:t>
      </w:r>
    </w:p>
    <w:p>
      <w:pPr>
        <w:ind w:firstLine="420"/>
      </w:pPr>
    </w:p>
    <w:p>
      <w:pPr>
        <w:ind w:firstLine="420"/>
      </w:pPr>
    </w:p>
    <w:p>
      <w:pPr>
        <w:ind w:firstLine="3578" w:firstLineChars="1704"/>
      </w:pPr>
      <w:r>
        <w:rPr>
          <w:rFonts w:hint="eastAsia"/>
        </w:rPr>
        <w:t>投 标 人：</w:t>
      </w:r>
      <w:r>
        <w:rPr>
          <w:rFonts w:hint="eastAsia"/>
          <w:u w:val="single"/>
        </w:rPr>
        <w:t xml:space="preserve">                          </w:t>
      </w:r>
      <w:r>
        <w:rPr>
          <w:rFonts w:hint="eastAsia"/>
        </w:rPr>
        <w:t>（盖单位章）</w:t>
      </w:r>
    </w:p>
    <w:p>
      <w:pPr>
        <w:ind w:firstLine="3578" w:firstLineChars="1704"/>
      </w:pPr>
      <w:r>
        <w:rPr>
          <w:rFonts w:hint="eastAsia"/>
        </w:rPr>
        <w:t>法定代表人或其委托代理人：</w:t>
      </w:r>
      <w:r>
        <w:rPr>
          <w:rFonts w:hint="eastAsia"/>
          <w:u w:val="single"/>
        </w:rPr>
        <w:t xml:space="preserve">           </w:t>
      </w:r>
      <w:r>
        <w:rPr>
          <w:rFonts w:hint="eastAsia"/>
        </w:rPr>
        <w:t>（签字或盖章）</w:t>
      </w:r>
    </w:p>
    <w:p>
      <w:pPr>
        <w:ind w:firstLine="3578" w:firstLineChars="1704"/>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ind w:firstLine="420"/>
      </w:pPr>
    </w:p>
    <w:p>
      <w:pPr>
        <w:ind w:firstLine="643"/>
        <w:rPr>
          <w:b/>
          <w:bCs/>
          <w:sz w:val="32"/>
          <w:szCs w:val="32"/>
        </w:rPr>
      </w:pPr>
      <w:r>
        <w:rPr>
          <w:rFonts w:hint="eastAsia"/>
          <w:b/>
          <w:bCs/>
          <w:sz w:val="32"/>
          <w:szCs w:val="32"/>
        </w:rPr>
        <w:br w:type="page"/>
      </w:r>
    </w:p>
    <w:p>
      <w:pPr>
        <w:ind w:firstLine="0" w:firstLineChars="0"/>
        <w:jc w:val="center"/>
        <w:rPr>
          <w:b/>
          <w:bCs/>
          <w:sz w:val="32"/>
          <w:szCs w:val="32"/>
        </w:rPr>
      </w:pPr>
    </w:p>
    <w:p>
      <w:pPr>
        <w:ind w:firstLine="0" w:firstLineChars="0"/>
        <w:jc w:val="center"/>
        <w:rPr>
          <w:b/>
          <w:bCs/>
          <w:sz w:val="32"/>
          <w:szCs w:val="32"/>
        </w:rPr>
      </w:pPr>
      <w:r>
        <w:rPr>
          <w:rFonts w:hint="eastAsia"/>
          <w:b/>
          <w:bCs/>
          <w:sz w:val="32"/>
          <w:szCs w:val="32"/>
        </w:rPr>
        <w:t>真实性承诺书</w:t>
      </w:r>
    </w:p>
    <w:p>
      <w:pPr>
        <w:ind w:firstLine="0" w:firstLineChars="0"/>
      </w:pPr>
      <w:r>
        <w:rPr>
          <w:rFonts w:hint="eastAsia"/>
          <w:u w:val="single"/>
        </w:rPr>
        <w:t xml:space="preserve">              </w:t>
      </w:r>
      <w:r>
        <w:rPr>
          <w:rFonts w:hint="eastAsia"/>
        </w:rPr>
        <w:t>(招标人名称)：</w:t>
      </w:r>
    </w:p>
    <w:p>
      <w:pPr>
        <w:ind w:firstLine="420"/>
      </w:pPr>
      <w:r>
        <w:rPr>
          <w:rFonts w:hint="eastAsia"/>
        </w:rPr>
        <w:t>我方在此声明，如果在投标的过程中，发现我方有挂靠或弄虚作假的情况，招标人有权取消我方投标资格或中标资格，我方承担由此引起的一切后果。如果在施工过程中发现我方有挂靠或弄虚作假的情况，招标人有权终止合同，并停止支付监理咨询服务费。同时我方自愿接受招标人本合同酬金2倍的经济处罚，并接受建设主管部门行政处罚。</w:t>
      </w:r>
    </w:p>
    <w:p>
      <w:pPr>
        <w:ind w:firstLine="420"/>
      </w:pPr>
      <w:r>
        <w:rPr>
          <w:rFonts w:hint="eastAsia"/>
        </w:rPr>
        <w:t>特此承诺！</w:t>
      </w:r>
    </w:p>
    <w:p>
      <w:pPr>
        <w:ind w:firstLine="420"/>
      </w:pPr>
    </w:p>
    <w:p>
      <w:pPr>
        <w:ind w:firstLine="420"/>
      </w:pPr>
    </w:p>
    <w:p>
      <w:pPr>
        <w:ind w:firstLine="3578" w:firstLineChars="1704"/>
      </w:pPr>
      <w:r>
        <w:rPr>
          <w:rFonts w:hint="eastAsia"/>
        </w:rPr>
        <w:t>投 标 人：</w:t>
      </w:r>
      <w:r>
        <w:rPr>
          <w:rFonts w:hint="eastAsia"/>
          <w:u w:val="single"/>
        </w:rPr>
        <w:t xml:space="preserve">                          </w:t>
      </w:r>
      <w:r>
        <w:rPr>
          <w:rFonts w:hint="eastAsia"/>
        </w:rPr>
        <w:t>（盖单位章）</w:t>
      </w:r>
    </w:p>
    <w:p>
      <w:pPr>
        <w:ind w:firstLine="3578" w:firstLineChars="1704"/>
      </w:pPr>
      <w:r>
        <w:rPr>
          <w:rFonts w:hint="eastAsia"/>
        </w:rPr>
        <w:t>法定代表人或其委托代理人：</w:t>
      </w:r>
      <w:r>
        <w:rPr>
          <w:rFonts w:hint="eastAsia"/>
          <w:u w:val="single"/>
        </w:rPr>
        <w:t xml:space="preserve">           </w:t>
      </w:r>
      <w:r>
        <w:rPr>
          <w:rFonts w:hint="eastAsia"/>
        </w:rPr>
        <w:t>（签字或盖章）</w:t>
      </w:r>
    </w:p>
    <w:p>
      <w:pPr>
        <w:ind w:firstLine="3578" w:firstLineChars="1704"/>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ind w:firstLine="420"/>
      </w:pPr>
    </w:p>
    <w:p>
      <w:pPr>
        <w:ind w:firstLine="422"/>
        <w:rPr>
          <w:b/>
          <w:szCs w:val="20"/>
        </w:rPr>
      </w:pPr>
      <w:r>
        <w:rPr>
          <w:b/>
          <w:szCs w:val="20"/>
        </w:rPr>
        <w:br w:type="page"/>
      </w:r>
    </w:p>
    <w:p>
      <w:pPr>
        <w:ind w:firstLine="422"/>
        <w:rPr>
          <w:b/>
          <w:szCs w:val="20"/>
        </w:rPr>
      </w:pPr>
    </w:p>
    <w:p>
      <w:pPr>
        <w:ind w:firstLine="0" w:firstLineChars="0"/>
        <w:jc w:val="center"/>
        <w:rPr>
          <w:b/>
          <w:bCs/>
          <w:sz w:val="32"/>
          <w:szCs w:val="32"/>
        </w:rPr>
      </w:pPr>
      <w:r>
        <w:rPr>
          <w:rFonts w:hint="eastAsia"/>
          <w:b/>
          <w:bCs/>
          <w:sz w:val="32"/>
          <w:szCs w:val="32"/>
        </w:rPr>
        <w:t>拟派人员承诺书</w:t>
      </w:r>
    </w:p>
    <w:p>
      <w:pPr>
        <w:ind w:firstLine="0" w:firstLineChars="0"/>
      </w:pPr>
      <w:r>
        <w:rPr>
          <w:rFonts w:hint="eastAsia"/>
          <w:u w:val="single"/>
        </w:rPr>
        <w:t xml:space="preserve">              </w:t>
      </w:r>
      <w:r>
        <w:rPr>
          <w:rFonts w:hint="eastAsia"/>
        </w:rPr>
        <w:t>(招标人名称)：</w:t>
      </w:r>
    </w:p>
    <w:p>
      <w:pPr>
        <w:ind w:firstLine="420"/>
      </w:pPr>
      <w:r>
        <w:rPr>
          <w:rFonts w:hint="eastAsia"/>
        </w:rPr>
        <w:t>我方在此声明，若我方中标，拟派总监理工程师等人员与投标文件中人员保持一致，并具备总监所需能力和素质。所配备的所有人员符合岗位能力要求（应该持证上岗的必须持证上岗），在监理过程中保证工作质量，未经招标人同意不随意更换人员。若因我方原因更换配备人员，自愿按照合同约定承担违约责任。</w:t>
      </w:r>
    </w:p>
    <w:p>
      <w:pPr>
        <w:ind w:firstLine="420"/>
      </w:pPr>
      <w:r>
        <w:rPr>
          <w:rFonts w:hint="eastAsia"/>
        </w:rPr>
        <w:t>特此承诺！</w:t>
      </w:r>
    </w:p>
    <w:p>
      <w:pPr>
        <w:ind w:firstLine="420"/>
      </w:pPr>
    </w:p>
    <w:p>
      <w:pPr>
        <w:ind w:firstLine="420"/>
      </w:pPr>
    </w:p>
    <w:p>
      <w:pPr>
        <w:ind w:firstLine="3578" w:firstLineChars="1704"/>
      </w:pPr>
      <w:r>
        <w:rPr>
          <w:rFonts w:hint="eastAsia"/>
        </w:rPr>
        <w:t>投 标 人：</w:t>
      </w:r>
      <w:r>
        <w:rPr>
          <w:rFonts w:hint="eastAsia"/>
          <w:u w:val="single"/>
        </w:rPr>
        <w:t xml:space="preserve">                          </w:t>
      </w:r>
      <w:r>
        <w:rPr>
          <w:rFonts w:hint="eastAsia"/>
        </w:rPr>
        <w:t>（盖单位章）</w:t>
      </w:r>
    </w:p>
    <w:p>
      <w:pPr>
        <w:ind w:firstLine="3578" w:firstLineChars="1704"/>
      </w:pPr>
      <w:r>
        <w:rPr>
          <w:rFonts w:hint="eastAsia"/>
        </w:rPr>
        <w:t>法定代表人或其委托代理人：</w:t>
      </w:r>
      <w:r>
        <w:rPr>
          <w:rFonts w:hint="eastAsia"/>
          <w:u w:val="single"/>
        </w:rPr>
        <w:t xml:space="preserve">           </w:t>
      </w:r>
      <w:r>
        <w:rPr>
          <w:rFonts w:hint="eastAsia"/>
        </w:rPr>
        <w:t>（签字或盖章）</w:t>
      </w:r>
    </w:p>
    <w:p>
      <w:pPr>
        <w:ind w:firstLine="3578" w:firstLineChars="1704"/>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ind w:firstLine="422"/>
        <w:rPr>
          <w:b/>
          <w:szCs w:val="20"/>
        </w:rPr>
      </w:pPr>
    </w:p>
    <w:p>
      <w:pPr>
        <w:ind w:firstLine="422"/>
        <w:rPr>
          <w:b/>
          <w:szCs w:val="20"/>
        </w:rPr>
      </w:pPr>
      <w:r>
        <w:rPr>
          <w:b/>
          <w:szCs w:val="20"/>
        </w:rPr>
        <w:br w:type="page"/>
      </w:r>
    </w:p>
    <w:p>
      <w:pPr>
        <w:ind w:firstLine="0" w:firstLineChars="0"/>
        <w:jc w:val="center"/>
        <w:rPr>
          <w:b/>
          <w:bCs/>
          <w:sz w:val="32"/>
          <w:szCs w:val="32"/>
        </w:rPr>
      </w:pPr>
    </w:p>
    <w:p>
      <w:pPr>
        <w:ind w:firstLine="0" w:firstLineChars="0"/>
        <w:jc w:val="center"/>
        <w:rPr>
          <w:b/>
          <w:bCs/>
          <w:sz w:val="32"/>
          <w:szCs w:val="32"/>
        </w:rPr>
      </w:pPr>
      <w:r>
        <w:rPr>
          <w:rFonts w:hint="eastAsia"/>
          <w:b/>
          <w:bCs/>
          <w:sz w:val="32"/>
          <w:szCs w:val="32"/>
        </w:rPr>
        <w:t>履约承诺书</w:t>
      </w:r>
    </w:p>
    <w:p>
      <w:pPr>
        <w:ind w:firstLine="0" w:firstLineChars="0"/>
      </w:pPr>
      <w:r>
        <w:rPr>
          <w:rFonts w:hint="eastAsia"/>
          <w:u w:val="single"/>
        </w:rPr>
        <w:t xml:space="preserve">              </w:t>
      </w:r>
      <w:r>
        <w:rPr>
          <w:rFonts w:hint="eastAsia"/>
        </w:rPr>
        <w:t>(招标人名称)：</w:t>
      </w:r>
    </w:p>
    <w:p>
      <w:pPr>
        <w:ind w:firstLine="420"/>
      </w:pPr>
      <w:r>
        <w:rPr>
          <w:rFonts w:hint="eastAsia"/>
        </w:rPr>
        <w:t>我方在此声明，若我方中标，我方严格履行监理合同及相关协议，确保完成服务期限、质量、安全等承诺目标，否则将自愿按照合同约定支付违约金。</w:t>
      </w:r>
    </w:p>
    <w:p>
      <w:pPr>
        <w:ind w:firstLine="420"/>
      </w:pPr>
      <w:r>
        <w:rPr>
          <w:rFonts w:hint="eastAsia"/>
        </w:rPr>
        <w:t>特此承诺！</w:t>
      </w:r>
    </w:p>
    <w:p>
      <w:pPr>
        <w:ind w:firstLine="420"/>
      </w:pPr>
    </w:p>
    <w:p>
      <w:pPr>
        <w:ind w:firstLine="420"/>
      </w:pPr>
    </w:p>
    <w:p>
      <w:pPr>
        <w:ind w:firstLine="3578" w:firstLineChars="1704"/>
      </w:pPr>
      <w:r>
        <w:rPr>
          <w:rFonts w:hint="eastAsia"/>
        </w:rPr>
        <w:t>投 标 人：</w:t>
      </w:r>
      <w:r>
        <w:rPr>
          <w:rFonts w:hint="eastAsia"/>
          <w:u w:val="single"/>
        </w:rPr>
        <w:t xml:space="preserve">                          </w:t>
      </w:r>
      <w:r>
        <w:rPr>
          <w:rFonts w:hint="eastAsia"/>
        </w:rPr>
        <w:t>（盖单位章）</w:t>
      </w:r>
    </w:p>
    <w:p>
      <w:pPr>
        <w:ind w:firstLine="3578" w:firstLineChars="1704"/>
      </w:pPr>
      <w:r>
        <w:rPr>
          <w:rFonts w:hint="eastAsia"/>
        </w:rPr>
        <w:t>法定代表人或其委托代理人：</w:t>
      </w:r>
      <w:r>
        <w:rPr>
          <w:rFonts w:hint="eastAsia"/>
          <w:u w:val="single"/>
        </w:rPr>
        <w:t xml:space="preserve">           </w:t>
      </w:r>
      <w:r>
        <w:rPr>
          <w:rFonts w:hint="eastAsia"/>
        </w:rPr>
        <w:t>（签字或盖章）</w:t>
      </w:r>
    </w:p>
    <w:p>
      <w:pPr>
        <w:ind w:firstLine="3578" w:firstLineChars="1704"/>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ind w:firstLine="422"/>
        <w:rPr>
          <w:b/>
          <w:szCs w:val="20"/>
        </w:rPr>
      </w:pPr>
    </w:p>
    <w:p>
      <w:pPr>
        <w:ind w:firstLine="420"/>
      </w:pPr>
    </w:p>
    <w:p>
      <w:pPr>
        <w:ind w:firstLine="420"/>
      </w:pPr>
      <w:r>
        <w:br w:type="page"/>
      </w:r>
    </w:p>
    <w:p>
      <w:pPr>
        <w:spacing w:before="120" w:beforeLines="50" w:after="120" w:afterLines="50"/>
        <w:ind w:firstLine="0" w:firstLineChars="0"/>
        <w:jc w:val="center"/>
        <w:outlineLvl w:val="2"/>
        <w:rPr>
          <w:rFonts w:hAnsi="Times New Roman"/>
          <w:b/>
          <w:sz w:val="24"/>
          <w:szCs w:val="24"/>
        </w:rPr>
      </w:pPr>
      <w:r>
        <w:rPr>
          <w:rFonts w:hint="eastAsia"/>
          <w:b/>
          <w:bCs/>
          <w:sz w:val="24"/>
          <w:szCs w:val="28"/>
        </w:rPr>
        <w:t>（五）</w:t>
      </w:r>
      <w:bookmarkEnd w:id="496"/>
      <w:bookmarkEnd w:id="497"/>
      <w:r>
        <w:rPr>
          <w:rFonts w:hint="eastAsia"/>
          <w:b/>
          <w:bCs/>
          <w:sz w:val="24"/>
          <w:szCs w:val="28"/>
        </w:rPr>
        <w:t>投标人认为需要提交的其他有关资料</w:t>
      </w:r>
    </w:p>
    <w:p>
      <w:pPr>
        <w:ind w:firstLine="420"/>
      </w:pPr>
      <w:r>
        <w:br w:type="page"/>
      </w:r>
    </w:p>
    <w:p>
      <w:pPr>
        <w:widowControl/>
        <w:autoSpaceDE/>
        <w:autoSpaceDN/>
        <w:spacing w:after="120" w:afterLines="50" w:line="600" w:lineRule="exact"/>
        <w:ind w:firstLine="482"/>
        <w:jc w:val="both"/>
        <w:outlineLvl w:val="1"/>
        <w:rPr>
          <w:rFonts w:cs="宋体"/>
          <w:b/>
          <w:sz w:val="28"/>
          <w:szCs w:val="28"/>
        </w:rPr>
      </w:pPr>
      <w:bookmarkStart w:id="498" w:name="_Toc32424"/>
      <w:r>
        <w:rPr>
          <w:rFonts w:hint="eastAsia"/>
          <w:b/>
          <w:sz w:val="24"/>
          <w:szCs w:val="24"/>
        </w:rPr>
        <w:t>附件1：</w:t>
      </w:r>
      <w:r>
        <w:rPr>
          <w:rFonts w:hint="eastAsia" w:cs="宋体"/>
          <w:b/>
          <w:sz w:val="24"/>
          <w:szCs w:val="24"/>
        </w:rPr>
        <w:t>中小企业声明函</w:t>
      </w:r>
      <w:bookmarkEnd w:id="498"/>
    </w:p>
    <w:p>
      <w:pPr>
        <w:autoSpaceDE/>
        <w:autoSpaceDN/>
        <w:snapToGrid w:val="0"/>
        <w:ind w:firstLine="420"/>
        <w:rPr>
          <w:rFonts w:cs="宋体"/>
          <w:szCs w:val="21"/>
        </w:rPr>
      </w:pPr>
      <w:r>
        <w:rPr>
          <w:rFonts w:hint="eastAsia" w:cs="宋体"/>
          <w:szCs w:val="21"/>
        </w:rPr>
        <w:t>本公司（联合体）郑重声明，根据《政府采购促进中小企业发展管理办法》（财库[2020]46号）的规定，本公司（联合体）参加</w:t>
      </w:r>
      <w:r>
        <w:rPr>
          <w:rFonts w:hint="eastAsia" w:cs="宋体"/>
          <w:szCs w:val="21"/>
          <w:u w:val="single"/>
        </w:rPr>
        <w:t>（单位名称）</w:t>
      </w:r>
      <w:r>
        <w:rPr>
          <w:rFonts w:hint="eastAsia" w:cs="宋体"/>
          <w:szCs w:val="21"/>
        </w:rPr>
        <w:t>的</w:t>
      </w:r>
      <w:r>
        <w:rPr>
          <w:rFonts w:hint="eastAsia" w:cs="宋体"/>
          <w:szCs w:val="21"/>
          <w:u w:val="single"/>
        </w:rPr>
        <w:t>（项目名称）</w:t>
      </w:r>
      <w:r>
        <w:rPr>
          <w:rFonts w:hint="eastAsia"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pPr>
        <w:autoSpaceDE/>
        <w:autoSpaceDN/>
        <w:snapToGrid w:val="0"/>
        <w:ind w:firstLine="500"/>
        <w:rPr>
          <w:spacing w:val="20"/>
          <w:szCs w:val="21"/>
        </w:rPr>
      </w:pPr>
      <w:r>
        <w:rPr>
          <w:rFonts w:hint="eastAsia"/>
          <w:spacing w:val="20"/>
          <w:szCs w:val="21"/>
        </w:rPr>
        <w:t>1.</w:t>
      </w:r>
      <w:r>
        <w:rPr>
          <w:rFonts w:hint="eastAsia"/>
          <w:spacing w:val="20"/>
          <w:szCs w:val="21"/>
          <w:u w:val="single"/>
        </w:rPr>
        <w:t>（标的名称）</w:t>
      </w:r>
      <w:r>
        <w:rPr>
          <w:rFonts w:hint="eastAsia"/>
          <w:spacing w:val="20"/>
          <w:szCs w:val="21"/>
        </w:rPr>
        <w:t>，属于</w:t>
      </w:r>
      <w:r>
        <w:rPr>
          <w:rFonts w:hint="eastAsia"/>
          <w:spacing w:val="20"/>
          <w:szCs w:val="21"/>
          <w:u w:val="single"/>
        </w:rPr>
        <w:t>（工业）行业</w:t>
      </w:r>
      <w:r>
        <w:rPr>
          <w:rFonts w:hint="eastAsia"/>
          <w:spacing w:val="20"/>
          <w:szCs w:val="21"/>
        </w:rPr>
        <w:t>；承建（承接）企业为</w:t>
      </w:r>
      <w:r>
        <w:rPr>
          <w:rFonts w:hint="eastAsia"/>
          <w:spacing w:val="20"/>
          <w:szCs w:val="21"/>
          <w:u w:val="single"/>
        </w:rPr>
        <w:t>（企业名称）</w:t>
      </w:r>
      <w:r>
        <w:rPr>
          <w:rFonts w:hint="eastAsia"/>
          <w:spacing w:val="20"/>
          <w:szCs w:val="21"/>
        </w:rPr>
        <w:t>，从业人员</w:t>
      </w:r>
      <w:r>
        <w:rPr>
          <w:rFonts w:hint="eastAsia"/>
          <w:spacing w:val="20"/>
          <w:szCs w:val="21"/>
          <w:u w:val="single"/>
        </w:rPr>
        <w:t>　　</w:t>
      </w:r>
      <w:r>
        <w:rPr>
          <w:rFonts w:hint="eastAsia"/>
          <w:spacing w:val="20"/>
          <w:szCs w:val="21"/>
        </w:rPr>
        <w:t>人，营业收入为</w:t>
      </w:r>
      <w:r>
        <w:rPr>
          <w:rFonts w:hint="eastAsia"/>
          <w:spacing w:val="20"/>
          <w:szCs w:val="21"/>
          <w:u w:val="single"/>
        </w:rPr>
        <w:t>　　</w:t>
      </w:r>
      <w:r>
        <w:rPr>
          <w:rFonts w:hint="eastAsia"/>
          <w:spacing w:val="20"/>
          <w:szCs w:val="21"/>
        </w:rPr>
        <w:t>万元，资产总额为</w:t>
      </w:r>
      <w:r>
        <w:rPr>
          <w:rFonts w:hint="eastAsia"/>
          <w:spacing w:val="20"/>
          <w:szCs w:val="21"/>
          <w:u w:val="single"/>
        </w:rPr>
        <w:t>　　</w:t>
      </w:r>
      <w:r>
        <w:rPr>
          <w:rFonts w:hint="eastAsia"/>
          <w:spacing w:val="20"/>
          <w:szCs w:val="21"/>
        </w:rPr>
        <w:t>万元，属于（</w:t>
      </w:r>
      <w:r>
        <w:rPr>
          <w:rFonts w:hint="eastAsia"/>
          <w:spacing w:val="20"/>
          <w:szCs w:val="21"/>
          <w:u w:val="single"/>
        </w:rPr>
        <w:t>中型企业、小型企业、微型企业</w:t>
      </w:r>
      <w:r>
        <w:rPr>
          <w:rFonts w:hint="eastAsia"/>
          <w:spacing w:val="20"/>
          <w:szCs w:val="21"/>
        </w:rPr>
        <w:t>）；</w:t>
      </w:r>
    </w:p>
    <w:p>
      <w:pPr>
        <w:autoSpaceDE/>
        <w:autoSpaceDN/>
        <w:snapToGrid w:val="0"/>
        <w:ind w:firstLine="500"/>
        <w:rPr>
          <w:spacing w:val="20"/>
          <w:szCs w:val="21"/>
        </w:rPr>
      </w:pPr>
      <w:r>
        <w:rPr>
          <w:rFonts w:hint="eastAsia"/>
          <w:spacing w:val="20"/>
          <w:szCs w:val="21"/>
        </w:rPr>
        <w:t>2.</w:t>
      </w:r>
      <w:r>
        <w:rPr>
          <w:rFonts w:hint="eastAsia"/>
          <w:spacing w:val="20"/>
          <w:szCs w:val="21"/>
          <w:u w:val="single"/>
        </w:rPr>
        <w:t xml:space="preserve"> （标的名称）</w:t>
      </w:r>
      <w:r>
        <w:rPr>
          <w:rFonts w:hint="eastAsia"/>
          <w:spacing w:val="20"/>
          <w:szCs w:val="21"/>
        </w:rPr>
        <w:t>，属于</w:t>
      </w:r>
      <w:r>
        <w:rPr>
          <w:rFonts w:hint="eastAsia"/>
          <w:spacing w:val="20"/>
          <w:szCs w:val="21"/>
          <w:u w:val="single"/>
        </w:rPr>
        <w:t>（工业）行业</w:t>
      </w:r>
      <w:r>
        <w:rPr>
          <w:rFonts w:hint="eastAsia"/>
          <w:spacing w:val="20"/>
          <w:szCs w:val="21"/>
        </w:rPr>
        <w:t>；承建（承接）企业为</w:t>
      </w:r>
      <w:r>
        <w:rPr>
          <w:rFonts w:hint="eastAsia"/>
          <w:spacing w:val="20"/>
          <w:szCs w:val="21"/>
          <w:u w:val="single"/>
        </w:rPr>
        <w:t>（企业名称）</w:t>
      </w:r>
      <w:r>
        <w:rPr>
          <w:rFonts w:hint="eastAsia"/>
          <w:spacing w:val="20"/>
          <w:szCs w:val="21"/>
        </w:rPr>
        <w:t>，从业人员</w:t>
      </w:r>
      <w:r>
        <w:rPr>
          <w:rFonts w:hint="eastAsia"/>
          <w:spacing w:val="20"/>
          <w:szCs w:val="21"/>
          <w:u w:val="single"/>
        </w:rPr>
        <w:t>　　</w:t>
      </w:r>
      <w:r>
        <w:rPr>
          <w:rFonts w:hint="eastAsia"/>
          <w:spacing w:val="20"/>
          <w:szCs w:val="21"/>
        </w:rPr>
        <w:t>人，营业收入为</w:t>
      </w:r>
      <w:r>
        <w:rPr>
          <w:rFonts w:hint="eastAsia"/>
          <w:spacing w:val="20"/>
          <w:szCs w:val="21"/>
          <w:u w:val="single"/>
        </w:rPr>
        <w:t>　　</w:t>
      </w:r>
      <w:r>
        <w:rPr>
          <w:rFonts w:hint="eastAsia"/>
          <w:spacing w:val="20"/>
          <w:szCs w:val="21"/>
        </w:rPr>
        <w:t>万元，资产总额为</w:t>
      </w:r>
      <w:r>
        <w:rPr>
          <w:rFonts w:hint="eastAsia"/>
          <w:spacing w:val="20"/>
          <w:szCs w:val="21"/>
          <w:u w:val="single"/>
        </w:rPr>
        <w:t>　　</w:t>
      </w:r>
      <w:r>
        <w:rPr>
          <w:rFonts w:hint="eastAsia"/>
          <w:spacing w:val="20"/>
          <w:szCs w:val="21"/>
        </w:rPr>
        <w:t>万元，属于（</w:t>
      </w:r>
      <w:r>
        <w:rPr>
          <w:rFonts w:hint="eastAsia"/>
          <w:spacing w:val="20"/>
          <w:szCs w:val="21"/>
          <w:u w:val="single"/>
        </w:rPr>
        <w:t>中型企业、小型企业、微型企业</w:t>
      </w:r>
      <w:r>
        <w:rPr>
          <w:rFonts w:hint="eastAsia"/>
          <w:spacing w:val="20"/>
          <w:szCs w:val="21"/>
        </w:rPr>
        <w:t>）；</w:t>
      </w:r>
    </w:p>
    <w:p>
      <w:pPr>
        <w:autoSpaceDE/>
        <w:autoSpaceDN/>
        <w:snapToGrid w:val="0"/>
        <w:ind w:firstLine="640"/>
        <w:rPr>
          <w:spacing w:val="20"/>
          <w:sz w:val="28"/>
          <w:szCs w:val="28"/>
        </w:rPr>
      </w:pPr>
      <w:r>
        <w:rPr>
          <w:rFonts w:hint="eastAsia"/>
          <w:spacing w:val="20"/>
          <w:sz w:val="28"/>
          <w:szCs w:val="28"/>
        </w:rPr>
        <w:t>……</w:t>
      </w:r>
    </w:p>
    <w:p>
      <w:pPr>
        <w:autoSpaceDE/>
        <w:autoSpaceDN/>
        <w:snapToGrid w:val="0"/>
        <w:ind w:firstLine="500"/>
        <w:rPr>
          <w:spacing w:val="20"/>
          <w:szCs w:val="21"/>
        </w:rPr>
      </w:pPr>
      <w:r>
        <w:rPr>
          <w:rFonts w:hint="eastAsia"/>
          <w:spacing w:val="20"/>
          <w:szCs w:val="21"/>
        </w:rPr>
        <w:t>以上企业，不属于大企业的分支机构，不存在控股股东为大企业的情形，也不存在与大企业的负责人为同一人的情形。</w:t>
      </w:r>
    </w:p>
    <w:p>
      <w:pPr>
        <w:autoSpaceDE/>
        <w:autoSpaceDN/>
        <w:snapToGrid w:val="0"/>
        <w:ind w:firstLine="500"/>
        <w:rPr>
          <w:spacing w:val="20"/>
          <w:szCs w:val="21"/>
        </w:rPr>
      </w:pPr>
      <w:r>
        <w:rPr>
          <w:rFonts w:hint="eastAsia"/>
          <w:spacing w:val="20"/>
          <w:szCs w:val="21"/>
        </w:rPr>
        <w:t>本企业对上述声明内容的真实性负责。如有虚假，将依法承担相应责任。</w:t>
      </w:r>
    </w:p>
    <w:p>
      <w:pPr>
        <w:snapToGrid w:val="0"/>
        <w:spacing w:line="520" w:lineRule="exact"/>
        <w:ind w:firstLine="500"/>
        <w:rPr>
          <w:spacing w:val="20"/>
          <w:szCs w:val="21"/>
        </w:rPr>
      </w:pPr>
    </w:p>
    <w:p>
      <w:pPr>
        <w:pStyle w:val="13"/>
        <w:ind w:firstLine="420"/>
      </w:pPr>
    </w:p>
    <w:p>
      <w:pPr>
        <w:snapToGrid w:val="0"/>
        <w:spacing w:line="520" w:lineRule="exact"/>
        <w:ind w:firstLine="3777" w:firstLineChars="1511"/>
        <w:rPr>
          <w:spacing w:val="20"/>
          <w:szCs w:val="21"/>
          <w:u w:val="single"/>
        </w:rPr>
      </w:pPr>
      <w:r>
        <w:rPr>
          <w:rFonts w:hint="eastAsia"/>
          <w:spacing w:val="20"/>
          <w:szCs w:val="21"/>
        </w:rPr>
        <w:t>企业名称（盖章）：</w:t>
      </w:r>
      <w:r>
        <w:rPr>
          <w:rFonts w:hint="eastAsia"/>
          <w:spacing w:val="20"/>
          <w:szCs w:val="21"/>
          <w:u w:val="single"/>
        </w:rPr>
        <w:t xml:space="preserve">             </w:t>
      </w:r>
    </w:p>
    <w:p>
      <w:pPr>
        <w:snapToGrid w:val="0"/>
        <w:spacing w:line="520" w:lineRule="exact"/>
        <w:ind w:firstLine="3777" w:firstLineChars="1511"/>
        <w:rPr>
          <w:spacing w:val="20"/>
          <w:szCs w:val="21"/>
          <w:u w:val="single"/>
        </w:rPr>
      </w:pPr>
      <w:r>
        <w:rPr>
          <w:rFonts w:hint="eastAsia"/>
          <w:spacing w:val="20"/>
          <w:szCs w:val="21"/>
        </w:rPr>
        <w:t>日期：</w:t>
      </w:r>
      <w:r>
        <w:rPr>
          <w:rFonts w:hint="eastAsia"/>
          <w:spacing w:val="20"/>
          <w:szCs w:val="21"/>
          <w:u w:val="single"/>
        </w:rPr>
        <w:t xml:space="preserve">                </w:t>
      </w:r>
    </w:p>
    <w:p>
      <w:pPr>
        <w:ind w:firstLine="420"/>
      </w:pPr>
    </w:p>
    <w:p>
      <w:pPr>
        <w:ind w:firstLine="420"/>
      </w:pPr>
    </w:p>
    <w:p>
      <w:pPr>
        <w:ind w:firstLine="420"/>
      </w:pPr>
    </w:p>
    <w:p>
      <w:pPr>
        <w:ind w:firstLine="420"/>
      </w:pPr>
    </w:p>
    <w:p>
      <w:pPr>
        <w:autoSpaceDE/>
        <w:autoSpaceDN/>
        <w:spacing w:after="120" w:afterLines="50" w:line="600" w:lineRule="exact"/>
        <w:ind w:firstLine="642"/>
        <w:jc w:val="both"/>
        <w:outlineLvl w:val="1"/>
        <w:rPr>
          <w:rFonts w:ascii="仿宋_GB2312" w:eastAsia="仿宋_GB2312"/>
          <w:b/>
          <w:spacing w:val="6"/>
          <w:sz w:val="30"/>
          <w:szCs w:val="30"/>
        </w:rPr>
      </w:pPr>
      <w:r>
        <w:rPr>
          <w:rFonts w:hint="eastAsia"/>
          <w:b/>
          <w:spacing w:val="20"/>
          <w:sz w:val="28"/>
          <w:szCs w:val="28"/>
        </w:rPr>
        <w:br w:type="page"/>
      </w:r>
      <w:bookmarkStart w:id="499" w:name="_Toc22800"/>
      <w:r>
        <w:rPr>
          <w:rFonts w:hint="eastAsia" w:cs="宋体"/>
          <w:b/>
          <w:sz w:val="24"/>
          <w:szCs w:val="24"/>
        </w:rPr>
        <w:t>附件2：残疾人福利性单位声明函</w:t>
      </w:r>
      <w:bookmarkEnd w:id="499"/>
    </w:p>
    <w:p>
      <w:pPr>
        <w:autoSpaceDE/>
        <w:autoSpaceDN/>
        <w:ind w:firstLine="420"/>
        <w:rPr>
          <w:rFonts w:cs="宋体"/>
          <w:szCs w:val="21"/>
        </w:rPr>
      </w:pPr>
      <w:r>
        <w:rPr>
          <w:rFonts w:hint="eastAsia" w:cs="宋体"/>
          <w:szCs w:val="21"/>
        </w:rPr>
        <w:t>本单位郑重声明，根据《财政部</w:t>
      </w:r>
      <w:r>
        <w:rPr>
          <w:rFonts w:cs="宋体"/>
          <w:szCs w:val="21"/>
        </w:rPr>
        <w:t xml:space="preserve"> </w:t>
      </w:r>
      <w:r>
        <w:rPr>
          <w:rFonts w:hint="eastAsia" w:cs="宋体"/>
          <w:szCs w:val="21"/>
        </w:rPr>
        <w:t>民政部</w:t>
      </w:r>
      <w:r>
        <w:rPr>
          <w:rFonts w:cs="宋体"/>
          <w:szCs w:val="21"/>
        </w:rPr>
        <w:t xml:space="preserve"> </w:t>
      </w:r>
      <w:r>
        <w:rPr>
          <w:rFonts w:hint="eastAsia" w:cs="宋体"/>
          <w:szCs w:val="21"/>
        </w:rPr>
        <w:t>中国残疾人联合会关于促进残疾人就业政府采购政策的通知》（财库〔</w:t>
      </w:r>
      <w:r>
        <w:rPr>
          <w:rFonts w:cs="宋体"/>
          <w:szCs w:val="21"/>
        </w:rPr>
        <w:t>2017</w:t>
      </w:r>
      <w:r>
        <w:rPr>
          <w:rFonts w:hint="eastAsia" w:cs="宋体"/>
          <w:szCs w:val="21"/>
        </w:rPr>
        <w:t>〕</w:t>
      </w:r>
      <w:r>
        <w:rPr>
          <w:rFonts w:cs="宋体"/>
          <w:szCs w:val="21"/>
        </w:rPr>
        <w:t xml:space="preserve"> 141</w:t>
      </w:r>
      <w:r>
        <w:rPr>
          <w:rFonts w:hint="eastAsia" w:cs="宋体"/>
          <w:szCs w:val="21"/>
        </w:rPr>
        <w:t>号）的规定，本单位为符合条件的残疾人福利性单位，且本单位参加</w:t>
      </w:r>
      <w:r>
        <w:rPr>
          <w:rFonts w:cs="宋体"/>
          <w:szCs w:val="21"/>
        </w:rPr>
        <w:t>______</w:t>
      </w:r>
      <w:r>
        <w:rPr>
          <w:rFonts w:hint="eastAsia" w:cs="宋体"/>
          <w:szCs w:val="21"/>
        </w:rPr>
        <w:t>单位的</w:t>
      </w:r>
      <w:r>
        <w:rPr>
          <w:rFonts w:cs="宋体"/>
          <w:szCs w:val="21"/>
        </w:rPr>
        <w:t>______</w:t>
      </w:r>
      <w:r>
        <w:rPr>
          <w:rFonts w:hint="eastAsia" w:cs="宋体"/>
          <w:szCs w:val="21"/>
        </w:rPr>
        <w:t>项目采购活动提供本单位制造的货物（由本单位承担工程</w:t>
      </w:r>
      <w:r>
        <w:rPr>
          <w:rFonts w:cs="宋体"/>
          <w:szCs w:val="21"/>
        </w:rPr>
        <w:t>/</w:t>
      </w:r>
      <w:r>
        <w:rPr>
          <w:rFonts w:hint="eastAsia" w:cs="宋体"/>
          <w:szCs w:val="21"/>
        </w:rPr>
        <w:t>提供服务），或者提供其他残疾人福利性单位制造的货物（不包括使用非残疾人福利性单位注册商标的货物）。</w:t>
      </w:r>
    </w:p>
    <w:p>
      <w:pPr>
        <w:autoSpaceDE/>
        <w:autoSpaceDN/>
        <w:ind w:firstLine="420"/>
        <w:rPr>
          <w:rFonts w:cs="宋体"/>
          <w:szCs w:val="21"/>
        </w:rPr>
      </w:pPr>
      <w:r>
        <w:rPr>
          <w:rFonts w:hint="eastAsia" w:cs="宋体"/>
          <w:szCs w:val="21"/>
        </w:rPr>
        <w:t>本单位对上述声明的真实性负责。如有虚假，将依法承担相应责任。</w:t>
      </w:r>
    </w:p>
    <w:p>
      <w:pPr>
        <w:spacing w:line="588" w:lineRule="exact"/>
        <w:ind w:firstLine="420"/>
        <w:rPr>
          <w:rFonts w:cs="宋体"/>
          <w:szCs w:val="21"/>
        </w:rPr>
      </w:pPr>
    </w:p>
    <w:p>
      <w:pPr>
        <w:pStyle w:val="13"/>
        <w:ind w:firstLine="420"/>
        <w:rPr>
          <w:rFonts w:hAnsi="宋体" w:cs="宋体"/>
          <w:szCs w:val="21"/>
        </w:rPr>
      </w:pPr>
    </w:p>
    <w:p>
      <w:pPr>
        <w:ind w:firstLine="420"/>
      </w:pPr>
    </w:p>
    <w:p>
      <w:pPr>
        <w:snapToGrid w:val="0"/>
        <w:spacing w:line="520" w:lineRule="exact"/>
        <w:ind w:firstLine="3777" w:firstLineChars="1511"/>
        <w:rPr>
          <w:spacing w:val="20"/>
          <w:szCs w:val="21"/>
          <w:u w:val="single"/>
        </w:rPr>
      </w:pPr>
      <w:r>
        <w:rPr>
          <w:rFonts w:hint="eastAsia"/>
          <w:spacing w:val="20"/>
          <w:szCs w:val="21"/>
        </w:rPr>
        <w:t>企业名称（盖章）：</w:t>
      </w:r>
      <w:r>
        <w:rPr>
          <w:rFonts w:hint="eastAsia"/>
          <w:spacing w:val="20"/>
          <w:szCs w:val="21"/>
          <w:u w:val="single"/>
        </w:rPr>
        <w:t xml:space="preserve">             </w:t>
      </w:r>
    </w:p>
    <w:p>
      <w:pPr>
        <w:snapToGrid w:val="0"/>
        <w:spacing w:line="520" w:lineRule="exact"/>
        <w:ind w:firstLine="3777" w:firstLineChars="1511"/>
        <w:rPr>
          <w:spacing w:val="20"/>
          <w:szCs w:val="21"/>
          <w:u w:val="single"/>
        </w:rPr>
      </w:pPr>
      <w:r>
        <w:rPr>
          <w:rFonts w:hint="eastAsia"/>
          <w:spacing w:val="20"/>
          <w:szCs w:val="21"/>
        </w:rPr>
        <w:t>日期：</w:t>
      </w:r>
      <w:r>
        <w:rPr>
          <w:rFonts w:hint="eastAsia"/>
          <w:spacing w:val="20"/>
          <w:szCs w:val="21"/>
          <w:u w:val="single"/>
        </w:rPr>
        <w:t xml:space="preserve">                </w:t>
      </w:r>
    </w:p>
    <w:p>
      <w:pPr>
        <w:pStyle w:val="29"/>
      </w:pPr>
    </w:p>
    <w:p>
      <w:pPr>
        <w:ind w:firstLine="420"/>
      </w:pPr>
    </w:p>
    <w:p>
      <w:pPr>
        <w:pStyle w:val="29"/>
      </w:pPr>
    </w:p>
    <w:p>
      <w:pPr>
        <w:ind w:firstLine="420"/>
      </w:pPr>
    </w:p>
    <w:p>
      <w:pPr>
        <w:pStyle w:val="29"/>
      </w:pPr>
    </w:p>
    <w:p>
      <w:pPr>
        <w:pStyle w:val="13"/>
        <w:ind w:firstLine="0" w:firstLineChars="0"/>
      </w:pPr>
    </w:p>
    <w:sectPr>
      <w:headerReference r:id="rId11" w:type="default"/>
      <w:footerReference r:id="rId12" w:type="default"/>
      <w:pgSz w:w="11849" w:h="16781"/>
      <w:pgMar w:top="1417" w:right="1417" w:bottom="1417" w:left="1417" w:header="1134" w:footer="1134" w:gutter="0"/>
      <w:cols w:space="720" w:num="1"/>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wps:spPr>
                    <wps:txbx>
                      <w:txbxContent>
                        <w:p>
                          <w:pPr>
                            <w:pStyle w:val="14"/>
                            <w:ind w:firstLine="3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ADMeA1AAAAAMBAAAPAAAAAAAAAAEAIAAAACIAAABk&#10;cnMvZG93bnJldi54bWxQSwECFAAUAAAACACHTuJAdp4VGNEBAACXAwAADgAAAAAAAAABACAAAAAj&#10;AQAAZHJzL2Uyb0RvYy54bWxQSwUGAAAAAAYABgBZAQAAZgUAAAAA&#10;">
              <v:fill on="f" focussize="0,0"/>
              <v:stroke on="f" weight="1.25pt"/>
              <v:imagedata o:title=""/>
              <o:lock v:ext="edit" aspectratio="f"/>
              <v:textbox inset="0mm,0mm,0mm,0mm" style="mso-fit-shape-to-text:t;">
                <w:txbxContent>
                  <w:p>
                    <w:pPr>
                      <w:pStyle w:val="14"/>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9585143"/>
      <w:docPartObj>
        <w:docPartGallery w:val="autotext"/>
      </w:docPartObj>
    </w:sdtPr>
    <w:sdtContent>
      <w:p>
        <w:pPr>
          <w:pStyle w:val="14"/>
          <w:ind w:firstLine="360"/>
          <w:jc w:val="center"/>
        </w:pPr>
        <w:r>
          <w:fldChar w:fldCharType="begin"/>
        </w:r>
        <w:r>
          <w:instrText xml:space="preserve">PAGE   \* MERGEFORMAT</w:instrText>
        </w:r>
        <w:r>
          <w:fldChar w:fldCharType="separate"/>
        </w:r>
        <w:r>
          <w:rPr>
            <w:lang w:val="zh-CN"/>
          </w:rPr>
          <w:t>2</w:t>
        </w:r>
        <w:r>
          <w:fldChar w:fldCharType="end"/>
        </w:r>
      </w:p>
    </w:sdtContent>
  </w:sdt>
  <w:p>
    <w:pPr>
      <w:pStyle w:val="14"/>
      <w:spacing w:line="240" w:lineRule="auto"/>
      <w:ind w:firstLine="40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spacing w:line="240" w:lineRule="auto"/>
      <w:ind w:firstLine="360"/>
      <w:jc w:val="right"/>
      <w:rPr>
        <w:rFonts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33437"/>
    <w:multiLevelType w:val="multilevel"/>
    <w:tmpl w:val="12A3343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zMWVlOWUzOGM3MWYyOWMzNGMwZDU0YWI4M2FkNWUifQ=="/>
  </w:docVars>
  <w:rsids>
    <w:rsidRoot w:val="4DCC10D6"/>
    <w:rsid w:val="00116F56"/>
    <w:rsid w:val="00220A90"/>
    <w:rsid w:val="0030373E"/>
    <w:rsid w:val="003C3C5B"/>
    <w:rsid w:val="003C715E"/>
    <w:rsid w:val="003C7CAB"/>
    <w:rsid w:val="003F6A9F"/>
    <w:rsid w:val="0040278F"/>
    <w:rsid w:val="004D1151"/>
    <w:rsid w:val="00557E9B"/>
    <w:rsid w:val="00581F90"/>
    <w:rsid w:val="006626AE"/>
    <w:rsid w:val="006A6B3C"/>
    <w:rsid w:val="006D38B6"/>
    <w:rsid w:val="007402CA"/>
    <w:rsid w:val="007B02FD"/>
    <w:rsid w:val="007B1C5D"/>
    <w:rsid w:val="007B524F"/>
    <w:rsid w:val="007D208B"/>
    <w:rsid w:val="007D56FF"/>
    <w:rsid w:val="007F3A7F"/>
    <w:rsid w:val="0096444C"/>
    <w:rsid w:val="00A54A25"/>
    <w:rsid w:val="00A84A9A"/>
    <w:rsid w:val="00AE1B40"/>
    <w:rsid w:val="00AF2ED0"/>
    <w:rsid w:val="00B10E00"/>
    <w:rsid w:val="00BB0D96"/>
    <w:rsid w:val="00BC44CF"/>
    <w:rsid w:val="00C90654"/>
    <w:rsid w:val="00C931E5"/>
    <w:rsid w:val="00D15CDB"/>
    <w:rsid w:val="00E1405C"/>
    <w:rsid w:val="00E2416B"/>
    <w:rsid w:val="00E77135"/>
    <w:rsid w:val="00E81671"/>
    <w:rsid w:val="00E86068"/>
    <w:rsid w:val="00F47D2B"/>
    <w:rsid w:val="00F83B68"/>
    <w:rsid w:val="00FE4FC3"/>
    <w:rsid w:val="00FE5455"/>
    <w:rsid w:val="01A53CB3"/>
    <w:rsid w:val="01D94546"/>
    <w:rsid w:val="020C3376"/>
    <w:rsid w:val="0257488D"/>
    <w:rsid w:val="02902A6D"/>
    <w:rsid w:val="02CF7A3A"/>
    <w:rsid w:val="039E780F"/>
    <w:rsid w:val="03CD4A30"/>
    <w:rsid w:val="04C456B7"/>
    <w:rsid w:val="05177476"/>
    <w:rsid w:val="058258A2"/>
    <w:rsid w:val="06000F4D"/>
    <w:rsid w:val="06342F11"/>
    <w:rsid w:val="063557B2"/>
    <w:rsid w:val="06602E5E"/>
    <w:rsid w:val="06720911"/>
    <w:rsid w:val="06E3363B"/>
    <w:rsid w:val="06F1651C"/>
    <w:rsid w:val="07013F3A"/>
    <w:rsid w:val="070A01EB"/>
    <w:rsid w:val="07455E31"/>
    <w:rsid w:val="0749576B"/>
    <w:rsid w:val="075206E9"/>
    <w:rsid w:val="07770E5B"/>
    <w:rsid w:val="07BB4294"/>
    <w:rsid w:val="07D21D7A"/>
    <w:rsid w:val="08E539C2"/>
    <w:rsid w:val="09071FDF"/>
    <w:rsid w:val="0992531D"/>
    <w:rsid w:val="0A065D6A"/>
    <w:rsid w:val="0A1E573F"/>
    <w:rsid w:val="0A1E6D5A"/>
    <w:rsid w:val="0A841FD0"/>
    <w:rsid w:val="0ADB1390"/>
    <w:rsid w:val="0ADF0A36"/>
    <w:rsid w:val="0AE91EB0"/>
    <w:rsid w:val="0AFB3396"/>
    <w:rsid w:val="0B5B1DAF"/>
    <w:rsid w:val="0C323040"/>
    <w:rsid w:val="0C447411"/>
    <w:rsid w:val="0D156991"/>
    <w:rsid w:val="0D2722EE"/>
    <w:rsid w:val="0D662B58"/>
    <w:rsid w:val="0D796212"/>
    <w:rsid w:val="0D844AC9"/>
    <w:rsid w:val="0D8B3BB4"/>
    <w:rsid w:val="0D8E480A"/>
    <w:rsid w:val="0DD77B12"/>
    <w:rsid w:val="0E1C2C7E"/>
    <w:rsid w:val="0E511C4A"/>
    <w:rsid w:val="0E716C53"/>
    <w:rsid w:val="0E9665F4"/>
    <w:rsid w:val="0F640675"/>
    <w:rsid w:val="0FB84EE1"/>
    <w:rsid w:val="0FBF66B5"/>
    <w:rsid w:val="102623B6"/>
    <w:rsid w:val="10AF790B"/>
    <w:rsid w:val="10C6786D"/>
    <w:rsid w:val="10C83798"/>
    <w:rsid w:val="10CF7616"/>
    <w:rsid w:val="10D70CB4"/>
    <w:rsid w:val="10E832AA"/>
    <w:rsid w:val="10F050BE"/>
    <w:rsid w:val="113306FE"/>
    <w:rsid w:val="1163268D"/>
    <w:rsid w:val="117B2B3A"/>
    <w:rsid w:val="11A2617A"/>
    <w:rsid w:val="11B52B07"/>
    <w:rsid w:val="11C326E3"/>
    <w:rsid w:val="11C444E1"/>
    <w:rsid w:val="12087DB9"/>
    <w:rsid w:val="12137098"/>
    <w:rsid w:val="123767DE"/>
    <w:rsid w:val="12592D38"/>
    <w:rsid w:val="12647A72"/>
    <w:rsid w:val="127E3C6B"/>
    <w:rsid w:val="136F2FDE"/>
    <w:rsid w:val="139F0559"/>
    <w:rsid w:val="13D15C20"/>
    <w:rsid w:val="13F56BD4"/>
    <w:rsid w:val="14786C7C"/>
    <w:rsid w:val="15836462"/>
    <w:rsid w:val="15871919"/>
    <w:rsid w:val="15B14D7D"/>
    <w:rsid w:val="15CA5E3E"/>
    <w:rsid w:val="15E74C42"/>
    <w:rsid w:val="165A74EA"/>
    <w:rsid w:val="16926A6C"/>
    <w:rsid w:val="16BE5CC8"/>
    <w:rsid w:val="16ED2ACE"/>
    <w:rsid w:val="16F53D1D"/>
    <w:rsid w:val="17057AF1"/>
    <w:rsid w:val="173D10F4"/>
    <w:rsid w:val="17571954"/>
    <w:rsid w:val="177B5D1E"/>
    <w:rsid w:val="17BC4572"/>
    <w:rsid w:val="1856683A"/>
    <w:rsid w:val="188441FA"/>
    <w:rsid w:val="18B15C87"/>
    <w:rsid w:val="18C42A9D"/>
    <w:rsid w:val="1938376D"/>
    <w:rsid w:val="19667FD6"/>
    <w:rsid w:val="19B22C1D"/>
    <w:rsid w:val="19C960C9"/>
    <w:rsid w:val="1A285B06"/>
    <w:rsid w:val="1A43439E"/>
    <w:rsid w:val="1A840CB2"/>
    <w:rsid w:val="1AC45BE8"/>
    <w:rsid w:val="1AC96DC1"/>
    <w:rsid w:val="1B6E53FE"/>
    <w:rsid w:val="1B740CFB"/>
    <w:rsid w:val="1BC958C2"/>
    <w:rsid w:val="1CFF2872"/>
    <w:rsid w:val="1D07533C"/>
    <w:rsid w:val="1D37662B"/>
    <w:rsid w:val="1D5E42FB"/>
    <w:rsid w:val="1D8857EE"/>
    <w:rsid w:val="1DC666E1"/>
    <w:rsid w:val="1E4E1CF2"/>
    <w:rsid w:val="1E74424E"/>
    <w:rsid w:val="1E8A0AA2"/>
    <w:rsid w:val="1E8F6782"/>
    <w:rsid w:val="1EA95637"/>
    <w:rsid w:val="1EE73F05"/>
    <w:rsid w:val="1EF919FD"/>
    <w:rsid w:val="1F016B48"/>
    <w:rsid w:val="1F906AC3"/>
    <w:rsid w:val="1FCC19C8"/>
    <w:rsid w:val="1FF32ECF"/>
    <w:rsid w:val="20806EE9"/>
    <w:rsid w:val="214A0CA5"/>
    <w:rsid w:val="214B7F32"/>
    <w:rsid w:val="21507B40"/>
    <w:rsid w:val="217067C6"/>
    <w:rsid w:val="21C00552"/>
    <w:rsid w:val="21F64A54"/>
    <w:rsid w:val="22E27A09"/>
    <w:rsid w:val="2318643B"/>
    <w:rsid w:val="237F0644"/>
    <w:rsid w:val="23AF530D"/>
    <w:rsid w:val="23DF2DDD"/>
    <w:rsid w:val="250023CA"/>
    <w:rsid w:val="2500655F"/>
    <w:rsid w:val="25403FDC"/>
    <w:rsid w:val="254774AC"/>
    <w:rsid w:val="2604539D"/>
    <w:rsid w:val="26834424"/>
    <w:rsid w:val="26A35FB2"/>
    <w:rsid w:val="26A825B6"/>
    <w:rsid w:val="277D0C4D"/>
    <w:rsid w:val="27865D15"/>
    <w:rsid w:val="27A96BBA"/>
    <w:rsid w:val="27CD0134"/>
    <w:rsid w:val="27EE58AB"/>
    <w:rsid w:val="281F6039"/>
    <w:rsid w:val="28A60589"/>
    <w:rsid w:val="28B20D7B"/>
    <w:rsid w:val="28BB3519"/>
    <w:rsid w:val="28BF3C6F"/>
    <w:rsid w:val="28F434A6"/>
    <w:rsid w:val="291B0989"/>
    <w:rsid w:val="291D0077"/>
    <w:rsid w:val="29504383"/>
    <w:rsid w:val="29CB2916"/>
    <w:rsid w:val="2AE74372"/>
    <w:rsid w:val="2AF84B1D"/>
    <w:rsid w:val="2B0F45C8"/>
    <w:rsid w:val="2BA84843"/>
    <w:rsid w:val="2BC24AFB"/>
    <w:rsid w:val="2C23345C"/>
    <w:rsid w:val="2C2C2F57"/>
    <w:rsid w:val="2C5A0151"/>
    <w:rsid w:val="2CBE6F24"/>
    <w:rsid w:val="2D2F5A8D"/>
    <w:rsid w:val="2DE952CD"/>
    <w:rsid w:val="2E435D7B"/>
    <w:rsid w:val="2E68393B"/>
    <w:rsid w:val="2EEA7EDF"/>
    <w:rsid w:val="2EED45B8"/>
    <w:rsid w:val="2F0D0E1E"/>
    <w:rsid w:val="2F346043"/>
    <w:rsid w:val="2F8952F6"/>
    <w:rsid w:val="2FD30669"/>
    <w:rsid w:val="306B04F2"/>
    <w:rsid w:val="30A92DC8"/>
    <w:rsid w:val="30C40ED7"/>
    <w:rsid w:val="315C6D10"/>
    <w:rsid w:val="318B0535"/>
    <w:rsid w:val="31994BEB"/>
    <w:rsid w:val="321C75CA"/>
    <w:rsid w:val="323507B5"/>
    <w:rsid w:val="32792E84"/>
    <w:rsid w:val="32D528F8"/>
    <w:rsid w:val="33093FF2"/>
    <w:rsid w:val="335F1782"/>
    <w:rsid w:val="33745910"/>
    <w:rsid w:val="337B56B7"/>
    <w:rsid w:val="33CA29D1"/>
    <w:rsid w:val="34321BC6"/>
    <w:rsid w:val="343832D3"/>
    <w:rsid w:val="346A6596"/>
    <w:rsid w:val="352E5399"/>
    <w:rsid w:val="357C4E30"/>
    <w:rsid w:val="358103FF"/>
    <w:rsid w:val="35AB2E93"/>
    <w:rsid w:val="364C5A34"/>
    <w:rsid w:val="367C4ADB"/>
    <w:rsid w:val="36A37FCF"/>
    <w:rsid w:val="373E7E18"/>
    <w:rsid w:val="37620175"/>
    <w:rsid w:val="37C10DD1"/>
    <w:rsid w:val="386F66A6"/>
    <w:rsid w:val="387D2D0D"/>
    <w:rsid w:val="38991CE9"/>
    <w:rsid w:val="38C853DA"/>
    <w:rsid w:val="38CB3D39"/>
    <w:rsid w:val="39A71A63"/>
    <w:rsid w:val="39B210B9"/>
    <w:rsid w:val="3A2E128F"/>
    <w:rsid w:val="3A93277D"/>
    <w:rsid w:val="3ACF7F42"/>
    <w:rsid w:val="3AD44EE6"/>
    <w:rsid w:val="3B2B0232"/>
    <w:rsid w:val="3B333024"/>
    <w:rsid w:val="3B6832C5"/>
    <w:rsid w:val="3B812D57"/>
    <w:rsid w:val="3BD03348"/>
    <w:rsid w:val="3BD11425"/>
    <w:rsid w:val="3C035D55"/>
    <w:rsid w:val="3CB42DEC"/>
    <w:rsid w:val="3CF257A2"/>
    <w:rsid w:val="3D3B05B3"/>
    <w:rsid w:val="3D3B111A"/>
    <w:rsid w:val="3D597E51"/>
    <w:rsid w:val="3D977058"/>
    <w:rsid w:val="3E056BEA"/>
    <w:rsid w:val="3E5B4A96"/>
    <w:rsid w:val="3E7B69F3"/>
    <w:rsid w:val="3EF51FB7"/>
    <w:rsid w:val="3F1B4198"/>
    <w:rsid w:val="3F5068C1"/>
    <w:rsid w:val="3F7E51FE"/>
    <w:rsid w:val="3FA83837"/>
    <w:rsid w:val="3FAE55EA"/>
    <w:rsid w:val="40226394"/>
    <w:rsid w:val="403C60D5"/>
    <w:rsid w:val="407A1F1C"/>
    <w:rsid w:val="408342D0"/>
    <w:rsid w:val="4186089B"/>
    <w:rsid w:val="41AF4CFE"/>
    <w:rsid w:val="41E02B73"/>
    <w:rsid w:val="42075BA1"/>
    <w:rsid w:val="42C27D1A"/>
    <w:rsid w:val="432C36F2"/>
    <w:rsid w:val="43362BE2"/>
    <w:rsid w:val="43412E23"/>
    <w:rsid w:val="436F472F"/>
    <w:rsid w:val="43704813"/>
    <w:rsid w:val="44177363"/>
    <w:rsid w:val="44507864"/>
    <w:rsid w:val="44DE4A39"/>
    <w:rsid w:val="45102FBE"/>
    <w:rsid w:val="453D0C3C"/>
    <w:rsid w:val="458F38CC"/>
    <w:rsid w:val="45C353C6"/>
    <w:rsid w:val="45F04AC7"/>
    <w:rsid w:val="46663B5E"/>
    <w:rsid w:val="468377A8"/>
    <w:rsid w:val="468A2059"/>
    <w:rsid w:val="46D035BA"/>
    <w:rsid w:val="470E0516"/>
    <w:rsid w:val="471E7C15"/>
    <w:rsid w:val="47DF25FF"/>
    <w:rsid w:val="47EC1AC1"/>
    <w:rsid w:val="481E1E96"/>
    <w:rsid w:val="48395EBD"/>
    <w:rsid w:val="48B45B68"/>
    <w:rsid w:val="48C14B9E"/>
    <w:rsid w:val="48CB20B8"/>
    <w:rsid w:val="49AD1724"/>
    <w:rsid w:val="4A01538E"/>
    <w:rsid w:val="4A311421"/>
    <w:rsid w:val="4A8846CF"/>
    <w:rsid w:val="4AD93E52"/>
    <w:rsid w:val="4BC35688"/>
    <w:rsid w:val="4BFC552D"/>
    <w:rsid w:val="4C066574"/>
    <w:rsid w:val="4CC22665"/>
    <w:rsid w:val="4CE73E07"/>
    <w:rsid w:val="4D273BB7"/>
    <w:rsid w:val="4D7E12B0"/>
    <w:rsid w:val="4D8F01E3"/>
    <w:rsid w:val="4D9676F5"/>
    <w:rsid w:val="4DA629B8"/>
    <w:rsid w:val="4DBB46A4"/>
    <w:rsid w:val="4DCC10D6"/>
    <w:rsid w:val="4DD463E6"/>
    <w:rsid w:val="4DDE1EAC"/>
    <w:rsid w:val="4DE65204"/>
    <w:rsid w:val="4E33668C"/>
    <w:rsid w:val="4E40142B"/>
    <w:rsid w:val="4E4974C6"/>
    <w:rsid w:val="4EA27D4E"/>
    <w:rsid w:val="4F1718A0"/>
    <w:rsid w:val="4F563CA3"/>
    <w:rsid w:val="4FA01680"/>
    <w:rsid w:val="4FB56C3C"/>
    <w:rsid w:val="50AB46DF"/>
    <w:rsid w:val="50AD2CB4"/>
    <w:rsid w:val="512117C0"/>
    <w:rsid w:val="516D0742"/>
    <w:rsid w:val="51BA7F53"/>
    <w:rsid w:val="51E101BC"/>
    <w:rsid w:val="5217598C"/>
    <w:rsid w:val="521D51BC"/>
    <w:rsid w:val="52315350"/>
    <w:rsid w:val="523D5028"/>
    <w:rsid w:val="52521656"/>
    <w:rsid w:val="52642B9B"/>
    <w:rsid w:val="53403512"/>
    <w:rsid w:val="53AE0572"/>
    <w:rsid w:val="53BD2563"/>
    <w:rsid w:val="53FF1C42"/>
    <w:rsid w:val="54B313EE"/>
    <w:rsid w:val="54D24DF2"/>
    <w:rsid w:val="54DC2E26"/>
    <w:rsid w:val="555E144E"/>
    <w:rsid w:val="55A82D9F"/>
    <w:rsid w:val="5606092B"/>
    <w:rsid w:val="56474F2F"/>
    <w:rsid w:val="57451CA4"/>
    <w:rsid w:val="57572CCF"/>
    <w:rsid w:val="57B16285"/>
    <w:rsid w:val="57C742E9"/>
    <w:rsid w:val="57D45379"/>
    <w:rsid w:val="58305B05"/>
    <w:rsid w:val="584C47FD"/>
    <w:rsid w:val="589917F1"/>
    <w:rsid w:val="58A12453"/>
    <w:rsid w:val="58DA6B42"/>
    <w:rsid w:val="59652B78"/>
    <w:rsid w:val="5975785B"/>
    <w:rsid w:val="5982373F"/>
    <w:rsid w:val="59DE021B"/>
    <w:rsid w:val="59F942AF"/>
    <w:rsid w:val="5A0F6C7C"/>
    <w:rsid w:val="5A576F72"/>
    <w:rsid w:val="5A887815"/>
    <w:rsid w:val="5B0675EF"/>
    <w:rsid w:val="5B9B3F9D"/>
    <w:rsid w:val="5BD04B05"/>
    <w:rsid w:val="5C207E56"/>
    <w:rsid w:val="5CB23223"/>
    <w:rsid w:val="5CBB47B7"/>
    <w:rsid w:val="5CD64413"/>
    <w:rsid w:val="5D0053A7"/>
    <w:rsid w:val="5D8156C7"/>
    <w:rsid w:val="5DF65A3F"/>
    <w:rsid w:val="5E1B4B44"/>
    <w:rsid w:val="5E7709EA"/>
    <w:rsid w:val="5F040AC4"/>
    <w:rsid w:val="5F4E674B"/>
    <w:rsid w:val="5F8605F5"/>
    <w:rsid w:val="5FD276B3"/>
    <w:rsid w:val="60215E22"/>
    <w:rsid w:val="604C21A0"/>
    <w:rsid w:val="60586441"/>
    <w:rsid w:val="60635F68"/>
    <w:rsid w:val="60F67774"/>
    <w:rsid w:val="610537C5"/>
    <w:rsid w:val="61B83CE6"/>
    <w:rsid w:val="62324A13"/>
    <w:rsid w:val="626D784A"/>
    <w:rsid w:val="62DB0C58"/>
    <w:rsid w:val="636522D0"/>
    <w:rsid w:val="637D6FE0"/>
    <w:rsid w:val="63AB33AD"/>
    <w:rsid w:val="64716BDC"/>
    <w:rsid w:val="6491422C"/>
    <w:rsid w:val="649C69BD"/>
    <w:rsid w:val="653C3B28"/>
    <w:rsid w:val="654E7EA1"/>
    <w:rsid w:val="65953340"/>
    <w:rsid w:val="65FA0C86"/>
    <w:rsid w:val="662F5ADF"/>
    <w:rsid w:val="66737D2A"/>
    <w:rsid w:val="669B6734"/>
    <w:rsid w:val="66BA3EC8"/>
    <w:rsid w:val="66D1566A"/>
    <w:rsid w:val="66D474F0"/>
    <w:rsid w:val="672E063D"/>
    <w:rsid w:val="67C37830"/>
    <w:rsid w:val="67E660D5"/>
    <w:rsid w:val="680B72D0"/>
    <w:rsid w:val="68421D07"/>
    <w:rsid w:val="688E50D6"/>
    <w:rsid w:val="689D2862"/>
    <w:rsid w:val="68A112AF"/>
    <w:rsid w:val="68FA44AB"/>
    <w:rsid w:val="69384A52"/>
    <w:rsid w:val="69497729"/>
    <w:rsid w:val="69AF1F2D"/>
    <w:rsid w:val="6A0A597F"/>
    <w:rsid w:val="6B147717"/>
    <w:rsid w:val="6B746F59"/>
    <w:rsid w:val="6B7A0B30"/>
    <w:rsid w:val="6BAE6ED7"/>
    <w:rsid w:val="6C9B3099"/>
    <w:rsid w:val="6CC37ADF"/>
    <w:rsid w:val="6D1A378B"/>
    <w:rsid w:val="6D384468"/>
    <w:rsid w:val="6D600288"/>
    <w:rsid w:val="6E510020"/>
    <w:rsid w:val="6E872E47"/>
    <w:rsid w:val="6E8F57B9"/>
    <w:rsid w:val="6ED32513"/>
    <w:rsid w:val="6F240E42"/>
    <w:rsid w:val="6F280633"/>
    <w:rsid w:val="6F3A592B"/>
    <w:rsid w:val="6F606856"/>
    <w:rsid w:val="6F714B98"/>
    <w:rsid w:val="6F7C3433"/>
    <w:rsid w:val="6FDB12F7"/>
    <w:rsid w:val="706D5CA7"/>
    <w:rsid w:val="70912956"/>
    <w:rsid w:val="711A6363"/>
    <w:rsid w:val="714205EC"/>
    <w:rsid w:val="722A3079"/>
    <w:rsid w:val="72FB248C"/>
    <w:rsid w:val="7371074A"/>
    <w:rsid w:val="737E18B7"/>
    <w:rsid w:val="73835C89"/>
    <w:rsid w:val="739D5893"/>
    <w:rsid w:val="73FE6B0A"/>
    <w:rsid w:val="74036454"/>
    <w:rsid w:val="74040400"/>
    <w:rsid w:val="741C6F94"/>
    <w:rsid w:val="74F6547D"/>
    <w:rsid w:val="74FF1C3A"/>
    <w:rsid w:val="7504310B"/>
    <w:rsid w:val="75C779C2"/>
    <w:rsid w:val="76AF3703"/>
    <w:rsid w:val="76C76129"/>
    <w:rsid w:val="77094C6B"/>
    <w:rsid w:val="783011F9"/>
    <w:rsid w:val="79523D14"/>
    <w:rsid w:val="79674B9C"/>
    <w:rsid w:val="7A3D62A8"/>
    <w:rsid w:val="7A4E5206"/>
    <w:rsid w:val="7A9E6F73"/>
    <w:rsid w:val="7AAB2866"/>
    <w:rsid w:val="7AF44B79"/>
    <w:rsid w:val="7B0A6CF0"/>
    <w:rsid w:val="7B195E5B"/>
    <w:rsid w:val="7B4A647D"/>
    <w:rsid w:val="7C701339"/>
    <w:rsid w:val="7C744877"/>
    <w:rsid w:val="7C785A4A"/>
    <w:rsid w:val="7CB017A0"/>
    <w:rsid w:val="7CCA7084"/>
    <w:rsid w:val="7E1F7A77"/>
    <w:rsid w:val="7E8835EA"/>
    <w:rsid w:val="7F913AF3"/>
    <w:rsid w:val="7FEB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480" w:lineRule="exact"/>
      <w:ind w:firstLine="723" w:firstLineChars="200"/>
    </w:pPr>
    <w:rPr>
      <w:rFonts w:ascii="宋体" w:hAnsi="宋体" w:eastAsia="宋体" w:cs="Times New Roman"/>
      <w:kern w:val="2"/>
      <w:sz w:val="21"/>
      <w:szCs w:val="22"/>
      <w:lang w:val="en-US" w:eastAsia="zh-CN" w:bidi="ar-SA"/>
    </w:rPr>
  </w:style>
  <w:style w:type="paragraph" w:styleId="2">
    <w:name w:val="heading 1"/>
    <w:basedOn w:val="1"/>
    <w:next w:val="1"/>
    <w:qFormat/>
    <w:uiPriority w:val="9"/>
    <w:pPr>
      <w:keepNext/>
      <w:keepLines/>
      <w:spacing w:line="360" w:lineRule="auto"/>
      <w:ind w:firstLine="0" w:firstLineChars="0"/>
      <w:jc w:val="center"/>
      <w:outlineLvl w:val="0"/>
    </w:pPr>
    <w:rPr>
      <w:b/>
      <w:kern w:val="44"/>
      <w:sz w:val="44"/>
    </w:rPr>
  </w:style>
  <w:style w:type="paragraph" w:styleId="3">
    <w:name w:val="heading 2"/>
    <w:basedOn w:val="1"/>
    <w:next w:val="1"/>
    <w:unhideWhenUsed/>
    <w:qFormat/>
    <w:uiPriority w:val="0"/>
    <w:pPr>
      <w:keepNext/>
      <w:keepLines/>
      <w:spacing w:line="520" w:lineRule="exact"/>
      <w:ind w:firstLine="0" w:firstLineChars="0"/>
      <w:outlineLvl w:val="1"/>
    </w:pPr>
    <w:rPr>
      <w:b/>
      <w:sz w:val="28"/>
    </w:rPr>
  </w:style>
  <w:style w:type="paragraph" w:styleId="4">
    <w:name w:val="heading 3"/>
    <w:basedOn w:val="1"/>
    <w:next w:val="1"/>
    <w:qFormat/>
    <w:uiPriority w:val="9"/>
    <w:pPr>
      <w:keepNext/>
      <w:keepLines/>
      <w:spacing w:line="520" w:lineRule="exact"/>
      <w:ind w:firstLine="0" w:firstLineChars="0"/>
      <w:outlineLvl w:val="2"/>
    </w:pPr>
    <w:rPr>
      <w:b/>
      <w:sz w:val="24"/>
    </w:rPr>
  </w:style>
  <w:style w:type="paragraph" w:styleId="5">
    <w:name w:val="heading 4"/>
    <w:basedOn w:val="1"/>
    <w:next w:val="1"/>
    <w:qFormat/>
    <w:uiPriority w:val="1"/>
    <w:pPr>
      <w:spacing w:line="331" w:lineRule="exact"/>
      <w:ind w:left="513" w:right="113"/>
      <w:outlineLvl w:val="3"/>
    </w:pPr>
    <w:rPr>
      <w:rFonts w:ascii="Times New Roman" w:hAnsi="Times New Roman" w:eastAsia="Times New Roman"/>
      <w:b/>
      <w:bCs/>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rPr>
      <w:rFonts w:ascii="Cambria" w:hAnsi="Cambria" w:eastAsia="黑体"/>
      <w:sz w:val="20"/>
      <w:szCs w:val="20"/>
    </w:rPr>
  </w:style>
  <w:style w:type="paragraph" w:styleId="7">
    <w:name w:val="index 5"/>
    <w:basedOn w:val="1"/>
    <w:next w:val="1"/>
    <w:qFormat/>
    <w:uiPriority w:val="0"/>
    <w:pPr>
      <w:ind w:left="1680"/>
    </w:pPr>
  </w:style>
  <w:style w:type="paragraph" w:styleId="8">
    <w:name w:val="Body Text"/>
    <w:basedOn w:val="1"/>
    <w:next w:val="1"/>
    <w:qFormat/>
    <w:uiPriority w:val="0"/>
    <w:pPr>
      <w:adjustRightInd w:val="0"/>
      <w:spacing w:after="60" w:line="360" w:lineRule="atLeast"/>
      <w:ind w:left="72" w:leftChars="30" w:right="30" w:rightChars="30"/>
      <w:jc w:val="center"/>
      <w:textAlignment w:val="baseline"/>
    </w:pPr>
    <w:rPr>
      <w:kern w:val="0"/>
      <w:sz w:val="20"/>
      <w:szCs w:val="20"/>
    </w:rPr>
  </w:style>
  <w:style w:type="paragraph" w:styleId="9">
    <w:name w:val="Body Text Indent"/>
    <w:basedOn w:val="1"/>
    <w:next w:val="10"/>
    <w:qFormat/>
    <w:uiPriority w:val="0"/>
    <w:pPr>
      <w:spacing w:line="360" w:lineRule="auto"/>
      <w:ind w:firstLine="549"/>
    </w:pPr>
    <w:rPr>
      <w:sz w:val="28"/>
    </w:rPr>
  </w:style>
  <w:style w:type="paragraph" w:styleId="10">
    <w:name w:val="envelope return"/>
    <w:basedOn w:val="1"/>
    <w:qFormat/>
    <w:uiPriority w:val="0"/>
    <w:pPr>
      <w:snapToGrid w:val="0"/>
    </w:pPr>
    <w:rPr>
      <w:rFonts w:ascii="Arial" w:hAnsi="Arial"/>
    </w:rPr>
  </w:style>
  <w:style w:type="paragraph" w:styleId="11">
    <w:name w:val="List 2"/>
    <w:basedOn w:val="1"/>
    <w:qFormat/>
    <w:uiPriority w:val="0"/>
    <w:pPr>
      <w:ind w:left="100" w:leftChars="200" w:hanging="200" w:hangingChars="200"/>
    </w:pPr>
  </w:style>
  <w:style w:type="paragraph" w:styleId="12">
    <w:name w:val="toc 3"/>
    <w:basedOn w:val="1"/>
    <w:next w:val="1"/>
    <w:unhideWhenUsed/>
    <w:qFormat/>
    <w:uiPriority w:val="39"/>
    <w:pPr>
      <w:ind w:left="840" w:leftChars="400"/>
    </w:pPr>
  </w:style>
  <w:style w:type="paragraph" w:styleId="13">
    <w:name w:val="Plain Text"/>
    <w:basedOn w:val="1"/>
    <w:next w:val="1"/>
    <w:unhideWhenUsed/>
    <w:qFormat/>
    <w:uiPriority w:val="99"/>
    <w:rPr>
      <w:rFonts w:hAnsi="Courier New"/>
      <w:szCs w:val="20"/>
    </w:rPr>
  </w:style>
  <w:style w:type="paragraph" w:styleId="14">
    <w:name w:val="footer"/>
    <w:basedOn w:val="1"/>
    <w:next w:val="15"/>
    <w:link w:val="41"/>
    <w:unhideWhenUsed/>
    <w:qFormat/>
    <w:uiPriority w:val="99"/>
    <w:pPr>
      <w:tabs>
        <w:tab w:val="center" w:pos="4153"/>
        <w:tab w:val="right" w:pos="8306"/>
      </w:tabs>
      <w:snapToGrid w:val="0"/>
    </w:pPr>
    <w:rPr>
      <w:sz w:val="18"/>
      <w:szCs w:val="18"/>
    </w:rPr>
  </w:style>
  <w:style w:type="paragraph" w:styleId="15">
    <w:name w:val="Normal (Web)"/>
    <w:basedOn w:val="1"/>
    <w:next w:val="16"/>
    <w:qFormat/>
    <w:uiPriority w:val="0"/>
    <w:pPr>
      <w:widowControl/>
      <w:spacing w:before="100" w:beforeAutospacing="1" w:after="100" w:afterAutospacing="1"/>
    </w:pPr>
    <w:rPr>
      <w:rFonts w:cs="宋体"/>
      <w:color w:val="000000"/>
      <w:kern w:val="0"/>
      <w:szCs w:val="24"/>
    </w:rPr>
  </w:style>
  <w:style w:type="paragraph" w:customStyle="1" w:styleId="16">
    <w:name w:val="引用1"/>
    <w:qFormat/>
    <w:uiPriority w:val="0"/>
    <w:pPr>
      <w:ind w:left="864" w:right="864"/>
      <w:jc w:val="center"/>
    </w:pPr>
    <w:rPr>
      <w:rFonts w:ascii="Times New Roman" w:hAnsi="Times New Roman" w:eastAsia="Times New Roman" w:cs="Times New Roman"/>
      <w:i/>
      <w:color w:val="404040"/>
      <w:sz w:val="21"/>
      <w:szCs w:val="21"/>
      <w:lang w:val="en-US" w:eastAsia="zh-CN" w:bidi="ar-SA"/>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9072"/>
      </w:tabs>
      <w:spacing w:line="400" w:lineRule="exact"/>
    </w:pPr>
  </w:style>
  <w:style w:type="paragraph" w:styleId="19">
    <w:name w:val="toc 2"/>
    <w:basedOn w:val="1"/>
    <w:next w:val="1"/>
    <w:unhideWhenUsed/>
    <w:qFormat/>
    <w:uiPriority w:val="39"/>
    <w:pPr>
      <w:ind w:left="420" w:leftChars="200"/>
    </w:pPr>
  </w:style>
  <w:style w:type="paragraph" w:styleId="20">
    <w:name w:val="Body Text First Indent"/>
    <w:basedOn w:val="8"/>
    <w:next w:val="21"/>
    <w:qFormat/>
    <w:uiPriority w:val="0"/>
    <w:pPr>
      <w:ind w:firstLine="420"/>
    </w:pPr>
    <w:rPr>
      <w:rFonts w:eastAsia="楷体_GB2312"/>
      <w:sz w:val="32"/>
    </w:rPr>
  </w:style>
  <w:style w:type="paragraph" w:styleId="21">
    <w:name w:val="Body Text First Indent 2"/>
    <w:basedOn w:val="9"/>
    <w:next w:val="1"/>
    <w:qFormat/>
    <w:uiPriority w:val="0"/>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0026E5" w:themeColor="hyperlink"/>
      <w:u w:val="single"/>
      <w14:textFill>
        <w14:solidFill>
          <w14:schemeClr w14:val="hlink"/>
        </w14:solidFill>
      </w14:textFill>
    </w:rPr>
  </w:style>
  <w:style w:type="paragraph" w:customStyle="1" w:styleId="26">
    <w:name w:val="无间隔1"/>
    <w:basedOn w:val="27"/>
    <w:next w:val="28"/>
    <w:qFormat/>
    <w:uiPriority w:val="0"/>
    <w:rPr>
      <w:rFonts w:ascii="Times New Roman" w:hAnsi="Times New Roman"/>
      <w:szCs w:val="22"/>
    </w:rPr>
  </w:style>
  <w:style w:type="paragraph" w:customStyle="1" w:styleId="27">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TOC Heading1"/>
    <w:basedOn w:val="2"/>
    <w:next w:val="1"/>
    <w:qFormat/>
    <w:uiPriority w:val="0"/>
    <w:pPr>
      <w:outlineLvl w:val="9"/>
    </w:pPr>
    <w:rPr>
      <w:rFonts w:ascii="Calibri" w:hAnsi="Calibri" w:cs="Calibri"/>
    </w:rPr>
  </w:style>
  <w:style w:type="paragraph" w:customStyle="1" w:styleId="29">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
    <w:name w:val="列出段落1"/>
    <w:basedOn w:val="1"/>
    <w:next w:val="1"/>
    <w:qFormat/>
    <w:uiPriority w:val="0"/>
  </w:style>
  <w:style w:type="paragraph" w:customStyle="1" w:styleId="31">
    <w:name w:val="表格字体-靠左"/>
    <w:basedOn w:val="32"/>
    <w:next w:val="1"/>
    <w:qFormat/>
    <w:uiPriority w:val="0"/>
    <w:pPr>
      <w:ind w:firstLine="280" w:firstLineChars="100"/>
      <w:jc w:val="left"/>
    </w:pPr>
  </w:style>
  <w:style w:type="paragraph" w:customStyle="1" w:styleId="32">
    <w:name w:val="表格字体-居中"/>
    <w:basedOn w:val="1"/>
    <w:next w:val="1"/>
    <w:qFormat/>
    <w:uiPriority w:val="0"/>
    <w:pPr>
      <w:spacing w:line="240" w:lineRule="auto"/>
      <w:ind w:firstLine="0" w:firstLineChars="0"/>
      <w:jc w:val="center"/>
    </w:pPr>
  </w:style>
  <w:style w:type="paragraph" w:customStyle="1" w:styleId="33">
    <w:name w:val="Normal_0"/>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样式1"/>
    <w:basedOn w:val="1"/>
    <w:qFormat/>
    <w:uiPriority w:val="0"/>
    <w:rPr>
      <w:rFonts w:ascii="Calibri" w:hAnsi="Calibri"/>
    </w:rPr>
  </w:style>
  <w:style w:type="paragraph" w:customStyle="1" w:styleId="35">
    <w:name w:val="修订1"/>
    <w:hidden/>
    <w:unhideWhenUsed/>
    <w:qFormat/>
    <w:uiPriority w:val="99"/>
    <w:rPr>
      <w:rFonts w:ascii="宋体" w:hAnsi="宋体" w:eastAsia="宋体" w:cs="Times New Roman"/>
      <w:kern w:val="2"/>
      <w:sz w:val="21"/>
      <w:szCs w:val="22"/>
      <w:lang w:val="en-US" w:eastAsia="zh-CN" w:bidi="ar-SA"/>
    </w:rPr>
  </w:style>
  <w:style w:type="paragraph" w:customStyle="1" w:styleId="36">
    <w:name w:val="标题小1"/>
    <w:basedOn w:val="1"/>
    <w:qFormat/>
    <w:uiPriority w:val="0"/>
    <w:pPr>
      <w:spacing w:after="200"/>
      <w:ind w:firstLine="0" w:firstLineChars="0"/>
      <w:jc w:val="center"/>
    </w:pPr>
    <w:rPr>
      <w:b/>
      <w:bCs/>
      <w:color w:val="000000"/>
      <w:sz w:val="28"/>
      <w:szCs w:val="21"/>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rPr>
      <w:rFonts w:ascii="仿宋" w:hAnsi="仿宋" w:eastAsia="仿宋" w:cs="仿宋"/>
      <w:sz w:val="24"/>
      <w:szCs w:val="24"/>
      <w:lang w:eastAsia="en-US"/>
    </w:rPr>
  </w:style>
  <w:style w:type="paragraph" w:customStyle="1" w:styleId="39">
    <w:name w:val="Revision"/>
    <w:hidden/>
    <w:semiHidden/>
    <w:qFormat/>
    <w:uiPriority w:val="99"/>
    <w:rPr>
      <w:rFonts w:ascii="宋体" w:hAnsi="宋体" w:eastAsia="宋体" w:cs="Times New Roman"/>
      <w:kern w:val="2"/>
      <w:sz w:val="21"/>
      <w:szCs w:val="22"/>
      <w:lang w:val="en-US" w:eastAsia="zh-CN" w:bidi="ar-SA"/>
    </w:rPr>
  </w:style>
  <w:style w:type="paragraph" w:styleId="40">
    <w:name w:val="List Paragraph"/>
    <w:basedOn w:val="1"/>
    <w:qFormat/>
    <w:uiPriority w:val="99"/>
    <w:pPr>
      <w:ind w:firstLine="420"/>
    </w:pPr>
  </w:style>
  <w:style w:type="character" w:customStyle="1" w:styleId="41">
    <w:name w:val="页脚 字符"/>
    <w:basedOn w:val="24"/>
    <w:link w:val="14"/>
    <w:qFormat/>
    <w:uiPriority w:val="99"/>
    <w:rPr>
      <w:rFonts w:ascii="宋体" w:hAns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3BF43E-8505-47A5-BCA9-1D246E7236CD}">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9477</Words>
  <Characters>54022</Characters>
  <Lines>450</Lines>
  <Paragraphs>126</Paragraphs>
  <TotalTime>0</TotalTime>
  <ScaleCrop>false</ScaleCrop>
  <LinksUpToDate>false</LinksUpToDate>
  <CharactersWithSpaces>63373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2023-12-05T02:08:00Z</dcterms:created>
  <dc:creator>墨痕未染泪痕一笺</dc:creator>
  <cp:lastModifiedBy>李智沛</cp:lastModifiedBy>
  <cp:lastPrinted>2023-10-24T01:12:00Z</cp:lastPrinted>
  <dcterms:modified xsi:type="dcterms:W3CDTF">2023-12-18T07:47:27Z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E4D1A409A798490B9074227FC1E408EC_13</vt:lpwstr>
  </property>
</Properties>
</file>