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80544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hint="eastAsia" w:ascii="宋体" w:hAnsi="宋体" w:cs="微软雅黑"/>
          <w:b/>
          <w:bCs/>
          <w:spacing w:val="2"/>
          <w:w w:val="99"/>
          <w:kern w:val="0"/>
          <w:sz w:val="36"/>
          <w:szCs w:val="36"/>
          <w:highlight w:val="none"/>
        </w:rPr>
      </w:pPr>
      <w:bookmarkStart w:id="0" w:name="_Toc354"/>
      <w:r>
        <w:rPr>
          <w:rFonts w:hint="eastAsia" w:ascii="Times New Roman" w:hAnsi="Times New Roman" w:eastAsia="宋体" w:cs="Times New Roman"/>
          <w:b/>
          <w:spacing w:val="2"/>
          <w:kern w:val="44"/>
          <w:sz w:val="36"/>
          <w:szCs w:val="36"/>
          <w:highlight w:val="none"/>
          <w:lang w:val="en-US" w:eastAsia="zh-CN" w:bidi="ar-SA"/>
        </w:rPr>
        <w:t>第五章 采购内容及技术要求</w:t>
      </w:r>
      <w:bookmarkEnd w:id="0"/>
    </w:p>
    <w:p w14:paraId="1C927EA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211" w:firstLineChars="1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（1）技术要求</w:t>
      </w:r>
    </w:p>
    <w:p w14:paraId="4F397C5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210" w:firstLineChars="1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1、产业链诊断评估</w:t>
      </w:r>
    </w:p>
    <w:p w14:paraId="129DE71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210" w:firstLineChars="1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针对铝精深加工、新材料、装备制造三大产业，开展产业链扫描与链式诊断，运用产业链工具构建产业链图谱，识别断链风险与强链路径，输出《产业链诊断白皮书》及“一链一策”靶向方案。</w:t>
      </w:r>
    </w:p>
    <w:p w14:paraId="07F106E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210" w:firstLineChars="1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2、“十五五”产业规划编制</w:t>
      </w:r>
    </w:p>
    <w:p w14:paraId="0D51C03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210" w:firstLineChars="1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以形成两个500亿级产业链群（铝精深加工、新材料），推动规上工业产值翻番为目标，编制“十五五”产业规划，包含《新型工业化发展路线图》《科技赋能产业融合行动方案》；聚焦科技创新与产业升级，制定补链强链专项政策包。</w:t>
      </w:r>
    </w:p>
    <w:p w14:paraId="56DA9C6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210" w:firstLineChars="1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3、链主企业赋能推进</w:t>
      </w:r>
    </w:p>
    <w:p w14:paraId="47F8186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210" w:firstLineChars="1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建立“链上百强”梯度培育库（首批20家），搭建军工技术转化渠道，举办产业链协同创新峰会，促成供应链合作签约。</w:t>
      </w:r>
    </w:p>
    <w:p w14:paraId="18704F7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210" w:firstLineChars="1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4、产业运行监测体系</w:t>
      </w:r>
    </w:p>
    <w:p w14:paraId="702115F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210" w:firstLineChars="1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构建“四链融合”（产业链-创新链-资金链-人才链）指标评估体系；建立产业链风险预警模型，按月输出风险预警报告。</w:t>
      </w:r>
    </w:p>
    <w:p w14:paraId="7D80C9D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211" w:firstLineChars="10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（2）商务要求</w:t>
      </w:r>
    </w:p>
    <w:p w14:paraId="4283723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210" w:firstLineChars="1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2.1项目名称：巩义市工业信息化和商务局巩义市产业高质量发展诊断研究项目</w:t>
      </w:r>
    </w:p>
    <w:p w14:paraId="090D2BB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210" w:firstLineChars="1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2.2服 务 期：自合同签订之日起至2026年3月31日</w:t>
      </w:r>
    </w:p>
    <w:p w14:paraId="3F99302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210" w:firstLineChars="1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2.3质量要求：提交的成果符合国家有关标准和规范的规定，通过上级部门及专家审查</w:t>
      </w:r>
    </w:p>
    <w:p w14:paraId="6DDDD76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210" w:firstLineChars="1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2.4合同履行期限：详见服务期</w:t>
      </w:r>
    </w:p>
    <w:p w14:paraId="625360A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210" w:firstLineChars="1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2.5本项目是否接受联合体投标：否</w:t>
      </w:r>
    </w:p>
    <w:p w14:paraId="07E9EFB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210" w:firstLineChars="1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2.6是否接受进口产品：否</w:t>
      </w:r>
    </w:p>
    <w:p w14:paraId="713F636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210" w:firstLineChars="1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2.7付款方式：甲乙双方合同签订后10个工作日内，甲方向乙方支付合同总金额的30%。2025年10月30日甲方对整体合同进行中期验收，中期验收前乙方需完成建设内容中的相应部分，具体内容由甲方与中标方商议拟定，理论上不少于项目建设内容的50%，中期验收通过后10个工作日，甲方向乙方支付合同总金额的40%。2026年3月31日甲方对项目整体进行验收，包括全部建设内容。验收通过后10个工作日内，甲方向乙方支付合同总金额的30%。</w:t>
      </w:r>
    </w:p>
    <w:p w14:paraId="4B5BC4E6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54057"/>
    <w:rsid w:val="3125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basedOn w:val="1"/>
    <w:qFormat/>
    <w:uiPriority w:val="1"/>
    <w:pPr>
      <w:spacing w:line="40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2025-07-29T02:57:00Z</dcterms:created>
  <dc:creator>河南顺驰</dc:creator>
  <cp:lastModifiedBy>河南顺驰</cp:lastModifiedBy>
  <dcterms:modified xsi:type="dcterms:W3CDTF">2025-07-29T02:58:19Z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0C8D52640F6349ABAF69469AFC2B3592_11</vt:lpwstr>
  </property>
  <property fmtid="{D5CDD505-2E9C-101B-9397-08002B2CF9AE}" pid="4" name="KSOTemplateDocerSaveRecord">
    <vt:lpwstr>eyJoZGlkIjoiZWZkZGYzYTFiNTdhZmNhZDJkNDljNjg4ZGU1YTg3M2IiLCJ1c2VySWQiOiI1NzE1NDYxMjQifQ==</vt:lpwstr>
  </property>
</Properties>
</file>