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58C0E">
      <w:pPr>
        <w:pStyle w:val="5"/>
        <w:spacing w:line="240" w:lineRule="atLeast"/>
        <w:ind w:left="0"/>
        <w:jc w:val="center"/>
        <w:rPr>
          <w:lang w:eastAsia="zh-CN"/>
        </w:rPr>
      </w:pPr>
      <w:bookmarkStart w:id="0" w:name="_Toc237686409"/>
      <w:bookmarkStart w:id="1" w:name="_Toc228253499"/>
      <w:bookmarkStart w:id="2" w:name="_Toc7622"/>
      <w:bookmarkStart w:id="3" w:name="_Toc30856"/>
      <w:bookmarkStart w:id="4" w:name="_Toc237686507"/>
      <w:r>
        <w:rPr>
          <w:rFonts w:hint="eastAsia" w:ascii="宋体" w:hAnsi="宋体" w:eastAsia="宋体"/>
          <w:b/>
          <w:bCs/>
          <w:color w:val="000000"/>
          <w:kern w:val="44"/>
          <w:sz w:val="32"/>
          <w:szCs w:val="44"/>
          <w:lang w:eastAsia="zh-CN"/>
        </w:rPr>
        <w:t>第五章 采购内容及技术要求</w:t>
      </w:r>
      <w:bookmarkEnd w:id="0"/>
      <w:bookmarkEnd w:id="1"/>
      <w:bookmarkEnd w:id="2"/>
      <w:bookmarkEnd w:id="3"/>
      <w:bookmarkEnd w:id="4"/>
      <w:bookmarkStart w:id="5" w:name="_Toc358388600"/>
      <w:bookmarkStart w:id="6" w:name="_Toc237686410"/>
      <w:bookmarkStart w:id="7" w:name="_Toc237686508"/>
      <w:bookmarkStart w:id="8" w:name="_Toc384902419"/>
      <w:bookmarkStart w:id="9" w:name="_Toc228253500"/>
    </w:p>
    <w:bookmarkEnd w:id="5"/>
    <w:bookmarkEnd w:id="6"/>
    <w:bookmarkEnd w:id="7"/>
    <w:bookmarkEnd w:id="8"/>
    <w:bookmarkEnd w:id="9"/>
    <w:p w14:paraId="63C37A01">
      <w:pPr>
        <w:autoSpaceDE w:val="0"/>
        <w:autoSpaceDN w:val="0"/>
        <w:spacing w:line="440" w:lineRule="exact"/>
        <w:rPr>
          <w:rFonts w:asciiTheme="minorEastAsia" w:hAnsiTheme="minorEastAsia" w:eastAsiaTheme="minorEastAsia" w:cstheme="minorEastAsia"/>
          <w:sz w:val="21"/>
          <w:szCs w:val="21"/>
          <w:lang w:eastAsia="zh-CN"/>
        </w:rPr>
      </w:pPr>
    </w:p>
    <w:p w14:paraId="36A02E85">
      <w:pPr>
        <w:keepNext w:val="0"/>
        <w:keepLines w:val="0"/>
        <w:pageBreakBefore w:val="0"/>
        <w:widowControl w:val="0"/>
        <w:kinsoku/>
        <w:wordWrap/>
        <w:overflowPunct/>
        <w:topLinePunct w:val="0"/>
        <w:autoSpaceDE/>
        <w:autoSpaceDN/>
        <w:bidi w:val="0"/>
        <w:adjustRightInd/>
        <w:snapToGrid/>
        <w:spacing w:line="39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（1）技术要求</w:t>
      </w:r>
    </w:p>
    <w:p w14:paraId="46456D95">
      <w:pPr>
        <w:spacing w:line="440" w:lineRule="exact"/>
        <w:ind w:firstLine="480"/>
        <w:rPr>
          <w:rFonts w:hint="eastAsia" w:ascii="宋体" w:hAnsi="宋体" w:cs="宋体"/>
          <w:sz w:val="21"/>
          <w:szCs w:val="21"/>
          <w:highlight w:val="none"/>
          <w:lang w:eastAsia="zh-CN"/>
        </w:rPr>
      </w:pPr>
      <w:bookmarkStart w:id="10" w:name="_Toc31517"/>
      <w:r>
        <w:rPr>
          <w:rFonts w:hint="eastAsia" w:ascii="宋体" w:hAnsi="宋体" w:cs="宋体"/>
          <w:sz w:val="21"/>
          <w:szCs w:val="21"/>
          <w:highlight w:val="none"/>
          <w:lang w:eastAsia="zh-CN"/>
        </w:rPr>
        <w:t>巩义市公园体系专项规划《公园体系规划导则》（征求意见稿）文件要求进行编制</w:t>
      </w:r>
      <w:bookmarkEnd w:id="10"/>
      <w:r>
        <w:rPr>
          <w:rFonts w:hint="eastAsia" w:ascii="宋体" w:hAnsi="宋体" w:cs="宋体"/>
          <w:sz w:val="21"/>
          <w:szCs w:val="21"/>
          <w:highlight w:val="none"/>
          <w:lang w:eastAsia="zh-CN"/>
        </w:rPr>
        <w:t>；巩义市绿道系统专项规划按照《绿道规划设计导则》以及河南省、郑州市和巩义市关于绿道的要求编制。</w:t>
      </w:r>
    </w:p>
    <w:p w14:paraId="2E17F586">
      <w:pPr>
        <w:spacing w:line="440" w:lineRule="exact"/>
        <w:ind w:firstLine="480"/>
        <w:rPr>
          <w:rFonts w:hint="eastAsia" w:ascii="宋体" w:hAnsi="宋体" w:cs="宋体"/>
          <w:sz w:val="21"/>
          <w:szCs w:val="21"/>
          <w:highlight w:val="none"/>
          <w:lang w:eastAsia="zh-CN"/>
        </w:rPr>
      </w:pPr>
      <w:bookmarkStart w:id="11" w:name="_Toc7336"/>
      <w:r>
        <w:rPr>
          <w:rFonts w:hint="eastAsia" w:ascii="宋体" w:hAnsi="宋体" w:cs="宋体"/>
          <w:sz w:val="21"/>
          <w:szCs w:val="21"/>
          <w:highlight w:val="none"/>
          <w:lang w:eastAsia="zh-CN"/>
        </w:rPr>
        <w:t>2.2规划范围</w:t>
      </w:r>
      <w:bookmarkEnd w:id="11"/>
    </w:p>
    <w:p w14:paraId="4830BCF9">
      <w:pPr>
        <w:spacing w:line="440" w:lineRule="exact"/>
        <w:ind w:firstLine="480"/>
        <w:rPr>
          <w:rFonts w:hint="eastAsia" w:ascii="宋体" w:hAnsi="宋体" w:cs="宋体"/>
          <w:sz w:val="21"/>
          <w:szCs w:val="21"/>
          <w:highlight w:val="none"/>
          <w:lang w:eastAsia="zh-CN"/>
        </w:rPr>
      </w:pPr>
      <w:bookmarkStart w:id="12" w:name="_Toc19862"/>
      <w:r>
        <w:rPr>
          <w:rFonts w:hint="eastAsia" w:ascii="宋体" w:hAnsi="宋体" w:cs="宋体"/>
          <w:sz w:val="21"/>
          <w:szCs w:val="21"/>
          <w:highlight w:val="none"/>
          <w:lang w:eastAsia="zh-CN"/>
        </w:rPr>
        <w:t>研究范围为巩义市市域，重点研究范围为中心城区及周边区域。</w:t>
      </w:r>
      <w:bookmarkEnd w:id="12"/>
    </w:p>
    <w:p w14:paraId="0CFED87E">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2.3项目要求</w:t>
      </w:r>
    </w:p>
    <w:p w14:paraId="6C679040">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1、巩义市公园体系专项规划</w:t>
      </w:r>
    </w:p>
    <w:p w14:paraId="7015483E">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（1）符合国土空间规划等上位规划的定位、 发展格局和规划管控要求，与城市规划建设相协调。</w:t>
      </w:r>
    </w:p>
    <w:p w14:paraId="0CA7E333">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（2）落实城市绿地系统规划确定的发展目标和公园绿地规划布局。</w:t>
      </w:r>
    </w:p>
    <w:p w14:paraId="732E112B">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（3） 与自然保护地体系规划等规划确定的公园保护、 建设、功能发展要求相协调， 落实自然保护地体系确定的风景名胜区和自然公园布局。</w:t>
      </w:r>
    </w:p>
    <w:p w14:paraId="1ECB31B8">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（4）立足城市环境、文化特性和公园管理，统筹考虑城园关系， 因地制宜确定公园分类构成， 结合人口年龄结构和空间分布优化各类公园分级分类布局。</w:t>
      </w:r>
    </w:p>
    <w:p w14:paraId="173E297D">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（5）满足新发展阶段人民对美好生活需求和推动城市高质量 发展要求为导向， 明确各类公园功能发展引导内容， 完善公园体系综合服务能力。</w:t>
      </w:r>
    </w:p>
    <w:p w14:paraId="141D37CC">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（6）结合城市和公园特点，对公园体系的保护更新、文化传承、 安全韧性和场景营建等内容提出针对性规划内容。</w:t>
      </w:r>
    </w:p>
    <w:p w14:paraId="6CB1DE42">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（7）明确公园规划建设时序，确定近期建设目标和任务，提出对重点公园的规划建设指引。</w:t>
      </w:r>
    </w:p>
    <w:p w14:paraId="5F30D5A8">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（8）明确公园体系规划实施、可持续发展和管理的保障措施，提出公园体系创新发展的体制机制与政策建议。</w:t>
      </w:r>
    </w:p>
    <w:p w14:paraId="1D4F5958">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2、巩义市绿道系统专项规划</w:t>
      </w:r>
    </w:p>
    <w:p w14:paraId="78E90494">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（1）基于全域生态格局和历史人文脉络、巩义市绿地网络布局，以绿道综合效益最大化为原则，综合考虑自然生态、人文、交通和城镇布局等资源要素，确定巩义市绿道分级和分类。</w:t>
      </w:r>
    </w:p>
    <w:p w14:paraId="2FA4ABFB">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2）中心城区及周边区域充分利用现状自然肌理的开放空间边缘（水系边缘、农田边缘、林地边缘等），以及现有步行及自行车交通道路等作为绿道选线的依托，应避开易发生滑坡、塌方、泥石流等地质灾害的危险区域，，对绿道选线进行多方案比选，确定绿道的适宜线路。</w:t>
      </w:r>
    </w:p>
    <w:p w14:paraId="035FECE2">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（3）遵循“生态优先、因地制宜、安全连通、经济合理”原则，结合所经过地区的现状资源特点，根据不同的绿道类型来进行绿道游径系统规划设计，确定绿道宽度、坡度。</w:t>
      </w:r>
    </w:p>
    <w:p w14:paraId="4D9523B3">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（4）确定绿道绿化要求和绿道服务设施。</w:t>
      </w:r>
    </w:p>
    <w:p w14:paraId="0A9A5321">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3、其他要求</w:t>
      </w:r>
    </w:p>
    <w:p w14:paraId="1A12D6FE">
      <w:pPr>
        <w:spacing w:line="440" w:lineRule="exact"/>
        <w:ind w:firstLine="480"/>
        <w:rPr>
          <w:rFonts w:hint="eastAsia" w:ascii="宋体" w:hAnsi="宋体" w:cs="宋体"/>
          <w:sz w:val="21"/>
          <w:szCs w:val="21"/>
          <w:highlight w:val="none"/>
          <w:lang w:eastAsia="zh-CN"/>
        </w:rPr>
      </w:pPr>
      <w:bookmarkStart w:id="13" w:name="_Toc17645"/>
      <w:r>
        <w:rPr>
          <w:rFonts w:hint="eastAsia" w:ascii="宋体" w:hAnsi="宋体" w:cs="宋体"/>
          <w:sz w:val="21"/>
          <w:szCs w:val="21"/>
          <w:highlight w:val="none"/>
          <w:lang w:eastAsia="zh-CN"/>
        </w:rPr>
        <w:t>（1）投标报价应是完成项目（标段）所必须的一切费用。</w:t>
      </w:r>
      <w:bookmarkEnd w:id="13"/>
    </w:p>
    <w:p w14:paraId="3DD9399E">
      <w:pPr>
        <w:spacing w:line="440" w:lineRule="exact"/>
        <w:ind w:firstLine="480"/>
        <w:rPr>
          <w:rFonts w:hint="eastAsia" w:ascii="宋体" w:hAnsi="宋体" w:cs="宋体"/>
          <w:sz w:val="21"/>
          <w:szCs w:val="21"/>
          <w:highlight w:val="none"/>
          <w:lang w:eastAsia="zh-CN"/>
        </w:rPr>
      </w:pPr>
      <w:bookmarkStart w:id="14" w:name="_Toc1598"/>
      <w:r>
        <w:rPr>
          <w:rFonts w:hint="eastAsia" w:ascii="宋体" w:hAnsi="宋体" w:cs="宋体"/>
          <w:sz w:val="21"/>
          <w:szCs w:val="21"/>
          <w:highlight w:val="none"/>
          <w:lang w:eastAsia="zh-CN"/>
        </w:rPr>
        <w:t>（2）未经甲方同意，乙方不得擅自更换项目负责人和主要技术、管理人员，否则按违约处理。</w:t>
      </w:r>
      <w:bookmarkEnd w:id="14"/>
    </w:p>
    <w:p w14:paraId="5E253495">
      <w:pPr>
        <w:spacing w:line="440" w:lineRule="exact"/>
        <w:ind w:firstLine="480"/>
        <w:rPr>
          <w:rFonts w:hint="eastAsia" w:ascii="宋体" w:hAnsi="宋体" w:cs="宋体"/>
          <w:sz w:val="21"/>
          <w:szCs w:val="21"/>
          <w:highlight w:val="none"/>
          <w:lang w:eastAsia="zh-CN"/>
        </w:rPr>
      </w:pPr>
      <w:bookmarkStart w:id="15" w:name="_Toc19426"/>
      <w:r>
        <w:rPr>
          <w:rFonts w:hint="eastAsia" w:ascii="宋体" w:hAnsi="宋体" w:cs="宋体"/>
          <w:sz w:val="21"/>
          <w:szCs w:val="21"/>
          <w:highlight w:val="none"/>
          <w:lang w:eastAsia="zh-CN"/>
        </w:rPr>
        <w:t>2.4规划成果构成</w:t>
      </w:r>
      <w:bookmarkEnd w:id="15"/>
    </w:p>
    <w:p w14:paraId="267DA438">
      <w:pPr>
        <w:spacing w:line="440" w:lineRule="exact"/>
        <w:ind w:firstLine="480"/>
        <w:rPr>
          <w:rFonts w:hint="eastAsia" w:ascii="宋体" w:hAnsi="宋体" w:cs="宋体"/>
          <w:sz w:val="21"/>
          <w:szCs w:val="21"/>
          <w:highlight w:val="none"/>
          <w:lang w:eastAsia="zh-CN"/>
        </w:rPr>
      </w:pPr>
      <w:bookmarkStart w:id="16" w:name="_Toc19933"/>
      <w:r>
        <w:rPr>
          <w:rFonts w:hint="eastAsia" w:ascii="宋体" w:hAnsi="宋体" w:cs="宋体"/>
          <w:sz w:val="21"/>
          <w:szCs w:val="21"/>
          <w:highlight w:val="none"/>
          <w:lang w:eastAsia="zh-CN"/>
        </w:rPr>
        <w:t>1、巩义市公园体系专项规划</w:t>
      </w:r>
    </w:p>
    <w:bookmarkEnd w:id="16"/>
    <w:p w14:paraId="50BA7C1A">
      <w:pPr>
        <w:spacing w:line="440" w:lineRule="exact"/>
        <w:ind w:firstLine="480"/>
        <w:rPr>
          <w:rFonts w:hint="eastAsia" w:ascii="宋体" w:hAnsi="宋体" w:cs="宋体"/>
          <w:sz w:val="21"/>
          <w:szCs w:val="21"/>
          <w:highlight w:val="none"/>
          <w:lang w:eastAsia="zh-CN"/>
        </w:rPr>
      </w:pPr>
      <w:bookmarkStart w:id="17" w:name="_Toc16422"/>
      <w:r>
        <w:rPr>
          <w:rFonts w:hint="eastAsia" w:ascii="宋体" w:hAnsi="宋体" w:cs="宋体"/>
          <w:sz w:val="21"/>
          <w:szCs w:val="21"/>
          <w:highlight w:val="none"/>
          <w:lang w:eastAsia="zh-CN"/>
        </w:rPr>
        <w:t>（1）规划成果应当包括规划文本、规划说明书、规划图纸三个部分。</w:t>
      </w:r>
    </w:p>
    <w:bookmarkEnd w:id="17"/>
    <w:p w14:paraId="144FFC0B">
      <w:pPr>
        <w:spacing w:line="440" w:lineRule="exact"/>
        <w:ind w:firstLine="480"/>
        <w:rPr>
          <w:rFonts w:hint="eastAsia" w:ascii="宋体" w:hAnsi="宋体" w:cs="宋体"/>
          <w:sz w:val="21"/>
          <w:szCs w:val="21"/>
          <w:highlight w:val="none"/>
          <w:lang w:eastAsia="zh-CN"/>
        </w:rPr>
      </w:pPr>
      <w:bookmarkStart w:id="18" w:name="_Toc26957"/>
      <w:r>
        <w:rPr>
          <w:rFonts w:hint="eastAsia" w:ascii="宋体" w:hAnsi="宋体" w:cs="宋体"/>
          <w:sz w:val="21"/>
          <w:szCs w:val="21"/>
          <w:highlight w:val="none"/>
          <w:lang w:eastAsia="zh-CN"/>
        </w:rPr>
        <w:t>（2）规划文本和说明书主要包括公园体系现状分析评价，上位及同级相关规划分析，规划范围、依据与期限；规划目标与原则，各类公园分类布局，各类公园功能发展引导内容，公园体系的保护更新、文化传承、安全韧性和场景营建等内容，公园分期建设规划说明，实施机制与保障措施。</w:t>
      </w:r>
    </w:p>
    <w:p w14:paraId="3349E9C7">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（3）规划图件。应包含但不限于：现状综合分析图、上位及同级相关规划分析图、公园体系规划图、公园分类布局图、防灾避险设施规划图、公园近期建设规划图等。</w:t>
      </w:r>
    </w:p>
    <w:p w14:paraId="77087136">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2、巩义市绿道系统专项规划</w:t>
      </w:r>
    </w:p>
    <w:p w14:paraId="30220BB3">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（1）规划成果应包括规划文本、规划说明书、规划图纸三个部分。</w:t>
      </w:r>
    </w:p>
    <w:p w14:paraId="408737EF">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2）规划文本和说明书主要包括资源要素分析评价，上位及同级相关规划分析，规划范围、依据与期限；规划目标与原则，绿道网布局结构分析，绿道网分级与分类说明，绿道游径系统、绿化、设施的规划要求，绿道网分期建设规划说明，实施机制与保障措施。</w:t>
      </w:r>
    </w:p>
    <w:p w14:paraId="05CDBFCB">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（3）规划图纸包括现状综合分析图、上位及同级相关规划分析图、绿道网总平面图、绿道分级规划图、绿道分类规划图、绿道游径系统规划图、绿道绿化规划图、绿道设施规划图和绿道分期建设图等。</w:t>
      </w:r>
    </w:p>
    <w:p w14:paraId="22E5E001">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4</w:t>
      </w:r>
      <w:r>
        <w:rPr>
          <w:rFonts w:hint="eastAsia" w:ascii="宋体" w:hAnsi="宋体" w:cs="宋体"/>
          <w:sz w:val="21"/>
          <w:szCs w:val="21"/>
          <w:highlight w:val="none"/>
          <w:lang w:eastAsia="zh-CN"/>
        </w:rPr>
        <w:t>）附件（说明书）。</w:t>
      </w:r>
    </w:p>
    <w:p w14:paraId="51CEA1D7">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2.5规划成果形式</w:t>
      </w:r>
      <w:bookmarkEnd w:id="18"/>
      <w:r>
        <w:rPr>
          <w:rFonts w:hint="eastAsia" w:ascii="宋体" w:hAnsi="宋体" w:cs="宋体"/>
          <w:sz w:val="21"/>
          <w:szCs w:val="21"/>
          <w:highlight w:val="none"/>
          <w:lang w:eastAsia="zh-CN"/>
        </w:rPr>
        <w:t xml:space="preserve"> </w:t>
      </w:r>
    </w:p>
    <w:p w14:paraId="78BC9283">
      <w:pPr>
        <w:spacing w:line="440" w:lineRule="exact"/>
        <w:ind w:firstLine="480"/>
        <w:rPr>
          <w:rFonts w:hint="eastAsia" w:ascii="宋体" w:hAnsi="宋体" w:cs="宋体"/>
          <w:sz w:val="21"/>
          <w:szCs w:val="21"/>
          <w:highlight w:val="none"/>
          <w:lang w:eastAsia="zh-CN"/>
        </w:rPr>
      </w:pPr>
      <w:r>
        <w:rPr>
          <w:rFonts w:hint="eastAsia" w:ascii="宋体" w:hAnsi="宋体" w:cs="宋体"/>
          <w:sz w:val="21"/>
          <w:szCs w:val="21"/>
          <w:highlight w:val="none"/>
          <w:lang w:eastAsia="zh-CN"/>
        </w:rPr>
        <w:t>规划成果应以书面和电子文档两种方式表达。文本文字统一采用简体中文格式，全部设计成果以 A3（297 mm×420 mm ）规格编排打印装订成册（打印比例自定）。设计图纸汇编：设计图汇编均为A3版面，比例自定，图面中所注文字及尺寸数字应清晰可辩，且字高不小于 2mm。</w:t>
      </w:r>
      <w:bookmarkStart w:id="19" w:name="_bookmark22"/>
      <w:bookmarkEnd w:id="19"/>
      <w:bookmarkStart w:id="20" w:name="七、编制周期"/>
      <w:bookmarkEnd w:id="20"/>
      <w:r>
        <w:rPr>
          <w:rFonts w:hint="eastAsia" w:ascii="宋体" w:hAnsi="宋体" w:cs="宋体"/>
          <w:sz w:val="21"/>
          <w:szCs w:val="21"/>
          <w:highlight w:val="none"/>
          <w:lang w:eastAsia="zh-CN"/>
        </w:rPr>
        <w:t xml:space="preserve">应提交本次成果要求的所有电子文件 1份，载体为 U 盘。（文本文件应釆用DOC格式，图形文件应釆用DWG和JPG两种格式）。 </w:t>
      </w:r>
    </w:p>
    <w:p w14:paraId="23AD1B1B">
      <w:pPr>
        <w:keepNext w:val="0"/>
        <w:keepLines w:val="0"/>
        <w:pageBreakBefore w:val="0"/>
        <w:widowControl w:val="0"/>
        <w:kinsoku/>
        <w:wordWrap/>
        <w:overflowPunct/>
        <w:topLinePunct w:val="0"/>
        <w:autoSpaceDE/>
        <w:autoSpaceDN/>
        <w:bidi w:val="0"/>
        <w:adjustRightInd/>
        <w:snapToGrid/>
        <w:spacing w:line="390" w:lineRule="exact"/>
        <w:ind w:firstLine="420" w:firstLineChars="200"/>
        <w:jc w:val="left"/>
        <w:textAlignment w:val="auto"/>
        <w:rPr>
          <w:rFonts w:hint="eastAsia" w:ascii="宋体" w:hAnsi="宋体" w:cs="宋体"/>
          <w:sz w:val="21"/>
          <w:szCs w:val="21"/>
        </w:rPr>
      </w:pPr>
      <w:r>
        <w:rPr>
          <w:rFonts w:hint="eastAsia" w:ascii="宋体" w:hAnsi="宋体" w:cs="宋体"/>
          <w:sz w:val="21"/>
          <w:szCs w:val="21"/>
        </w:rPr>
        <w:t>（2）商务要求</w:t>
      </w:r>
    </w:p>
    <w:p w14:paraId="03A85B2A">
      <w:pPr>
        <w:pStyle w:val="8"/>
        <w:keepNext w:val="0"/>
        <w:keepLines w:val="0"/>
        <w:pageBreakBefore w:val="0"/>
        <w:widowControl w:val="0"/>
        <w:kinsoku/>
        <w:wordWrap/>
        <w:overflowPunct/>
        <w:topLinePunct w:val="0"/>
        <w:autoSpaceDE/>
        <w:autoSpaceDN/>
        <w:bidi w:val="0"/>
        <w:adjustRightInd/>
        <w:snapToGrid/>
        <w:spacing w:line="390" w:lineRule="exact"/>
        <w:ind w:left="1680" w:hanging="1470" w:hangingChars="700"/>
        <w:textAlignment w:val="auto"/>
        <w:rPr>
          <w:rFonts w:hint="eastAsia" w:ascii="宋体" w:hAnsi="宋体" w:eastAsia="宋体" w:cs="宋体"/>
          <w:sz w:val="21"/>
          <w:szCs w:val="21"/>
          <w:lang w:eastAsia="zh-CN"/>
        </w:rPr>
      </w:pPr>
      <w:r>
        <w:rPr>
          <w:rFonts w:hint="eastAsia" w:ascii="宋体" w:hAnsi="宋体" w:cs="宋体"/>
          <w:sz w:val="21"/>
          <w:szCs w:val="21"/>
        </w:rPr>
        <w:t>2.1</w:t>
      </w:r>
      <w:r>
        <w:rPr>
          <w:rFonts w:hint="eastAsia" w:ascii="宋体" w:hAnsi="宋体" w:eastAsia="宋体" w:cs="宋体"/>
          <w:sz w:val="21"/>
          <w:szCs w:val="21"/>
        </w:rPr>
        <w:t>项目名称：</w:t>
      </w:r>
      <w:r>
        <w:rPr>
          <w:rFonts w:hint="eastAsia" w:ascii="宋体" w:hAnsi="宋体" w:cs="宋体"/>
          <w:sz w:val="21"/>
          <w:szCs w:val="21"/>
          <w:lang w:eastAsia="zh-CN"/>
        </w:rPr>
        <w:t>巩义市园林绿化中心巩义市公园体系和巩义市绿道系统专项规划项目</w:t>
      </w:r>
    </w:p>
    <w:p w14:paraId="19CF608F">
      <w:pPr>
        <w:pStyle w:val="8"/>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1"/>
          <w:szCs w:val="21"/>
          <w:lang w:eastAsia="zh-CN"/>
        </w:rPr>
      </w:pPr>
      <w:r>
        <w:rPr>
          <w:rFonts w:hint="eastAsia" w:ascii="宋体" w:hAnsi="宋体" w:cs="宋体"/>
          <w:sz w:val="21"/>
          <w:szCs w:val="21"/>
          <w:lang w:val="en-US" w:eastAsia="zh-CN"/>
        </w:rPr>
        <w:t>2.2</w:t>
      </w:r>
      <w:r>
        <w:rPr>
          <w:rFonts w:hint="eastAsia" w:ascii="宋体" w:hAnsi="宋体" w:cs="宋体"/>
          <w:sz w:val="21"/>
          <w:szCs w:val="21"/>
          <w:lang w:eastAsia="zh-CN"/>
        </w:rPr>
        <w:t>质量要求：达到国家、省、市及行业相关规定的规范标准，成果质量通过评审要求；</w:t>
      </w:r>
    </w:p>
    <w:p w14:paraId="0EB29B1A">
      <w:pPr>
        <w:pStyle w:val="8"/>
        <w:keepNext w:val="0"/>
        <w:keepLines w:val="0"/>
        <w:pageBreakBefore w:val="0"/>
        <w:widowControl w:val="0"/>
        <w:kinsoku/>
        <w:wordWrap/>
        <w:overflowPunct/>
        <w:topLinePunct w:val="0"/>
        <w:autoSpaceDE/>
        <w:autoSpaceDN/>
        <w:bidi w:val="0"/>
        <w:adjustRightInd/>
        <w:snapToGrid/>
        <w:spacing w:line="390" w:lineRule="exact"/>
        <w:textAlignment w:val="auto"/>
        <w:rPr>
          <w:rFonts w:hint="default" w:ascii="宋体" w:hAnsi="宋体" w:cs="宋体"/>
          <w:sz w:val="21"/>
          <w:szCs w:val="21"/>
          <w:highlight w:val="none"/>
          <w:lang w:val="en-US" w:eastAsia="zh-CN"/>
        </w:rPr>
      </w:pPr>
      <w:r>
        <w:rPr>
          <w:rFonts w:hint="eastAsia" w:ascii="宋体" w:hAnsi="宋体" w:cs="宋体"/>
          <w:sz w:val="21"/>
          <w:szCs w:val="21"/>
          <w:lang w:val="en-US" w:eastAsia="zh-CN"/>
        </w:rPr>
        <w:t>2.3服务期限：</w:t>
      </w:r>
      <w:r>
        <w:rPr>
          <w:rFonts w:hint="eastAsia" w:ascii="宋体" w:hAnsi="宋体" w:cs="宋体"/>
          <w:sz w:val="21"/>
          <w:szCs w:val="21"/>
          <w:highlight w:val="none"/>
          <w:lang w:val="en-US" w:eastAsia="zh-CN"/>
        </w:rPr>
        <w:t>90日历天</w:t>
      </w:r>
    </w:p>
    <w:p w14:paraId="109EE395">
      <w:pPr>
        <w:pStyle w:val="8"/>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1"/>
          <w:szCs w:val="21"/>
        </w:rPr>
      </w:pPr>
      <w:r>
        <w:rPr>
          <w:rFonts w:hint="eastAsia" w:ascii="宋体" w:hAnsi="宋体" w:cs="宋体"/>
          <w:sz w:val="21"/>
          <w:szCs w:val="21"/>
          <w:lang w:val="en-US" w:eastAsia="zh-CN"/>
        </w:rPr>
        <w:t>2.4</w:t>
      </w:r>
      <w:r>
        <w:rPr>
          <w:rFonts w:hint="eastAsia" w:ascii="宋体" w:hAnsi="宋体" w:cs="宋体"/>
          <w:sz w:val="21"/>
          <w:szCs w:val="21"/>
          <w:lang w:eastAsia="zh-CN"/>
        </w:rPr>
        <w:t>合同履行期限：详见服务期限</w:t>
      </w:r>
    </w:p>
    <w:p w14:paraId="506CAECA">
      <w:pPr>
        <w:pStyle w:val="8"/>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1"/>
          <w:szCs w:val="21"/>
        </w:rPr>
      </w:pPr>
      <w:r>
        <w:rPr>
          <w:rFonts w:hint="eastAsia" w:ascii="宋体" w:hAnsi="宋体" w:cs="宋体"/>
          <w:sz w:val="21"/>
          <w:szCs w:val="21"/>
          <w:lang w:val="en-US" w:eastAsia="zh-CN"/>
        </w:rPr>
        <w:t>2.5</w:t>
      </w:r>
      <w:r>
        <w:rPr>
          <w:rFonts w:hint="eastAsia" w:ascii="宋体" w:hAnsi="宋体" w:cs="宋体"/>
          <w:sz w:val="21"/>
          <w:szCs w:val="21"/>
        </w:rPr>
        <w:t>本项目是否接受联合体投标：否</w:t>
      </w:r>
    </w:p>
    <w:p w14:paraId="65432B9D">
      <w:pPr>
        <w:pStyle w:val="8"/>
        <w:keepNext w:val="0"/>
        <w:keepLines w:val="0"/>
        <w:pageBreakBefore w:val="0"/>
        <w:widowControl w:val="0"/>
        <w:kinsoku/>
        <w:wordWrap/>
        <w:overflowPunct/>
        <w:topLinePunct w:val="0"/>
        <w:autoSpaceDE/>
        <w:autoSpaceDN/>
        <w:bidi w:val="0"/>
        <w:adjustRightInd/>
        <w:snapToGrid/>
        <w:spacing w:line="390" w:lineRule="exact"/>
        <w:textAlignment w:val="auto"/>
        <w:rPr>
          <w:rFonts w:hint="eastAsia" w:ascii="宋体" w:hAnsi="宋体" w:cs="宋体"/>
          <w:sz w:val="21"/>
          <w:szCs w:val="21"/>
        </w:rPr>
      </w:pPr>
      <w:r>
        <w:rPr>
          <w:rFonts w:hint="eastAsia" w:ascii="宋体" w:hAnsi="宋体" w:cs="宋体"/>
          <w:sz w:val="21"/>
          <w:szCs w:val="21"/>
          <w:lang w:val="en-US" w:eastAsia="zh-CN"/>
        </w:rPr>
        <w:t>2.6</w:t>
      </w:r>
      <w:r>
        <w:rPr>
          <w:rFonts w:hint="eastAsia" w:ascii="宋体" w:hAnsi="宋体" w:cs="宋体"/>
          <w:sz w:val="21"/>
          <w:szCs w:val="21"/>
        </w:rPr>
        <w:t>是否接受进口产品：否</w:t>
      </w:r>
    </w:p>
    <w:p w14:paraId="35C69EFA">
      <w:pPr>
        <w:spacing w:line="360" w:lineRule="auto"/>
        <w:contextualSpacing/>
        <w:rPr>
          <w:rFonts w:hint="eastAsia" w:ascii="宋体" w:hAnsi="宋体" w:eastAsia="宋体" w:cs="宋体"/>
          <w:bCs/>
          <w:kern w:val="2"/>
          <w:sz w:val="21"/>
          <w:szCs w:val="21"/>
          <w:lang w:val="en-US" w:eastAsia="zh-CN" w:bidi="ar-SA"/>
        </w:rPr>
      </w:pPr>
      <w:r>
        <w:rPr>
          <w:rFonts w:hint="eastAsia" w:ascii="宋体" w:hAnsi="宋体" w:cs="宋体"/>
          <w:sz w:val="21"/>
          <w:szCs w:val="21"/>
        </w:rPr>
        <w:t>2.</w:t>
      </w:r>
      <w:r>
        <w:rPr>
          <w:rFonts w:hint="eastAsia" w:ascii="宋体" w:hAnsi="宋体" w:cs="宋体"/>
          <w:sz w:val="21"/>
          <w:szCs w:val="21"/>
          <w:lang w:val="en-US" w:eastAsia="zh-CN"/>
        </w:rPr>
        <w:t>7</w:t>
      </w:r>
      <w:r>
        <w:rPr>
          <w:rFonts w:hint="eastAsia" w:ascii="宋体" w:hAnsi="宋体" w:cs="宋体"/>
          <w:sz w:val="21"/>
          <w:szCs w:val="21"/>
        </w:rPr>
        <w:t>付款方式：</w:t>
      </w:r>
      <w:r>
        <w:rPr>
          <w:rFonts w:hint="eastAsia" w:ascii="宋体" w:hAnsi="宋体" w:eastAsia="宋体" w:cs="宋体"/>
          <w:bCs/>
          <w:kern w:val="2"/>
          <w:sz w:val="21"/>
          <w:szCs w:val="21"/>
          <w:lang w:val="en-US" w:eastAsia="zh-CN" w:bidi="ar-SA"/>
        </w:rPr>
        <w:t>1、支付方式：银行转账。2、支付时间及条件：（1）合同签订后，乙方完成现状调研工作后，甲方向乙方支付合同额的30%；（2）规划成果技术审查会前，甲方向乙方支付合同额的</w:t>
      </w:r>
      <w:r>
        <w:rPr>
          <w:rFonts w:hint="eastAsia" w:ascii="宋体" w:hAnsi="宋体" w:cs="宋体"/>
          <w:bCs/>
          <w:kern w:val="2"/>
          <w:sz w:val="21"/>
          <w:szCs w:val="21"/>
          <w:lang w:val="en-US" w:eastAsia="zh-CN" w:bidi="ar-SA"/>
        </w:rPr>
        <w:t>4</w:t>
      </w:r>
      <w:r>
        <w:rPr>
          <w:rFonts w:hint="eastAsia" w:ascii="宋体" w:hAnsi="宋体" w:eastAsia="宋体" w:cs="宋体"/>
          <w:bCs/>
          <w:kern w:val="2"/>
          <w:sz w:val="21"/>
          <w:szCs w:val="21"/>
          <w:lang w:val="en-US" w:eastAsia="zh-CN" w:bidi="ar-SA"/>
        </w:rPr>
        <w:t>0%；（</w:t>
      </w:r>
      <w:r>
        <w:rPr>
          <w:rFonts w:hint="eastAsia" w:ascii="宋体" w:hAnsi="宋体" w:cs="宋体"/>
          <w:bCs/>
          <w:kern w:val="2"/>
          <w:sz w:val="21"/>
          <w:szCs w:val="21"/>
          <w:lang w:val="en-US" w:eastAsia="zh-CN" w:bidi="ar-SA"/>
        </w:rPr>
        <w:t>3</w:t>
      </w:r>
      <w:r>
        <w:rPr>
          <w:rFonts w:hint="eastAsia" w:ascii="宋体" w:hAnsi="宋体" w:eastAsia="宋体" w:cs="宋体"/>
          <w:bCs/>
          <w:kern w:val="2"/>
          <w:sz w:val="21"/>
          <w:szCs w:val="21"/>
          <w:lang w:val="en-US" w:eastAsia="zh-CN" w:bidi="ar-SA"/>
        </w:rPr>
        <w:t>）依据审查会意见修改完善后提交规划成果后，甲方向乙方支付总合同额的</w:t>
      </w:r>
      <w:r>
        <w:rPr>
          <w:rFonts w:hint="eastAsia" w:ascii="宋体" w:hAnsi="宋体" w:cs="宋体"/>
          <w:bCs/>
          <w:kern w:val="2"/>
          <w:sz w:val="21"/>
          <w:szCs w:val="21"/>
          <w:lang w:val="en-US" w:eastAsia="zh-CN" w:bidi="ar-SA"/>
        </w:rPr>
        <w:t>3</w:t>
      </w:r>
      <w:r>
        <w:rPr>
          <w:rFonts w:hint="eastAsia" w:ascii="宋体" w:hAnsi="宋体" w:eastAsia="宋体" w:cs="宋体"/>
          <w:bCs/>
          <w:kern w:val="2"/>
          <w:sz w:val="21"/>
          <w:szCs w:val="21"/>
          <w:lang w:val="en-US" w:eastAsia="zh-CN" w:bidi="ar-SA"/>
        </w:rPr>
        <w:t>0%。</w:t>
      </w:r>
    </w:p>
    <w:p w14:paraId="77C09924">
      <w:pPr>
        <w:spacing w:line="440" w:lineRule="exact"/>
      </w:pPr>
      <w:bookmarkStart w:id="21" w:name="_GoBack"/>
      <w:bookmarkEnd w:id="2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D44548"/>
    <w:rsid w:val="65D44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黑体"/>
      <w:sz w:val="22"/>
      <w:szCs w:val="22"/>
      <w:lang w:val="en-US" w:eastAsia="en-US" w:bidi="ar-SA"/>
    </w:rPr>
  </w:style>
  <w:style w:type="paragraph" w:styleId="5">
    <w:name w:val="heading 1"/>
    <w:basedOn w:val="1"/>
    <w:next w:val="1"/>
    <w:qFormat/>
    <w:uiPriority w:val="0"/>
    <w:pPr>
      <w:ind w:left="2237"/>
      <w:outlineLvl w:val="0"/>
    </w:pPr>
    <w:rPr>
      <w:rFonts w:ascii="黑体" w:hAnsi="黑体" w:eastAsia="黑体" w:cs="Times New Roman"/>
      <w:sz w:val="72"/>
      <w:szCs w:val="7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after="120" w:line="240" w:lineRule="auto"/>
      <w:ind w:left="420" w:leftChars="200" w:firstLine="420" w:firstLineChars="200"/>
    </w:pPr>
    <w:rPr>
      <w:rFonts w:ascii="Times New Roman" w:hAnsi="Times New Roman"/>
      <w:kern w:val="2"/>
      <w:sz w:val="21"/>
    </w:rPr>
  </w:style>
  <w:style w:type="paragraph" w:styleId="3">
    <w:name w:val="Body Text Indent"/>
    <w:basedOn w:val="1"/>
    <w:next w:val="4"/>
    <w:unhideWhenUsed/>
    <w:qFormat/>
    <w:uiPriority w:val="0"/>
    <w:pPr>
      <w:spacing w:line="360" w:lineRule="auto"/>
      <w:ind w:firstLine="353" w:firstLineChars="147"/>
    </w:pPr>
    <w:rPr>
      <w:rFonts w:ascii="宋体" w:hAnsi="宋体"/>
      <w:sz w:val="24"/>
    </w:rPr>
  </w:style>
  <w:style w:type="paragraph" w:styleId="4">
    <w:name w:val="envelope return"/>
    <w:basedOn w:val="1"/>
    <w:unhideWhenUsed/>
    <w:qFormat/>
    <w:uiPriority w:val="99"/>
    <w:rPr>
      <w:rFonts w:ascii="Arial" w:hAnsi="Arial"/>
    </w:rPr>
  </w:style>
  <w:style w:type="paragraph" w:customStyle="1" w:styleId="8">
    <w:name w:val="无间隔1"/>
    <w:basedOn w:val="1"/>
    <w:qFormat/>
    <w:uiPriority w:val="1"/>
    <w:pPr>
      <w:spacing w:line="40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2025-05-13T02:15:00Z</dcterms:created>
  <dc:creator>河南顺驰</dc:creator>
  <cp:lastModifiedBy>河南顺驰</cp:lastModifiedBy>
  <dcterms:modified xsi:type="dcterms:W3CDTF">2025-05-13T02:16:59Z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CD780630E2D84571AEEE804D21AD0278_11</vt:lpwstr>
  </property>
  <property fmtid="{D5CDD505-2E9C-101B-9397-08002B2CF9AE}" pid="4" name="KSOTemplateDocerSaveRecord">
    <vt:lpwstr>eyJoZGlkIjoiZWZkZGYzYTFiNTdhZmNhZDJkNDljNjg4ZGU1YTg3M2IiLCJ1c2VySWQiOiI1NzE1NDYxMjQifQ==</vt:lpwstr>
  </property>
</Properties>
</file>